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2.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E342A7" w14:textId="02E639E6" w:rsidR="00885FE3" w:rsidRPr="007375EB" w:rsidRDefault="00195323" w:rsidP="00195323">
      <w:pPr>
        <w:spacing w:before="120" w:after="120" w:line="288" w:lineRule="auto"/>
        <w:jc w:val="both"/>
        <w:rPr>
          <w:rFonts w:cs="Times New Roman"/>
          <w:sz w:val="24"/>
          <w:szCs w:val="24"/>
          <w:lang w:val="bg-BG"/>
        </w:rPr>
      </w:pPr>
      <w:bookmarkStart w:id="0" w:name="_Hlk145186199"/>
      <w:bookmarkEnd w:id="0"/>
      <w:r w:rsidRPr="007375EB">
        <w:rPr>
          <w:noProof/>
          <w:lang w:val="bg-BG"/>
        </w:rPr>
        <mc:AlternateContent>
          <mc:Choice Requires="wps">
            <w:drawing>
              <wp:anchor distT="0" distB="0" distL="114300" distR="114300" simplePos="0" relativeHeight="251658255" behindDoc="0" locked="1" layoutInCell="1" allowOverlap="1" wp14:anchorId="71F9EAA6" wp14:editId="1E647966">
                <wp:simplePos x="0" y="0"/>
                <wp:positionH relativeFrom="margin">
                  <wp:posOffset>-197485</wp:posOffset>
                </wp:positionH>
                <wp:positionV relativeFrom="margin">
                  <wp:posOffset>-451485</wp:posOffset>
                </wp:positionV>
                <wp:extent cx="6123305" cy="1365250"/>
                <wp:effectExtent l="0" t="0" r="10795" b="6350"/>
                <wp:wrapNone/>
                <wp:docPr id="8" name="Text Box 8"/>
                <wp:cNvGraphicFramePr/>
                <a:graphic xmlns:a="http://schemas.openxmlformats.org/drawingml/2006/main">
                  <a:graphicData uri="http://schemas.microsoft.com/office/word/2010/wordprocessingShape">
                    <wps:wsp>
                      <wps:cNvSpPr txBox="1"/>
                      <wps:spPr>
                        <a:xfrm>
                          <a:off x="0" y="0"/>
                          <a:ext cx="6123305" cy="1365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Overlap w:val="never"/>
                              <w:tblW w:w="9526" w:type="dxa"/>
                              <w:tblLayout w:type="fixed"/>
                              <w:tblCellMar>
                                <w:left w:w="0" w:type="dxa"/>
                                <w:right w:w="1134" w:type="dxa"/>
                              </w:tblCellMar>
                              <w:tblLook w:val="01E0" w:firstRow="1" w:lastRow="1" w:firstColumn="1" w:lastColumn="1" w:noHBand="0" w:noVBand="0"/>
                            </w:tblPr>
                            <w:tblGrid>
                              <w:gridCol w:w="9526"/>
                            </w:tblGrid>
                            <w:tr w:rsidR="00195323" w:rsidRPr="00195323" w14:paraId="01FFA560" w14:textId="77777777" w:rsidTr="00195323">
                              <w:trPr>
                                <w:trHeight w:hRule="exact" w:val="3838"/>
                              </w:trPr>
                              <w:tc>
                                <w:tcPr>
                                  <w:tcW w:w="9526" w:type="dxa"/>
                                  <w:tcBorders>
                                    <w:top w:val="nil"/>
                                    <w:left w:val="nil"/>
                                    <w:bottom w:val="nil"/>
                                    <w:right w:val="nil"/>
                                  </w:tcBorders>
                                  <w:shd w:val="clear" w:color="auto" w:fill="auto"/>
                                </w:tcPr>
                                <w:sdt>
                                  <w:sdtPr>
                                    <w:rPr>
                                      <w:sz w:val="16"/>
                                      <w:szCs w:val="16"/>
                                      <w:lang w:val="bg-BG"/>
                                    </w:rPr>
                                    <w:alias w:val="Intended for"/>
                                    <w:tag w:val="{&quot;templafy&quot;:{&quot;id&quot;:&quot;654a6894-9742-4569-841f-5c199082a1a0&quot;}}"/>
                                    <w:id w:val="1181244164"/>
                                    <w:placeholder>
                                      <w:docPart w:val="CBECAAB04959406C9E5E635C4FBDD025"/>
                                    </w:placeholder>
                                  </w:sdtPr>
                                  <w:sdtContent>
                                    <w:p w14:paraId="27D46354" w14:textId="2E378097" w:rsidR="00195323" w:rsidRPr="00674851" w:rsidRDefault="00674851">
                                      <w:pPr>
                                        <w:pStyle w:val="Documentdataleadtext"/>
                                        <w:rPr>
                                          <w:sz w:val="16"/>
                                          <w:szCs w:val="16"/>
                                          <w:lang w:val="bg-BG"/>
                                        </w:rPr>
                                      </w:pPr>
                                      <w:r w:rsidRPr="00674851">
                                        <w:rPr>
                                          <w:sz w:val="16"/>
                                          <w:szCs w:val="16"/>
                                          <w:lang w:val="bg-BG"/>
                                        </w:rPr>
                                        <w:t>Поръчител</w:t>
                                      </w:r>
                                    </w:p>
                                  </w:sdtContent>
                                </w:sdt>
                                <w:p w14:paraId="29BFAEE5" w14:textId="08FB7CE5" w:rsidR="00195323" w:rsidRPr="00674851" w:rsidRDefault="00195323" w:rsidP="00195323">
                                  <w:pPr>
                                    <w:pStyle w:val="Documentdatatext"/>
                                    <w:rPr>
                                      <w:sz w:val="16"/>
                                      <w:szCs w:val="16"/>
                                      <w:lang w:val="bg-BG"/>
                                    </w:rPr>
                                  </w:pPr>
                                  <w:r w:rsidRPr="00674851">
                                    <w:rPr>
                                      <w:sz w:val="16"/>
                                      <w:szCs w:val="16"/>
                                      <w:lang w:val="bg-BG"/>
                                    </w:rPr>
                                    <w:t>SC South Wind SRL</w:t>
                                  </w:r>
                                </w:p>
                                <w:p w14:paraId="32F3002F" w14:textId="77777777" w:rsidR="00195323" w:rsidRPr="00674851" w:rsidRDefault="00195323" w:rsidP="00195323">
                                  <w:pPr>
                                    <w:pStyle w:val="Documentdatatext"/>
                                    <w:rPr>
                                      <w:sz w:val="16"/>
                                      <w:szCs w:val="16"/>
                                      <w:lang w:val="bg-BG"/>
                                    </w:rPr>
                                  </w:pPr>
                                </w:p>
                                <w:sdt>
                                  <w:sdtPr>
                                    <w:rPr>
                                      <w:sz w:val="16"/>
                                      <w:szCs w:val="16"/>
                                      <w:lang w:val="bg-BG"/>
                                    </w:rPr>
                                    <w:alias w:val="Document type"/>
                                    <w:tag w:val="{&quot;templafy&quot;:{&quot;id&quot;:&quot;800bf5a5-f8bf-4804-9645-07c89c2a8da2&quot;}}"/>
                                    <w:id w:val="-832141363"/>
                                    <w:placeholder>
                                      <w:docPart w:val="9479FC59F674488483D9255B73FE61C3"/>
                                    </w:placeholder>
                                  </w:sdtPr>
                                  <w:sdtContent>
                                    <w:p w14:paraId="39A54E26" w14:textId="2942E81C" w:rsidR="00195323" w:rsidRPr="00674851" w:rsidRDefault="00674851">
                                      <w:pPr>
                                        <w:pStyle w:val="Documentdataleadtext"/>
                                        <w:rPr>
                                          <w:sz w:val="16"/>
                                          <w:szCs w:val="16"/>
                                          <w:lang w:val="bg-BG"/>
                                        </w:rPr>
                                      </w:pPr>
                                      <w:r w:rsidRPr="00674851">
                                        <w:rPr>
                                          <w:sz w:val="16"/>
                                          <w:szCs w:val="16"/>
                                          <w:lang w:val="bg-BG"/>
                                        </w:rPr>
                                        <w:t>Вид на документа</w:t>
                                      </w:r>
                                    </w:p>
                                  </w:sdtContent>
                                </w:sdt>
                                <w:p w14:paraId="5FAEB82C" w14:textId="77777777" w:rsidR="00674851" w:rsidRPr="00674851" w:rsidRDefault="00674851" w:rsidP="00674851">
                                  <w:pPr>
                                    <w:pStyle w:val="Documentdatatext"/>
                                    <w:rPr>
                                      <w:sz w:val="16"/>
                                      <w:szCs w:val="16"/>
                                      <w:lang w:val="bg-BG"/>
                                    </w:rPr>
                                  </w:pPr>
                                  <w:r w:rsidRPr="00674851">
                                    <w:rPr>
                                      <w:sz w:val="16"/>
                                      <w:szCs w:val="16"/>
                                      <w:lang w:val="bg-BG"/>
                                    </w:rPr>
                                    <w:t>Доклад за околната среда</w:t>
                                  </w:r>
                                </w:p>
                                <w:p w14:paraId="30F867B6" w14:textId="77777777" w:rsidR="00195323" w:rsidRPr="00674851" w:rsidRDefault="00195323">
                                  <w:pPr>
                                    <w:pStyle w:val="Documentdataleadtext"/>
                                    <w:rPr>
                                      <w:sz w:val="16"/>
                                      <w:szCs w:val="16"/>
                                      <w:lang w:val="bg-BG"/>
                                    </w:rPr>
                                  </w:pPr>
                                </w:p>
                                <w:sdt>
                                  <w:sdtPr>
                                    <w:rPr>
                                      <w:sz w:val="16"/>
                                      <w:szCs w:val="16"/>
                                      <w:lang w:val="bg-BG"/>
                                    </w:rPr>
                                    <w:alias w:val="Date"/>
                                    <w:tag w:val="{&quot;templafy&quot;:{&quot;id&quot;:&quot;336e5e44-8220-40f4-84c3-2c0dcd3e7888&quot;}}"/>
                                    <w:id w:val="-1110976661"/>
                                    <w:placeholder>
                                      <w:docPart w:val="9F6F3C3A218C4A05BFF5C32DE844D506"/>
                                    </w:placeholder>
                                  </w:sdtPr>
                                  <w:sdtContent>
                                    <w:p w14:paraId="44AF6DA9" w14:textId="171F5C3F" w:rsidR="00195323" w:rsidRPr="00674851" w:rsidRDefault="00674851">
                                      <w:pPr>
                                        <w:pStyle w:val="Documentdataleadtext"/>
                                        <w:rPr>
                                          <w:sz w:val="16"/>
                                          <w:szCs w:val="16"/>
                                          <w:lang w:val="bg-BG"/>
                                        </w:rPr>
                                      </w:pPr>
                                      <w:r w:rsidRPr="00674851">
                                        <w:rPr>
                                          <w:sz w:val="16"/>
                                          <w:szCs w:val="16"/>
                                          <w:lang w:val="bg-BG"/>
                                        </w:rPr>
                                        <w:t>Дата</w:t>
                                      </w:r>
                                    </w:p>
                                  </w:sdtContent>
                                </w:sdt>
                                <w:p w14:paraId="190EBD3F" w14:textId="44C28934" w:rsidR="00195323" w:rsidRPr="00674851" w:rsidRDefault="00E965E1">
                                  <w:pPr>
                                    <w:pStyle w:val="Documentdatatext"/>
                                    <w:rPr>
                                      <w:sz w:val="16"/>
                                      <w:szCs w:val="16"/>
                                      <w:lang w:val="bg-BG"/>
                                    </w:rPr>
                                  </w:pPr>
                                  <w:r w:rsidRPr="00E965E1">
                                    <w:rPr>
                                      <w:color w:val="00B050"/>
                                      <w:sz w:val="16"/>
                                      <w:szCs w:val="16"/>
                                    </w:rPr>
                                    <w:t>А</w:t>
                                  </w:r>
                                  <w:r w:rsidRPr="00E965E1">
                                    <w:rPr>
                                      <w:color w:val="00B050"/>
                                      <w:sz w:val="16"/>
                                      <w:szCs w:val="16"/>
                                    </w:rPr>
                                    <w:t>вгуст</w:t>
                                  </w:r>
                                  <w:r>
                                    <w:rPr>
                                      <w:color w:val="00B050"/>
                                      <w:sz w:val="16"/>
                                      <w:szCs w:val="16"/>
                                    </w:rPr>
                                    <w:t xml:space="preserve"> </w:t>
                                  </w:r>
                                  <w:r w:rsidR="00674851" w:rsidRPr="00674851">
                                    <w:rPr>
                                      <w:sz w:val="16"/>
                                      <w:szCs w:val="16"/>
                                      <w:lang w:val="bg-BG"/>
                                    </w:rPr>
                                    <w:t>202</w:t>
                                  </w:r>
                                  <w:r w:rsidR="002F7035">
                                    <w:rPr>
                                      <w:sz w:val="16"/>
                                      <w:szCs w:val="16"/>
                                      <w:lang w:val="en-US"/>
                                    </w:rPr>
                                    <w:t>5</w:t>
                                  </w:r>
                                  <w:r w:rsidR="00674851">
                                    <w:rPr>
                                      <w:sz w:val="16"/>
                                      <w:szCs w:val="16"/>
                                      <w:lang w:val="bg-BG"/>
                                    </w:rPr>
                                    <w:t xml:space="preserve"> </w:t>
                                  </w:r>
                                  <w:r w:rsidR="00674851" w:rsidRPr="00674851">
                                    <w:rPr>
                                      <w:sz w:val="16"/>
                                      <w:szCs w:val="16"/>
                                      <w:lang w:val="bg-BG"/>
                                    </w:rPr>
                                    <w:t>г</w:t>
                                  </w:r>
                                  <w:r w:rsidR="00674851">
                                    <w:rPr>
                                      <w:sz w:val="16"/>
                                      <w:szCs w:val="16"/>
                                      <w:lang w:val="bg-BG"/>
                                    </w:rPr>
                                    <w:t>.</w:t>
                                  </w:r>
                                </w:p>
                                <w:p w14:paraId="657ECCFC" w14:textId="77777777" w:rsidR="00195323" w:rsidRPr="00195323" w:rsidRDefault="00195323">
                                  <w:pPr>
                                    <w:pStyle w:val="Documentdataleadtext"/>
                                    <w:rPr>
                                      <w:sz w:val="16"/>
                                      <w:szCs w:val="16"/>
                                    </w:rPr>
                                  </w:pPr>
                                </w:p>
                                <w:p w14:paraId="3AC711B8" w14:textId="6EEA25C3" w:rsidR="00195323" w:rsidRPr="00195323" w:rsidRDefault="00195323">
                                  <w:pPr>
                                    <w:pStyle w:val="Documentdatatext"/>
                                    <w:rPr>
                                      <w:sz w:val="16"/>
                                      <w:szCs w:val="16"/>
                                    </w:rPr>
                                  </w:pPr>
                                </w:p>
                              </w:tc>
                            </w:tr>
                          </w:tbl>
                          <w:p w14:paraId="47780C12" w14:textId="77777777" w:rsidR="00195323" w:rsidRPr="00195323" w:rsidRDefault="00195323" w:rsidP="00195323">
                            <w:pPr>
                              <w:rPr>
                                <w:sz w:val="16"/>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1F9EAA6" id="_x0000_t202" coordsize="21600,21600" o:spt="202" path="m,l,21600r21600,l21600,xe">
                <v:stroke joinstyle="miter"/>
                <v:path gradientshapeok="t" o:connecttype="rect"/>
              </v:shapetype>
              <v:shape id="Text Box 8" o:spid="_x0000_s1026" type="#_x0000_t202" style="position:absolute;left:0;text-align:left;margin-left:-15.55pt;margin-top:-35.55pt;width:482.15pt;height:107.5pt;z-index:251658255;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" filled="f" stroked="f" strokeweight=".5pt">
                <v:textbox inset="0,0,0,0">
                  <w:txbxContent>
                    <w:tbl>
                      <w:tblPr>
                        <w:tblStyle w:val="TableGrid"/>
                        <w:tblOverlap w:val="never"/>
                        <w:tblW w:w="9526" w:type="dxa"/>
                        <w:tblLayout w:type="fixed"/>
                        <w:tblCellMar>
                          <w:left w:w="0" w:type="dxa"/>
                          <w:right w:w="1134" w:type="dxa"/>
                        </w:tblCellMar>
                        <w:tblLook w:val="01E0" w:firstRow="1" w:lastRow="1" w:firstColumn="1" w:lastColumn="1" w:noHBand="0" w:noVBand="0"/>
                      </w:tblPr>
                      <w:tblGrid>
                        <w:gridCol w:w="9526"/>
                      </w:tblGrid>
                      <w:tr w:rsidR="00195323" w:rsidRPr="00195323" w14:paraId="01FFA560" w14:textId="77777777" w:rsidTr="00195323">
                        <w:trPr>
                          <w:trHeight w:hRule="exact" w:val="3838"/>
                        </w:trPr>
                        <w:tc>
                          <w:tcPr>
                            <w:tcW w:w="9526" w:type="dxa"/>
                            <w:tcBorders>
                              <w:top w:val="nil"/>
                              <w:left w:val="nil"/>
                              <w:bottom w:val="nil"/>
                              <w:right w:val="nil"/>
                            </w:tcBorders>
                            <w:shd w:val="clear" w:color="auto" w:fill="auto"/>
                          </w:tcPr>
                          <w:sdt>
                            <w:sdtPr>
                              <w:rPr>
                                <w:sz w:val="16"/>
                                <w:szCs w:val="16"/>
                                <w:lang w:val="bg-BG"/>
                              </w:rPr>
                              <w:alias w:val="Intended for"/>
                              <w:tag w:val="{&quot;templafy&quot;:{&quot;id&quot;:&quot;654a6894-9742-4569-841f-5c199082a1a0&quot;}}"/>
                              <w:id w:val="1181244164"/>
                              <w:placeholder>
                                <w:docPart w:val="CBECAAB04959406C9E5E635C4FBDD025"/>
                              </w:placeholder>
                            </w:sdtPr>
                            <w:sdtContent>
                              <w:p w14:paraId="27D46354" w14:textId="2E378097" w:rsidR="00195323" w:rsidRPr="00674851" w:rsidRDefault="00674851">
                                <w:pPr>
                                  <w:pStyle w:val="Documentdataleadtext"/>
                                  <w:rPr>
                                    <w:sz w:val="16"/>
                                    <w:szCs w:val="16"/>
                                    <w:lang w:val="bg-BG"/>
                                  </w:rPr>
                                </w:pPr>
                                <w:r w:rsidRPr="00674851">
                                  <w:rPr>
                                    <w:sz w:val="16"/>
                                    <w:szCs w:val="16"/>
                                    <w:lang w:val="bg-BG"/>
                                  </w:rPr>
                                  <w:t>Поръчител</w:t>
                                </w:r>
                              </w:p>
                            </w:sdtContent>
                          </w:sdt>
                          <w:p w14:paraId="29BFAEE5" w14:textId="08FB7CE5" w:rsidR="00195323" w:rsidRPr="00674851" w:rsidRDefault="00195323" w:rsidP="00195323">
                            <w:pPr>
                              <w:pStyle w:val="Documentdatatext"/>
                              <w:rPr>
                                <w:sz w:val="16"/>
                                <w:szCs w:val="16"/>
                                <w:lang w:val="bg-BG"/>
                              </w:rPr>
                            </w:pPr>
                            <w:r w:rsidRPr="00674851">
                              <w:rPr>
                                <w:sz w:val="16"/>
                                <w:szCs w:val="16"/>
                                <w:lang w:val="bg-BG"/>
                              </w:rPr>
                              <w:t>SC South Wind SRL</w:t>
                            </w:r>
                          </w:p>
                          <w:p w14:paraId="32F3002F" w14:textId="77777777" w:rsidR="00195323" w:rsidRPr="00674851" w:rsidRDefault="00195323" w:rsidP="00195323">
                            <w:pPr>
                              <w:pStyle w:val="Documentdatatext"/>
                              <w:rPr>
                                <w:sz w:val="16"/>
                                <w:szCs w:val="16"/>
                                <w:lang w:val="bg-BG"/>
                              </w:rPr>
                            </w:pPr>
                          </w:p>
                          <w:sdt>
                            <w:sdtPr>
                              <w:rPr>
                                <w:sz w:val="16"/>
                                <w:szCs w:val="16"/>
                                <w:lang w:val="bg-BG"/>
                              </w:rPr>
                              <w:alias w:val="Document type"/>
                              <w:tag w:val="{&quot;templafy&quot;:{&quot;id&quot;:&quot;800bf5a5-f8bf-4804-9645-07c89c2a8da2&quot;}}"/>
                              <w:id w:val="-832141363"/>
                              <w:placeholder>
                                <w:docPart w:val="9479FC59F674488483D9255B73FE61C3"/>
                              </w:placeholder>
                            </w:sdtPr>
                            <w:sdtContent>
                              <w:p w14:paraId="39A54E26" w14:textId="2942E81C" w:rsidR="00195323" w:rsidRPr="00674851" w:rsidRDefault="00674851">
                                <w:pPr>
                                  <w:pStyle w:val="Documentdataleadtext"/>
                                  <w:rPr>
                                    <w:sz w:val="16"/>
                                    <w:szCs w:val="16"/>
                                    <w:lang w:val="bg-BG"/>
                                  </w:rPr>
                                </w:pPr>
                                <w:r w:rsidRPr="00674851">
                                  <w:rPr>
                                    <w:sz w:val="16"/>
                                    <w:szCs w:val="16"/>
                                    <w:lang w:val="bg-BG"/>
                                  </w:rPr>
                                  <w:t>Вид на документа</w:t>
                                </w:r>
                              </w:p>
                            </w:sdtContent>
                          </w:sdt>
                          <w:p w14:paraId="5FAEB82C" w14:textId="77777777" w:rsidR="00674851" w:rsidRPr="00674851" w:rsidRDefault="00674851" w:rsidP="00674851">
                            <w:pPr>
                              <w:pStyle w:val="Documentdatatext"/>
                              <w:rPr>
                                <w:sz w:val="16"/>
                                <w:szCs w:val="16"/>
                                <w:lang w:val="bg-BG"/>
                              </w:rPr>
                            </w:pPr>
                            <w:r w:rsidRPr="00674851">
                              <w:rPr>
                                <w:sz w:val="16"/>
                                <w:szCs w:val="16"/>
                                <w:lang w:val="bg-BG"/>
                              </w:rPr>
                              <w:t>Доклад за околната среда</w:t>
                            </w:r>
                          </w:p>
                          <w:p w14:paraId="30F867B6" w14:textId="77777777" w:rsidR="00195323" w:rsidRPr="00674851" w:rsidRDefault="00195323">
                            <w:pPr>
                              <w:pStyle w:val="Documentdataleadtext"/>
                              <w:rPr>
                                <w:sz w:val="16"/>
                                <w:szCs w:val="16"/>
                                <w:lang w:val="bg-BG"/>
                              </w:rPr>
                            </w:pPr>
                          </w:p>
                          <w:sdt>
                            <w:sdtPr>
                              <w:rPr>
                                <w:sz w:val="16"/>
                                <w:szCs w:val="16"/>
                                <w:lang w:val="bg-BG"/>
                              </w:rPr>
                              <w:alias w:val="Date"/>
                              <w:tag w:val="{&quot;templafy&quot;:{&quot;id&quot;:&quot;336e5e44-8220-40f4-84c3-2c0dcd3e7888&quot;}}"/>
                              <w:id w:val="-1110976661"/>
                              <w:placeholder>
                                <w:docPart w:val="9F6F3C3A218C4A05BFF5C32DE844D506"/>
                              </w:placeholder>
                            </w:sdtPr>
                            <w:sdtContent>
                              <w:p w14:paraId="44AF6DA9" w14:textId="171F5C3F" w:rsidR="00195323" w:rsidRPr="00674851" w:rsidRDefault="00674851">
                                <w:pPr>
                                  <w:pStyle w:val="Documentdataleadtext"/>
                                  <w:rPr>
                                    <w:sz w:val="16"/>
                                    <w:szCs w:val="16"/>
                                    <w:lang w:val="bg-BG"/>
                                  </w:rPr>
                                </w:pPr>
                                <w:r w:rsidRPr="00674851">
                                  <w:rPr>
                                    <w:sz w:val="16"/>
                                    <w:szCs w:val="16"/>
                                    <w:lang w:val="bg-BG"/>
                                  </w:rPr>
                                  <w:t>Дата</w:t>
                                </w:r>
                              </w:p>
                            </w:sdtContent>
                          </w:sdt>
                          <w:p w14:paraId="190EBD3F" w14:textId="44C28934" w:rsidR="00195323" w:rsidRPr="00674851" w:rsidRDefault="00E965E1">
                            <w:pPr>
                              <w:pStyle w:val="Documentdatatext"/>
                              <w:rPr>
                                <w:sz w:val="16"/>
                                <w:szCs w:val="16"/>
                                <w:lang w:val="bg-BG"/>
                              </w:rPr>
                            </w:pPr>
                            <w:r w:rsidRPr="00E965E1">
                              <w:rPr>
                                <w:color w:val="00B050"/>
                                <w:sz w:val="16"/>
                                <w:szCs w:val="16"/>
                              </w:rPr>
                              <w:t>А</w:t>
                            </w:r>
                            <w:r w:rsidRPr="00E965E1">
                              <w:rPr>
                                <w:color w:val="00B050"/>
                                <w:sz w:val="16"/>
                                <w:szCs w:val="16"/>
                              </w:rPr>
                              <w:t>вгуст</w:t>
                            </w:r>
                            <w:r>
                              <w:rPr>
                                <w:color w:val="00B050"/>
                                <w:sz w:val="16"/>
                                <w:szCs w:val="16"/>
                              </w:rPr>
                              <w:t xml:space="preserve"> </w:t>
                            </w:r>
                            <w:r w:rsidR="00674851" w:rsidRPr="00674851">
                              <w:rPr>
                                <w:sz w:val="16"/>
                                <w:szCs w:val="16"/>
                                <w:lang w:val="bg-BG"/>
                              </w:rPr>
                              <w:t>202</w:t>
                            </w:r>
                            <w:r w:rsidR="002F7035">
                              <w:rPr>
                                <w:sz w:val="16"/>
                                <w:szCs w:val="16"/>
                                <w:lang w:val="en-US"/>
                              </w:rPr>
                              <w:t>5</w:t>
                            </w:r>
                            <w:r w:rsidR="00674851">
                              <w:rPr>
                                <w:sz w:val="16"/>
                                <w:szCs w:val="16"/>
                                <w:lang w:val="bg-BG"/>
                              </w:rPr>
                              <w:t xml:space="preserve"> </w:t>
                            </w:r>
                            <w:r w:rsidR="00674851" w:rsidRPr="00674851">
                              <w:rPr>
                                <w:sz w:val="16"/>
                                <w:szCs w:val="16"/>
                                <w:lang w:val="bg-BG"/>
                              </w:rPr>
                              <w:t>г</w:t>
                            </w:r>
                            <w:r w:rsidR="00674851">
                              <w:rPr>
                                <w:sz w:val="16"/>
                                <w:szCs w:val="16"/>
                                <w:lang w:val="bg-BG"/>
                              </w:rPr>
                              <w:t>.</w:t>
                            </w:r>
                          </w:p>
                          <w:p w14:paraId="657ECCFC" w14:textId="77777777" w:rsidR="00195323" w:rsidRPr="00195323" w:rsidRDefault="00195323">
                            <w:pPr>
                              <w:pStyle w:val="Documentdataleadtext"/>
                              <w:rPr>
                                <w:sz w:val="16"/>
                                <w:szCs w:val="16"/>
                              </w:rPr>
                            </w:pPr>
                          </w:p>
                          <w:p w14:paraId="3AC711B8" w14:textId="6EEA25C3" w:rsidR="00195323" w:rsidRPr="00195323" w:rsidRDefault="00195323">
                            <w:pPr>
                              <w:pStyle w:val="Documentdatatext"/>
                              <w:rPr>
                                <w:sz w:val="16"/>
                                <w:szCs w:val="16"/>
                              </w:rPr>
                            </w:pPr>
                          </w:p>
                        </w:tc>
                      </w:tr>
                    </w:tbl>
                    <w:p w14:paraId="47780C12" w14:textId="77777777" w:rsidR="00195323" w:rsidRPr="00195323" w:rsidRDefault="00195323" w:rsidP="00195323">
                      <w:pPr>
                        <w:rPr>
                          <w:sz w:val="16"/>
                          <w:szCs w:val="16"/>
                        </w:rPr>
                      </w:pPr>
                    </w:p>
                  </w:txbxContent>
                </v:textbox>
                <w10:wrap anchorx="margin" anchory="margin"/>
                <w10:anchorlock/>
              </v:shape>
            </w:pict>
          </mc:Fallback>
        </mc:AlternateContent>
      </w:r>
    </w:p>
    <w:p w14:paraId="22ADA670" w14:textId="22BD41B4" w:rsidR="00885FE3" w:rsidRPr="007375EB" w:rsidRDefault="00885FE3" w:rsidP="00195323">
      <w:pPr>
        <w:spacing w:before="120" w:after="120" w:line="288" w:lineRule="auto"/>
        <w:jc w:val="both"/>
        <w:rPr>
          <w:rFonts w:cs="Times New Roman"/>
          <w:b/>
          <w:bCs/>
          <w:sz w:val="24"/>
          <w:szCs w:val="24"/>
          <w:lang w:val="bg-BG"/>
        </w:rPr>
      </w:pPr>
    </w:p>
    <w:p w14:paraId="401DA58C" w14:textId="77777777" w:rsidR="009925B3" w:rsidRPr="007375EB" w:rsidRDefault="003A18B2" w:rsidP="00F058AF">
      <w:pPr>
        <w:rPr>
          <w:lang w:val="bg-BG"/>
        </w:rPr>
        <w:sectPr w:rsidR="009925B3" w:rsidRPr="007375EB" w:rsidSect="00023D68">
          <w:headerReference w:type="default" r:id="rId13"/>
          <w:footerReference w:type="even" r:id="rId14"/>
          <w:footerReference w:type="default" r:id="rId15"/>
          <w:footerReference w:type="first" r:id="rId16"/>
          <w:pgSz w:w="11906" w:h="16838" w:code="9"/>
          <w:pgMar w:top="709" w:right="4451" w:bottom="1418" w:left="1191" w:header="947" w:footer="680" w:gutter="0"/>
          <w:cols w:space="708"/>
          <w:docGrid w:linePitch="360"/>
        </w:sectPr>
      </w:pPr>
      <w:bookmarkStart w:id="1" w:name="_Hlk511037276"/>
      <w:r w:rsidRPr="007375EB">
        <w:rPr>
          <w:noProof/>
          <w:lang w:val="bg-BG"/>
        </w:rPr>
        <mc:AlternateContent>
          <mc:Choice Requires="wps">
            <w:drawing>
              <wp:anchor distT="0" distB="0" distL="114300" distR="114300" simplePos="0" relativeHeight="251658245" behindDoc="0" locked="1" layoutInCell="1" allowOverlap="1" wp14:anchorId="5949BEFC" wp14:editId="57054DE9">
                <wp:simplePos x="0" y="0"/>
                <wp:positionH relativeFrom="page">
                  <wp:posOffset>358140</wp:posOffset>
                </wp:positionH>
                <wp:positionV relativeFrom="page">
                  <wp:align>bottom</wp:align>
                </wp:positionV>
                <wp:extent cx="4701540" cy="4403090"/>
                <wp:effectExtent l="0" t="0" r="3810" b="0"/>
                <wp:wrapNone/>
                <wp:docPr id="814525589" name="Text Box 8145255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701540" cy="4403090"/>
                        </a:xfrm>
                        <a:prstGeom prst="rect">
                          <a:avLst/>
                        </a:prstGeom>
                        <a:noFill/>
                        <a:ln w="6350">
                          <a:noFill/>
                        </a:ln>
                      </wps:spPr>
                      <wps:txbx>
                        <w:txbxContent>
                          <w:tbl>
                            <w:tblPr>
                              <w:tblStyle w:val="TableGrid"/>
                              <w:tblW w:w="74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7427"/>
                            </w:tblGrid>
                            <w:tr w:rsidR="00341BBB" w:rsidRPr="00674851" w14:paraId="119E4348" w14:textId="77777777" w:rsidTr="000E1AF6">
                              <w:trPr>
                                <w:trHeight w:val="4025"/>
                              </w:trPr>
                              <w:tc>
                                <w:tcPr>
                                  <w:tcW w:w="7427" w:type="dxa"/>
                                  <w:hideMark/>
                                </w:tcPr>
                                <w:bookmarkStart w:id="2" w:name="_Hlk145186197"/>
                                <w:bookmarkEnd w:id="2"/>
                                <w:p w14:paraId="58A97D68" w14:textId="4B4806FF" w:rsidR="00341BBB" w:rsidRPr="00674851" w:rsidRDefault="00000000" w:rsidP="000E1AF6">
                                  <w:pPr>
                                    <w:pStyle w:val="FrontpageHeading1"/>
                                    <w:rPr>
                                      <w:lang w:val="bg-BG"/>
                                    </w:rPr>
                                  </w:pPr>
                                  <w:sdt>
                                    <w:sdtPr>
                                      <w:rPr>
                                        <w:b/>
                                        <w:bCs/>
                                        <w:sz w:val="48"/>
                                        <w:szCs w:val="48"/>
                                        <w:lang w:val="bg-BG"/>
                                      </w:rPr>
                                      <w:alias w:val="Title"/>
                                      <w:id w:val="-214204952"/>
                                      <w:dataBinding w:prefixMappings="xmlns:ns0='http://purl.org/dc/elements/1.1/' xmlns:ns1='http://schemas.openxmlformats.org/package/2006/metadata/core-properties' " w:xpath="/ns1:coreProperties[1]/ns0:title[1]" w:storeItemID="{6C3C8BC8-F283-45AE-878A-BAB7291924A1}"/>
                                      <w:text/>
                                    </w:sdtPr>
                                    <w:sdtContent>
                                      <w:r w:rsidR="00674851" w:rsidRPr="00674851">
                                        <w:rPr>
                                          <w:b/>
                                          <w:bCs/>
                                          <w:sz w:val="48"/>
                                          <w:szCs w:val="48"/>
                                          <w:lang w:val="bg-BG"/>
                                        </w:rPr>
                                        <w:t>Доклад на околната среда</w:t>
                                      </w:r>
                                    </w:sdtContent>
                                  </w:sdt>
                                </w:p>
                                <w:p w14:paraId="0B392A6E" w14:textId="258A5B13" w:rsidR="00F70F3F" w:rsidRPr="00674851" w:rsidRDefault="00674851" w:rsidP="000E1AF6">
                                  <w:pPr>
                                    <w:pStyle w:val="FrontpageInfo"/>
                                    <w:rPr>
                                      <w:b/>
                                      <w:bCs/>
                                      <w:lang w:val="bg-BG"/>
                                    </w:rPr>
                                  </w:pPr>
                                  <w:r w:rsidRPr="00674851">
                                    <w:rPr>
                                      <w:b/>
                                      <w:bCs/>
                                      <w:lang w:val="bg-BG"/>
                                    </w:rPr>
                                    <w:t>Зонален градоустройствен план</w:t>
                                  </w:r>
                                </w:p>
                                <w:p w14:paraId="4BEDB8A6" w14:textId="77777777" w:rsidR="00F70F3F" w:rsidRPr="00674851" w:rsidRDefault="00F70F3F" w:rsidP="000E1AF6">
                                  <w:pPr>
                                    <w:pStyle w:val="FrontpageInfo"/>
                                    <w:rPr>
                                      <w:b/>
                                      <w:bCs/>
                                      <w:lang w:val="bg-BG"/>
                                    </w:rPr>
                                  </w:pPr>
                                </w:p>
                                <w:p w14:paraId="392B7C6D" w14:textId="55CFFA29" w:rsidR="00341BBB" w:rsidRPr="00674851" w:rsidRDefault="00674851" w:rsidP="00F756B3">
                                  <w:pPr>
                                    <w:pStyle w:val="FrontpageInfo"/>
                                    <w:ind w:left="142"/>
                                    <w:rPr>
                                      <w:i/>
                                      <w:iCs/>
                                      <w:lang w:val="bg-BG"/>
                                    </w:rPr>
                                  </w:pPr>
                                  <w:r w:rsidRPr="00674851">
                                    <w:rPr>
                                      <w:i/>
                                      <w:iCs/>
                                      <w:lang w:val="bg-BG"/>
                                    </w:rPr>
                                    <w:t>Парк за вятърна енергия 48 (46) Вятърни електроцентрали прибл. 316.8МВт (303.6МВт), Трансформаторни станции, Електрически мрежи, изграждане и модернизация на комуникационни и достъпни пътища</w:t>
                                  </w:r>
                                </w:p>
                                <w:p w14:paraId="454DAE1B" w14:textId="77777777" w:rsidR="00F756B3" w:rsidRPr="00674851" w:rsidRDefault="00F756B3" w:rsidP="00F756B3">
                                  <w:pPr>
                                    <w:pStyle w:val="FrontpageInfo"/>
                                    <w:ind w:left="142"/>
                                    <w:rPr>
                                      <w:lang w:val="bg-BG"/>
                                    </w:rPr>
                                  </w:pPr>
                                </w:p>
                                <w:p w14:paraId="23F1E300" w14:textId="77995562" w:rsidR="00F756B3" w:rsidRPr="00674851" w:rsidRDefault="00674851" w:rsidP="00F756B3">
                                  <w:pPr>
                                    <w:pStyle w:val="FrontpageInfo"/>
                                    <w:ind w:left="142"/>
                                    <w:rPr>
                                      <w:lang w:val="bg-BG"/>
                                    </w:rPr>
                                  </w:pPr>
                                  <w:r w:rsidRPr="00674851">
                                    <w:rPr>
                                      <w:lang w:val="bg-BG"/>
                                    </w:rPr>
                                    <w:t xml:space="preserve">Местност </w:t>
                                  </w:r>
                                  <w:r>
                                    <w:rPr>
                                      <w:lang w:val="bg-BG"/>
                                    </w:rPr>
                                    <w:t>Черкезу</w:t>
                                  </w:r>
                                  <w:r w:rsidRPr="00674851">
                                    <w:rPr>
                                      <w:lang w:val="bg-BG"/>
                                    </w:rPr>
                                    <w:t>, окръг Constanța</w:t>
                                  </w:r>
                                </w:p>
                              </w:tc>
                            </w:tr>
                          </w:tbl>
                          <w:p w14:paraId="7F87D12F" w14:textId="77777777" w:rsidR="00341BBB" w:rsidRPr="00674851" w:rsidRDefault="00341BBB" w:rsidP="00341BBB">
                            <w:pPr>
                              <w:spacing w:line="14" w:lineRule="exact"/>
                              <w:rPr>
                                <w:lang w:val="bg-BG"/>
                              </w:rPr>
                            </w:pPr>
                          </w:p>
                        </w:txbxContent>
                      </wps:txbx>
                      <wps:bodyPr rot="0" spcFirstLastPara="0" vertOverflow="overflow" horzOverflow="overflow" vert="horz" wrap="square" lIns="0" tIns="360000" rIns="0" bIns="720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49BEFC" id="Text Box 814525589" o:spid="_x0000_s1027" type="#_x0000_t202" style="position:absolute;margin-left:28.2pt;margin-top:0;width:370.2pt;height:346.7pt;z-index:251658245;visibility:visible;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" filled="f" stroked="f" strokeweight=".5pt">
                <v:textbox inset="0,10mm,0,20mm">
                  <w:txbxContent>
                    <w:tbl>
                      <w:tblPr>
                        <w:tblStyle w:val="TableGrid"/>
                        <w:tblW w:w="74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7427"/>
                      </w:tblGrid>
                      <w:tr w:rsidR="00341BBB" w:rsidRPr="00674851" w14:paraId="119E4348" w14:textId="77777777" w:rsidTr="000E1AF6">
                        <w:trPr>
                          <w:trHeight w:val="4025"/>
                        </w:trPr>
                        <w:tc>
                          <w:tcPr>
                            <w:tcW w:w="7427" w:type="dxa"/>
                            <w:hideMark/>
                          </w:tcPr>
                          <w:bookmarkStart w:id="3" w:name="_Hlk145186197"/>
                          <w:bookmarkEnd w:id="3"/>
                          <w:p w14:paraId="58A97D68" w14:textId="4B4806FF" w:rsidR="00341BBB" w:rsidRPr="00674851" w:rsidRDefault="00000000" w:rsidP="000E1AF6">
                            <w:pPr>
                              <w:pStyle w:val="FrontpageHeading1"/>
                              <w:rPr>
                                <w:lang w:val="bg-BG"/>
                              </w:rPr>
                            </w:pPr>
                            <w:sdt>
                              <w:sdtPr>
                                <w:rPr>
                                  <w:b/>
                                  <w:bCs/>
                                  <w:sz w:val="48"/>
                                  <w:szCs w:val="48"/>
                                  <w:lang w:val="bg-BG"/>
                                </w:rPr>
                                <w:alias w:val="Title"/>
                                <w:id w:val="-214204952"/>
                                <w:dataBinding w:prefixMappings="xmlns:ns0='http://purl.org/dc/elements/1.1/' xmlns:ns1='http://schemas.openxmlformats.org/package/2006/metadata/core-properties' " w:xpath="/ns1:coreProperties[1]/ns0:title[1]" w:storeItemID="{6C3C8BC8-F283-45AE-878A-BAB7291924A1}"/>
                                <w:text/>
                              </w:sdtPr>
                              <w:sdtContent>
                                <w:r w:rsidR="00674851" w:rsidRPr="00674851">
                                  <w:rPr>
                                    <w:b/>
                                    <w:bCs/>
                                    <w:sz w:val="48"/>
                                    <w:szCs w:val="48"/>
                                    <w:lang w:val="bg-BG"/>
                                  </w:rPr>
                                  <w:t>Доклад на околната среда</w:t>
                                </w:r>
                              </w:sdtContent>
                            </w:sdt>
                          </w:p>
                          <w:p w14:paraId="0B392A6E" w14:textId="258A5B13" w:rsidR="00F70F3F" w:rsidRPr="00674851" w:rsidRDefault="00674851" w:rsidP="000E1AF6">
                            <w:pPr>
                              <w:pStyle w:val="FrontpageInfo"/>
                              <w:rPr>
                                <w:b/>
                                <w:bCs/>
                                <w:lang w:val="bg-BG"/>
                              </w:rPr>
                            </w:pPr>
                            <w:r w:rsidRPr="00674851">
                              <w:rPr>
                                <w:b/>
                                <w:bCs/>
                                <w:lang w:val="bg-BG"/>
                              </w:rPr>
                              <w:t>Зонален градоустройствен план</w:t>
                            </w:r>
                          </w:p>
                          <w:p w14:paraId="4BEDB8A6" w14:textId="77777777" w:rsidR="00F70F3F" w:rsidRPr="00674851" w:rsidRDefault="00F70F3F" w:rsidP="000E1AF6">
                            <w:pPr>
                              <w:pStyle w:val="FrontpageInfo"/>
                              <w:rPr>
                                <w:b/>
                                <w:bCs/>
                                <w:lang w:val="bg-BG"/>
                              </w:rPr>
                            </w:pPr>
                          </w:p>
                          <w:p w14:paraId="392B7C6D" w14:textId="55CFFA29" w:rsidR="00341BBB" w:rsidRPr="00674851" w:rsidRDefault="00674851" w:rsidP="00F756B3">
                            <w:pPr>
                              <w:pStyle w:val="FrontpageInfo"/>
                              <w:ind w:left="142"/>
                              <w:rPr>
                                <w:i/>
                                <w:iCs/>
                                <w:lang w:val="bg-BG"/>
                              </w:rPr>
                            </w:pPr>
                            <w:r w:rsidRPr="00674851">
                              <w:rPr>
                                <w:i/>
                                <w:iCs/>
                                <w:lang w:val="bg-BG"/>
                              </w:rPr>
                              <w:t>Парк за вятърна енергия 48 (46) Вятърни електроцентрали прибл. 316.8МВт (303.6МВт), Трансформаторни станции, Електрически мрежи, изграждане и модернизация на комуникационни и достъпни пътища</w:t>
                            </w:r>
                          </w:p>
                          <w:p w14:paraId="454DAE1B" w14:textId="77777777" w:rsidR="00F756B3" w:rsidRPr="00674851" w:rsidRDefault="00F756B3" w:rsidP="00F756B3">
                            <w:pPr>
                              <w:pStyle w:val="FrontpageInfo"/>
                              <w:ind w:left="142"/>
                              <w:rPr>
                                <w:lang w:val="bg-BG"/>
                              </w:rPr>
                            </w:pPr>
                          </w:p>
                          <w:p w14:paraId="23F1E300" w14:textId="77995562" w:rsidR="00F756B3" w:rsidRPr="00674851" w:rsidRDefault="00674851" w:rsidP="00F756B3">
                            <w:pPr>
                              <w:pStyle w:val="FrontpageInfo"/>
                              <w:ind w:left="142"/>
                              <w:rPr>
                                <w:lang w:val="bg-BG"/>
                              </w:rPr>
                            </w:pPr>
                            <w:r w:rsidRPr="00674851">
                              <w:rPr>
                                <w:lang w:val="bg-BG"/>
                              </w:rPr>
                              <w:t xml:space="preserve">Местност </w:t>
                            </w:r>
                            <w:r>
                              <w:rPr>
                                <w:lang w:val="bg-BG"/>
                              </w:rPr>
                              <w:t>Черкезу</w:t>
                            </w:r>
                            <w:r w:rsidRPr="00674851">
                              <w:rPr>
                                <w:lang w:val="bg-BG"/>
                              </w:rPr>
                              <w:t>, окръг Constanța</w:t>
                            </w:r>
                          </w:p>
                        </w:tc>
                      </w:tr>
                    </w:tbl>
                    <w:p w14:paraId="7F87D12F" w14:textId="77777777" w:rsidR="00341BBB" w:rsidRPr="00674851" w:rsidRDefault="00341BBB" w:rsidP="00341BBB">
                      <w:pPr>
                        <w:spacing w:line="14" w:lineRule="exact"/>
                        <w:rPr>
                          <w:lang w:val="bg-BG"/>
                        </w:rPr>
                      </w:pPr>
                    </w:p>
                  </w:txbxContent>
                </v:textbox>
                <w10:wrap anchorx="page" anchory="page"/>
                <w10:anchorlock/>
              </v:shape>
            </w:pict>
          </mc:Fallback>
        </mc:AlternateContent>
      </w:r>
      <w:bookmarkEnd w:id="1"/>
    </w:p>
    <w:tbl>
      <w:tblPr>
        <w:tblStyle w:val="Blank"/>
        <w:tblpPr w:leftFromText="180" w:rightFromText="180" w:horzAnchor="margin" w:tblpY="3105"/>
        <w:tblW w:w="5782" w:type="dxa"/>
        <w:tblLayout w:type="fixed"/>
        <w:tblLook w:val="04A0" w:firstRow="1" w:lastRow="0" w:firstColumn="1" w:lastColumn="0" w:noHBand="0" w:noVBand="1"/>
      </w:tblPr>
      <w:tblGrid>
        <w:gridCol w:w="1418"/>
        <w:gridCol w:w="4364"/>
      </w:tblGrid>
      <w:tr w:rsidR="00C97818" w:rsidRPr="007375EB" w14:paraId="54C8A606" w14:textId="77777777" w:rsidTr="009623F8">
        <w:trPr>
          <w:trHeight w:val="227"/>
        </w:trPr>
        <w:tc>
          <w:tcPr>
            <w:tcW w:w="1418" w:type="dxa"/>
            <w:hideMark/>
          </w:tcPr>
          <w:p w14:paraId="0422FBE6" w14:textId="45F512E0" w:rsidR="007824E2" w:rsidRPr="007375EB" w:rsidRDefault="00B85E5A" w:rsidP="009623F8">
            <w:pPr>
              <w:pStyle w:val="DocumentInfo"/>
              <w:rPr>
                <w:lang w:val="bg-BG"/>
              </w:rPr>
            </w:pPr>
            <w:bookmarkStart w:id="4" w:name="_Hlk509401394"/>
            <w:r w:rsidRPr="007375EB">
              <w:rPr>
                <w:lang w:val="bg-BG"/>
              </w:rPr>
              <w:lastRenderedPageBreak/>
              <w:t>Вид на документа:</w:t>
            </w:r>
          </w:p>
        </w:tc>
        <w:tc>
          <w:tcPr>
            <w:tcW w:w="4364" w:type="dxa"/>
            <w:hideMark/>
          </w:tcPr>
          <w:p w14:paraId="4D26639F" w14:textId="6C84F0BF" w:rsidR="00C97818" w:rsidRPr="007375EB" w:rsidRDefault="00B85E5A" w:rsidP="009623F8">
            <w:pPr>
              <w:pStyle w:val="DocumentInfo-Bold"/>
              <w:rPr>
                <w:vanish/>
                <w:lang w:val="bg-BG"/>
              </w:rPr>
            </w:pPr>
            <w:r w:rsidRPr="007375EB">
              <w:rPr>
                <w:lang w:val="bg-BG"/>
              </w:rPr>
              <w:t>Доклад на околната среда</w:t>
            </w:r>
          </w:p>
        </w:tc>
      </w:tr>
      <w:tr w:rsidR="00C97818" w:rsidRPr="007375EB" w14:paraId="6048B675" w14:textId="77777777" w:rsidTr="009623F8">
        <w:trPr>
          <w:trHeight w:val="227"/>
        </w:trPr>
        <w:tc>
          <w:tcPr>
            <w:tcW w:w="1418" w:type="dxa"/>
            <w:hideMark/>
          </w:tcPr>
          <w:sdt>
            <w:sdtPr>
              <w:rPr>
                <w:lang w:val="bg-BG"/>
              </w:rPr>
              <w:alias w:val="ClientName"/>
              <w:tag w:val="{&quot;templafy&quot;:{&quot;id&quot;:&quot;ae1c22ed-79fe-4112-b333-51eab057600f&quot;}}"/>
              <w:id w:val="-1747559832"/>
              <w:placeholder>
                <w:docPart w:val="C515FB15AFF24EEC99057DA26BDAC242"/>
              </w:placeholder>
            </w:sdtPr>
            <w:sdtContent>
              <w:p w14:paraId="30961729" w14:textId="2669B6C4" w:rsidR="007824E2" w:rsidRPr="007375EB" w:rsidRDefault="00B85E5A" w:rsidP="009623F8">
                <w:pPr>
                  <w:pStyle w:val="DocumentInfo"/>
                  <w:rPr>
                    <w:lang w:val="bg-BG"/>
                  </w:rPr>
                </w:pPr>
                <w:r w:rsidRPr="007375EB">
                  <w:rPr>
                    <w:lang w:val="bg-BG"/>
                  </w:rPr>
                  <w:t>Поръчител</w:t>
                </w:r>
                <w:r w:rsidR="00D44AC7" w:rsidRPr="007375EB">
                  <w:rPr>
                    <w:lang w:val="bg-BG"/>
                  </w:rPr>
                  <w:t>:</w:t>
                </w:r>
              </w:p>
            </w:sdtContent>
          </w:sdt>
        </w:tc>
        <w:tc>
          <w:tcPr>
            <w:tcW w:w="4364" w:type="dxa"/>
            <w:hideMark/>
          </w:tcPr>
          <w:p w14:paraId="090357B7" w14:textId="5D3D3EB4" w:rsidR="00C97818" w:rsidRPr="007375EB" w:rsidRDefault="00194272" w:rsidP="009623F8">
            <w:pPr>
              <w:pStyle w:val="DocumentInfo-Bold"/>
              <w:rPr>
                <w:lang w:val="bg-BG"/>
              </w:rPr>
            </w:pPr>
            <w:r w:rsidRPr="007375EB">
              <w:rPr>
                <w:lang w:val="bg-BG"/>
              </w:rPr>
              <w:t>South Wind</w:t>
            </w:r>
            <w:r w:rsidR="00C86772" w:rsidRPr="007375EB">
              <w:rPr>
                <w:lang w:val="bg-BG"/>
              </w:rPr>
              <w:t xml:space="preserve"> SRL</w:t>
            </w:r>
          </w:p>
        </w:tc>
      </w:tr>
      <w:tr w:rsidR="00C97818" w:rsidRPr="007375EB" w14:paraId="57B47E38" w14:textId="77777777" w:rsidTr="009623F8">
        <w:trPr>
          <w:trHeight w:val="227"/>
        </w:trPr>
        <w:tc>
          <w:tcPr>
            <w:tcW w:w="1418" w:type="dxa"/>
          </w:tcPr>
          <w:sdt>
            <w:sdtPr>
              <w:rPr>
                <w:lang w:val="bg-BG"/>
              </w:rPr>
              <w:alias w:val="PreparedBy"/>
              <w:tag w:val="{&quot;templafy&quot;:{&quot;id&quot;:&quot;b4f85f3c-3af5-495d-860c-074fb28c2a49&quot;}}"/>
              <w:id w:val="815298682"/>
              <w:placeholder>
                <w:docPart w:val="EBA7E4CDF8524730BFCC4AD27B8A91B4"/>
              </w:placeholder>
            </w:sdtPr>
            <w:sdtContent>
              <w:p w14:paraId="190EDAE3" w14:textId="77777777" w:rsidR="006F19A2" w:rsidRPr="007375EB" w:rsidRDefault="006F19A2" w:rsidP="009623F8">
                <w:pPr>
                  <w:pStyle w:val="DocumentInfo"/>
                  <w:rPr>
                    <w:lang w:val="bg-BG"/>
                  </w:rPr>
                </w:pPr>
              </w:p>
              <w:p w14:paraId="535B98A5" w14:textId="059470FE" w:rsidR="007824E2" w:rsidRPr="007375EB" w:rsidRDefault="00B85E5A" w:rsidP="009623F8">
                <w:pPr>
                  <w:pStyle w:val="DocumentInfo"/>
                  <w:rPr>
                    <w:lang w:val="bg-BG"/>
                  </w:rPr>
                </w:pPr>
                <w:r w:rsidRPr="007375EB">
                  <w:rPr>
                    <w:lang w:val="bg-BG"/>
                  </w:rPr>
                  <w:t xml:space="preserve">Разработен </w:t>
                </w:r>
                <w:r w:rsidR="00F756B3" w:rsidRPr="007375EB">
                  <w:rPr>
                    <w:lang w:val="bg-BG"/>
                  </w:rPr>
                  <w:t>:</w:t>
                </w:r>
              </w:p>
              <w:p w14:paraId="040071AF" w14:textId="77777777" w:rsidR="00D44AC7" w:rsidRPr="007375EB" w:rsidRDefault="00D44AC7" w:rsidP="009623F8">
                <w:pPr>
                  <w:pStyle w:val="DocumentInfo"/>
                  <w:rPr>
                    <w:lang w:val="bg-BG"/>
                  </w:rPr>
                </w:pPr>
              </w:p>
              <w:p w14:paraId="0526C1E9" w14:textId="77777777" w:rsidR="00D44AC7" w:rsidRPr="007375EB" w:rsidRDefault="00D44AC7" w:rsidP="009623F8">
                <w:pPr>
                  <w:pStyle w:val="DocumentInfo"/>
                  <w:rPr>
                    <w:lang w:val="bg-BG"/>
                  </w:rPr>
                </w:pPr>
              </w:p>
              <w:p w14:paraId="312463CF" w14:textId="77777777" w:rsidR="00D44AC7" w:rsidRPr="007375EB" w:rsidRDefault="00D44AC7" w:rsidP="009623F8">
                <w:pPr>
                  <w:pStyle w:val="DocumentInfo"/>
                  <w:rPr>
                    <w:lang w:val="bg-BG"/>
                  </w:rPr>
                </w:pPr>
              </w:p>
              <w:p w14:paraId="4B9EBC5E" w14:textId="77777777" w:rsidR="00D44AC7" w:rsidRPr="007375EB" w:rsidRDefault="00D44AC7" w:rsidP="009623F8">
                <w:pPr>
                  <w:pStyle w:val="DocumentInfo"/>
                  <w:rPr>
                    <w:lang w:val="bg-BG"/>
                  </w:rPr>
                </w:pPr>
              </w:p>
              <w:p w14:paraId="46F49551" w14:textId="1E067038" w:rsidR="00D44AC7" w:rsidRPr="007375EB" w:rsidRDefault="00D44AC7" w:rsidP="009623F8">
                <w:pPr>
                  <w:pStyle w:val="DocumentInfo"/>
                  <w:rPr>
                    <w:lang w:val="bg-BG"/>
                  </w:rPr>
                </w:pPr>
              </w:p>
              <w:p w14:paraId="780BCBCA" w14:textId="7795EE1B" w:rsidR="004F0B20" w:rsidRPr="007375EB" w:rsidRDefault="004F0B20" w:rsidP="009623F8">
                <w:pPr>
                  <w:pStyle w:val="DocumentInfo"/>
                  <w:rPr>
                    <w:lang w:val="bg-BG"/>
                  </w:rPr>
                </w:pPr>
              </w:p>
              <w:p w14:paraId="2B48D13E" w14:textId="77777777" w:rsidR="00F70FDA" w:rsidRPr="007375EB" w:rsidRDefault="00F70FDA" w:rsidP="009623F8">
                <w:pPr>
                  <w:pStyle w:val="DocumentInfo"/>
                  <w:rPr>
                    <w:lang w:val="bg-BG"/>
                  </w:rPr>
                </w:pPr>
              </w:p>
              <w:p w14:paraId="4DDC6709" w14:textId="77777777" w:rsidR="004F0B20" w:rsidRPr="007375EB" w:rsidRDefault="004F0B20" w:rsidP="009623F8">
                <w:pPr>
                  <w:pStyle w:val="DocumentInfo"/>
                  <w:rPr>
                    <w:lang w:val="bg-BG"/>
                  </w:rPr>
                </w:pPr>
              </w:p>
              <w:p w14:paraId="697A19AB" w14:textId="5527D10C" w:rsidR="00D44AC7" w:rsidRPr="007375EB" w:rsidRDefault="00B85E5A" w:rsidP="009623F8">
                <w:pPr>
                  <w:pStyle w:val="DocumentInfo"/>
                  <w:rPr>
                    <w:lang w:val="bg-BG"/>
                  </w:rPr>
                </w:pPr>
                <w:r w:rsidRPr="007375EB">
                  <w:rPr>
                    <w:lang w:val="bg-BG"/>
                  </w:rPr>
                  <w:t>Земеделска дейност и специални вноски</w:t>
                </w:r>
                <w:r w:rsidR="000833D8" w:rsidRPr="007375EB">
                  <w:rPr>
                    <w:lang w:val="bg-BG"/>
                  </w:rPr>
                  <w:t>:</w:t>
                </w:r>
              </w:p>
              <w:p w14:paraId="608CA26F" w14:textId="1FBB24A9" w:rsidR="000833D8" w:rsidRPr="007375EB" w:rsidRDefault="00000000" w:rsidP="009623F8">
                <w:pPr>
                  <w:pStyle w:val="DocumentInfo"/>
                  <w:rPr>
                    <w:lang w:val="bg-BG"/>
                  </w:rPr>
                </w:pPr>
              </w:p>
            </w:sdtContent>
          </w:sdt>
        </w:tc>
        <w:tc>
          <w:tcPr>
            <w:tcW w:w="4364" w:type="dxa"/>
          </w:tcPr>
          <w:p w14:paraId="3433911F" w14:textId="6D22D0A2" w:rsidR="006F19A2" w:rsidRPr="007375EB" w:rsidRDefault="006F19A2" w:rsidP="009623F8">
            <w:pPr>
              <w:pStyle w:val="DocumentInfo-Bold"/>
              <w:rPr>
                <w:b w:val="0"/>
                <w:bCs/>
                <w:lang w:val="bg-BG"/>
              </w:rPr>
            </w:pPr>
          </w:p>
          <w:p w14:paraId="7DBFE7EF" w14:textId="2F7D6EF6" w:rsidR="00F70FDA" w:rsidRPr="007375EB" w:rsidRDefault="00B85E5A" w:rsidP="009623F8">
            <w:pPr>
              <w:pStyle w:val="DocumentInfo-Bold"/>
              <w:rPr>
                <w:b w:val="0"/>
                <w:bCs/>
                <w:lang w:val="bg-BG"/>
              </w:rPr>
            </w:pPr>
            <w:r w:rsidRPr="007375EB">
              <w:rPr>
                <w:b w:val="0"/>
                <w:bCs/>
                <w:lang w:val="bg-BG"/>
              </w:rPr>
              <w:t>Руксандра Флорентина Буга</w:t>
            </w:r>
          </w:p>
          <w:p w14:paraId="06BE9AF1" w14:textId="1646C6D9" w:rsidR="00194272" w:rsidRPr="007375EB" w:rsidRDefault="00B85E5A" w:rsidP="00285132">
            <w:pPr>
              <w:pStyle w:val="DocumentInfo-Bold"/>
              <w:tabs>
                <w:tab w:val="center" w:pos="2182"/>
              </w:tabs>
              <w:rPr>
                <w:b w:val="0"/>
                <w:bCs/>
                <w:lang w:val="bg-BG"/>
              </w:rPr>
            </w:pPr>
            <w:r w:rsidRPr="007375EB">
              <w:rPr>
                <w:b w:val="0"/>
                <w:bCs/>
                <w:lang w:val="bg-BG"/>
              </w:rPr>
              <w:t xml:space="preserve">Оана Фалуп </w:t>
            </w:r>
            <w:r w:rsidR="00285132" w:rsidRPr="007375EB">
              <w:rPr>
                <w:b w:val="0"/>
                <w:bCs/>
                <w:lang w:val="bg-BG"/>
              </w:rPr>
              <w:tab/>
            </w:r>
          </w:p>
          <w:p w14:paraId="1F22206C" w14:textId="1ECA758C" w:rsidR="00F70FDA" w:rsidRPr="007375EB" w:rsidRDefault="00F70FDA" w:rsidP="009623F8">
            <w:pPr>
              <w:pStyle w:val="DocumentInfo-Bold"/>
              <w:rPr>
                <w:b w:val="0"/>
                <w:bCs/>
                <w:lang w:val="bg-BG"/>
              </w:rPr>
            </w:pPr>
          </w:p>
          <w:p w14:paraId="1756894C" w14:textId="2074DA4A" w:rsidR="00011EFC" w:rsidRPr="007375EB" w:rsidRDefault="00011EFC" w:rsidP="009623F8">
            <w:pPr>
              <w:pStyle w:val="DocumentInfo-Bold"/>
              <w:rPr>
                <w:b w:val="0"/>
                <w:bCs/>
                <w:lang w:val="bg-BG"/>
              </w:rPr>
            </w:pPr>
          </w:p>
          <w:p w14:paraId="23B0C7EA" w14:textId="3BD44643" w:rsidR="00A02786" w:rsidRPr="007375EB" w:rsidRDefault="00B85E5A" w:rsidP="009623F8">
            <w:pPr>
              <w:pStyle w:val="DocumentInfo-Bold"/>
              <w:rPr>
                <w:b w:val="0"/>
                <w:bCs/>
                <w:lang w:val="bg-BG"/>
              </w:rPr>
            </w:pPr>
            <w:r w:rsidRPr="007375EB">
              <w:rPr>
                <w:b w:val="0"/>
                <w:bCs/>
                <w:lang w:val="bg-BG"/>
              </w:rPr>
              <w:t>Дан Джордже Константин</w:t>
            </w:r>
          </w:p>
          <w:p w14:paraId="50B10E7B" w14:textId="3385760D" w:rsidR="00D44AC7" w:rsidRPr="007375EB" w:rsidRDefault="00D44AC7" w:rsidP="009623F8">
            <w:pPr>
              <w:pStyle w:val="DocumentInfo-Bold"/>
              <w:rPr>
                <w:b w:val="0"/>
                <w:bCs/>
                <w:lang w:val="bg-BG"/>
              </w:rPr>
            </w:pPr>
          </w:p>
          <w:p w14:paraId="0E4066CD" w14:textId="12F1D910" w:rsidR="00011EFC" w:rsidRPr="007375EB" w:rsidRDefault="00B85E5A" w:rsidP="009623F8">
            <w:pPr>
              <w:pStyle w:val="DocumentInfo-Bold"/>
              <w:rPr>
                <w:b w:val="0"/>
                <w:bCs/>
                <w:lang w:val="bg-BG"/>
              </w:rPr>
            </w:pPr>
            <w:r w:rsidRPr="007375EB">
              <w:rPr>
                <w:b w:val="0"/>
                <w:bCs/>
                <w:lang w:val="bg-BG"/>
              </w:rPr>
              <w:t>Влад Дину</w:t>
            </w:r>
          </w:p>
        </w:tc>
      </w:tr>
      <w:tr w:rsidR="00C97818" w:rsidRPr="007375EB" w14:paraId="2F4050E8" w14:textId="77777777" w:rsidTr="009623F8">
        <w:trPr>
          <w:trHeight w:val="227"/>
        </w:trPr>
        <w:tc>
          <w:tcPr>
            <w:tcW w:w="1418" w:type="dxa"/>
          </w:tcPr>
          <w:sdt>
            <w:sdtPr>
              <w:rPr>
                <w:lang w:val="bg-BG"/>
              </w:rPr>
              <w:alias w:val="Checkedby"/>
              <w:tag w:val="{&quot;templafy&quot;:{&quot;id&quot;:&quot;ad8d420d-327e-46fa-b8a6-f8ee7472159a&quot;}}"/>
              <w:id w:val="1860391815"/>
              <w:placeholder>
                <w:docPart w:val="9A116765D7EE4555BBA93173B2D4BDBE"/>
              </w:placeholder>
            </w:sdtPr>
            <w:sdtContent>
              <w:p w14:paraId="425B0994" w14:textId="7F4D5378" w:rsidR="007824E2" w:rsidRPr="007375EB" w:rsidRDefault="00B85E5A" w:rsidP="009623F8">
                <w:pPr>
                  <w:pStyle w:val="DocumentInfo"/>
                  <w:rPr>
                    <w:lang w:val="bg-BG"/>
                  </w:rPr>
                </w:pPr>
                <w:r w:rsidRPr="007375EB">
                  <w:rPr>
                    <w:lang w:val="bg-BG"/>
                  </w:rPr>
                  <w:t xml:space="preserve">Проверено </w:t>
                </w:r>
                <w:r w:rsidR="00F756B3" w:rsidRPr="007375EB">
                  <w:rPr>
                    <w:lang w:val="bg-BG"/>
                  </w:rPr>
                  <w:t>:</w:t>
                </w:r>
              </w:p>
            </w:sdtContent>
          </w:sdt>
        </w:tc>
        <w:tc>
          <w:tcPr>
            <w:tcW w:w="4364" w:type="dxa"/>
          </w:tcPr>
          <w:p w14:paraId="6A1A9521" w14:textId="4433EBE7" w:rsidR="00011EFC" w:rsidRPr="007375EB" w:rsidRDefault="00B85E5A" w:rsidP="009623F8">
            <w:pPr>
              <w:pStyle w:val="DocumentInfo-Bold"/>
              <w:rPr>
                <w:b w:val="0"/>
                <w:bCs/>
                <w:lang w:val="bg-BG"/>
              </w:rPr>
            </w:pPr>
            <w:r w:rsidRPr="007375EB">
              <w:rPr>
                <w:b w:val="0"/>
                <w:bCs/>
                <w:lang w:val="bg-BG"/>
              </w:rPr>
              <w:t>Габриела Мушат</w:t>
            </w:r>
          </w:p>
          <w:p w14:paraId="3BD3737B" w14:textId="77777777" w:rsidR="00B85E5A" w:rsidRPr="007375EB" w:rsidRDefault="00B85E5A" w:rsidP="009623F8">
            <w:pPr>
              <w:pStyle w:val="DocumentInfo-Bold"/>
              <w:rPr>
                <w:b w:val="0"/>
                <w:bCs/>
                <w:lang w:val="bg-BG"/>
              </w:rPr>
            </w:pPr>
          </w:p>
          <w:p w14:paraId="398B476F" w14:textId="05695107" w:rsidR="00011EFC" w:rsidRPr="007375EB" w:rsidRDefault="00011EFC" w:rsidP="009623F8">
            <w:pPr>
              <w:pStyle w:val="DocumentInfo-Bold"/>
              <w:rPr>
                <w:b w:val="0"/>
                <w:bCs/>
                <w:lang w:val="bg-BG"/>
              </w:rPr>
            </w:pPr>
          </w:p>
        </w:tc>
      </w:tr>
      <w:tr w:rsidR="00C97818" w:rsidRPr="007375EB" w14:paraId="466629C8" w14:textId="77777777" w:rsidTr="009623F8">
        <w:trPr>
          <w:trHeight w:val="227"/>
        </w:trPr>
        <w:tc>
          <w:tcPr>
            <w:tcW w:w="1418" w:type="dxa"/>
          </w:tcPr>
          <w:sdt>
            <w:sdtPr>
              <w:rPr>
                <w:lang w:val="bg-BG"/>
              </w:rPr>
              <w:alias w:val="Approvedby"/>
              <w:tag w:val="{&quot;templafy&quot;:{&quot;id&quot;:&quot;59aef761-0c79-4abf-b7d9-d036e47d599b&quot;}}"/>
              <w:id w:val="1404872973"/>
              <w:placeholder>
                <w:docPart w:val="3DA21C0CCA27402882874DBDB8B6276A"/>
              </w:placeholder>
            </w:sdtPr>
            <w:sdtContent>
              <w:p w14:paraId="516C971E" w14:textId="3687A86C" w:rsidR="007824E2" w:rsidRPr="007375EB" w:rsidRDefault="00267C49" w:rsidP="009623F8">
                <w:pPr>
                  <w:pStyle w:val="DocumentInfo"/>
                  <w:rPr>
                    <w:lang w:val="bg-BG"/>
                  </w:rPr>
                </w:pPr>
                <w:r w:rsidRPr="007375EB">
                  <w:rPr>
                    <w:lang w:val="bg-BG"/>
                  </w:rPr>
                  <w:t xml:space="preserve">Одобрено </w:t>
                </w:r>
              </w:p>
            </w:sdtContent>
          </w:sdt>
        </w:tc>
        <w:tc>
          <w:tcPr>
            <w:tcW w:w="4364" w:type="dxa"/>
          </w:tcPr>
          <w:p w14:paraId="711B5994" w14:textId="657AEC70" w:rsidR="00C97818" w:rsidRPr="007375EB" w:rsidRDefault="00B85E5A" w:rsidP="009623F8">
            <w:pPr>
              <w:pStyle w:val="DocumentInfo-Bold"/>
              <w:rPr>
                <w:b w:val="0"/>
                <w:bCs/>
                <w:lang w:val="bg-BG"/>
              </w:rPr>
            </w:pPr>
            <w:r w:rsidRPr="007375EB">
              <w:rPr>
                <w:b w:val="0"/>
                <w:bCs/>
                <w:lang w:val="bg-BG"/>
              </w:rPr>
              <w:t>Илеана Фалческу</w:t>
            </w:r>
          </w:p>
          <w:p w14:paraId="767C615E" w14:textId="77777777" w:rsidR="00011EFC" w:rsidRPr="007375EB" w:rsidRDefault="00011EFC" w:rsidP="009623F8">
            <w:pPr>
              <w:pStyle w:val="DocumentInfo-Bold"/>
              <w:rPr>
                <w:b w:val="0"/>
                <w:bCs/>
                <w:lang w:val="bg-BG"/>
              </w:rPr>
            </w:pPr>
          </w:p>
          <w:p w14:paraId="4DEE34A3" w14:textId="70E75A34" w:rsidR="00011EFC" w:rsidRPr="007375EB" w:rsidRDefault="00011EFC" w:rsidP="009623F8">
            <w:pPr>
              <w:pStyle w:val="DocumentInfo-Bold"/>
              <w:rPr>
                <w:b w:val="0"/>
                <w:bCs/>
                <w:lang w:val="bg-BG"/>
              </w:rPr>
            </w:pPr>
          </w:p>
        </w:tc>
      </w:tr>
      <w:tr w:rsidR="00C97818" w:rsidRPr="007375EB" w14:paraId="7447AF6C" w14:textId="77777777" w:rsidTr="009623F8">
        <w:trPr>
          <w:trHeight w:val="227"/>
        </w:trPr>
        <w:tc>
          <w:tcPr>
            <w:tcW w:w="1418" w:type="dxa"/>
          </w:tcPr>
          <w:sdt>
            <w:sdtPr>
              <w:rPr>
                <w:lang w:val="bg-BG"/>
              </w:rPr>
              <w:alias w:val="TypeOfProposal"/>
              <w:tag w:val="{&quot;templafy&quot;:{&quot;id&quot;:&quot;02d7777f-38d3-450c-8986-f35f8c9dd3b4&quot;}}"/>
              <w:id w:val="579253502"/>
              <w:placeholder>
                <w:docPart w:val="D5E617096B93426CADCC46F0C0AF0343"/>
              </w:placeholder>
            </w:sdtPr>
            <w:sdtContent>
              <w:p w14:paraId="585DABF5" w14:textId="37CD6F63" w:rsidR="007824E2" w:rsidRPr="007375EB" w:rsidRDefault="00B85E5A" w:rsidP="009623F8">
                <w:pPr>
                  <w:pStyle w:val="DocumentInfo"/>
                  <w:rPr>
                    <w:lang w:val="bg-BG"/>
                  </w:rPr>
                </w:pPr>
                <w:r w:rsidRPr="007375EB">
                  <w:rPr>
                    <w:lang w:val="bg-BG"/>
                  </w:rPr>
                  <w:t>Наименование на проекта</w:t>
                </w:r>
                <w:r w:rsidR="00F756B3" w:rsidRPr="007375EB">
                  <w:rPr>
                    <w:lang w:val="bg-BG"/>
                  </w:rPr>
                  <w:t>:</w:t>
                </w:r>
              </w:p>
            </w:sdtContent>
          </w:sdt>
        </w:tc>
        <w:tc>
          <w:tcPr>
            <w:tcW w:w="4364" w:type="dxa"/>
          </w:tcPr>
          <w:p w14:paraId="1C9AA8BA" w14:textId="2B230001" w:rsidR="00C97818" w:rsidRPr="007375EB" w:rsidRDefault="00000000" w:rsidP="009623F8">
            <w:pPr>
              <w:pStyle w:val="DocumentInfo-Bold"/>
              <w:rPr>
                <w:lang w:val="bg-BG"/>
              </w:rPr>
            </w:pPr>
            <w:sdt>
              <w:sdtPr>
                <w:rPr>
                  <w:b w:val="0"/>
                  <w:bCs/>
                  <w:i/>
                  <w:iCs/>
                  <w:lang w:val="bg-BG"/>
                </w:rPr>
                <w:alias w:val="Category"/>
                <w:id w:val="-41909238"/>
                <w:placeholder>
                  <w:docPart w:val="F3A82107E40E417FB23AF032EEBC7402"/>
                </w:placeholder>
                <w:dataBinding w:prefixMappings="xmlns:ns0='http://purl.org/dc/elements/1.1/' xmlns:ns1='http://schemas.openxmlformats.org/package/2006/metadata/core-properties' " w:xpath="/ns1:coreProperties[1]/ns1:category[1]" w:storeItemID="{6C3C8BC8-F283-45AE-878A-BAB7291924A1}"/>
                <w:text/>
              </w:sdtPr>
              <w:sdtContent>
                <w:r w:rsidR="00674851" w:rsidRPr="007375EB">
                  <w:rPr>
                    <w:b w:val="0"/>
                    <w:bCs/>
                    <w:i/>
                    <w:iCs/>
                    <w:lang w:val="bg-BG"/>
                  </w:rPr>
                  <w:t>Парк за вятърна енергия 48 (46) Вятърни електроцентрали прибл. 316.8МВт (303.6МВт), Трансформаторни станции, Електрически мрежи, изграждане и модернизация на комуникационни и достъпни пътища</w:t>
                </w:r>
              </w:sdtContent>
            </w:sdt>
          </w:p>
        </w:tc>
      </w:tr>
      <w:tr w:rsidR="006F19A2" w:rsidRPr="007375EB" w14:paraId="38D6D866" w14:textId="77777777" w:rsidTr="009623F8">
        <w:trPr>
          <w:trHeight w:val="227"/>
        </w:trPr>
        <w:tc>
          <w:tcPr>
            <w:tcW w:w="1418" w:type="dxa"/>
          </w:tcPr>
          <w:p w14:paraId="7D0B1473" w14:textId="77777777" w:rsidR="006F19A2" w:rsidRPr="007375EB" w:rsidRDefault="006F19A2" w:rsidP="009623F8">
            <w:pPr>
              <w:pStyle w:val="DocumentInfo"/>
              <w:rPr>
                <w:lang w:val="bg-BG"/>
              </w:rPr>
            </w:pPr>
          </w:p>
        </w:tc>
        <w:tc>
          <w:tcPr>
            <w:tcW w:w="4364" w:type="dxa"/>
          </w:tcPr>
          <w:p w14:paraId="2D1C7C3C" w14:textId="6F409EFF" w:rsidR="006F19A2" w:rsidRPr="007375EB" w:rsidRDefault="006F19A2" w:rsidP="009623F8">
            <w:pPr>
              <w:pStyle w:val="DocumentInfo-Bold"/>
              <w:rPr>
                <w:b w:val="0"/>
                <w:bCs/>
                <w:i/>
                <w:iCs/>
                <w:lang w:val="bg-BG"/>
              </w:rPr>
            </w:pPr>
          </w:p>
        </w:tc>
      </w:tr>
      <w:tr w:rsidR="00C97818" w:rsidRPr="007375EB" w14:paraId="68B399CD" w14:textId="77777777" w:rsidTr="009623F8">
        <w:trPr>
          <w:trHeight w:val="227"/>
        </w:trPr>
        <w:tc>
          <w:tcPr>
            <w:tcW w:w="1418" w:type="dxa"/>
            <w:hideMark/>
          </w:tcPr>
          <w:sdt>
            <w:sdtPr>
              <w:rPr>
                <w:lang w:val="bg-BG"/>
              </w:rPr>
              <w:alias w:val="Date"/>
              <w:tag w:val="{&quot;templafy&quot;:{&quot;id&quot;:&quot;de5609f0-126d-4bcc-bc46-d4917f1edbb8&quot;}}"/>
              <w:id w:val="173313650"/>
              <w:placeholder>
                <w:docPart w:val="42ABEA506D1B4DF9B3CE8A22316916E9"/>
              </w:placeholder>
            </w:sdtPr>
            <w:sdtContent>
              <w:p w14:paraId="7D21C9DA" w14:textId="16F9449E" w:rsidR="007824E2" w:rsidRPr="007375EB" w:rsidRDefault="00B85E5A" w:rsidP="009623F8">
                <w:pPr>
                  <w:pStyle w:val="DocumentInfo"/>
                  <w:rPr>
                    <w:lang w:val="bg-BG"/>
                  </w:rPr>
                </w:pPr>
                <w:r w:rsidRPr="007375EB">
                  <w:rPr>
                    <w:lang w:val="bg-BG"/>
                  </w:rPr>
                  <w:t>Дата</w:t>
                </w:r>
              </w:p>
            </w:sdtContent>
          </w:sdt>
        </w:tc>
        <w:tc>
          <w:tcPr>
            <w:tcW w:w="4364" w:type="dxa"/>
            <w:hideMark/>
          </w:tcPr>
          <w:p w14:paraId="1449A7B5" w14:textId="364C6E7A" w:rsidR="00C97818" w:rsidRPr="007375EB" w:rsidRDefault="00E965E1" w:rsidP="009623F8">
            <w:pPr>
              <w:pStyle w:val="DocumentInfo-Bold"/>
              <w:rPr>
                <w:sz w:val="18"/>
                <w:lang w:val="bg-BG"/>
              </w:rPr>
            </w:pPr>
            <w:r w:rsidRPr="00E965E1">
              <w:rPr>
                <w:color w:val="00B050"/>
                <w:lang w:val="bg-BG"/>
              </w:rPr>
              <w:t xml:space="preserve">Август </w:t>
            </w:r>
            <w:r w:rsidR="00015438" w:rsidRPr="00015438">
              <w:rPr>
                <w:color w:val="00B050"/>
              </w:rPr>
              <w:t xml:space="preserve"> </w:t>
            </w:r>
            <w:r w:rsidR="00B85E5A" w:rsidRPr="007375EB">
              <w:rPr>
                <w:lang w:val="bg-BG"/>
              </w:rPr>
              <w:t>202</w:t>
            </w:r>
            <w:r w:rsidR="002F7035">
              <w:rPr>
                <w:lang w:val="en-US"/>
              </w:rPr>
              <w:t>5</w:t>
            </w:r>
            <w:r w:rsidR="00B85E5A" w:rsidRPr="007375EB">
              <w:rPr>
                <w:lang w:val="bg-BG"/>
              </w:rPr>
              <w:t xml:space="preserve"> г.</w:t>
            </w:r>
          </w:p>
        </w:tc>
      </w:tr>
      <w:tr w:rsidR="00C97818" w:rsidRPr="007375EB" w14:paraId="28A1155F" w14:textId="77777777" w:rsidTr="009623F8">
        <w:trPr>
          <w:trHeight w:val="227"/>
        </w:trPr>
        <w:tc>
          <w:tcPr>
            <w:tcW w:w="1418" w:type="dxa"/>
            <w:hideMark/>
          </w:tcPr>
          <w:p w14:paraId="4D203F83" w14:textId="0ECD2627" w:rsidR="007824E2" w:rsidRPr="007375EB" w:rsidRDefault="007824E2" w:rsidP="009623F8">
            <w:pPr>
              <w:pStyle w:val="DocumentInfo"/>
              <w:rPr>
                <w:lang w:val="bg-BG"/>
              </w:rPr>
            </w:pPr>
          </w:p>
        </w:tc>
        <w:tc>
          <w:tcPr>
            <w:tcW w:w="4364" w:type="dxa"/>
            <w:hideMark/>
          </w:tcPr>
          <w:p w14:paraId="69316FF6" w14:textId="42E6BCA0" w:rsidR="00C97818" w:rsidRPr="007375EB" w:rsidRDefault="00C97818" w:rsidP="009623F8">
            <w:pPr>
              <w:pStyle w:val="DocumentInfo-Bold"/>
              <w:rPr>
                <w:lang w:val="bg-BG"/>
              </w:rPr>
            </w:pPr>
          </w:p>
        </w:tc>
      </w:tr>
      <w:bookmarkEnd w:id="4"/>
    </w:tbl>
    <w:p w14:paraId="4BA65106" w14:textId="075AE70F" w:rsidR="00BF576B" w:rsidRPr="007375EB" w:rsidRDefault="00BF576B" w:rsidP="000E1190">
      <w:pPr>
        <w:rPr>
          <w:lang w:val="bg-BG"/>
        </w:rPr>
        <w:sectPr w:rsidR="00BF576B" w:rsidRPr="007375EB" w:rsidSect="00023D68">
          <w:headerReference w:type="default" r:id="rId17"/>
          <w:footerReference w:type="even" r:id="rId18"/>
          <w:footerReference w:type="default" r:id="rId19"/>
          <w:footerReference w:type="first" r:id="rId20"/>
          <w:pgSz w:w="11906" w:h="16838" w:code="9"/>
          <w:pgMar w:top="2398" w:right="4451" w:bottom="1418" w:left="1191" w:header="839" w:footer="680" w:gutter="0"/>
          <w:cols w:space="708"/>
          <w:docGrid w:linePitch="360"/>
        </w:sectPr>
      </w:pPr>
    </w:p>
    <w:p w14:paraId="2F2B0E4C" w14:textId="4CAE7FB9" w:rsidR="006E24D5" w:rsidRPr="007375EB" w:rsidRDefault="00FB51C7" w:rsidP="006E24D5">
      <w:pPr>
        <w:rPr>
          <w:color w:val="009DF0" w:themeColor="text2"/>
          <w:lang w:val="bg-BG"/>
        </w:rPr>
      </w:pPr>
      <w:r w:rsidRPr="007375EB">
        <w:rPr>
          <w:rFonts w:eastAsia="Times New Roman" w:cs="Calibri"/>
          <w:noProof/>
          <w:color w:val="444444"/>
          <w:sz w:val="16"/>
          <w:szCs w:val="16"/>
          <w:lang w:val="bg-BG" w:eastAsia="en-GB"/>
        </w:rPr>
        <w:lastRenderedPageBreak/>
        <w:drawing>
          <wp:anchor distT="0" distB="0" distL="114300" distR="114300" simplePos="0" relativeHeight="251658241" behindDoc="0" locked="0" layoutInCell="1" allowOverlap="1" wp14:anchorId="3FDF0ACC" wp14:editId="541DA9F8">
            <wp:simplePos x="0" y="0"/>
            <wp:positionH relativeFrom="column">
              <wp:posOffset>2870654</wp:posOffset>
            </wp:positionH>
            <wp:positionV relativeFrom="paragraph">
              <wp:posOffset>-1704340</wp:posOffset>
            </wp:positionV>
            <wp:extent cx="6695440" cy="12144375"/>
            <wp:effectExtent l="0" t="0" r="0" b="952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a:extLst>
                        <a:ext uri="{28A0092B-C50C-407E-A947-70E740481C1C}">
                          <a14:useLocalDpi xmlns:a14="http://schemas.microsoft.com/office/drawing/2010/main" val="0"/>
                        </a:ext>
                      </a:extLst>
                    </a:blip>
                    <a:srcRect r="17317"/>
                    <a:stretch/>
                  </pic:blipFill>
                  <pic:spPr bwMode="auto">
                    <a:xfrm>
                      <a:off x="0" y="0"/>
                      <a:ext cx="6695440" cy="121443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A18B2" w:rsidRPr="007375EB">
        <w:rPr>
          <w:noProof/>
          <w:lang w:val="bg-BG"/>
        </w:rPr>
        <mc:AlternateContent>
          <mc:Choice Requires="wps">
            <w:drawing>
              <wp:anchor distT="0" distB="0" distL="114300" distR="114300" simplePos="0" relativeHeight="251658253" behindDoc="0" locked="0" layoutInCell="1" allowOverlap="1" wp14:anchorId="3077DC61" wp14:editId="2142EFE5">
                <wp:simplePos x="0" y="0"/>
                <wp:positionH relativeFrom="column">
                  <wp:posOffset>5588000</wp:posOffset>
                </wp:positionH>
                <wp:positionV relativeFrom="paragraph">
                  <wp:posOffset>-915670</wp:posOffset>
                </wp:positionV>
                <wp:extent cx="847090" cy="9391650"/>
                <wp:effectExtent l="0" t="0" r="0" b="0"/>
                <wp:wrapNone/>
                <wp:docPr id="814525588" name="Text Box 8145255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47090" cy="9391650"/>
                        </a:xfrm>
                        <a:prstGeom prst="rect">
                          <a:avLst/>
                        </a:prstGeom>
                        <a:noFill/>
                        <a:ln w="6350">
                          <a:noFill/>
                        </a:ln>
                      </wps:spPr>
                      <wps:txbx>
                        <w:txbxContent>
                          <w:p w14:paraId="63F19D98" w14:textId="73ADB04F" w:rsidR="00236BD1" w:rsidRPr="00724444" w:rsidRDefault="00674851" w:rsidP="00236BD1">
                            <w:pPr>
                              <w:jc w:val="center"/>
                              <w:rPr>
                                <w:b/>
                                <w:bCs/>
                                <w:color w:val="FFFFFF" w:themeColor="background1"/>
                                <w:sz w:val="60"/>
                                <w:szCs w:val="60"/>
                              </w:rPr>
                            </w:pPr>
                            <w:r w:rsidRPr="00674851">
                              <w:rPr>
                                <w:b/>
                                <w:bCs/>
                                <w:color w:val="FFFFFF" w:themeColor="background1"/>
                                <w:sz w:val="60"/>
                                <w:szCs w:val="60"/>
                              </w:rPr>
                              <w:t>СЪДЪРЖАНИЕ</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77DC61" id="Text Box 814525588" o:spid="_x0000_s1028" type="#_x0000_t202" style="position:absolute;margin-left:440pt;margin-top:-72.1pt;width:66.7pt;height:739.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" filled="f" stroked="f" strokeweight=".5pt">
                <v:textbox style="layout-flow:vertical">
                  <w:txbxContent>
                    <w:p w14:paraId="63F19D98" w14:textId="73ADB04F" w:rsidR="00236BD1" w:rsidRPr="00724444" w:rsidRDefault="00674851" w:rsidP="00236BD1">
                      <w:pPr>
                        <w:jc w:val="center"/>
                        <w:rPr>
                          <w:b/>
                          <w:bCs/>
                          <w:color w:val="FFFFFF" w:themeColor="background1"/>
                          <w:sz w:val="60"/>
                          <w:szCs w:val="60"/>
                        </w:rPr>
                      </w:pPr>
                      <w:r w:rsidRPr="00674851">
                        <w:rPr>
                          <w:b/>
                          <w:bCs/>
                          <w:color w:val="FFFFFF" w:themeColor="background1"/>
                          <w:sz w:val="60"/>
                          <w:szCs w:val="60"/>
                        </w:rPr>
                        <w:t>СЪДЪРЖАНИЕ</w:t>
                      </w:r>
                    </w:p>
                  </w:txbxContent>
                </v:textbox>
              </v:shape>
            </w:pict>
          </mc:Fallback>
        </mc:AlternateContent>
      </w:r>
    </w:p>
    <w:p w14:paraId="20056FFC" w14:textId="1DCEDB51" w:rsidR="00845BCE" w:rsidRPr="007375EB" w:rsidRDefault="00674851">
      <w:pPr>
        <w:rPr>
          <w:b/>
          <w:color w:val="009DF0" w:themeColor="text2"/>
          <w:sz w:val="32"/>
          <w:szCs w:val="32"/>
          <w:lang w:val="bg-BG"/>
        </w:rPr>
      </w:pPr>
      <w:r w:rsidRPr="007375EB">
        <w:rPr>
          <w:b/>
          <w:color w:val="009DF0" w:themeColor="text2"/>
          <w:sz w:val="32"/>
          <w:szCs w:val="32"/>
          <w:lang w:val="bg-BG"/>
        </w:rPr>
        <w:t>Доклад на околната среда</w:t>
      </w:r>
    </w:p>
    <w:p w14:paraId="74876F50" w14:textId="77777777" w:rsidR="00883EF0" w:rsidRPr="007375EB" w:rsidRDefault="00883EF0">
      <w:pPr>
        <w:rPr>
          <w:color w:val="009DF0" w:themeColor="text2"/>
          <w:sz w:val="32"/>
          <w:szCs w:val="32"/>
          <w:lang w:val="bg-BG"/>
        </w:rPr>
      </w:pPr>
    </w:p>
    <w:p w14:paraId="1BE7F420" w14:textId="77777777" w:rsidR="00D81A95" w:rsidRPr="007375EB" w:rsidRDefault="00D81A95">
      <w:pPr>
        <w:rPr>
          <w:color w:val="009DF0" w:themeColor="text2"/>
          <w:lang w:val="bg-BG"/>
        </w:rPr>
      </w:pPr>
    </w:p>
    <w:p w14:paraId="24EB4034" w14:textId="568632CF" w:rsidR="00D81A95" w:rsidRPr="007375EB" w:rsidRDefault="00000000">
      <w:pPr>
        <w:rPr>
          <w:lang w:val="bg-BG"/>
        </w:rPr>
        <w:sectPr w:rsidR="00D81A95" w:rsidRPr="007375EB" w:rsidSect="00023D68">
          <w:headerReference w:type="default" r:id="rId22"/>
          <w:footerReference w:type="even" r:id="rId23"/>
          <w:footerReference w:type="default" r:id="rId24"/>
          <w:footerReference w:type="first" r:id="rId25"/>
          <w:pgSz w:w="11906" w:h="16838" w:code="9"/>
          <w:pgMar w:top="2013" w:right="6519" w:bottom="1418" w:left="1191" w:header="839" w:footer="680" w:gutter="0"/>
          <w:pgNumType w:start="1"/>
          <w:cols w:space="708"/>
          <w:docGrid w:linePitch="360"/>
        </w:sectPr>
      </w:pPr>
      <w:sdt>
        <w:sdtPr>
          <w:rPr>
            <w:b/>
            <w:bCs/>
            <w:i/>
            <w:iCs/>
            <w:lang w:val="bg-BG"/>
          </w:rPr>
          <w:alias w:val="Category"/>
          <w:id w:val="1626193872"/>
          <w:placeholder>
            <w:docPart w:val="9B656064AECB4A358BB8FEE3207C0505"/>
          </w:placeholder>
          <w:dataBinding w:prefixMappings="xmlns:ns0='http://purl.org/dc/elements/1.1/' xmlns:ns1='http://schemas.openxmlformats.org/package/2006/metadata/core-properties' " w:xpath="/ns1:coreProperties[1]/ns1:category[1]" w:storeItemID="{6C3C8BC8-F283-45AE-878A-BAB7291924A1}"/>
          <w:text/>
        </w:sdtPr>
        <w:sdtContent>
          <w:r w:rsidR="00674851" w:rsidRPr="007375EB">
            <w:rPr>
              <w:b/>
              <w:bCs/>
              <w:i/>
              <w:iCs/>
              <w:lang w:val="bg-BG"/>
            </w:rPr>
            <w:t>Парк за вятърна енергия 48 (46) Вятърни електроцентрали прибл. 316.8МВт (303.6МВт), Трансформаторни станции, Електрически мрежи, изграждане и модернизация на комуникационни и достъпни пътища</w:t>
          </w:r>
        </w:sdtContent>
      </w:sdt>
    </w:p>
    <w:p w14:paraId="32998BBE" w14:textId="77777777" w:rsidR="00033E70" w:rsidRPr="007375EB" w:rsidRDefault="003A18B2" w:rsidP="00033E70">
      <w:pPr>
        <w:pStyle w:val="TOC1"/>
        <w:spacing w:before="260" w:after="0"/>
        <w:ind w:right="-57"/>
        <w:jc w:val="both"/>
        <w:rPr>
          <w:noProof/>
          <w:lang w:val="bg-BG"/>
        </w:rPr>
      </w:pPr>
      <w:r w:rsidRPr="007375EB">
        <w:rPr>
          <w:b w:val="0"/>
          <w:bCs w:val="0"/>
          <w:noProof/>
          <w:color w:val="FFFFFF" w:themeColor="background1"/>
          <w:sz w:val="18"/>
          <w:szCs w:val="18"/>
          <w:lang w:val="bg-BG"/>
        </w:rPr>
        <w:lastRenderedPageBreak/>
        <mc:AlternateContent>
          <mc:Choice Requires="wps">
            <w:drawing>
              <wp:anchor distT="0" distB="0" distL="114300" distR="114300" simplePos="0" relativeHeight="251658244" behindDoc="1" locked="0" layoutInCell="1" allowOverlap="1" wp14:anchorId="1B707BA2" wp14:editId="7FF07DE0">
                <wp:simplePos x="0" y="0"/>
                <wp:positionH relativeFrom="column">
                  <wp:posOffset>-739775</wp:posOffset>
                </wp:positionH>
                <wp:positionV relativeFrom="paragraph">
                  <wp:posOffset>-1238885</wp:posOffset>
                </wp:positionV>
                <wp:extent cx="7768590" cy="11049635"/>
                <wp:effectExtent l="6985" t="13335" r="6350" b="5080"/>
                <wp:wrapNone/>
                <wp:docPr id="814525587" name="Text Box 8145255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8590" cy="11049635"/>
                        </a:xfrm>
                        <a:prstGeom prst="rect">
                          <a:avLst/>
                        </a:prstGeom>
                        <a:solidFill>
                          <a:srgbClr val="00B0F0"/>
                        </a:solidFill>
                        <a:ln w="9525">
                          <a:solidFill>
                            <a:srgbClr val="000000"/>
                          </a:solidFill>
                          <a:miter lim="800000"/>
                          <a:headEnd/>
                          <a:tailEnd/>
                        </a:ln>
                      </wps:spPr>
                      <wps:txbx>
                        <w:txbxContent>
                          <w:p w14:paraId="4543BC36" w14:textId="77777777" w:rsidR="00453D32" w:rsidRPr="0073589A" w:rsidRDefault="00453D32" w:rsidP="003B36B1">
                            <w:pPr>
                              <w:pStyle w:val="TOC1"/>
                              <w:tabs>
                                <w:tab w:val="right" w:pos="4820"/>
                              </w:tabs>
                              <w:spacing w:before="40" w:after="40" w:line="240" w:lineRule="auto"/>
                              <w:rPr>
                                <w:color w:val="FFFFFF" w:themeColor="background1"/>
                              </w:rPr>
                            </w:pPr>
                          </w:p>
                          <w:p w14:paraId="43FF7B25" w14:textId="77777777" w:rsidR="00CE147C" w:rsidRDefault="00CE147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707BA2" id="Text Box 814525587" o:spid="_x0000_s1029" type="#_x0000_t202" style="position:absolute;left:0;text-align:left;margin-left:-58.25pt;margin-top:-97.55pt;width:611.7pt;height:870.05pt;z-index:-2516582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" fillcolor="#00b0f0">
                <v:textbox>
                  <w:txbxContent>
                    <w:p w14:paraId="4543BC36" w14:textId="77777777" w:rsidR="00453D32" w:rsidRPr="0073589A" w:rsidRDefault="00453D32" w:rsidP="003B36B1">
                      <w:pPr>
                        <w:pStyle w:val="TOC1"/>
                        <w:tabs>
                          <w:tab w:val="right" w:pos="4820"/>
                        </w:tabs>
                        <w:spacing w:before="40" w:after="40" w:line="240" w:lineRule="auto"/>
                        <w:rPr>
                          <w:color w:val="FFFFFF" w:themeColor="background1"/>
                        </w:rPr>
                      </w:pPr>
                    </w:p>
                    <w:p w14:paraId="43FF7B25" w14:textId="77777777" w:rsidR="00CE147C" w:rsidRDefault="00CE147C"/>
                  </w:txbxContent>
                </v:textbox>
              </v:shape>
            </w:pict>
          </mc:Fallback>
        </mc:AlternateContent>
      </w:r>
      <w:r w:rsidRPr="007375EB">
        <w:rPr>
          <w:b w:val="0"/>
          <w:bCs w:val="0"/>
          <w:noProof/>
          <w:color w:val="FFFFFF" w:themeColor="background1"/>
          <w:sz w:val="18"/>
          <w:szCs w:val="18"/>
          <w:lang w:val="bg-BG"/>
        </w:rPr>
        <mc:AlternateContent>
          <mc:Choice Requires="wps">
            <w:drawing>
              <wp:anchor distT="0" distB="0" distL="114300" distR="114300" simplePos="0" relativeHeight="251658254" behindDoc="0" locked="0" layoutInCell="1" allowOverlap="1" wp14:anchorId="6D2475B2" wp14:editId="0462F1DD">
                <wp:simplePos x="0" y="0"/>
                <wp:positionH relativeFrom="column">
                  <wp:posOffset>-18415</wp:posOffset>
                </wp:positionH>
                <wp:positionV relativeFrom="paragraph">
                  <wp:posOffset>36195</wp:posOffset>
                </wp:positionV>
                <wp:extent cx="1720850" cy="0"/>
                <wp:effectExtent l="13970" t="9525" r="8255" b="9525"/>
                <wp:wrapNone/>
                <wp:docPr id="814525586" name="Straight Arrow Connector 8145255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0850" cy="0"/>
                        </a:xfrm>
                        <a:prstGeom prst="straightConnector1">
                          <a:avLst/>
                        </a:prstGeom>
                        <a:noFill/>
                        <a:ln w="15875">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287B922" id="_x0000_t32" coordsize="21600,21600" o:spt="32" o:oned="t" path="m,l21600,21600e" filled="f">
                <v:path arrowok="t" fillok="f" o:connecttype="none"/>
                <o:lock v:ext="edit" shapetype="t"/>
              </v:shapetype>
              <v:shape id="Straight Arrow Connector 814525586" o:spid="_x0000_s1026" type="#_x0000_t32" style="position:absolute;margin-left:-1.45pt;margin-top:2.85pt;width:135.5pt;height:0;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" strokecolor="white" strokeweight="1.25pt"/>
            </w:pict>
          </mc:Fallback>
        </mc:AlternateContent>
      </w:r>
      <w:r w:rsidR="00033E70" w:rsidRPr="007375EB">
        <w:rPr>
          <w:b w:val="0"/>
          <w:bCs w:val="0"/>
          <w:color w:val="FFFFFF" w:themeColor="background1"/>
          <w:lang w:val="bg-BG"/>
        </w:rPr>
        <w:fldChar w:fldCharType="begin"/>
      </w:r>
      <w:r w:rsidR="00033E70" w:rsidRPr="007375EB">
        <w:rPr>
          <w:b w:val="0"/>
          <w:bCs w:val="0"/>
          <w:color w:val="FFFFFF" w:themeColor="background1"/>
          <w:lang w:val="bg-BG"/>
        </w:rPr>
        <w:instrText xml:space="preserve"> TOC \o "1-3" \h \z \u </w:instrText>
      </w:r>
      <w:r w:rsidR="00033E70" w:rsidRPr="007375EB">
        <w:rPr>
          <w:b w:val="0"/>
          <w:bCs w:val="0"/>
          <w:color w:val="FFFFFF" w:themeColor="background1"/>
          <w:lang w:val="bg-BG"/>
        </w:rPr>
        <w:fldChar w:fldCharType="separate"/>
      </w:r>
    </w:p>
    <w:p w14:paraId="4792C281" w14:textId="04C60FEF" w:rsidR="00EC0A63" w:rsidRPr="007375EB" w:rsidRDefault="00EC0A63" w:rsidP="00CE147C">
      <w:pPr>
        <w:pStyle w:val="TOC1"/>
        <w:tabs>
          <w:tab w:val="left" w:pos="540"/>
          <w:tab w:val="right" w:leader="dot" w:pos="9289"/>
        </w:tabs>
        <w:spacing w:before="0" w:line="240" w:lineRule="auto"/>
        <w:contextualSpacing/>
        <w:jc w:val="both"/>
        <w:rPr>
          <w:rFonts w:eastAsiaTheme="minorEastAsia"/>
          <w:b w:val="0"/>
          <w:noProof/>
          <w:color w:val="FFFFFF" w:themeColor="background1"/>
          <w:kern w:val="2"/>
          <w:sz w:val="18"/>
          <w:szCs w:val="18"/>
          <w:lang w:val="bg-BG" w:eastAsia="ro-RO"/>
          <w14:ligatures w14:val="standardContextual"/>
        </w:rPr>
      </w:pPr>
      <w:hyperlink w:anchor="_Toc167697392" w:history="1">
        <w:r w:rsidRPr="007375EB">
          <w:rPr>
            <w:rStyle w:val="Hyperlink"/>
            <w:noProof/>
            <w:color w:val="FFFFFF" w:themeColor="background1"/>
            <w:sz w:val="18"/>
            <w:szCs w:val="18"/>
            <w:lang w:val="bg-BG" w:eastAsia="ro-RO"/>
          </w:rPr>
          <w:t>1.</w:t>
        </w:r>
        <w:r w:rsidRPr="007375EB">
          <w:rPr>
            <w:rFonts w:eastAsiaTheme="minorEastAsia"/>
            <w:b w:val="0"/>
            <w:noProof/>
            <w:color w:val="FFFFFF" w:themeColor="background1"/>
            <w:kern w:val="2"/>
            <w:sz w:val="18"/>
            <w:szCs w:val="18"/>
            <w:lang w:val="bg-BG" w:eastAsia="ro-RO"/>
            <w14:ligatures w14:val="standardContextual"/>
          </w:rPr>
          <w:tab/>
        </w:r>
        <w:r w:rsidR="008E3157" w:rsidRPr="007375EB">
          <w:rPr>
            <w:rStyle w:val="Hyperlink"/>
            <w:noProof/>
            <w:color w:val="FFFFFF" w:themeColor="background1"/>
            <w:sz w:val="18"/>
            <w:szCs w:val="18"/>
            <w:lang w:val="bg-BG" w:eastAsia="ro-RO"/>
          </w:rPr>
          <w:t>Излагане на съдържанието и основните цели на зоналния градоустройствен план (</w:t>
        </w:r>
        <w:r w:rsidR="0014580E" w:rsidRPr="007375EB">
          <w:rPr>
            <w:rStyle w:val="Hyperlink"/>
            <w:noProof/>
            <w:color w:val="FFFFFF" w:themeColor="background1"/>
            <w:sz w:val="18"/>
            <w:szCs w:val="18"/>
            <w:lang w:val="bg-BG" w:eastAsia="ro-RO"/>
          </w:rPr>
          <w:t>ЗГП</w:t>
        </w:r>
        <w:r w:rsidR="008E3157" w:rsidRPr="007375EB">
          <w:rPr>
            <w:rStyle w:val="Hyperlink"/>
            <w:noProof/>
            <w:color w:val="FFFFFF" w:themeColor="background1"/>
            <w:sz w:val="18"/>
            <w:szCs w:val="18"/>
            <w:lang w:val="bg-BG" w:eastAsia="ro-RO"/>
          </w:rPr>
          <w:t>) и връзката с други съответни планове и програми</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_Toc167697392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5</w:t>
        </w:r>
        <w:r w:rsidRPr="007375EB">
          <w:rPr>
            <w:noProof/>
            <w:webHidden/>
            <w:color w:val="FFFFFF" w:themeColor="background1"/>
            <w:sz w:val="18"/>
            <w:szCs w:val="18"/>
            <w:lang w:val="bg-BG"/>
          </w:rPr>
          <w:fldChar w:fldCharType="end"/>
        </w:r>
      </w:hyperlink>
    </w:p>
    <w:p w14:paraId="643C9778" w14:textId="13B13B0A" w:rsidR="00EC0A63" w:rsidRPr="007375EB" w:rsidRDefault="00EC0A63" w:rsidP="00CE147C">
      <w:pPr>
        <w:pStyle w:val="TOC2"/>
        <w:tabs>
          <w:tab w:val="left" w:pos="720"/>
          <w:tab w:val="right" w:leader="dot" w:pos="9289"/>
        </w:tabs>
        <w:spacing w:before="0" w:line="240" w:lineRule="auto"/>
        <w:contextualSpacing/>
        <w:jc w:val="both"/>
        <w:rPr>
          <w:rFonts w:eastAsiaTheme="minorEastAsia"/>
          <w:i w:val="0"/>
          <w:noProof/>
          <w:color w:val="FFFFFF" w:themeColor="background1"/>
          <w:kern w:val="2"/>
          <w:sz w:val="18"/>
          <w:szCs w:val="18"/>
          <w:lang w:val="bg-BG" w:eastAsia="ro-RO"/>
          <w14:ligatures w14:val="standardContextual"/>
        </w:rPr>
      </w:pPr>
      <w:hyperlink w:anchor="_Toc167697393" w:history="1">
        <w:r w:rsidRPr="007375EB">
          <w:rPr>
            <w:rStyle w:val="Hyperlink"/>
            <w:b/>
            <w:noProof/>
            <w:color w:val="FFFFFF" w:themeColor="background1"/>
            <w:sz w:val="18"/>
            <w:szCs w:val="18"/>
            <w:lang w:val="bg-BG" w:eastAsia="ro-RO"/>
          </w:rPr>
          <w:t>1.1.</w:t>
        </w:r>
        <w:r w:rsidRPr="007375EB">
          <w:rPr>
            <w:rFonts w:eastAsiaTheme="minorEastAsia"/>
            <w:i w:val="0"/>
            <w:noProof/>
            <w:color w:val="FFFFFF" w:themeColor="background1"/>
            <w:kern w:val="2"/>
            <w:sz w:val="18"/>
            <w:szCs w:val="18"/>
            <w:lang w:val="bg-BG" w:eastAsia="ro-RO"/>
            <w14:ligatures w14:val="standardContextual"/>
          </w:rPr>
          <w:tab/>
        </w:r>
        <w:r w:rsidR="008E3157" w:rsidRPr="007375EB">
          <w:rPr>
            <w:rStyle w:val="Hyperlink"/>
            <w:b/>
            <w:noProof/>
            <w:color w:val="FFFFFF" w:themeColor="background1"/>
            <w:sz w:val="18"/>
            <w:szCs w:val="18"/>
            <w:lang w:val="bg-BG" w:eastAsia="ro-RO"/>
          </w:rPr>
          <w:t xml:space="preserve">Представяне на съдържанието и основните цели на </w:t>
        </w:r>
        <w:r w:rsidR="0014580E" w:rsidRPr="007375EB">
          <w:rPr>
            <w:rStyle w:val="Hyperlink"/>
            <w:b/>
            <w:noProof/>
            <w:color w:val="FFFFFF" w:themeColor="background1"/>
            <w:sz w:val="18"/>
            <w:szCs w:val="18"/>
            <w:lang w:val="bg-BG" w:eastAsia="ro-RO"/>
          </w:rPr>
          <w:t>ЗГП</w:t>
        </w:r>
        <w:r w:rsidR="008E3157" w:rsidRPr="007375EB">
          <w:rPr>
            <w:rStyle w:val="Hyperlink"/>
            <w:b/>
            <w:noProof/>
            <w:color w:val="FFFFFF" w:themeColor="background1"/>
            <w:sz w:val="18"/>
            <w:szCs w:val="18"/>
            <w:lang w:val="bg-BG" w:eastAsia="ro-RO"/>
          </w:rPr>
          <w:t xml:space="preserve"> </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_Toc167697393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5</w:t>
        </w:r>
        <w:r w:rsidRPr="007375EB">
          <w:rPr>
            <w:noProof/>
            <w:webHidden/>
            <w:color w:val="FFFFFF" w:themeColor="background1"/>
            <w:sz w:val="18"/>
            <w:szCs w:val="18"/>
            <w:lang w:val="bg-BG"/>
          </w:rPr>
          <w:fldChar w:fldCharType="end"/>
        </w:r>
      </w:hyperlink>
    </w:p>
    <w:p w14:paraId="038BB0D0" w14:textId="5E1A627F" w:rsidR="00EC0A63" w:rsidRPr="007375EB" w:rsidRDefault="00EC0A63" w:rsidP="00CE147C">
      <w:pPr>
        <w:pStyle w:val="TOC3"/>
        <w:tabs>
          <w:tab w:val="left" w:pos="1080"/>
          <w:tab w:val="right" w:leader="dot" w:pos="9289"/>
        </w:tabs>
        <w:spacing w:line="240" w:lineRule="auto"/>
        <w:contextualSpacing/>
        <w:jc w:val="both"/>
        <w:rPr>
          <w:rFonts w:eastAsiaTheme="minorEastAsia"/>
          <w:noProof/>
          <w:color w:val="FFFFFF" w:themeColor="background1"/>
          <w:kern w:val="2"/>
          <w:sz w:val="18"/>
          <w:szCs w:val="18"/>
          <w:lang w:val="bg-BG" w:eastAsia="ro-RO"/>
          <w14:ligatures w14:val="standardContextual"/>
        </w:rPr>
      </w:pPr>
      <w:hyperlink w:anchor="_Toc167697394" w:history="1">
        <w:r w:rsidRPr="007375EB">
          <w:rPr>
            <w:rStyle w:val="Hyperlink"/>
            <w:b/>
            <w:i/>
            <w:noProof/>
            <w:color w:val="FFFFFF" w:themeColor="background1"/>
            <w:sz w:val="18"/>
            <w:szCs w:val="18"/>
            <w:lang w:val="bg-BG" w:eastAsia="ro-RO"/>
          </w:rPr>
          <w:t>1.1.1.</w:t>
        </w:r>
        <w:r w:rsidRPr="007375EB">
          <w:rPr>
            <w:rFonts w:eastAsiaTheme="minorEastAsia"/>
            <w:noProof/>
            <w:color w:val="FFFFFF" w:themeColor="background1"/>
            <w:kern w:val="2"/>
            <w:sz w:val="18"/>
            <w:szCs w:val="18"/>
            <w:lang w:val="bg-BG" w:eastAsia="ro-RO"/>
            <w14:ligatures w14:val="standardContextual"/>
          </w:rPr>
          <w:tab/>
        </w:r>
        <w:r w:rsidR="008E3157" w:rsidRPr="007375EB">
          <w:rPr>
            <w:rStyle w:val="Hyperlink"/>
            <w:b/>
            <w:i/>
            <w:noProof/>
            <w:color w:val="FFFFFF" w:themeColor="background1"/>
            <w:sz w:val="18"/>
            <w:szCs w:val="18"/>
            <w:lang w:val="bg-BG" w:eastAsia="ro-RO"/>
          </w:rPr>
          <w:t xml:space="preserve">Съдържанието на </w:t>
        </w:r>
        <w:r w:rsidR="0014580E" w:rsidRPr="007375EB">
          <w:rPr>
            <w:rStyle w:val="Hyperlink"/>
            <w:b/>
            <w:i/>
            <w:noProof/>
            <w:color w:val="FFFFFF" w:themeColor="background1"/>
            <w:sz w:val="18"/>
            <w:szCs w:val="18"/>
            <w:lang w:val="bg-BG" w:eastAsia="ro-RO"/>
          </w:rPr>
          <w:t>ЗГП</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_Toc167697394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5</w:t>
        </w:r>
        <w:r w:rsidRPr="007375EB">
          <w:rPr>
            <w:noProof/>
            <w:webHidden/>
            <w:color w:val="FFFFFF" w:themeColor="background1"/>
            <w:sz w:val="18"/>
            <w:szCs w:val="18"/>
            <w:lang w:val="bg-BG"/>
          </w:rPr>
          <w:fldChar w:fldCharType="end"/>
        </w:r>
      </w:hyperlink>
    </w:p>
    <w:p w14:paraId="210AC35A" w14:textId="3128FED9" w:rsidR="00EC0A63" w:rsidRPr="007375EB" w:rsidRDefault="00EC0A63" w:rsidP="00CE147C">
      <w:pPr>
        <w:pStyle w:val="TOC3"/>
        <w:tabs>
          <w:tab w:val="left" w:pos="1080"/>
          <w:tab w:val="right" w:leader="dot" w:pos="9289"/>
        </w:tabs>
        <w:spacing w:line="240" w:lineRule="auto"/>
        <w:contextualSpacing/>
        <w:jc w:val="both"/>
        <w:rPr>
          <w:rFonts w:eastAsiaTheme="minorEastAsia"/>
          <w:noProof/>
          <w:color w:val="FFFFFF" w:themeColor="background1"/>
          <w:kern w:val="2"/>
          <w:sz w:val="18"/>
          <w:szCs w:val="18"/>
          <w:lang w:val="bg-BG" w:eastAsia="ro-RO"/>
          <w14:ligatures w14:val="standardContextual"/>
        </w:rPr>
      </w:pPr>
      <w:hyperlink w:anchor="_Toc167697395" w:history="1">
        <w:r w:rsidRPr="007375EB">
          <w:rPr>
            <w:rStyle w:val="Hyperlink"/>
            <w:b/>
            <w:i/>
            <w:noProof/>
            <w:color w:val="FFFFFF" w:themeColor="background1"/>
            <w:sz w:val="18"/>
            <w:szCs w:val="18"/>
            <w:lang w:val="bg-BG" w:eastAsia="ro-RO"/>
          </w:rPr>
          <w:t>1.1.2.</w:t>
        </w:r>
        <w:r w:rsidRPr="007375EB">
          <w:rPr>
            <w:rFonts w:eastAsiaTheme="minorEastAsia"/>
            <w:noProof/>
            <w:color w:val="FFFFFF" w:themeColor="background1"/>
            <w:kern w:val="2"/>
            <w:sz w:val="18"/>
            <w:szCs w:val="18"/>
            <w:lang w:val="bg-BG" w:eastAsia="ro-RO"/>
            <w14:ligatures w14:val="standardContextual"/>
          </w:rPr>
          <w:tab/>
        </w:r>
        <w:r w:rsidR="008E3157" w:rsidRPr="007375EB">
          <w:rPr>
            <w:rStyle w:val="Hyperlink"/>
            <w:b/>
            <w:i/>
            <w:noProof/>
            <w:color w:val="FFFFFF" w:themeColor="background1"/>
            <w:sz w:val="18"/>
            <w:szCs w:val="18"/>
            <w:lang w:val="bg-BG" w:eastAsia="ro-RO"/>
          </w:rPr>
          <w:t xml:space="preserve">Цели на </w:t>
        </w:r>
        <w:r w:rsidR="0014580E" w:rsidRPr="007375EB">
          <w:rPr>
            <w:rStyle w:val="Hyperlink"/>
            <w:b/>
            <w:i/>
            <w:noProof/>
            <w:color w:val="FFFFFF" w:themeColor="background1"/>
            <w:sz w:val="18"/>
            <w:szCs w:val="18"/>
            <w:lang w:val="bg-BG" w:eastAsia="ro-RO"/>
          </w:rPr>
          <w:t>ЗГП</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_Toc167697395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8</w:t>
        </w:r>
        <w:r w:rsidRPr="007375EB">
          <w:rPr>
            <w:noProof/>
            <w:webHidden/>
            <w:color w:val="FFFFFF" w:themeColor="background1"/>
            <w:sz w:val="18"/>
            <w:szCs w:val="18"/>
            <w:lang w:val="bg-BG"/>
          </w:rPr>
          <w:fldChar w:fldCharType="end"/>
        </w:r>
      </w:hyperlink>
    </w:p>
    <w:p w14:paraId="34F5187B" w14:textId="601AE7AF" w:rsidR="00EC0A63" w:rsidRPr="007375EB" w:rsidRDefault="00EC0A63" w:rsidP="00CE147C">
      <w:pPr>
        <w:pStyle w:val="TOC2"/>
        <w:tabs>
          <w:tab w:val="left" w:pos="720"/>
          <w:tab w:val="right" w:leader="dot" w:pos="9289"/>
        </w:tabs>
        <w:spacing w:before="0" w:line="240" w:lineRule="auto"/>
        <w:contextualSpacing/>
        <w:jc w:val="both"/>
        <w:rPr>
          <w:rFonts w:eastAsiaTheme="minorEastAsia"/>
          <w:i w:val="0"/>
          <w:noProof/>
          <w:color w:val="FFFFFF" w:themeColor="background1"/>
          <w:kern w:val="2"/>
          <w:sz w:val="18"/>
          <w:szCs w:val="18"/>
          <w:lang w:val="bg-BG" w:eastAsia="ro-RO"/>
          <w14:ligatures w14:val="standardContextual"/>
        </w:rPr>
      </w:pPr>
      <w:hyperlink w:anchor="_Toc167697396" w:history="1">
        <w:r w:rsidRPr="007375EB">
          <w:rPr>
            <w:rStyle w:val="Hyperlink"/>
            <w:b/>
            <w:noProof/>
            <w:color w:val="FFFFFF" w:themeColor="background1"/>
            <w:sz w:val="18"/>
            <w:szCs w:val="18"/>
            <w:lang w:val="bg-BG" w:eastAsia="ro-RO"/>
          </w:rPr>
          <w:t>1.2.</w:t>
        </w:r>
        <w:r w:rsidRPr="007375EB">
          <w:rPr>
            <w:rFonts w:eastAsiaTheme="minorEastAsia"/>
            <w:i w:val="0"/>
            <w:noProof/>
            <w:color w:val="FFFFFF" w:themeColor="background1"/>
            <w:kern w:val="2"/>
            <w:sz w:val="18"/>
            <w:szCs w:val="18"/>
            <w:lang w:val="bg-BG" w:eastAsia="ro-RO"/>
            <w14:ligatures w14:val="standardContextual"/>
          </w:rPr>
          <w:tab/>
        </w:r>
        <w:r w:rsidR="008E3157" w:rsidRPr="007375EB">
          <w:rPr>
            <w:rStyle w:val="Hyperlink"/>
            <w:b/>
            <w:noProof/>
            <w:color w:val="FFFFFF" w:themeColor="background1"/>
            <w:sz w:val="18"/>
            <w:szCs w:val="18"/>
            <w:lang w:val="bg-BG" w:eastAsia="ro-RO"/>
          </w:rPr>
          <w:t>Връзката с други съответни планове и програми</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_Toc167697396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11</w:t>
        </w:r>
        <w:r w:rsidRPr="007375EB">
          <w:rPr>
            <w:noProof/>
            <w:webHidden/>
            <w:color w:val="FFFFFF" w:themeColor="background1"/>
            <w:sz w:val="18"/>
            <w:szCs w:val="18"/>
            <w:lang w:val="bg-BG"/>
          </w:rPr>
          <w:fldChar w:fldCharType="end"/>
        </w:r>
      </w:hyperlink>
    </w:p>
    <w:p w14:paraId="39B8F6C8" w14:textId="14EF304C" w:rsidR="00EC0A63" w:rsidRPr="007375EB" w:rsidRDefault="00EC0A63" w:rsidP="00CE147C">
      <w:pPr>
        <w:pStyle w:val="TOC1"/>
        <w:tabs>
          <w:tab w:val="left" w:pos="540"/>
          <w:tab w:val="right" w:leader="dot" w:pos="9289"/>
        </w:tabs>
        <w:spacing w:before="0" w:line="240" w:lineRule="auto"/>
        <w:contextualSpacing/>
        <w:jc w:val="both"/>
        <w:rPr>
          <w:rFonts w:eastAsiaTheme="minorEastAsia"/>
          <w:b w:val="0"/>
          <w:noProof/>
          <w:color w:val="FFFFFF" w:themeColor="background1"/>
          <w:kern w:val="2"/>
          <w:sz w:val="18"/>
          <w:szCs w:val="18"/>
          <w:lang w:val="bg-BG" w:eastAsia="ro-RO"/>
          <w14:ligatures w14:val="standardContextual"/>
        </w:rPr>
      </w:pPr>
      <w:hyperlink w:anchor="_Toc167697397" w:history="1">
        <w:r w:rsidRPr="007375EB">
          <w:rPr>
            <w:rStyle w:val="Hyperlink"/>
            <w:noProof/>
            <w:color w:val="FFFFFF" w:themeColor="background1"/>
            <w:sz w:val="18"/>
            <w:szCs w:val="18"/>
            <w:lang w:val="bg-BG" w:eastAsia="ro-RO"/>
          </w:rPr>
          <w:t>2.</w:t>
        </w:r>
        <w:r w:rsidRPr="007375EB">
          <w:rPr>
            <w:rFonts w:eastAsiaTheme="minorEastAsia"/>
            <w:b w:val="0"/>
            <w:noProof/>
            <w:color w:val="FFFFFF" w:themeColor="background1"/>
            <w:kern w:val="2"/>
            <w:sz w:val="18"/>
            <w:szCs w:val="18"/>
            <w:lang w:val="bg-BG" w:eastAsia="ro-RO"/>
            <w14:ligatures w14:val="standardContextual"/>
          </w:rPr>
          <w:tab/>
        </w:r>
        <w:r w:rsidR="00F709C8" w:rsidRPr="007375EB">
          <w:rPr>
            <w:rStyle w:val="Hyperlink"/>
            <w:noProof/>
            <w:color w:val="FFFFFF" w:themeColor="background1"/>
            <w:sz w:val="18"/>
            <w:szCs w:val="18"/>
            <w:lang w:val="bg-BG" w:eastAsia="ro-RO"/>
          </w:rPr>
          <w:t xml:space="preserve">Съответните аспекти на текущото състояние на околната среда и вероятното му развитие в случай на неизпълнение на предложените </w:t>
        </w:r>
        <w:r w:rsidR="0014580E" w:rsidRPr="007375EB">
          <w:rPr>
            <w:rStyle w:val="Hyperlink"/>
            <w:noProof/>
            <w:color w:val="FFFFFF" w:themeColor="background1"/>
            <w:sz w:val="18"/>
            <w:szCs w:val="18"/>
            <w:lang w:val="bg-BG" w:eastAsia="ro-RO"/>
          </w:rPr>
          <w:t>ЗГП</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_Toc167697397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29</w:t>
        </w:r>
        <w:r w:rsidRPr="007375EB">
          <w:rPr>
            <w:noProof/>
            <w:webHidden/>
            <w:color w:val="FFFFFF" w:themeColor="background1"/>
            <w:sz w:val="18"/>
            <w:szCs w:val="18"/>
            <w:lang w:val="bg-BG"/>
          </w:rPr>
          <w:fldChar w:fldCharType="end"/>
        </w:r>
      </w:hyperlink>
    </w:p>
    <w:p w14:paraId="07E0372B" w14:textId="5894D15B" w:rsidR="00EC0A63" w:rsidRPr="007375EB" w:rsidRDefault="00EC0A63" w:rsidP="00CE147C">
      <w:pPr>
        <w:pStyle w:val="TOC2"/>
        <w:tabs>
          <w:tab w:val="left" w:pos="720"/>
          <w:tab w:val="right" w:leader="dot" w:pos="9289"/>
        </w:tabs>
        <w:spacing w:before="0" w:line="240" w:lineRule="auto"/>
        <w:contextualSpacing/>
        <w:jc w:val="both"/>
        <w:rPr>
          <w:rFonts w:eastAsiaTheme="minorEastAsia"/>
          <w:i w:val="0"/>
          <w:noProof/>
          <w:color w:val="FFFFFF" w:themeColor="background1"/>
          <w:kern w:val="2"/>
          <w:sz w:val="18"/>
          <w:szCs w:val="18"/>
          <w:lang w:val="bg-BG" w:eastAsia="ro-RO"/>
          <w14:ligatures w14:val="standardContextual"/>
        </w:rPr>
      </w:pPr>
      <w:hyperlink w:anchor="_Toc167697398" w:history="1">
        <w:r w:rsidRPr="007375EB">
          <w:rPr>
            <w:rStyle w:val="Hyperlink"/>
            <w:b/>
            <w:noProof/>
            <w:color w:val="FFFFFF" w:themeColor="background1"/>
            <w:sz w:val="18"/>
            <w:szCs w:val="18"/>
            <w:lang w:val="bg-BG" w:eastAsia="ro-RO"/>
          </w:rPr>
          <w:t>2.1.</w:t>
        </w:r>
        <w:r w:rsidRPr="007375EB">
          <w:rPr>
            <w:rFonts w:eastAsiaTheme="minorEastAsia"/>
            <w:i w:val="0"/>
            <w:noProof/>
            <w:color w:val="FFFFFF" w:themeColor="background1"/>
            <w:kern w:val="2"/>
            <w:sz w:val="18"/>
            <w:szCs w:val="18"/>
            <w:lang w:val="bg-BG" w:eastAsia="ro-RO"/>
            <w14:ligatures w14:val="standardContextual"/>
          </w:rPr>
          <w:tab/>
        </w:r>
        <w:r w:rsidR="00F709C8" w:rsidRPr="007375EB">
          <w:rPr>
            <w:rStyle w:val="Hyperlink"/>
            <w:b/>
            <w:noProof/>
            <w:color w:val="FFFFFF" w:themeColor="background1"/>
            <w:sz w:val="18"/>
            <w:szCs w:val="18"/>
            <w:lang w:val="bg-BG" w:eastAsia="ro-RO"/>
          </w:rPr>
          <w:t>Релевантни аспекти на текущото състояние на околната среда</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_Toc167697398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29</w:t>
        </w:r>
        <w:r w:rsidRPr="007375EB">
          <w:rPr>
            <w:noProof/>
            <w:webHidden/>
            <w:color w:val="FFFFFF" w:themeColor="background1"/>
            <w:sz w:val="18"/>
            <w:szCs w:val="18"/>
            <w:lang w:val="bg-BG"/>
          </w:rPr>
          <w:fldChar w:fldCharType="end"/>
        </w:r>
      </w:hyperlink>
    </w:p>
    <w:p w14:paraId="3FB11E4D" w14:textId="3D5DAF55" w:rsidR="00EC0A63" w:rsidRPr="007375EB" w:rsidRDefault="00EC0A63" w:rsidP="00CE147C">
      <w:pPr>
        <w:pStyle w:val="TOC3"/>
        <w:tabs>
          <w:tab w:val="left" w:pos="1080"/>
          <w:tab w:val="right" w:leader="dot" w:pos="9289"/>
        </w:tabs>
        <w:spacing w:line="240" w:lineRule="auto"/>
        <w:contextualSpacing/>
        <w:jc w:val="both"/>
        <w:rPr>
          <w:rFonts w:eastAsiaTheme="minorEastAsia"/>
          <w:noProof/>
          <w:color w:val="FFFFFF" w:themeColor="background1"/>
          <w:kern w:val="2"/>
          <w:sz w:val="18"/>
          <w:szCs w:val="18"/>
          <w:lang w:val="bg-BG" w:eastAsia="ro-RO"/>
          <w14:ligatures w14:val="standardContextual"/>
        </w:rPr>
      </w:pPr>
      <w:hyperlink w:anchor="_Toc167697399" w:history="1">
        <w:r w:rsidRPr="007375EB">
          <w:rPr>
            <w:rStyle w:val="Hyperlink"/>
            <w:rFonts w:cs="Arial"/>
            <w:b/>
            <w:i/>
            <w:noProof/>
            <w:color w:val="FFFFFF" w:themeColor="background1"/>
            <w:sz w:val="18"/>
            <w:szCs w:val="18"/>
            <w:lang w:val="bg-BG"/>
          </w:rPr>
          <w:t>2.1.1.</w:t>
        </w:r>
        <w:r w:rsidRPr="007375EB">
          <w:rPr>
            <w:rFonts w:eastAsiaTheme="minorEastAsia"/>
            <w:noProof/>
            <w:color w:val="FFFFFF" w:themeColor="background1"/>
            <w:kern w:val="2"/>
            <w:sz w:val="18"/>
            <w:szCs w:val="18"/>
            <w:lang w:val="bg-BG" w:eastAsia="ro-RO"/>
            <w14:ligatures w14:val="standardContextual"/>
          </w:rPr>
          <w:tab/>
        </w:r>
        <w:r w:rsidR="00F709C8" w:rsidRPr="007375EB">
          <w:rPr>
            <w:rStyle w:val="Hyperlink"/>
            <w:rFonts w:cs="Arial"/>
            <w:b/>
            <w:i/>
            <w:noProof/>
            <w:color w:val="FFFFFF" w:themeColor="background1"/>
            <w:sz w:val="18"/>
            <w:szCs w:val="18"/>
            <w:lang w:val="bg-BG"/>
          </w:rPr>
          <w:t>Вода</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_Toc167697399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29</w:t>
        </w:r>
        <w:r w:rsidRPr="007375EB">
          <w:rPr>
            <w:noProof/>
            <w:webHidden/>
            <w:color w:val="FFFFFF" w:themeColor="background1"/>
            <w:sz w:val="18"/>
            <w:szCs w:val="18"/>
            <w:lang w:val="bg-BG"/>
          </w:rPr>
          <w:fldChar w:fldCharType="end"/>
        </w:r>
      </w:hyperlink>
    </w:p>
    <w:p w14:paraId="08E433DD" w14:textId="666B7EDD" w:rsidR="00EC0A63" w:rsidRPr="007375EB" w:rsidRDefault="00EC0A63" w:rsidP="00CE147C">
      <w:pPr>
        <w:pStyle w:val="TOC3"/>
        <w:tabs>
          <w:tab w:val="left" w:pos="1080"/>
          <w:tab w:val="right" w:leader="dot" w:pos="9289"/>
        </w:tabs>
        <w:spacing w:line="240" w:lineRule="auto"/>
        <w:contextualSpacing/>
        <w:jc w:val="both"/>
        <w:rPr>
          <w:rFonts w:eastAsiaTheme="minorEastAsia"/>
          <w:noProof/>
          <w:color w:val="FFFFFF" w:themeColor="background1"/>
          <w:kern w:val="2"/>
          <w:sz w:val="18"/>
          <w:szCs w:val="18"/>
          <w:lang w:val="bg-BG" w:eastAsia="ro-RO"/>
          <w14:ligatures w14:val="standardContextual"/>
        </w:rPr>
      </w:pPr>
      <w:hyperlink w:anchor="_Toc167697400" w:history="1">
        <w:r w:rsidRPr="007375EB">
          <w:rPr>
            <w:rStyle w:val="Hyperlink"/>
            <w:rFonts w:cs="Arial"/>
            <w:b/>
            <w:i/>
            <w:noProof/>
            <w:color w:val="FFFFFF" w:themeColor="background1"/>
            <w:sz w:val="18"/>
            <w:szCs w:val="18"/>
            <w:lang w:val="bg-BG"/>
          </w:rPr>
          <w:t>2.1.2.</w:t>
        </w:r>
        <w:r w:rsidRPr="007375EB">
          <w:rPr>
            <w:rFonts w:eastAsiaTheme="minorEastAsia"/>
            <w:noProof/>
            <w:color w:val="FFFFFF" w:themeColor="background1"/>
            <w:kern w:val="2"/>
            <w:sz w:val="18"/>
            <w:szCs w:val="18"/>
            <w:lang w:val="bg-BG" w:eastAsia="ro-RO"/>
            <w14:ligatures w14:val="standardContextual"/>
          </w:rPr>
          <w:tab/>
        </w:r>
        <w:r w:rsidR="00F709C8" w:rsidRPr="007375EB">
          <w:rPr>
            <w:rStyle w:val="Hyperlink"/>
            <w:rFonts w:cs="Arial"/>
            <w:b/>
            <w:i/>
            <w:noProof/>
            <w:color w:val="FFFFFF" w:themeColor="background1"/>
            <w:sz w:val="18"/>
            <w:szCs w:val="18"/>
            <w:lang w:val="bg-BG"/>
          </w:rPr>
          <w:t>Въздух</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_Toc167697400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35</w:t>
        </w:r>
        <w:r w:rsidRPr="007375EB">
          <w:rPr>
            <w:noProof/>
            <w:webHidden/>
            <w:color w:val="FFFFFF" w:themeColor="background1"/>
            <w:sz w:val="18"/>
            <w:szCs w:val="18"/>
            <w:lang w:val="bg-BG"/>
          </w:rPr>
          <w:fldChar w:fldCharType="end"/>
        </w:r>
      </w:hyperlink>
    </w:p>
    <w:p w14:paraId="35A64821" w14:textId="43A883CA" w:rsidR="00EC0A63" w:rsidRPr="007375EB" w:rsidRDefault="00EC0A63" w:rsidP="00CE147C">
      <w:pPr>
        <w:pStyle w:val="TOC3"/>
        <w:tabs>
          <w:tab w:val="left" w:pos="1080"/>
          <w:tab w:val="right" w:leader="dot" w:pos="9289"/>
        </w:tabs>
        <w:spacing w:line="240" w:lineRule="auto"/>
        <w:contextualSpacing/>
        <w:jc w:val="both"/>
        <w:rPr>
          <w:rFonts w:eastAsiaTheme="minorEastAsia"/>
          <w:noProof/>
          <w:color w:val="FFFFFF" w:themeColor="background1"/>
          <w:kern w:val="2"/>
          <w:sz w:val="18"/>
          <w:szCs w:val="18"/>
          <w:lang w:val="bg-BG" w:eastAsia="ro-RO"/>
          <w14:ligatures w14:val="standardContextual"/>
        </w:rPr>
      </w:pPr>
      <w:hyperlink w:anchor="_Toc167697401" w:history="1">
        <w:r w:rsidRPr="007375EB">
          <w:rPr>
            <w:rStyle w:val="Hyperlink"/>
            <w:rFonts w:cs="Arial"/>
            <w:b/>
            <w:i/>
            <w:noProof/>
            <w:color w:val="FFFFFF" w:themeColor="background1"/>
            <w:sz w:val="18"/>
            <w:szCs w:val="18"/>
            <w:lang w:val="bg-BG"/>
          </w:rPr>
          <w:t>2.1.3.</w:t>
        </w:r>
        <w:r w:rsidRPr="007375EB">
          <w:rPr>
            <w:rFonts w:eastAsiaTheme="minorEastAsia"/>
            <w:noProof/>
            <w:color w:val="FFFFFF" w:themeColor="background1"/>
            <w:kern w:val="2"/>
            <w:sz w:val="18"/>
            <w:szCs w:val="18"/>
            <w:lang w:val="bg-BG" w:eastAsia="ro-RO"/>
            <w14:ligatures w14:val="standardContextual"/>
          </w:rPr>
          <w:tab/>
        </w:r>
        <w:r w:rsidR="00F709C8" w:rsidRPr="007375EB">
          <w:rPr>
            <w:rStyle w:val="Hyperlink"/>
            <w:rFonts w:cs="Arial"/>
            <w:b/>
            <w:i/>
            <w:noProof/>
            <w:color w:val="FFFFFF" w:themeColor="background1"/>
            <w:sz w:val="18"/>
            <w:szCs w:val="18"/>
            <w:lang w:val="bg-BG"/>
          </w:rPr>
          <w:t>Почва / Подпочва</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_Toc167697401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40</w:t>
        </w:r>
        <w:r w:rsidRPr="007375EB">
          <w:rPr>
            <w:noProof/>
            <w:webHidden/>
            <w:color w:val="FFFFFF" w:themeColor="background1"/>
            <w:sz w:val="18"/>
            <w:szCs w:val="18"/>
            <w:lang w:val="bg-BG"/>
          </w:rPr>
          <w:fldChar w:fldCharType="end"/>
        </w:r>
      </w:hyperlink>
    </w:p>
    <w:p w14:paraId="4729DF39" w14:textId="110D60E6" w:rsidR="00EC0A63" w:rsidRPr="007375EB" w:rsidRDefault="00EC0A63" w:rsidP="00CE147C">
      <w:pPr>
        <w:pStyle w:val="TOC3"/>
        <w:tabs>
          <w:tab w:val="left" w:pos="1080"/>
          <w:tab w:val="right" w:leader="dot" w:pos="9289"/>
        </w:tabs>
        <w:spacing w:line="240" w:lineRule="auto"/>
        <w:contextualSpacing/>
        <w:jc w:val="both"/>
        <w:rPr>
          <w:rFonts w:eastAsiaTheme="minorEastAsia"/>
          <w:noProof/>
          <w:color w:val="FFFFFF" w:themeColor="background1"/>
          <w:kern w:val="2"/>
          <w:sz w:val="18"/>
          <w:szCs w:val="18"/>
          <w:lang w:val="bg-BG" w:eastAsia="ro-RO"/>
          <w14:ligatures w14:val="standardContextual"/>
        </w:rPr>
      </w:pPr>
      <w:hyperlink w:anchor="_Toc167697402" w:history="1">
        <w:r w:rsidRPr="007375EB">
          <w:rPr>
            <w:rStyle w:val="Hyperlink"/>
            <w:rFonts w:cs="Arial"/>
            <w:b/>
            <w:i/>
            <w:noProof/>
            <w:color w:val="FFFFFF" w:themeColor="background1"/>
            <w:sz w:val="18"/>
            <w:szCs w:val="18"/>
            <w:lang w:val="bg-BG"/>
          </w:rPr>
          <w:t>2.1.4.</w:t>
        </w:r>
        <w:r w:rsidRPr="007375EB">
          <w:rPr>
            <w:rFonts w:eastAsiaTheme="minorEastAsia"/>
            <w:noProof/>
            <w:color w:val="FFFFFF" w:themeColor="background1"/>
            <w:kern w:val="2"/>
            <w:sz w:val="18"/>
            <w:szCs w:val="18"/>
            <w:lang w:val="bg-BG" w:eastAsia="ro-RO"/>
            <w14:ligatures w14:val="standardContextual"/>
          </w:rPr>
          <w:tab/>
        </w:r>
        <w:r w:rsidR="00F709C8" w:rsidRPr="007375EB">
          <w:rPr>
            <w:rStyle w:val="Hyperlink"/>
            <w:rFonts w:cs="Arial"/>
            <w:b/>
            <w:i/>
            <w:noProof/>
            <w:color w:val="FFFFFF" w:themeColor="background1"/>
            <w:sz w:val="18"/>
            <w:szCs w:val="18"/>
            <w:lang w:val="bg-BG"/>
          </w:rPr>
          <w:t>Използване на природни ресурси</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_Toc167697402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44</w:t>
        </w:r>
        <w:r w:rsidRPr="007375EB">
          <w:rPr>
            <w:noProof/>
            <w:webHidden/>
            <w:color w:val="FFFFFF" w:themeColor="background1"/>
            <w:sz w:val="18"/>
            <w:szCs w:val="18"/>
            <w:lang w:val="bg-BG"/>
          </w:rPr>
          <w:fldChar w:fldCharType="end"/>
        </w:r>
      </w:hyperlink>
    </w:p>
    <w:p w14:paraId="2C656141" w14:textId="046C840A" w:rsidR="00EC0A63" w:rsidRPr="007375EB" w:rsidRDefault="00EC0A63" w:rsidP="00CE147C">
      <w:pPr>
        <w:pStyle w:val="TOC3"/>
        <w:tabs>
          <w:tab w:val="left" w:pos="1080"/>
          <w:tab w:val="right" w:leader="dot" w:pos="9289"/>
        </w:tabs>
        <w:spacing w:line="240" w:lineRule="auto"/>
        <w:contextualSpacing/>
        <w:jc w:val="both"/>
        <w:rPr>
          <w:rFonts w:eastAsiaTheme="minorEastAsia"/>
          <w:noProof/>
          <w:color w:val="FFFFFF" w:themeColor="background1"/>
          <w:kern w:val="2"/>
          <w:sz w:val="18"/>
          <w:szCs w:val="18"/>
          <w:lang w:val="bg-BG" w:eastAsia="ro-RO"/>
          <w14:ligatures w14:val="standardContextual"/>
        </w:rPr>
      </w:pPr>
      <w:hyperlink w:anchor="_Toc167697403" w:history="1">
        <w:r w:rsidRPr="007375EB">
          <w:rPr>
            <w:rStyle w:val="Hyperlink"/>
            <w:rFonts w:cs="Arial"/>
            <w:b/>
            <w:i/>
            <w:noProof/>
            <w:color w:val="FFFFFF" w:themeColor="background1"/>
            <w:sz w:val="18"/>
            <w:szCs w:val="18"/>
            <w:lang w:val="bg-BG"/>
          </w:rPr>
          <w:t>2.1.5.</w:t>
        </w:r>
        <w:r w:rsidRPr="007375EB">
          <w:rPr>
            <w:rFonts w:eastAsiaTheme="minorEastAsia"/>
            <w:noProof/>
            <w:color w:val="FFFFFF" w:themeColor="background1"/>
            <w:kern w:val="2"/>
            <w:sz w:val="18"/>
            <w:szCs w:val="18"/>
            <w:lang w:val="bg-BG" w:eastAsia="ro-RO"/>
            <w14:ligatures w14:val="standardContextual"/>
          </w:rPr>
          <w:tab/>
        </w:r>
        <w:r w:rsidR="00F709C8" w:rsidRPr="007375EB">
          <w:rPr>
            <w:rStyle w:val="Hyperlink"/>
            <w:rFonts w:cs="Arial"/>
            <w:b/>
            <w:i/>
            <w:noProof/>
            <w:color w:val="FFFFFF" w:themeColor="background1"/>
            <w:sz w:val="18"/>
            <w:szCs w:val="18"/>
            <w:lang w:val="bg-BG"/>
          </w:rPr>
          <w:t xml:space="preserve">Управление на отпадъците </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_Toc167697403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45</w:t>
        </w:r>
        <w:r w:rsidRPr="007375EB">
          <w:rPr>
            <w:noProof/>
            <w:webHidden/>
            <w:color w:val="FFFFFF" w:themeColor="background1"/>
            <w:sz w:val="18"/>
            <w:szCs w:val="18"/>
            <w:lang w:val="bg-BG"/>
          </w:rPr>
          <w:fldChar w:fldCharType="end"/>
        </w:r>
      </w:hyperlink>
    </w:p>
    <w:p w14:paraId="4850C265" w14:textId="57CE4DBF" w:rsidR="00EC0A63" w:rsidRPr="007375EB" w:rsidRDefault="00EC0A63" w:rsidP="00CE147C">
      <w:pPr>
        <w:pStyle w:val="TOC3"/>
        <w:tabs>
          <w:tab w:val="left" w:pos="1080"/>
          <w:tab w:val="right" w:leader="dot" w:pos="9289"/>
        </w:tabs>
        <w:spacing w:line="240" w:lineRule="auto"/>
        <w:contextualSpacing/>
        <w:jc w:val="both"/>
        <w:rPr>
          <w:rFonts w:eastAsiaTheme="minorEastAsia"/>
          <w:noProof/>
          <w:color w:val="FFFFFF" w:themeColor="background1"/>
          <w:kern w:val="2"/>
          <w:sz w:val="18"/>
          <w:szCs w:val="18"/>
          <w:lang w:val="bg-BG" w:eastAsia="ro-RO"/>
          <w14:ligatures w14:val="standardContextual"/>
        </w:rPr>
      </w:pPr>
      <w:hyperlink w:anchor="_Toc167697404" w:history="1">
        <w:r w:rsidRPr="007375EB">
          <w:rPr>
            <w:rStyle w:val="Hyperlink"/>
            <w:rFonts w:cs="Arial"/>
            <w:b/>
            <w:i/>
            <w:noProof/>
            <w:color w:val="FFFFFF" w:themeColor="background1"/>
            <w:sz w:val="18"/>
            <w:szCs w:val="18"/>
            <w:lang w:val="bg-BG"/>
          </w:rPr>
          <w:t>2.1.6.</w:t>
        </w:r>
        <w:r w:rsidRPr="007375EB">
          <w:rPr>
            <w:rFonts w:eastAsiaTheme="minorEastAsia"/>
            <w:noProof/>
            <w:color w:val="FFFFFF" w:themeColor="background1"/>
            <w:kern w:val="2"/>
            <w:sz w:val="18"/>
            <w:szCs w:val="18"/>
            <w:lang w:val="bg-BG" w:eastAsia="ro-RO"/>
            <w14:ligatures w14:val="standardContextual"/>
          </w:rPr>
          <w:tab/>
        </w:r>
        <w:r w:rsidR="00F709C8" w:rsidRPr="007375EB">
          <w:rPr>
            <w:rStyle w:val="Hyperlink"/>
            <w:rFonts w:cs="Arial"/>
            <w:b/>
            <w:i/>
            <w:noProof/>
            <w:color w:val="FFFFFF" w:themeColor="background1"/>
            <w:sz w:val="18"/>
            <w:szCs w:val="18"/>
            <w:lang w:val="bg-BG"/>
          </w:rPr>
          <w:t>Шум и вибрации</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_Toc167697404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46</w:t>
        </w:r>
        <w:r w:rsidRPr="007375EB">
          <w:rPr>
            <w:noProof/>
            <w:webHidden/>
            <w:color w:val="FFFFFF" w:themeColor="background1"/>
            <w:sz w:val="18"/>
            <w:szCs w:val="18"/>
            <w:lang w:val="bg-BG"/>
          </w:rPr>
          <w:fldChar w:fldCharType="end"/>
        </w:r>
      </w:hyperlink>
    </w:p>
    <w:p w14:paraId="5D3E76FB" w14:textId="3A132555" w:rsidR="00EC0A63" w:rsidRPr="007375EB" w:rsidRDefault="00EC0A63" w:rsidP="00CE147C">
      <w:pPr>
        <w:pStyle w:val="TOC3"/>
        <w:tabs>
          <w:tab w:val="left" w:pos="1080"/>
          <w:tab w:val="right" w:leader="dot" w:pos="9289"/>
        </w:tabs>
        <w:spacing w:line="240" w:lineRule="auto"/>
        <w:contextualSpacing/>
        <w:jc w:val="both"/>
        <w:rPr>
          <w:rFonts w:eastAsiaTheme="minorEastAsia"/>
          <w:noProof/>
          <w:color w:val="FFFFFF" w:themeColor="background1"/>
          <w:kern w:val="2"/>
          <w:sz w:val="18"/>
          <w:szCs w:val="18"/>
          <w:lang w:val="bg-BG" w:eastAsia="ro-RO"/>
          <w14:ligatures w14:val="standardContextual"/>
        </w:rPr>
      </w:pPr>
      <w:hyperlink w:anchor="_Toc167697405" w:history="1">
        <w:r w:rsidRPr="007375EB">
          <w:rPr>
            <w:rStyle w:val="Hyperlink"/>
            <w:rFonts w:cs="Arial"/>
            <w:b/>
            <w:i/>
            <w:noProof/>
            <w:color w:val="FFFFFF" w:themeColor="background1"/>
            <w:sz w:val="18"/>
            <w:szCs w:val="18"/>
            <w:lang w:val="bg-BG"/>
          </w:rPr>
          <w:t>2.1.7.</w:t>
        </w:r>
        <w:r w:rsidRPr="007375EB">
          <w:rPr>
            <w:rFonts w:eastAsiaTheme="minorEastAsia"/>
            <w:noProof/>
            <w:color w:val="FFFFFF" w:themeColor="background1"/>
            <w:kern w:val="2"/>
            <w:sz w:val="18"/>
            <w:szCs w:val="18"/>
            <w:lang w:val="bg-BG" w:eastAsia="ro-RO"/>
            <w14:ligatures w14:val="standardContextual"/>
          </w:rPr>
          <w:tab/>
        </w:r>
        <w:r w:rsidR="00F709C8" w:rsidRPr="007375EB">
          <w:rPr>
            <w:rStyle w:val="Hyperlink"/>
            <w:rFonts w:cs="Arial"/>
            <w:b/>
            <w:i/>
            <w:noProof/>
            <w:color w:val="FFFFFF" w:themeColor="background1"/>
            <w:sz w:val="18"/>
            <w:szCs w:val="18"/>
            <w:lang w:val="bg-BG"/>
          </w:rPr>
          <w:t>Биоразнообразие</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_Toc167697405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47</w:t>
        </w:r>
        <w:r w:rsidRPr="007375EB">
          <w:rPr>
            <w:noProof/>
            <w:webHidden/>
            <w:color w:val="FFFFFF" w:themeColor="background1"/>
            <w:sz w:val="18"/>
            <w:szCs w:val="18"/>
            <w:lang w:val="bg-BG"/>
          </w:rPr>
          <w:fldChar w:fldCharType="end"/>
        </w:r>
      </w:hyperlink>
    </w:p>
    <w:p w14:paraId="4067504D" w14:textId="4B1DB762" w:rsidR="00EC0A63" w:rsidRPr="007375EB" w:rsidRDefault="00EC0A63" w:rsidP="00CE147C">
      <w:pPr>
        <w:pStyle w:val="TOC3"/>
        <w:tabs>
          <w:tab w:val="left" w:pos="1080"/>
          <w:tab w:val="right" w:leader="dot" w:pos="9289"/>
        </w:tabs>
        <w:spacing w:line="240" w:lineRule="auto"/>
        <w:contextualSpacing/>
        <w:jc w:val="both"/>
        <w:rPr>
          <w:rFonts w:eastAsiaTheme="minorEastAsia"/>
          <w:noProof/>
          <w:color w:val="FFFFFF" w:themeColor="background1"/>
          <w:kern w:val="2"/>
          <w:sz w:val="18"/>
          <w:szCs w:val="18"/>
          <w:lang w:val="bg-BG" w:eastAsia="ro-RO"/>
          <w14:ligatures w14:val="standardContextual"/>
        </w:rPr>
      </w:pPr>
      <w:hyperlink w:anchor="_Toc167697406" w:history="1">
        <w:r w:rsidRPr="007375EB">
          <w:rPr>
            <w:rStyle w:val="Hyperlink"/>
            <w:rFonts w:cs="Arial"/>
            <w:b/>
            <w:i/>
            <w:noProof/>
            <w:color w:val="FFFFFF" w:themeColor="background1"/>
            <w:sz w:val="18"/>
            <w:szCs w:val="18"/>
            <w:lang w:val="bg-BG"/>
          </w:rPr>
          <w:t>2.1.8.</w:t>
        </w:r>
        <w:r w:rsidRPr="007375EB">
          <w:rPr>
            <w:rFonts w:eastAsiaTheme="minorEastAsia"/>
            <w:noProof/>
            <w:color w:val="FFFFFF" w:themeColor="background1"/>
            <w:kern w:val="2"/>
            <w:sz w:val="18"/>
            <w:szCs w:val="18"/>
            <w:lang w:val="bg-BG" w:eastAsia="ro-RO"/>
            <w14:ligatures w14:val="standardContextual"/>
          </w:rPr>
          <w:tab/>
        </w:r>
        <w:r w:rsidR="00F709C8" w:rsidRPr="007375EB">
          <w:rPr>
            <w:rStyle w:val="Hyperlink"/>
            <w:rFonts w:cs="Arial"/>
            <w:b/>
            <w:i/>
            <w:noProof/>
            <w:color w:val="FFFFFF" w:themeColor="background1"/>
            <w:sz w:val="18"/>
            <w:szCs w:val="18"/>
            <w:lang w:val="bg-BG"/>
          </w:rPr>
          <w:t>Население и здраве на хората</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_Toc167697406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61</w:t>
        </w:r>
        <w:r w:rsidRPr="007375EB">
          <w:rPr>
            <w:noProof/>
            <w:webHidden/>
            <w:color w:val="FFFFFF" w:themeColor="background1"/>
            <w:sz w:val="18"/>
            <w:szCs w:val="18"/>
            <w:lang w:val="bg-BG"/>
          </w:rPr>
          <w:fldChar w:fldCharType="end"/>
        </w:r>
      </w:hyperlink>
    </w:p>
    <w:p w14:paraId="568080FF" w14:textId="7D3FA621" w:rsidR="00EC0A63" w:rsidRPr="007375EB" w:rsidRDefault="00EC0A63" w:rsidP="00CE147C">
      <w:pPr>
        <w:pStyle w:val="TOC3"/>
        <w:tabs>
          <w:tab w:val="left" w:pos="1080"/>
          <w:tab w:val="right" w:leader="dot" w:pos="9289"/>
        </w:tabs>
        <w:spacing w:line="240" w:lineRule="auto"/>
        <w:contextualSpacing/>
        <w:jc w:val="both"/>
        <w:rPr>
          <w:rFonts w:eastAsiaTheme="minorEastAsia"/>
          <w:noProof/>
          <w:color w:val="FFFFFF" w:themeColor="background1"/>
          <w:kern w:val="2"/>
          <w:sz w:val="18"/>
          <w:szCs w:val="18"/>
          <w:lang w:val="bg-BG" w:eastAsia="ro-RO"/>
          <w14:ligatures w14:val="standardContextual"/>
        </w:rPr>
      </w:pPr>
      <w:hyperlink w:anchor="_Toc167697407" w:history="1">
        <w:r w:rsidRPr="007375EB">
          <w:rPr>
            <w:rStyle w:val="Hyperlink"/>
            <w:rFonts w:cs="Arial"/>
            <w:b/>
            <w:i/>
            <w:noProof/>
            <w:color w:val="FFFFFF" w:themeColor="background1"/>
            <w:sz w:val="18"/>
            <w:szCs w:val="18"/>
            <w:lang w:val="bg-BG"/>
          </w:rPr>
          <w:t>2.1.9.</w:t>
        </w:r>
        <w:r w:rsidRPr="007375EB">
          <w:rPr>
            <w:rFonts w:eastAsiaTheme="minorEastAsia"/>
            <w:noProof/>
            <w:color w:val="FFFFFF" w:themeColor="background1"/>
            <w:kern w:val="2"/>
            <w:sz w:val="18"/>
            <w:szCs w:val="18"/>
            <w:lang w:val="bg-BG" w:eastAsia="ro-RO"/>
            <w14:ligatures w14:val="standardContextual"/>
          </w:rPr>
          <w:tab/>
        </w:r>
        <w:r w:rsidR="00F709C8" w:rsidRPr="007375EB">
          <w:rPr>
            <w:rStyle w:val="Hyperlink"/>
            <w:rFonts w:cs="Arial"/>
            <w:b/>
            <w:i/>
            <w:noProof/>
            <w:color w:val="FFFFFF" w:themeColor="background1"/>
            <w:sz w:val="18"/>
            <w:szCs w:val="18"/>
            <w:lang w:val="bg-BG"/>
          </w:rPr>
          <w:t>Пейзаж</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_Toc167697407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68</w:t>
        </w:r>
        <w:r w:rsidRPr="007375EB">
          <w:rPr>
            <w:noProof/>
            <w:webHidden/>
            <w:color w:val="FFFFFF" w:themeColor="background1"/>
            <w:sz w:val="18"/>
            <w:szCs w:val="18"/>
            <w:lang w:val="bg-BG"/>
          </w:rPr>
          <w:fldChar w:fldCharType="end"/>
        </w:r>
      </w:hyperlink>
    </w:p>
    <w:p w14:paraId="1AE1AD7A" w14:textId="29717B7E" w:rsidR="00EC0A63" w:rsidRPr="007375EB" w:rsidRDefault="00EC0A63" w:rsidP="00CE147C">
      <w:pPr>
        <w:pStyle w:val="TOC3"/>
        <w:tabs>
          <w:tab w:val="left" w:pos="1260"/>
          <w:tab w:val="right" w:leader="dot" w:pos="9289"/>
        </w:tabs>
        <w:spacing w:line="240" w:lineRule="auto"/>
        <w:contextualSpacing/>
        <w:jc w:val="both"/>
        <w:rPr>
          <w:rFonts w:eastAsiaTheme="minorEastAsia"/>
          <w:noProof/>
          <w:color w:val="FFFFFF" w:themeColor="background1"/>
          <w:kern w:val="2"/>
          <w:sz w:val="18"/>
          <w:szCs w:val="18"/>
          <w:lang w:val="bg-BG" w:eastAsia="ro-RO"/>
          <w14:ligatures w14:val="standardContextual"/>
        </w:rPr>
      </w:pPr>
      <w:hyperlink w:anchor="_Toc167697408" w:history="1">
        <w:r w:rsidRPr="007375EB">
          <w:rPr>
            <w:rStyle w:val="Hyperlink"/>
            <w:rFonts w:cs="Arial"/>
            <w:b/>
            <w:i/>
            <w:noProof/>
            <w:color w:val="FFFFFF" w:themeColor="background1"/>
            <w:sz w:val="18"/>
            <w:szCs w:val="18"/>
            <w:lang w:val="bg-BG"/>
          </w:rPr>
          <w:t>2.1.10.</w:t>
        </w:r>
        <w:r w:rsidRPr="007375EB">
          <w:rPr>
            <w:rFonts w:eastAsiaTheme="minorEastAsia"/>
            <w:noProof/>
            <w:color w:val="FFFFFF" w:themeColor="background1"/>
            <w:kern w:val="2"/>
            <w:sz w:val="18"/>
            <w:szCs w:val="18"/>
            <w:lang w:val="bg-BG" w:eastAsia="ro-RO"/>
            <w14:ligatures w14:val="standardContextual"/>
          </w:rPr>
          <w:tab/>
        </w:r>
        <w:r w:rsidR="00F709C8" w:rsidRPr="007375EB">
          <w:rPr>
            <w:rStyle w:val="Hyperlink"/>
            <w:rFonts w:cs="Arial"/>
            <w:b/>
            <w:i/>
            <w:noProof/>
            <w:color w:val="FFFFFF" w:themeColor="background1"/>
            <w:sz w:val="18"/>
            <w:szCs w:val="18"/>
            <w:lang w:val="bg-BG"/>
          </w:rPr>
          <w:t>Изменение на климата</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_Toc167697408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73</w:t>
        </w:r>
        <w:r w:rsidRPr="007375EB">
          <w:rPr>
            <w:noProof/>
            <w:webHidden/>
            <w:color w:val="FFFFFF" w:themeColor="background1"/>
            <w:sz w:val="18"/>
            <w:szCs w:val="18"/>
            <w:lang w:val="bg-BG"/>
          </w:rPr>
          <w:fldChar w:fldCharType="end"/>
        </w:r>
      </w:hyperlink>
    </w:p>
    <w:p w14:paraId="5EC8D7F1" w14:textId="4A25DF44" w:rsidR="00EC0A63" w:rsidRPr="007375EB" w:rsidRDefault="00EC0A63" w:rsidP="00CE147C">
      <w:pPr>
        <w:pStyle w:val="TOC3"/>
        <w:tabs>
          <w:tab w:val="left" w:pos="1260"/>
          <w:tab w:val="right" w:leader="dot" w:pos="9289"/>
        </w:tabs>
        <w:spacing w:line="240" w:lineRule="auto"/>
        <w:contextualSpacing/>
        <w:jc w:val="both"/>
        <w:rPr>
          <w:rFonts w:eastAsiaTheme="minorEastAsia"/>
          <w:noProof/>
          <w:color w:val="FFFFFF" w:themeColor="background1"/>
          <w:kern w:val="2"/>
          <w:sz w:val="18"/>
          <w:szCs w:val="18"/>
          <w:lang w:val="bg-BG" w:eastAsia="ro-RO"/>
          <w14:ligatures w14:val="standardContextual"/>
        </w:rPr>
      </w:pPr>
      <w:hyperlink w:anchor="_Toc167697409" w:history="1">
        <w:r w:rsidRPr="007375EB">
          <w:rPr>
            <w:rStyle w:val="Hyperlink"/>
            <w:rFonts w:cs="Arial"/>
            <w:b/>
            <w:i/>
            <w:noProof/>
            <w:color w:val="FFFFFF" w:themeColor="background1"/>
            <w:sz w:val="18"/>
            <w:szCs w:val="18"/>
            <w:lang w:val="bg-BG"/>
          </w:rPr>
          <w:t>2.1.11.</w:t>
        </w:r>
        <w:r w:rsidRPr="007375EB">
          <w:rPr>
            <w:rFonts w:eastAsiaTheme="minorEastAsia"/>
            <w:noProof/>
            <w:color w:val="FFFFFF" w:themeColor="background1"/>
            <w:kern w:val="2"/>
            <w:sz w:val="18"/>
            <w:szCs w:val="18"/>
            <w:lang w:val="bg-BG" w:eastAsia="ro-RO"/>
            <w14:ligatures w14:val="standardContextual"/>
          </w:rPr>
          <w:tab/>
        </w:r>
        <w:r w:rsidR="00F709C8" w:rsidRPr="007375EB">
          <w:rPr>
            <w:rStyle w:val="Hyperlink"/>
            <w:rFonts w:cs="Arial"/>
            <w:b/>
            <w:i/>
            <w:noProof/>
            <w:color w:val="FFFFFF" w:themeColor="background1"/>
            <w:sz w:val="18"/>
            <w:szCs w:val="18"/>
            <w:lang w:val="bg-BG"/>
          </w:rPr>
          <w:t>Културно наследство</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_Toc167697409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85</w:t>
        </w:r>
        <w:r w:rsidRPr="007375EB">
          <w:rPr>
            <w:noProof/>
            <w:webHidden/>
            <w:color w:val="FFFFFF" w:themeColor="background1"/>
            <w:sz w:val="18"/>
            <w:szCs w:val="18"/>
            <w:lang w:val="bg-BG"/>
          </w:rPr>
          <w:fldChar w:fldCharType="end"/>
        </w:r>
      </w:hyperlink>
    </w:p>
    <w:p w14:paraId="5A112259" w14:textId="5EE9CC78" w:rsidR="00EC0A63" w:rsidRPr="007375EB" w:rsidRDefault="00EC0A63" w:rsidP="00CE147C">
      <w:pPr>
        <w:pStyle w:val="TOC2"/>
        <w:tabs>
          <w:tab w:val="left" w:pos="720"/>
          <w:tab w:val="right" w:leader="dot" w:pos="9289"/>
        </w:tabs>
        <w:spacing w:before="0" w:line="240" w:lineRule="auto"/>
        <w:contextualSpacing/>
        <w:jc w:val="both"/>
        <w:rPr>
          <w:rFonts w:eastAsiaTheme="minorEastAsia"/>
          <w:i w:val="0"/>
          <w:noProof/>
          <w:color w:val="FFFFFF" w:themeColor="background1"/>
          <w:kern w:val="2"/>
          <w:sz w:val="18"/>
          <w:szCs w:val="18"/>
          <w:lang w:val="bg-BG" w:eastAsia="ro-RO"/>
          <w14:ligatures w14:val="standardContextual"/>
        </w:rPr>
      </w:pPr>
      <w:hyperlink w:anchor="_Toc167697410" w:history="1">
        <w:r w:rsidRPr="007375EB">
          <w:rPr>
            <w:rStyle w:val="Hyperlink"/>
            <w:b/>
            <w:noProof/>
            <w:color w:val="FFFFFF" w:themeColor="background1"/>
            <w:sz w:val="18"/>
            <w:szCs w:val="18"/>
            <w:lang w:val="bg-BG" w:eastAsia="ro-RO"/>
          </w:rPr>
          <w:t>2.1.</w:t>
        </w:r>
        <w:r w:rsidRPr="007375EB">
          <w:rPr>
            <w:rFonts w:eastAsiaTheme="minorEastAsia"/>
            <w:i w:val="0"/>
            <w:noProof/>
            <w:color w:val="FFFFFF" w:themeColor="background1"/>
            <w:kern w:val="2"/>
            <w:sz w:val="18"/>
            <w:szCs w:val="18"/>
            <w:lang w:val="bg-BG" w:eastAsia="ro-RO"/>
            <w14:ligatures w14:val="standardContextual"/>
          </w:rPr>
          <w:tab/>
        </w:r>
        <w:r w:rsidR="00B51CDF" w:rsidRPr="007375EB">
          <w:rPr>
            <w:rStyle w:val="Hyperlink"/>
            <w:b/>
            <w:noProof/>
            <w:color w:val="FFFFFF" w:themeColor="background1"/>
            <w:sz w:val="18"/>
            <w:szCs w:val="18"/>
            <w:lang w:val="bg-BG" w:eastAsia="ro-RO"/>
          </w:rPr>
          <w:t xml:space="preserve">Развитие на състоянието на околната среда в случай на неизпълнение на предложеният </w:t>
        </w:r>
        <w:r w:rsidR="0014580E" w:rsidRPr="007375EB">
          <w:rPr>
            <w:rStyle w:val="Hyperlink"/>
            <w:b/>
            <w:noProof/>
            <w:color w:val="FFFFFF" w:themeColor="background1"/>
            <w:sz w:val="18"/>
            <w:szCs w:val="18"/>
            <w:lang w:val="bg-BG" w:eastAsia="ro-RO"/>
          </w:rPr>
          <w:t>ЗГП</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_Toc167697410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87</w:t>
        </w:r>
        <w:r w:rsidRPr="007375EB">
          <w:rPr>
            <w:noProof/>
            <w:webHidden/>
            <w:color w:val="FFFFFF" w:themeColor="background1"/>
            <w:sz w:val="18"/>
            <w:szCs w:val="18"/>
            <w:lang w:val="bg-BG"/>
          </w:rPr>
          <w:fldChar w:fldCharType="end"/>
        </w:r>
      </w:hyperlink>
    </w:p>
    <w:p w14:paraId="5E5F9C74" w14:textId="6C34F361" w:rsidR="00EC0A63" w:rsidRPr="007375EB" w:rsidRDefault="00EC0A63" w:rsidP="00CE147C">
      <w:pPr>
        <w:pStyle w:val="TOC1"/>
        <w:tabs>
          <w:tab w:val="left" w:pos="540"/>
          <w:tab w:val="right" w:leader="dot" w:pos="9289"/>
        </w:tabs>
        <w:spacing w:before="0" w:line="240" w:lineRule="auto"/>
        <w:contextualSpacing/>
        <w:jc w:val="both"/>
        <w:rPr>
          <w:rFonts w:eastAsiaTheme="minorEastAsia"/>
          <w:b w:val="0"/>
          <w:noProof/>
          <w:color w:val="FFFFFF" w:themeColor="background1"/>
          <w:kern w:val="2"/>
          <w:sz w:val="18"/>
          <w:szCs w:val="18"/>
          <w:lang w:val="bg-BG" w:eastAsia="ro-RO"/>
          <w14:ligatures w14:val="standardContextual"/>
        </w:rPr>
      </w:pPr>
      <w:hyperlink w:anchor="_Toc167697411" w:history="1">
        <w:r w:rsidRPr="007375EB">
          <w:rPr>
            <w:rStyle w:val="Hyperlink"/>
            <w:noProof/>
            <w:color w:val="FFFFFF" w:themeColor="background1"/>
            <w:sz w:val="18"/>
            <w:szCs w:val="18"/>
            <w:lang w:val="bg-BG" w:eastAsia="ro-RO"/>
          </w:rPr>
          <w:t>3.</w:t>
        </w:r>
        <w:r w:rsidRPr="007375EB">
          <w:rPr>
            <w:rFonts w:eastAsiaTheme="minorEastAsia"/>
            <w:b w:val="0"/>
            <w:noProof/>
            <w:color w:val="FFFFFF" w:themeColor="background1"/>
            <w:kern w:val="2"/>
            <w:sz w:val="18"/>
            <w:szCs w:val="18"/>
            <w:lang w:val="bg-BG" w:eastAsia="ro-RO"/>
            <w14:ligatures w14:val="standardContextual"/>
          </w:rPr>
          <w:tab/>
        </w:r>
        <w:r w:rsidR="00B51CDF" w:rsidRPr="007375EB">
          <w:rPr>
            <w:rStyle w:val="Hyperlink"/>
            <w:noProof/>
            <w:color w:val="FFFFFF" w:themeColor="background1"/>
            <w:sz w:val="18"/>
            <w:szCs w:val="18"/>
            <w:lang w:val="bg-BG" w:eastAsia="ro-RO"/>
          </w:rPr>
          <w:t>Екологични характеристики на района, който може да бъде значително засегна</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_Toc167697411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89</w:t>
        </w:r>
        <w:r w:rsidRPr="007375EB">
          <w:rPr>
            <w:noProof/>
            <w:webHidden/>
            <w:color w:val="FFFFFF" w:themeColor="background1"/>
            <w:sz w:val="18"/>
            <w:szCs w:val="18"/>
            <w:lang w:val="bg-BG"/>
          </w:rPr>
          <w:fldChar w:fldCharType="end"/>
        </w:r>
      </w:hyperlink>
    </w:p>
    <w:p w14:paraId="1501EC1B" w14:textId="640225F9" w:rsidR="00EC0A63" w:rsidRPr="007375EB" w:rsidRDefault="00EC0A63" w:rsidP="00CE147C">
      <w:pPr>
        <w:pStyle w:val="TOC1"/>
        <w:tabs>
          <w:tab w:val="left" w:pos="540"/>
          <w:tab w:val="right" w:leader="dot" w:pos="9289"/>
        </w:tabs>
        <w:spacing w:before="0" w:line="240" w:lineRule="auto"/>
        <w:contextualSpacing/>
        <w:jc w:val="both"/>
        <w:rPr>
          <w:rFonts w:eastAsiaTheme="minorEastAsia"/>
          <w:b w:val="0"/>
          <w:noProof/>
          <w:color w:val="FFFFFF" w:themeColor="background1"/>
          <w:kern w:val="2"/>
          <w:sz w:val="18"/>
          <w:szCs w:val="18"/>
          <w:lang w:val="bg-BG" w:eastAsia="ro-RO"/>
          <w14:ligatures w14:val="standardContextual"/>
        </w:rPr>
      </w:pPr>
      <w:hyperlink w:anchor="_Toc167697412" w:history="1">
        <w:r w:rsidRPr="007375EB">
          <w:rPr>
            <w:rStyle w:val="Hyperlink"/>
            <w:noProof/>
            <w:color w:val="FFFFFF" w:themeColor="background1"/>
            <w:sz w:val="18"/>
            <w:szCs w:val="18"/>
            <w:lang w:val="bg-BG" w:eastAsia="ro-RO"/>
          </w:rPr>
          <w:t>4.</w:t>
        </w:r>
        <w:r w:rsidRPr="007375EB">
          <w:rPr>
            <w:rFonts w:eastAsiaTheme="minorEastAsia"/>
            <w:b w:val="0"/>
            <w:noProof/>
            <w:color w:val="FFFFFF" w:themeColor="background1"/>
            <w:kern w:val="2"/>
            <w:sz w:val="18"/>
            <w:szCs w:val="18"/>
            <w:lang w:val="bg-BG" w:eastAsia="ro-RO"/>
            <w14:ligatures w14:val="standardContextual"/>
          </w:rPr>
          <w:tab/>
        </w:r>
        <w:r w:rsidR="00CE147C" w:rsidRPr="007375EB">
          <w:rPr>
            <w:rStyle w:val="Hyperlink"/>
            <w:noProof/>
            <w:color w:val="FFFFFF" w:themeColor="background1"/>
            <w:sz w:val="18"/>
            <w:szCs w:val="18"/>
            <w:lang w:val="bg-BG" w:eastAsia="ro-RO"/>
          </w:rPr>
          <w:t xml:space="preserve">Целите за опазване на околната среда, определени на национално, общностно или международно равнище, които са от значение за </w:t>
        </w:r>
        <w:r w:rsidR="0014580E" w:rsidRPr="007375EB">
          <w:rPr>
            <w:rStyle w:val="Hyperlink"/>
            <w:noProof/>
            <w:color w:val="FFFFFF" w:themeColor="background1"/>
            <w:sz w:val="18"/>
            <w:szCs w:val="18"/>
            <w:lang w:val="bg-BG" w:eastAsia="ro-RO"/>
          </w:rPr>
          <w:t>ЗГП</w:t>
        </w:r>
        <w:r w:rsidR="00CE147C" w:rsidRPr="007375EB">
          <w:rPr>
            <w:rStyle w:val="Hyperlink"/>
            <w:noProof/>
            <w:color w:val="FFFFFF" w:themeColor="background1"/>
            <w:sz w:val="18"/>
            <w:szCs w:val="18"/>
            <w:lang w:val="bg-BG" w:eastAsia="ro-RO"/>
          </w:rPr>
          <w:t xml:space="preserve">, и как тези цели и всички други съображения, свързани с околната среда, са били взети предвид по време на подготовката на </w:t>
        </w:r>
        <w:r w:rsidR="0014580E" w:rsidRPr="007375EB">
          <w:rPr>
            <w:rStyle w:val="Hyperlink"/>
            <w:noProof/>
            <w:color w:val="FFFFFF" w:themeColor="background1"/>
            <w:sz w:val="18"/>
            <w:szCs w:val="18"/>
            <w:lang w:val="bg-BG" w:eastAsia="ro-RO"/>
          </w:rPr>
          <w:t>ЗГП</w:t>
        </w:r>
        <w:r w:rsidR="00CE147C" w:rsidRPr="007375EB">
          <w:rPr>
            <w:rStyle w:val="Hyperlink"/>
            <w:noProof/>
            <w:color w:val="FFFFFF" w:themeColor="background1"/>
            <w:sz w:val="18"/>
            <w:szCs w:val="18"/>
            <w:lang w:val="bg-BG" w:eastAsia="ro-RO"/>
          </w:rPr>
          <w:t>.</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_Toc167697412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91</w:t>
        </w:r>
        <w:r w:rsidRPr="007375EB">
          <w:rPr>
            <w:noProof/>
            <w:webHidden/>
            <w:color w:val="FFFFFF" w:themeColor="background1"/>
            <w:sz w:val="18"/>
            <w:szCs w:val="18"/>
            <w:lang w:val="bg-BG"/>
          </w:rPr>
          <w:fldChar w:fldCharType="end"/>
        </w:r>
      </w:hyperlink>
    </w:p>
    <w:p w14:paraId="05CB72BF" w14:textId="6D20E98C" w:rsidR="00EC0A63" w:rsidRPr="007375EB" w:rsidRDefault="00EC0A63" w:rsidP="00CE147C">
      <w:pPr>
        <w:pStyle w:val="TOC2"/>
        <w:tabs>
          <w:tab w:val="left" w:pos="720"/>
          <w:tab w:val="right" w:leader="dot" w:pos="9289"/>
        </w:tabs>
        <w:spacing w:before="0" w:line="240" w:lineRule="auto"/>
        <w:contextualSpacing/>
        <w:jc w:val="both"/>
        <w:rPr>
          <w:rFonts w:eastAsiaTheme="minorEastAsia"/>
          <w:i w:val="0"/>
          <w:noProof/>
          <w:color w:val="FFFFFF" w:themeColor="background1"/>
          <w:kern w:val="2"/>
          <w:sz w:val="18"/>
          <w:szCs w:val="18"/>
          <w:lang w:val="bg-BG" w:eastAsia="ro-RO"/>
          <w14:ligatures w14:val="standardContextual"/>
        </w:rPr>
      </w:pPr>
      <w:hyperlink w:anchor="_Toc167697413" w:history="1">
        <w:r w:rsidRPr="007375EB">
          <w:rPr>
            <w:rStyle w:val="Hyperlink"/>
            <w:b/>
            <w:noProof/>
            <w:color w:val="FFFFFF" w:themeColor="background1"/>
            <w:sz w:val="18"/>
            <w:szCs w:val="18"/>
            <w:lang w:val="bg-BG" w:eastAsia="ro-RO"/>
          </w:rPr>
          <w:t>4.1.</w:t>
        </w:r>
        <w:r w:rsidRPr="007375EB">
          <w:rPr>
            <w:rFonts w:eastAsiaTheme="minorEastAsia"/>
            <w:i w:val="0"/>
            <w:noProof/>
            <w:color w:val="FFFFFF" w:themeColor="background1"/>
            <w:kern w:val="2"/>
            <w:sz w:val="18"/>
            <w:szCs w:val="18"/>
            <w:lang w:val="bg-BG" w:eastAsia="ro-RO"/>
            <w14:ligatures w14:val="standardContextual"/>
          </w:rPr>
          <w:tab/>
        </w:r>
        <w:r w:rsidR="00B51CDF" w:rsidRPr="007375EB">
          <w:rPr>
            <w:rStyle w:val="Hyperlink"/>
            <w:b/>
            <w:noProof/>
            <w:color w:val="FFFFFF" w:themeColor="background1"/>
            <w:sz w:val="18"/>
            <w:szCs w:val="18"/>
            <w:lang w:val="bg-BG" w:eastAsia="ro-RO"/>
          </w:rPr>
          <w:t>Цели за опазване на околната среда, определени на национално, общностно или международно равнище, които са от значение за плана или програмата</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_Toc167697413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91</w:t>
        </w:r>
        <w:r w:rsidRPr="007375EB">
          <w:rPr>
            <w:noProof/>
            <w:webHidden/>
            <w:color w:val="FFFFFF" w:themeColor="background1"/>
            <w:sz w:val="18"/>
            <w:szCs w:val="18"/>
            <w:lang w:val="bg-BG"/>
          </w:rPr>
          <w:fldChar w:fldCharType="end"/>
        </w:r>
      </w:hyperlink>
    </w:p>
    <w:p w14:paraId="68FDBFEF" w14:textId="29504D73" w:rsidR="00EC0A63" w:rsidRPr="007375EB" w:rsidRDefault="00EC0A63" w:rsidP="00CE147C">
      <w:pPr>
        <w:pStyle w:val="TOC2"/>
        <w:tabs>
          <w:tab w:val="left" w:pos="720"/>
          <w:tab w:val="right" w:leader="dot" w:pos="9289"/>
        </w:tabs>
        <w:spacing w:before="0" w:line="240" w:lineRule="auto"/>
        <w:contextualSpacing/>
        <w:jc w:val="both"/>
        <w:rPr>
          <w:rFonts w:eastAsiaTheme="minorEastAsia"/>
          <w:i w:val="0"/>
          <w:noProof/>
          <w:color w:val="FFFFFF" w:themeColor="background1"/>
          <w:kern w:val="2"/>
          <w:sz w:val="18"/>
          <w:szCs w:val="18"/>
          <w:lang w:val="bg-BG" w:eastAsia="ro-RO"/>
          <w14:ligatures w14:val="standardContextual"/>
        </w:rPr>
      </w:pPr>
      <w:hyperlink w:anchor="_Toc167697414" w:history="1">
        <w:r w:rsidRPr="007375EB">
          <w:rPr>
            <w:rStyle w:val="Hyperlink"/>
            <w:b/>
            <w:noProof/>
            <w:color w:val="FFFFFF" w:themeColor="background1"/>
            <w:sz w:val="18"/>
            <w:szCs w:val="18"/>
            <w:lang w:val="bg-BG" w:eastAsia="ro-RO"/>
          </w:rPr>
          <w:t>4.2.</w:t>
        </w:r>
        <w:r w:rsidRPr="007375EB">
          <w:rPr>
            <w:rFonts w:eastAsiaTheme="minorEastAsia"/>
            <w:i w:val="0"/>
            <w:noProof/>
            <w:color w:val="FFFFFF" w:themeColor="background1"/>
            <w:kern w:val="2"/>
            <w:sz w:val="18"/>
            <w:szCs w:val="18"/>
            <w:lang w:val="bg-BG" w:eastAsia="ro-RO"/>
            <w14:ligatures w14:val="standardContextual"/>
          </w:rPr>
          <w:tab/>
        </w:r>
        <w:r w:rsidR="00CE147C" w:rsidRPr="007375EB">
          <w:rPr>
            <w:rStyle w:val="Hyperlink"/>
            <w:b/>
            <w:noProof/>
            <w:color w:val="FFFFFF" w:themeColor="background1"/>
            <w:sz w:val="18"/>
            <w:szCs w:val="18"/>
            <w:lang w:val="bg-BG" w:eastAsia="ro-RO"/>
          </w:rPr>
          <w:t xml:space="preserve">По какъв начин тези цели и всички други екологични съображения са били взети предвид при изготвянето на </w:t>
        </w:r>
        <w:r w:rsidR="0014580E" w:rsidRPr="007375EB">
          <w:rPr>
            <w:rStyle w:val="Hyperlink"/>
            <w:b/>
            <w:noProof/>
            <w:color w:val="FFFFFF" w:themeColor="background1"/>
            <w:sz w:val="18"/>
            <w:szCs w:val="18"/>
            <w:lang w:val="bg-BG" w:eastAsia="ro-RO"/>
          </w:rPr>
          <w:t>ЗГП</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_Toc167697414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93</w:t>
        </w:r>
        <w:r w:rsidRPr="007375EB">
          <w:rPr>
            <w:noProof/>
            <w:webHidden/>
            <w:color w:val="FFFFFF" w:themeColor="background1"/>
            <w:sz w:val="18"/>
            <w:szCs w:val="18"/>
            <w:lang w:val="bg-BG"/>
          </w:rPr>
          <w:fldChar w:fldCharType="end"/>
        </w:r>
      </w:hyperlink>
    </w:p>
    <w:p w14:paraId="69B916A7" w14:textId="42748C27" w:rsidR="00EC0A63" w:rsidRPr="007375EB" w:rsidRDefault="00EC0A63" w:rsidP="00CE147C">
      <w:pPr>
        <w:pStyle w:val="TOC1"/>
        <w:tabs>
          <w:tab w:val="left" w:pos="540"/>
          <w:tab w:val="right" w:leader="dot" w:pos="9289"/>
        </w:tabs>
        <w:spacing w:before="0" w:line="240" w:lineRule="auto"/>
        <w:contextualSpacing/>
        <w:jc w:val="both"/>
        <w:rPr>
          <w:rFonts w:eastAsiaTheme="minorEastAsia"/>
          <w:b w:val="0"/>
          <w:noProof/>
          <w:color w:val="FFFFFF" w:themeColor="background1"/>
          <w:kern w:val="2"/>
          <w:sz w:val="18"/>
          <w:szCs w:val="18"/>
          <w:lang w:val="bg-BG" w:eastAsia="ro-RO"/>
          <w14:ligatures w14:val="standardContextual"/>
        </w:rPr>
      </w:pPr>
      <w:hyperlink w:anchor="_Toc167697415" w:history="1">
        <w:r w:rsidRPr="007375EB">
          <w:rPr>
            <w:rStyle w:val="Hyperlink"/>
            <w:noProof/>
            <w:color w:val="FFFFFF" w:themeColor="background1"/>
            <w:sz w:val="18"/>
            <w:szCs w:val="18"/>
            <w:lang w:val="bg-BG" w:eastAsia="ro-RO"/>
          </w:rPr>
          <w:t>5.</w:t>
        </w:r>
        <w:r w:rsidRPr="007375EB">
          <w:rPr>
            <w:rFonts w:eastAsiaTheme="minorEastAsia"/>
            <w:b w:val="0"/>
            <w:noProof/>
            <w:color w:val="FFFFFF" w:themeColor="background1"/>
            <w:kern w:val="2"/>
            <w:sz w:val="18"/>
            <w:szCs w:val="18"/>
            <w:lang w:val="bg-BG" w:eastAsia="ro-RO"/>
            <w14:ligatures w14:val="standardContextual"/>
          </w:rPr>
          <w:tab/>
        </w:r>
        <w:r w:rsidR="00CE147C" w:rsidRPr="007375EB">
          <w:rPr>
            <w:rFonts w:eastAsiaTheme="minorEastAsia"/>
            <w:bCs w:val="0"/>
            <w:noProof/>
            <w:color w:val="FFFFFF" w:themeColor="background1"/>
            <w:kern w:val="2"/>
            <w:sz w:val="18"/>
            <w:szCs w:val="18"/>
            <w:lang w:val="bg-BG" w:eastAsia="ro-RO"/>
            <w14:ligatures w14:val="standardContextual"/>
          </w:rPr>
          <w:t>Съществуващи екологични проблеми, които са от значение за PUZ, включително по-специално тези, свързани с всяка зона от особено значение за околната среда, като специални зони за защита на птиците или специални зони за опазване</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_Toc167697415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99</w:t>
        </w:r>
        <w:r w:rsidRPr="007375EB">
          <w:rPr>
            <w:noProof/>
            <w:webHidden/>
            <w:color w:val="FFFFFF" w:themeColor="background1"/>
            <w:sz w:val="18"/>
            <w:szCs w:val="18"/>
            <w:lang w:val="bg-BG"/>
          </w:rPr>
          <w:fldChar w:fldCharType="end"/>
        </w:r>
      </w:hyperlink>
    </w:p>
    <w:p w14:paraId="7CA6F4E8" w14:textId="445F35C5" w:rsidR="00EC0A63" w:rsidRPr="007375EB" w:rsidRDefault="00EC0A63" w:rsidP="00CE147C">
      <w:pPr>
        <w:pStyle w:val="TOC1"/>
        <w:tabs>
          <w:tab w:val="left" w:pos="540"/>
          <w:tab w:val="right" w:leader="dot" w:pos="9289"/>
        </w:tabs>
        <w:spacing w:before="0" w:line="240" w:lineRule="auto"/>
        <w:contextualSpacing/>
        <w:jc w:val="both"/>
        <w:rPr>
          <w:rFonts w:eastAsiaTheme="minorEastAsia"/>
          <w:b w:val="0"/>
          <w:noProof/>
          <w:color w:val="FFFFFF" w:themeColor="background1"/>
          <w:kern w:val="2"/>
          <w:sz w:val="18"/>
          <w:szCs w:val="18"/>
          <w:lang w:val="bg-BG" w:eastAsia="ro-RO"/>
          <w14:ligatures w14:val="standardContextual"/>
        </w:rPr>
      </w:pPr>
      <w:hyperlink w:anchor="_Toc167697416" w:history="1">
        <w:r w:rsidRPr="007375EB">
          <w:rPr>
            <w:rStyle w:val="Hyperlink"/>
            <w:noProof/>
            <w:color w:val="FFFFFF" w:themeColor="background1"/>
            <w:sz w:val="18"/>
            <w:szCs w:val="18"/>
            <w:lang w:val="bg-BG" w:eastAsia="ro-RO"/>
          </w:rPr>
          <w:t>6.</w:t>
        </w:r>
        <w:r w:rsidRPr="007375EB">
          <w:rPr>
            <w:rFonts w:eastAsiaTheme="minorEastAsia"/>
            <w:b w:val="0"/>
            <w:noProof/>
            <w:color w:val="FFFFFF" w:themeColor="background1"/>
            <w:kern w:val="2"/>
            <w:sz w:val="18"/>
            <w:szCs w:val="18"/>
            <w:lang w:val="bg-BG" w:eastAsia="ro-RO"/>
            <w14:ligatures w14:val="standardContextual"/>
          </w:rPr>
          <w:tab/>
        </w:r>
        <w:r w:rsidR="00CE147C" w:rsidRPr="007375EB">
          <w:rPr>
            <w:rStyle w:val="Hyperlink"/>
            <w:noProof/>
            <w:color w:val="FFFFFF" w:themeColor="background1"/>
            <w:sz w:val="18"/>
            <w:szCs w:val="18"/>
            <w:lang w:val="bg-BG" w:eastAsia="ro-RO"/>
          </w:rPr>
          <w:t>Потенциално значими ефекти върху околната среда</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_Toc167697416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101</w:t>
        </w:r>
        <w:r w:rsidRPr="007375EB">
          <w:rPr>
            <w:noProof/>
            <w:webHidden/>
            <w:color w:val="FFFFFF" w:themeColor="background1"/>
            <w:sz w:val="18"/>
            <w:szCs w:val="18"/>
            <w:lang w:val="bg-BG"/>
          </w:rPr>
          <w:fldChar w:fldCharType="end"/>
        </w:r>
      </w:hyperlink>
    </w:p>
    <w:p w14:paraId="2C0E6C3B" w14:textId="149ADFBA" w:rsidR="00EC0A63" w:rsidRPr="007375EB" w:rsidRDefault="00EC0A63" w:rsidP="00CE147C">
      <w:pPr>
        <w:pStyle w:val="TOC2"/>
        <w:tabs>
          <w:tab w:val="left" w:pos="720"/>
          <w:tab w:val="right" w:leader="dot" w:pos="9289"/>
        </w:tabs>
        <w:spacing w:before="0" w:line="240" w:lineRule="auto"/>
        <w:contextualSpacing/>
        <w:jc w:val="both"/>
        <w:rPr>
          <w:rFonts w:eastAsiaTheme="minorEastAsia"/>
          <w:i w:val="0"/>
          <w:noProof/>
          <w:color w:val="FFFFFF" w:themeColor="background1"/>
          <w:kern w:val="2"/>
          <w:sz w:val="18"/>
          <w:szCs w:val="18"/>
          <w:lang w:val="bg-BG" w:eastAsia="ro-RO"/>
          <w14:ligatures w14:val="standardContextual"/>
        </w:rPr>
      </w:pPr>
      <w:hyperlink w:anchor="_Toc167697417" w:history="1">
        <w:r w:rsidRPr="007375EB">
          <w:rPr>
            <w:rStyle w:val="Hyperlink"/>
            <w:b/>
            <w:noProof/>
            <w:color w:val="FFFFFF" w:themeColor="background1"/>
            <w:sz w:val="18"/>
            <w:szCs w:val="18"/>
            <w:lang w:val="bg-BG" w:eastAsia="ro-RO"/>
          </w:rPr>
          <w:t>6.2.</w:t>
        </w:r>
        <w:r w:rsidRPr="007375EB">
          <w:rPr>
            <w:rFonts w:eastAsiaTheme="minorEastAsia"/>
            <w:i w:val="0"/>
            <w:noProof/>
            <w:color w:val="FFFFFF" w:themeColor="background1"/>
            <w:kern w:val="2"/>
            <w:sz w:val="18"/>
            <w:szCs w:val="18"/>
            <w:lang w:val="bg-BG" w:eastAsia="ro-RO"/>
            <w14:ligatures w14:val="standardContextual"/>
          </w:rPr>
          <w:tab/>
        </w:r>
        <w:r w:rsidR="00B51CDF" w:rsidRPr="007375EB">
          <w:rPr>
            <w:rStyle w:val="Hyperlink"/>
            <w:b/>
            <w:noProof/>
            <w:color w:val="FFFFFF" w:themeColor="background1"/>
            <w:sz w:val="18"/>
            <w:szCs w:val="18"/>
            <w:lang w:val="bg-BG" w:eastAsia="ro-RO"/>
          </w:rPr>
          <w:t>Методология на оценката</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_Toc167697417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101</w:t>
        </w:r>
        <w:r w:rsidRPr="007375EB">
          <w:rPr>
            <w:noProof/>
            <w:webHidden/>
            <w:color w:val="FFFFFF" w:themeColor="background1"/>
            <w:sz w:val="18"/>
            <w:szCs w:val="18"/>
            <w:lang w:val="bg-BG"/>
          </w:rPr>
          <w:fldChar w:fldCharType="end"/>
        </w:r>
      </w:hyperlink>
    </w:p>
    <w:p w14:paraId="405AE854" w14:textId="14DF7A0F" w:rsidR="00EC0A63" w:rsidRPr="007375EB" w:rsidRDefault="00EC0A63" w:rsidP="00CE147C">
      <w:pPr>
        <w:pStyle w:val="TOC2"/>
        <w:tabs>
          <w:tab w:val="left" w:pos="720"/>
          <w:tab w:val="right" w:leader="dot" w:pos="9289"/>
        </w:tabs>
        <w:spacing w:before="0" w:line="240" w:lineRule="auto"/>
        <w:contextualSpacing/>
        <w:jc w:val="both"/>
        <w:rPr>
          <w:rFonts w:eastAsiaTheme="minorEastAsia"/>
          <w:i w:val="0"/>
          <w:noProof/>
          <w:color w:val="FFFFFF" w:themeColor="background1"/>
          <w:kern w:val="2"/>
          <w:sz w:val="18"/>
          <w:szCs w:val="18"/>
          <w:lang w:val="bg-BG" w:eastAsia="ro-RO"/>
          <w14:ligatures w14:val="standardContextual"/>
        </w:rPr>
      </w:pPr>
      <w:hyperlink w:anchor="_Toc167697418" w:history="1">
        <w:r w:rsidRPr="007375EB">
          <w:rPr>
            <w:rStyle w:val="Hyperlink"/>
            <w:b/>
            <w:noProof/>
            <w:color w:val="FFFFFF" w:themeColor="background1"/>
            <w:sz w:val="18"/>
            <w:szCs w:val="18"/>
            <w:lang w:val="bg-BG" w:eastAsia="ro-RO"/>
          </w:rPr>
          <w:t>6.3.</w:t>
        </w:r>
        <w:r w:rsidRPr="007375EB">
          <w:rPr>
            <w:rFonts w:eastAsiaTheme="minorEastAsia"/>
            <w:i w:val="0"/>
            <w:noProof/>
            <w:color w:val="FFFFFF" w:themeColor="background1"/>
            <w:kern w:val="2"/>
            <w:sz w:val="18"/>
            <w:szCs w:val="18"/>
            <w:lang w:val="bg-BG" w:eastAsia="ro-RO"/>
            <w14:ligatures w14:val="standardContextual"/>
          </w:rPr>
          <w:tab/>
        </w:r>
        <w:r w:rsidR="00B51CDF" w:rsidRPr="007375EB">
          <w:rPr>
            <w:rStyle w:val="Hyperlink"/>
            <w:b/>
            <w:noProof/>
            <w:color w:val="FFFFFF" w:themeColor="background1"/>
            <w:sz w:val="18"/>
            <w:szCs w:val="18"/>
            <w:lang w:val="bg-BG" w:eastAsia="ro-RO"/>
          </w:rPr>
          <w:t xml:space="preserve">Потенциални значителни въздействия, алтернативни без реализиране на </w:t>
        </w:r>
        <w:r w:rsidR="0014580E" w:rsidRPr="007375EB">
          <w:rPr>
            <w:rStyle w:val="Hyperlink"/>
            <w:b/>
            <w:noProof/>
            <w:color w:val="FFFFFF" w:themeColor="background1"/>
            <w:sz w:val="18"/>
            <w:szCs w:val="18"/>
            <w:lang w:val="bg-BG" w:eastAsia="ro-RO"/>
          </w:rPr>
          <w:t>ЗГП</w:t>
        </w:r>
        <w:r w:rsidR="00B51CDF" w:rsidRPr="007375EB">
          <w:rPr>
            <w:rStyle w:val="Hyperlink"/>
            <w:b/>
            <w:noProof/>
            <w:color w:val="FFFFFF" w:themeColor="background1"/>
            <w:sz w:val="18"/>
            <w:szCs w:val="18"/>
            <w:lang w:val="bg-BG" w:eastAsia="ro-RO"/>
          </w:rPr>
          <w:t xml:space="preserve"> ("нулева" алтернатива</w:t>
        </w:r>
        <w:r w:rsidRPr="007375EB">
          <w:rPr>
            <w:rStyle w:val="Hyperlink"/>
            <w:b/>
            <w:noProof/>
            <w:color w:val="FFFFFF" w:themeColor="background1"/>
            <w:sz w:val="18"/>
            <w:szCs w:val="18"/>
            <w:lang w:val="bg-BG" w:eastAsia="ro-RO"/>
          </w:rPr>
          <w:t>”)</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_Toc167697418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107</w:t>
        </w:r>
        <w:r w:rsidRPr="007375EB">
          <w:rPr>
            <w:noProof/>
            <w:webHidden/>
            <w:color w:val="FFFFFF" w:themeColor="background1"/>
            <w:sz w:val="18"/>
            <w:szCs w:val="18"/>
            <w:lang w:val="bg-BG"/>
          </w:rPr>
          <w:fldChar w:fldCharType="end"/>
        </w:r>
      </w:hyperlink>
    </w:p>
    <w:p w14:paraId="7A8FB0A2" w14:textId="12295AB3" w:rsidR="00EC0A63" w:rsidRPr="007375EB" w:rsidRDefault="00EC0A63" w:rsidP="00CE147C">
      <w:pPr>
        <w:pStyle w:val="TOC2"/>
        <w:tabs>
          <w:tab w:val="left" w:pos="720"/>
          <w:tab w:val="right" w:leader="dot" w:pos="9289"/>
        </w:tabs>
        <w:spacing w:before="0" w:line="240" w:lineRule="auto"/>
        <w:contextualSpacing/>
        <w:jc w:val="both"/>
        <w:rPr>
          <w:rFonts w:eastAsiaTheme="minorEastAsia"/>
          <w:i w:val="0"/>
          <w:noProof/>
          <w:color w:val="FFFFFF" w:themeColor="background1"/>
          <w:kern w:val="2"/>
          <w:sz w:val="18"/>
          <w:szCs w:val="18"/>
          <w:lang w:val="bg-BG" w:eastAsia="ro-RO"/>
          <w14:ligatures w14:val="standardContextual"/>
        </w:rPr>
      </w:pPr>
      <w:hyperlink w:anchor="_Toc167697419" w:history="1">
        <w:r w:rsidRPr="007375EB">
          <w:rPr>
            <w:rStyle w:val="Hyperlink"/>
            <w:b/>
            <w:noProof/>
            <w:color w:val="FFFFFF" w:themeColor="background1"/>
            <w:sz w:val="18"/>
            <w:szCs w:val="18"/>
            <w:lang w:val="bg-BG" w:eastAsia="ro-RO"/>
          </w:rPr>
          <w:t>6.4.</w:t>
        </w:r>
        <w:r w:rsidRPr="007375EB">
          <w:rPr>
            <w:rFonts w:eastAsiaTheme="minorEastAsia"/>
            <w:i w:val="0"/>
            <w:noProof/>
            <w:color w:val="FFFFFF" w:themeColor="background1"/>
            <w:kern w:val="2"/>
            <w:sz w:val="18"/>
            <w:szCs w:val="18"/>
            <w:lang w:val="bg-BG" w:eastAsia="ro-RO"/>
            <w14:ligatures w14:val="standardContextual"/>
          </w:rPr>
          <w:tab/>
        </w:r>
        <w:r w:rsidR="00B51CDF" w:rsidRPr="007375EB">
          <w:rPr>
            <w:rStyle w:val="Hyperlink"/>
            <w:b/>
            <w:noProof/>
            <w:color w:val="FFFFFF" w:themeColor="background1"/>
            <w:sz w:val="18"/>
            <w:szCs w:val="18"/>
            <w:lang w:val="bg-BG" w:eastAsia="ro-RO"/>
          </w:rPr>
          <w:t xml:space="preserve">Потенциални значителни въздействия, алтернативни на прилагането на </w:t>
        </w:r>
        <w:r w:rsidR="0014580E" w:rsidRPr="007375EB">
          <w:rPr>
            <w:rStyle w:val="Hyperlink"/>
            <w:b/>
            <w:noProof/>
            <w:color w:val="FFFFFF" w:themeColor="background1"/>
            <w:sz w:val="18"/>
            <w:szCs w:val="18"/>
            <w:lang w:val="bg-BG" w:eastAsia="ro-RO"/>
          </w:rPr>
          <w:t>ЗГП</w:t>
        </w:r>
        <w:r w:rsidR="00B51CDF" w:rsidRPr="007375EB">
          <w:rPr>
            <w:rStyle w:val="Hyperlink"/>
            <w:b/>
            <w:noProof/>
            <w:color w:val="FFFFFF" w:themeColor="background1"/>
            <w:sz w:val="18"/>
            <w:szCs w:val="18"/>
            <w:lang w:val="bg-BG" w:eastAsia="ro-RO"/>
          </w:rPr>
          <w:t xml:space="preserve"> - избран вариант</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_Toc167697419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108</w:t>
        </w:r>
        <w:r w:rsidRPr="007375EB">
          <w:rPr>
            <w:noProof/>
            <w:webHidden/>
            <w:color w:val="FFFFFF" w:themeColor="background1"/>
            <w:sz w:val="18"/>
            <w:szCs w:val="18"/>
            <w:lang w:val="bg-BG"/>
          </w:rPr>
          <w:fldChar w:fldCharType="end"/>
        </w:r>
      </w:hyperlink>
    </w:p>
    <w:p w14:paraId="75783A0C" w14:textId="069A57EC" w:rsidR="00EC0A63" w:rsidRPr="007375EB" w:rsidRDefault="00EC0A63" w:rsidP="00CE147C">
      <w:pPr>
        <w:pStyle w:val="TOC1"/>
        <w:tabs>
          <w:tab w:val="left" w:pos="540"/>
          <w:tab w:val="right" w:leader="dot" w:pos="9289"/>
        </w:tabs>
        <w:spacing w:before="0" w:line="240" w:lineRule="auto"/>
        <w:contextualSpacing/>
        <w:jc w:val="both"/>
        <w:rPr>
          <w:rFonts w:eastAsiaTheme="minorEastAsia"/>
          <w:b w:val="0"/>
          <w:noProof/>
          <w:color w:val="FFFFFF" w:themeColor="background1"/>
          <w:kern w:val="2"/>
          <w:sz w:val="18"/>
          <w:szCs w:val="18"/>
          <w:lang w:val="bg-BG" w:eastAsia="ro-RO"/>
          <w14:ligatures w14:val="standardContextual"/>
        </w:rPr>
      </w:pPr>
      <w:hyperlink w:anchor="_Toc167697420" w:history="1">
        <w:r w:rsidRPr="007375EB">
          <w:rPr>
            <w:rStyle w:val="Hyperlink"/>
            <w:noProof/>
            <w:color w:val="FFFFFF" w:themeColor="background1"/>
            <w:sz w:val="18"/>
            <w:szCs w:val="18"/>
            <w:lang w:val="bg-BG" w:eastAsia="ro-RO"/>
          </w:rPr>
          <w:t>7.</w:t>
        </w:r>
        <w:r w:rsidRPr="007375EB">
          <w:rPr>
            <w:rFonts w:eastAsiaTheme="minorEastAsia"/>
            <w:b w:val="0"/>
            <w:noProof/>
            <w:color w:val="FFFFFF" w:themeColor="background1"/>
            <w:kern w:val="2"/>
            <w:sz w:val="18"/>
            <w:szCs w:val="18"/>
            <w:lang w:val="bg-BG" w:eastAsia="ro-RO"/>
            <w14:ligatures w14:val="standardContextual"/>
          </w:rPr>
          <w:tab/>
        </w:r>
        <w:r w:rsidR="00B51CDF" w:rsidRPr="007375EB">
          <w:rPr>
            <w:rStyle w:val="Hyperlink"/>
            <w:noProof/>
            <w:color w:val="FFFFFF" w:themeColor="background1"/>
            <w:sz w:val="18"/>
            <w:szCs w:val="18"/>
            <w:lang w:val="bg-BG" w:eastAsia="ro-RO"/>
          </w:rPr>
          <w:t>Възможни значителни въздействия върху околната среда, включително върху здравето, в трансграничен контекст</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_Toc167697420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126</w:t>
        </w:r>
        <w:r w:rsidRPr="007375EB">
          <w:rPr>
            <w:noProof/>
            <w:webHidden/>
            <w:color w:val="FFFFFF" w:themeColor="background1"/>
            <w:sz w:val="18"/>
            <w:szCs w:val="18"/>
            <w:lang w:val="bg-BG"/>
          </w:rPr>
          <w:fldChar w:fldCharType="end"/>
        </w:r>
      </w:hyperlink>
    </w:p>
    <w:p w14:paraId="2057E0A9" w14:textId="45A2C609" w:rsidR="00EC0A63" w:rsidRPr="007375EB" w:rsidRDefault="00EC0A63" w:rsidP="00CE147C">
      <w:pPr>
        <w:pStyle w:val="TOC1"/>
        <w:tabs>
          <w:tab w:val="left" w:pos="540"/>
          <w:tab w:val="right" w:leader="dot" w:pos="9289"/>
        </w:tabs>
        <w:spacing w:before="0" w:line="240" w:lineRule="auto"/>
        <w:contextualSpacing/>
        <w:jc w:val="both"/>
        <w:rPr>
          <w:rFonts w:eastAsiaTheme="minorEastAsia"/>
          <w:b w:val="0"/>
          <w:noProof/>
          <w:color w:val="FFFFFF" w:themeColor="background1"/>
          <w:kern w:val="2"/>
          <w:sz w:val="18"/>
          <w:szCs w:val="18"/>
          <w:lang w:val="bg-BG" w:eastAsia="ro-RO"/>
          <w14:ligatures w14:val="standardContextual"/>
        </w:rPr>
      </w:pPr>
      <w:hyperlink w:anchor="_Toc167697421" w:history="1">
        <w:r w:rsidRPr="007375EB">
          <w:rPr>
            <w:rStyle w:val="Hyperlink"/>
            <w:noProof/>
            <w:color w:val="FFFFFF" w:themeColor="background1"/>
            <w:sz w:val="18"/>
            <w:szCs w:val="18"/>
            <w:lang w:val="bg-BG" w:eastAsia="ro-RO"/>
          </w:rPr>
          <w:t>8.</w:t>
        </w:r>
        <w:r w:rsidRPr="007375EB">
          <w:rPr>
            <w:rFonts w:eastAsiaTheme="minorEastAsia"/>
            <w:b w:val="0"/>
            <w:noProof/>
            <w:color w:val="FFFFFF" w:themeColor="background1"/>
            <w:kern w:val="2"/>
            <w:sz w:val="18"/>
            <w:szCs w:val="18"/>
            <w:lang w:val="bg-BG" w:eastAsia="ro-RO"/>
            <w14:ligatures w14:val="standardContextual"/>
          </w:rPr>
          <w:tab/>
        </w:r>
        <w:r w:rsidR="00CE147C" w:rsidRPr="007375EB">
          <w:rPr>
            <w:rStyle w:val="Hyperlink"/>
            <w:noProof/>
            <w:color w:val="FFFFFF" w:themeColor="background1"/>
            <w:sz w:val="18"/>
            <w:szCs w:val="18"/>
            <w:lang w:val="bg-BG" w:eastAsia="ro-RO"/>
          </w:rPr>
          <w:t xml:space="preserve">Предложени мерки за предотвратяване, намаляване и възможно най-пълно компенсиране на неблагоприятните екологични ефекти от изпълнението на </w:t>
        </w:r>
        <w:r w:rsidR="0014580E" w:rsidRPr="007375EB">
          <w:rPr>
            <w:rStyle w:val="Hyperlink"/>
            <w:noProof/>
            <w:color w:val="FFFFFF" w:themeColor="background1"/>
            <w:sz w:val="18"/>
            <w:szCs w:val="18"/>
            <w:lang w:val="bg-BG" w:eastAsia="ro-RO"/>
          </w:rPr>
          <w:t>ЗГП</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_Toc167697421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174</w:t>
        </w:r>
        <w:r w:rsidRPr="007375EB">
          <w:rPr>
            <w:noProof/>
            <w:webHidden/>
            <w:color w:val="FFFFFF" w:themeColor="background1"/>
            <w:sz w:val="18"/>
            <w:szCs w:val="18"/>
            <w:lang w:val="bg-BG"/>
          </w:rPr>
          <w:fldChar w:fldCharType="end"/>
        </w:r>
      </w:hyperlink>
    </w:p>
    <w:p w14:paraId="66528870" w14:textId="11F59EC6" w:rsidR="00EC0A63" w:rsidRPr="007375EB" w:rsidRDefault="00EC0A63" w:rsidP="00CE147C">
      <w:pPr>
        <w:pStyle w:val="TOC1"/>
        <w:tabs>
          <w:tab w:val="left" w:pos="540"/>
          <w:tab w:val="right" w:leader="dot" w:pos="9289"/>
        </w:tabs>
        <w:spacing w:before="0" w:line="240" w:lineRule="auto"/>
        <w:contextualSpacing/>
        <w:jc w:val="both"/>
        <w:rPr>
          <w:rFonts w:eastAsiaTheme="minorEastAsia"/>
          <w:b w:val="0"/>
          <w:noProof/>
          <w:color w:val="FFFFFF" w:themeColor="background1"/>
          <w:kern w:val="2"/>
          <w:sz w:val="18"/>
          <w:szCs w:val="18"/>
          <w:lang w:val="bg-BG" w:eastAsia="ro-RO"/>
          <w14:ligatures w14:val="standardContextual"/>
        </w:rPr>
      </w:pPr>
      <w:hyperlink w:anchor="_Toc167697422" w:history="1">
        <w:r w:rsidRPr="007375EB">
          <w:rPr>
            <w:rStyle w:val="Hyperlink"/>
            <w:noProof/>
            <w:color w:val="FFFFFF" w:themeColor="background1"/>
            <w:sz w:val="18"/>
            <w:szCs w:val="18"/>
            <w:lang w:val="bg-BG" w:eastAsia="ro-RO"/>
          </w:rPr>
          <w:t>9.</w:t>
        </w:r>
        <w:r w:rsidRPr="007375EB">
          <w:rPr>
            <w:rFonts w:eastAsiaTheme="minorEastAsia"/>
            <w:b w:val="0"/>
            <w:noProof/>
            <w:color w:val="FFFFFF" w:themeColor="background1"/>
            <w:kern w:val="2"/>
            <w:sz w:val="18"/>
            <w:szCs w:val="18"/>
            <w:lang w:val="bg-BG" w:eastAsia="ro-RO"/>
            <w14:ligatures w14:val="standardContextual"/>
          </w:rPr>
          <w:tab/>
        </w:r>
        <w:r w:rsidR="00CE147C" w:rsidRPr="007375EB">
          <w:rPr>
            <w:rStyle w:val="Hyperlink"/>
            <w:noProof/>
            <w:color w:val="FFFFFF" w:themeColor="background1"/>
            <w:sz w:val="18"/>
            <w:szCs w:val="18"/>
            <w:lang w:val="bg-BG" w:eastAsia="ro-RO"/>
          </w:rPr>
          <w:t>Обяснение на причините, довели до избора на избраните опции и описание на начина, по който е извършена оценката, включително всякакви трудности (като технически недостатъци или липса на ноу-хау), възникнали при обработката на исканата информация</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_Toc167697422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180</w:t>
        </w:r>
        <w:r w:rsidRPr="007375EB">
          <w:rPr>
            <w:noProof/>
            <w:webHidden/>
            <w:color w:val="FFFFFF" w:themeColor="background1"/>
            <w:sz w:val="18"/>
            <w:szCs w:val="18"/>
            <w:lang w:val="bg-BG"/>
          </w:rPr>
          <w:fldChar w:fldCharType="end"/>
        </w:r>
      </w:hyperlink>
    </w:p>
    <w:p w14:paraId="074910C0" w14:textId="04301B78" w:rsidR="00EC0A63" w:rsidRPr="007375EB" w:rsidRDefault="00EC0A63" w:rsidP="00CE147C">
      <w:pPr>
        <w:pStyle w:val="TOC1"/>
        <w:tabs>
          <w:tab w:val="left" w:pos="540"/>
          <w:tab w:val="right" w:leader="dot" w:pos="9289"/>
        </w:tabs>
        <w:spacing w:before="0" w:line="240" w:lineRule="auto"/>
        <w:contextualSpacing/>
        <w:jc w:val="both"/>
        <w:rPr>
          <w:rFonts w:eastAsiaTheme="minorEastAsia"/>
          <w:b w:val="0"/>
          <w:noProof/>
          <w:color w:val="FFFFFF" w:themeColor="background1"/>
          <w:kern w:val="2"/>
          <w:sz w:val="18"/>
          <w:szCs w:val="18"/>
          <w:lang w:val="bg-BG" w:eastAsia="ro-RO"/>
          <w14:ligatures w14:val="standardContextual"/>
        </w:rPr>
      </w:pPr>
      <w:hyperlink w:anchor="_Toc167697423" w:history="1">
        <w:r w:rsidRPr="007375EB">
          <w:rPr>
            <w:rStyle w:val="Hyperlink"/>
            <w:noProof/>
            <w:color w:val="FFFFFF" w:themeColor="background1"/>
            <w:sz w:val="18"/>
            <w:szCs w:val="18"/>
            <w:lang w:val="bg-BG" w:eastAsia="ro-RO"/>
          </w:rPr>
          <w:t>10.</w:t>
        </w:r>
        <w:r w:rsidRPr="007375EB">
          <w:rPr>
            <w:rFonts w:eastAsiaTheme="minorEastAsia"/>
            <w:b w:val="0"/>
            <w:noProof/>
            <w:color w:val="FFFFFF" w:themeColor="background1"/>
            <w:kern w:val="2"/>
            <w:sz w:val="18"/>
            <w:szCs w:val="18"/>
            <w:lang w:val="bg-BG" w:eastAsia="ro-RO"/>
            <w14:ligatures w14:val="standardContextual"/>
          </w:rPr>
          <w:tab/>
        </w:r>
        <w:r w:rsidR="00CE147C" w:rsidRPr="007375EB">
          <w:rPr>
            <w:rStyle w:val="Hyperlink"/>
            <w:noProof/>
            <w:color w:val="FFFFFF" w:themeColor="background1"/>
            <w:sz w:val="18"/>
            <w:szCs w:val="18"/>
            <w:lang w:val="bg-BG" w:eastAsia="ro-RO"/>
          </w:rPr>
          <w:t>Описание на мерките, предвидени за мониторинг на значимите ефекти от прилагането на PUZ</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_Toc167697423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184</w:t>
        </w:r>
        <w:r w:rsidRPr="007375EB">
          <w:rPr>
            <w:noProof/>
            <w:webHidden/>
            <w:color w:val="FFFFFF" w:themeColor="background1"/>
            <w:sz w:val="18"/>
            <w:szCs w:val="18"/>
            <w:lang w:val="bg-BG"/>
          </w:rPr>
          <w:fldChar w:fldCharType="end"/>
        </w:r>
      </w:hyperlink>
    </w:p>
    <w:p w14:paraId="191443FC" w14:textId="3858CF2F" w:rsidR="00EC0A63" w:rsidRPr="007375EB" w:rsidRDefault="00EC0A63" w:rsidP="00CE147C">
      <w:pPr>
        <w:pStyle w:val="TOC1"/>
        <w:tabs>
          <w:tab w:val="left" w:pos="540"/>
          <w:tab w:val="right" w:leader="dot" w:pos="9289"/>
        </w:tabs>
        <w:spacing w:before="0" w:line="240" w:lineRule="auto"/>
        <w:contextualSpacing/>
        <w:jc w:val="both"/>
        <w:rPr>
          <w:rFonts w:eastAsiaTheme="minorEastAsia"/>
          <w:b w:val="0"/>
          <w:noProof/>
          <w:color w:val="FFFFFF" w:themeColor="background1"/>
          <w:kern w:val="2"/>
          <w:sz w:val="18"/>
          <w:szCs w:val="18"/>
          <w:lang w:val="bg-BG" w:eastAsia="ro-RO"/>
          <w14:ligatures w14:val="standardContextual"/>
        </w:rPr>
      </w:pPr>
      <w:hyperlink w:anchor="_Toc167697424" w:history="1">
        <w:r w:rsidRPr="007375EB">
          <w:rPr>
            <w:rStyle w:val="Hyperlink"/>
            <w:noProof/>
            <w:color w:val="FFFFFF" w:themeColor="background1"/>
            <w:sz w:val="18"/>
            <w:szCs w:val="18"/>
            <w:lang w:val="bg-BG" w:eastAsia="ro-RO"/>
          </w:rPr>
          <w:t>11.</w:t>
        </w:r>
        <w:r w:rsidRPr="007375EB">
          <w:rPr>
            <w:rFonts w:eastAsiaTheme="minorEastAsia"/>
            <w:b w:val="0"/>
            <w:noProof/>
            <w:color w:val="FFFFFF" w:themeColor="background1"/>
            <w:kern w:val="2"/>
            <w:sz w:val="18"/>
            <w:szCs w:val="18"/>
            <w:lang w:val="bg-BG" w:eastAsia="ro-RO"/>
            <w14:ligatures w14:val="standardContextual"/>
          </w:rPr>
          <w:tab/>
        </w:r>
        <w:r w:rsidR="00CE147C" w:rsidRPr="007375EB">
          <w:rPr>
            <w:rStyle w:val="Hyperlink"/>
            <w:noProof/>
            <w:color w:val="FFFFFF" w:themeColor="background1"/>
            <w:sz w:val="18"/>
            <w:szCs w:val="18"/>
            <w:lang w:val="bg-BG" w:eastAsia="ro-RO"/>
          </w:rPr>
          <w:t>Нетехническо резюмиране</w:t>
        </w:r>
        <w:r w:rsidRPr="007375EB">
          <w:rPr>
            <w:noProof/>
            <w:webHidden/>
            <w:color w:val="FFFFFF" w:themeColor="background1"/>
            <w:sz w:val="18"/>
            <w:szCs w:val="18"/>
            <w:lang w:val="bg-BG"/>
          </w:rPr>
          <w:tab/>
        </w:r>
        <w:r w:rsidRPr="007375EB">
          <w:rPr>
            <w:noProof/>
            <w:webHidden/>
            <w:color w:val="FFFFFF" w:themeColor="background1"/>
            <w:sz w:val="18"/>
            <w:szCs w:val="18"/>
            <w:lang w:val="bg-BG"/>
          </w:rPr>
          <w:fldChar w:fldCharType="begin"/>
        </w:r>
        <w:r w:rsidRPr="007375EB">
          <w:rPr>
            <w:noProof/>
            <w:webHidden/>
            <w:color w:val="FFFFFF" w:themeColor="background1"/>
            <w:sz w:val="18"/>
            <w:szCs w:val="18"/>
            <w:lang w:val="bg-BG"/>
          </w:rPr>
          <w:instrText xml:space="preserve"> PAGEREF _Toc167697424 \h </w:instrText>
        </w:r>
        <w:r w:rsidRPr="007375EB">
          <w:rPr>
            <w:noProof/>
            <w:webHidden/>
            <w:color w:val="FFFFFF" w:themeColor="background1"/>
            <w:sz w:val="18"/>
            <w:szCs w:val="18"/>
            <w:lang w:val="bg-BG"/>
          </w:rPr>
        </w:r>
        <w:r w:rsidRPr="007375EB">
          <w:rPr>
            <w:noProof/>
            <w:webHidden/>
            <w:color w:val="FFFFFF" w:themeColor="background1"/>
            <w:sz w:val="18"/>
            <w:szCs w:val="18"/>
            <w:lang w:val="bg-BG"/>
          </w:rPr>
          <w:fldChar w:fldCharType="separate"/>
        </w:r>
        <w:r w:rsidR="003F0FA4" w:rsidRPr="007375EB">
          <w:rPr>
            <w:noProof/>
            <w:webHidden/>
            <w:color w:val="FFFFFF" w:themeColor="background1"/>
            <w:sz w:val="18"/>
            <w:szCs w:val="18"/>
            <w:lang w:val="bg-BG"/>
          </w:rPr>
          <w:t>187</w:t>
        </w:r>
        <w:r w:rsidRPr="007375EB">
          <w:rPr>
            <w:noProof/>
            <w:webHidden/>
            <w:color w:val="FFFFFF" w:themeColor="background1"/>
            <w:sz w:val="18"/>
            <w:szCs w:val="18"/>
            <w:lang w:val="bg-BG"/>
          </w:rPr>
          <w:fldChar w:fldCharType="end"/>
        </w:r>
      </w:hyperlink>
    </w:p>
    <w:p w14:paraId="2CB0E5FE" w14:textId="77777777" w:rsidR="00FA2B83" w:rsidRPr="007375EB" w:rsidRDefault="00033E70" w:rsidP="001F0D7D">
      <w:pPr>
        <w:pStyle w:val="TOC1"/>
        <w:spacing w:before="120" w:line="360" w:lineRule="auto"/>
        <w:ind w:right="-57"/>
        <w:jc w:val="both"/>
        <w:rPr>
          <w:b w:val="0"/>
          <w:bCs w:val="0"/>
          <w:color w:val="FFFFFF" w:themeColor="background1"/>
          <w:lang w:val="bg-BG"/>
        </w:rPr>
      </w:pPr>
      <w:r w:rsidRPr="007375EB">
        <w:rPr>
          <w:b w:val="0"/>
          <w:bCs w:val="0"/>
          <w:color w:val="FFFFFF" w:themeColor="background1"/>
          <w:lang w:val="bg-BG"/>
        </w:rPr>
        <w:fldChar w:fldCharType="end"/>
      </w:r>
    </w:p>
    <w:p w14:paraId="1363FA30" w14:textId="77777777" w:rsidR="00FA2B83" w:rsidRPr="007375EB" w:rsidRDefault="00FA2B83" w:rsidP="001F0D7D">
      <w:pPr>
        <w:pStyle w:val="TOC1"/>
        <w:spacing w:before="120" w:line="360" w:lineRule="auto"/>
        <w:ind w:right="-57"/>
        <w:jc w:val="both"/>
        <w:rPr>
          <w:b w:val="0"/>
          <w:bCs w:val="0"/>
          <w:color w:val="FFFFFF" w:themeColor="background1"/>
          <w:lang w:val="bg-BG"/>
        </w:rPr>
      </w:pPr>
    </w:p>
    <w:p w14:paraId="76838775" w14:textId="77777777" w:rsidR="00FA2B83" w:rsidRPr="007375EB" w:rsidRDefault="00FA2B83" w:rsidP="001F0D7D">
      <w:pPr>
        <w:pStyle w:val="TOC1"/>
        <w:spacing w:before="120" w:line="360" w:lineRule="auto"/>
        <w:ind w:right="-57"/>
        <w:jc w:val="both"/>
        <w:rPr>
          <w:b w:val="0"/>
          <w:bCs w:val="0"/>
          <w:color w:val="FFFFFF" w:themeColor="background1"/>
          <w:lang w:val="bg-BG"/>
        </w:rPr>
      </w:pPr>
    </w:p>
    <w:p w14:paraId="5E9E95A7" w14:textId="77777777" w:rsidR="00FA2B83" w:rsidRPr="007375EB" w:rsidRDefault="00FA2B83" w:rsidP="001F0D7D">
      <w:pPr>
        <w:pStyle w:val="TOC1"/>
        <w:spacing w:before="120" w:line="360" w:lineRule="auto"/>
        <w:ind w:right="-57"/>
        <w:jc w:val="both"/>
        <w:rPr>
          <w:b w:val="0"/>
          <w:bCs w:val="0"/>
          <w:color w:val="FFFFFF" w:themeColor="background1"/>
          <w:lang w:val="bg-BG"/>
        </w:rPr>
      </w:pPr>
    </w:p>
    <w:p w14:paraId="3012CE18" w14:textId="1DBEFA2C" w:rsidR="005137EE" w:rsidRPr="007375EB" w:rsidRDefault="00F709C8" w:rsidP="001F0D7D">
      <w:pPr>
        <w:pStyle w:val="TOC1"/>
        <w:spacing w:before="120" w:line="360" w:lineRule="auto"/>
        <w:ind w:right="-57"/>
        <w:jc w:val="both"/>
        <w:rPr>
          <w:rFonts w:asciiTheme="majorHAnsi" w:hAnsiTheme="majorHAnsi"/>
          <w:b w:val="0"/>
          <w:bCs w:val="0"/>
          <w:lang w:val="bg-BG" w:eastAsia="en-GB"/>
        </w:rPr>
      </w:pPr>
      <w:r w:rsidRPr="007375EB">
        <w:rPr>
          <w:rFonts w:ascii="Verdana" w:eastAsiaTheme="majorEastAsia" w:hAnsi="Verdana" w:cstheme="majorBidi"/>
          <w:color w:val="009DF0" w:themeColor="text2"/>
          <w:lang w:val="bg-BG" w:eastAsia="ro-RO"/>
        </w:rPr>
        <w:t>Въведение</w:t>
      </w:r>
    </w:p>
    <w:p w14:paraId="64F3754E" w14:textId="32806E44" w:rsidR="0076052D" w:rsidRPr="007375EB" w:rsidRDefault="00F709C8" w:rsidP="0076052D">
      <w:pPr>
        <w:autoSpaceDE w:val="0"/>
        <w:autoSpaceDN w:val="0"/>
        <w:adjustRightInd w:val="0"/>
        <w:spacing w:after="120" w:line="360" w:lineRule="auto"/>
        <w:jc w:val="both"/>
        <w:rPr>
          <w:rFonts w:cs="Arial"/>
          <w:i/>
          <w:iCs/>
          <w:lang w:val="bg-BG"/>
        </w:rPr>
      </w:pPr>
      <w:r w:rsidRPr="007375EB">
        <w:rPr>
          <w:rFonts w:cs="Arial"/>
          <w:lang w:val="bg-BG"/>
        </w:rPr>
        <w:t xml:space="preserve">Този доклад за околната среда описва и оценява възможните значителни въздействия върху околната среда, генерирани от „Зонален градоустройствен план </w:t>
      </w:r>
      <w:sdt>
        <w:sdtPr>
          <w:rPr>
            <w:i/>
            <w:iCs/>
            <w:lang w:val="bg-BG"/>
          </w:rPr>
          <w:alias w:val="Category"/>
          <w:id w:val="-69967845"/>
          <w:placeholder>
            <w:docPart w:val="D4E203F0929445E59746B16C14BA63BB"/>
          </w:placeholder>
          <w:dataBinding w:prefixMappings="xmlns:ns0='http://purl.org/dc/elements/1.1/' xmlns:ns1='http://schemas.openxmlformats.org/package/2006/metadata/core-properties' " w:xpath="/ns1:coreProperties[1]/ns1:category[1]" w:storeItemID="{6C3C8BC8-F283-45AE-878A-BAB7291924A1}"/>
          <w:text/>
        </w:sdtPr>
        <w:sdtContent>
          <w:r w:rsidR="00B51CDF" w:rsidRPr="007375EB">
            <w:rPr>
              <w:i/>
              <w:iCs/>
              <w:lang w:val="bg-BG"/>
            </w:rPr>
            <w:t>Парк за вятърна енергия 48 (46) Вятърни електроцентрали прибл. 316.8МВт (303.6МВт), Трансформаторни станции, Електрически мрежи, изграждане и модернизация на комуникационни и достъпни пътища</w:t>
          </w:r>
        </w:sdtContent>
      </w:sdt>
      <w:r w:rsidR="00B51CDF" w:rsidRPr="007375EB">
        <w:rPr>
          <w:rFonts w:cs="Arial"/>
          <w:lang w:val="bg-BG"/>
        </w:rPr>
        <w:t xml:space="preserve"> </w:t>
      </w:r>
      <w:r w:rsidRPr="007375EB">
        <w:rPr>
          <w:rFonts w:cs="Arial"/>
          <w:lang w:val="bg-BG"/>
        </w:rPr>
        <w:t>" се предлага да бъде разположен в покрайнините на Черкезу, окръг Констанца</w:t>
      </w:r>
      <w:r w:rsidR="0029670F" w:rsidRPr="007375EB">
        <w:rPr>
          <w:rFonts w:cs="Arial"/>
          <w:lang w:val="bg-BG"/>
        </w:rPr>
        <w:t>.</w:t>
      </w:r>
    </w:p>
    <w:p w14:paraId="4FF03068" w14:textId="7C32F014" w:rsidR="00F709C8" w:rsidRPr="007375EB" w:rsidRDefault="00F709C8" w:rsidP="00F709C8">
      <w:pPr>
        <w:shd w:val="clear" w:color="auto" w:fill="FFFFFF"/>
        <w:spacing w:after="120" w:line="360" w:lineRule="auto"/>
        <w:jc w:val="both"/>
        <w:rPr>
          <w:rFonts w:cs="Arial"/>
          <w:lang w:val="bg-BG"/>
        </w:rPr>
      </w:pPr>
      <w:r w:rsidRPr="007375EB">
        <w:rPr>
          <w:rFonts w:cs="Arial"/>
          <w:lang w:val="bg-BG"/>
        </w:rPr>
        <w:t>Зоналният градоустройствен план е иницииран с цел установяване на условията за местоположение, оразмеряване, технологично съответствие и градоустройствена регулация за „</w:t>
      </w:r>
      <w:sdt>
        <w:sdtPr>
          <w:rPr>
            <w:i/>
            <w:iCs/>
            <w:lang w:val="bg-BG"/>
          </w:rPr>
          <w:alias w:val="Category"/>
          <w:id w:val="-1424096048"/>
          <w:placeholder>
            <w:docPart w:val="C443052CF2814D19AA5ED9880AE9C2F6"/>
          </w:placeholder>
          <w:dataBinding w:prefixMappings="xmlns:ns0='http://purl.org/dc/elements/1.1/' xmlns:ns1='http://schemas.openxmlformats.org/package/2006/metadata/core-properties' " w:xpath="/ns1:coreProperties[1]/ns1:category[1]" w:storeItemID="{6C3C8BC8-F283-45AE-878A-BAB7291924A1}"/>
          <w:text/>
        </w:sdtPr>
        <w:sdtContent>
          <w:r w:rsidR="00B51CDF" w:rsidRPr="007375EB">
            <w:rPr>
              <w:i/>
              <w:iCs/>
              <w:lang w:val="bg-BG"/>
            </w:rPr>
            <w:t>Парк за вятърна енергия 48 (46) Вятърни електроцентрали прибл. 316.8МВт (303.6МВт), Трансформаторни станции, Електрически мрежи, изграждане и модернизация на комуникационни и достъпни пътища</w:t>
          </w:r>
        </w:sdtContent>
      </w:sdt>
      <w:r w:rsidRPr="007375EB">
        <w:rPr>
          <w:rFonts w:cs="Arial"/>
          <w:lang w:val="bg-BG"/>
        </w:rPr>
        <w:t>”.</w:t>
      </w:r>
    </w:p>
    <w:p w14:paraId="4E5888DC" w14:textId="221BE908" w:rsidR="00F709C8" w:rsidRPr="007375EB" w:rsidRDefault="00F709C8" w:rsidP="00F709C8">
      <w:pPr>
        <w:shd w:val="clear" w:color="auto" w:fill="FFFFFF"/>
        <w:spacing w:after="120" w:line="360" w:lineRule="auto"/>
        <w:jc w:val="both"/>
        <w:rPr>
          <w:rFonts w:cs="Arial"/>
          <w:lang w:val="bg-BG"/>
        </w:rPr>
      </w:pPr>
      <w:r w:rsidRPr="007375EB">
        <w:rPr>
          <w:rFonts w:cs="Arial"/>
          <w:lang w:val="bg-BG"/>
        </w:rPr>
        <w:t xml:space="preserve">Собственикът на плана „Зонален градоустройствен план </w:t>
      </w:r>
      <w:sdt>
        <w:sdtPr>
          <w:rPr>
            <w:i/>
            <w:iCs/>
            <w:lang w:val="bg-BG"/>
          </w:rPr>
          <w:alias w:val="Category"/>
          <w:id w:val="303982376"/>
          <w:placeholder>
            <w:docPart w:val="8E6112E0450846D38507018EA8F8C0A3"/>
          </w:placeholder>
          <w:dataBinding w:prefixMappings="xmlns:ns0='http://purl.org/dc/elements/1.1/' xmlns:ns1='http://schemas.openxmlformats.org/package/2006/metadata/core-properties' " w:xpath="/ns1:coreProperties[1]/ns1:category[1]" w:storeItemID="{6C3C8BC8-F283-45AE-878A-BAB7291924A1}"/>
          <w:text/>
        </w:sdtPr>
        <w:sdtContent>
          <w:r w:rsidR="00B51CDF" w:rsidRPr="007375EB">
            <w:rPr>
              <w:i/>
              <w:iCs/>
              <w:lang w:val="bg-BG"/>
            </w:rPr>
            <w:t>Парк за вятърна енергия 48 (46) Вятърни електроцентрали прибл. 316.8МВт (303.6МВт), Трансформаторни станции, Електрически мрежи, изграждане и модернизация на комуникационни и достъпни пътища</w:t>
          </w:r>
        </w:sdtContent>
      </w:sdt>
      <w:r w:rsidR="00B51CDF" w:rsidRPr="007375EB">
        <w:rPr>
          <w:rFonts w:cs="Arial"/>
          <w:lang w:val="bg-BG"/>
        </w:rPr>
        <w:t xml:space="preserve"> </w:t>
      </w:r>
      <w:r w:rsidRPr="007375EB">
        <w:rPr>
          <w:rFonts w:cs="Arial"/>
          <w:lang w:val="bg-BG"/>
        </w:rPr>
        <w:t>“ е SOUTH WIND S.R.L., със седалище в град Букурещ, сектор 1, ул. Турда, № 122, бл. B, Et. 2, кв. 54.</w:t>
      </w:r>
    </w:p>
    <w:p w14:paraId="5B6FAA64" w14:textId="66422CF2" w:rsidR="00B51CDF" w:rsidRPr="007375EB" w:rsidRDefault="00B51CDF" w:rsidP="002F4188">
      <w:pPr>
        <w:autoSpaceDE w:val="0"/>
        <w:autoSpaceDN w:val="0"/>
        <w:adjustRightInd w:val="0"/>
        <w:spacing w:after="120" w:line="360" w:lineRule="auto"/>
        <w:jc w:val="both"/>
        <w:rPr>
          <w:rFonts w:cs="Arial"/>
          <w:lang w:val="bg-BG"/>
        </w:rPr>
      </w:pPr>
      <w:r w:rsidRPr="007375EB">
        <w:rPr>
          <w:rFonts w:cs="Arial"/>
          <w:lang w:val="bg-BG"/>
        </w:rPr>
        <w:t>Главен проектант ARHICO CONSULTING S.R.L., със седалище в Констанца, булевард Мамая, № 68, Бл. Bi4, Вх. B, етаж 2, кв. 35, окръг Констанца.</w:t>
      </w:r>
    </w:p>
    <w:p w14:paraId="5C7CCFB8" w14:textId="1ACA8B37" w:rsidR="00556515" w:rsidRPr="007375EB" w:rsidRDefault="00556515" w:rsidP="0076052D">
      <w:pPr>
        <w:autoSpaceDE w:val="0"/>
        <w:autoSpaceDN w:val="0"/>
        <w:adjustRightInd w:val="0"/>
        <w:spacing w:after="120" w:line="360" w:lineRule="auto"/>
        <w:jc w:val="both"/>
        <w:rPr>
          <w:rFonts w:cs="Arial"/>
          <w:lang w:val="bg-BG"/>
        </w:rPr>
      </w:pPr>
      <w:r w:rsidRPr="007375EB">
        <w:rPr>
          <w:rFonts w:cs="Arial"/>
          <w:lang w:val="bg-BG"/>
        </w:rPr>
        <w:t>”</w:t>
      </w:r>
      <w:sdt>
        <w:sdtPr>
          <w:rPr>
            <w:i/>
            <w:iCs/>
            <w:lang w:val="bg-BG"/>
          </w:rPr>
          <w:alias w:val="Category"/>
          <w:id w:val="2083412286"/>
          <w:placeholder>
            <w:docPart w:val="91FE3C34F937476CB304939C34E19D1D"/>
          </w:placeholder>
          <w:dataBinding w:prefixMappings="xmlns:ns0='http://purl.org/dc/elements/1.1/' xmlns:ns1='http://schemas.openxmlformats.org/package/2006/metadata/core-properties' " w:xpath="/ns1:coreProperties[1]/ns1:category[1]" w:storeItemID="{6C3C8BC8-F283-45AE-878A-BAB7291924A1}"/>
          <w:text/>
        </w:sdtPr>
        <w:sdtContent>
          <w:r w:rsidR="00B51CDF" w:rsidRPr="007375EB">
            <w:rPr>
              <w:i/>
              <w:iCs/>
              <w:lang w:val="bg-BG"/>
            </w:rPr>
            <w:t>Парк за вятърна енергия 48 (46) Вятърни електроцентрали прибл. 316.8МВт (303.6МВт), Трансформаторни станции, Електрически мрежи, изграждане и модернизация на комуникационни и достъпни пътища</w:t>
          </w:r>
        </w:sdtContent>
      </w:sdt>
      <w:r w:rsidRPr="007375EB">
        <w:rPr>
          <w:rFonts w:cs="Arial"/>
          <w:lang w:val="bg-BG"/>
        </w:rPr>
        <w:t xml:space="preserve">” </w:t>
      </w:r>
      <w:r w:rsidR="00B51CDF" w:rsidRPr="007375EB">
        <w:rPr>
          <w:rFonts w:cs="Arial"/>
          <w:lang w:val="bg-BG"/>
        </w:rPr>
        <w:t xml:space="preserve">ще се намира в предградията, в западната и източната част на административната територия на община Черчезу, на границата на общините </w:t>
      </w:r>
      <w:r w:rsidR="00813962" w:rsidRPr="007375EB">
        <w:rPr>
          <w:rFonts w:cs="Arial"/>
          <w:lang w:val="bg-BG"/>
        </w:rPr>
        <w:t>Кирногени</w:t>
      </w:r>
      <w:r w:rsidR="00B51CDF" w:rsidRPr="007375EB">
        <w:rPr>
          <w:rFonts w:cs="Arial"/>
          <w:lang w:val="bg-BG"/>
        </w:rPr>
        <w:t>, Индепенденца, Думбравени и градата Негру Вода, окръг Констанца.</w:t>
      </w:r>
    </w:p>
    <w:p w14:paraId="29522E8C" w14:textId="4E07EB29" w:rsidR="00846035" w:rsidRPr="007375EB" w:rsidRDefault="00B51CDF" w:rsidP="00C36DC7">
      <w:pPr>
        <w:spacing w:after="146" w:line="359" w:lineRule="auto"/>
        <w:ind w:right="5"/>
        <w:jc w:val="both"/>
        <w:rPr>
          <w:rFonts w:cs="Arial"/>
          <w:lang w:val="bg-BG"/>
        </w:rPr>
      </w:pPr>
      <w:r w:rsidRPr="007375EB">
        <w:rPr>
          <w:rFonts w:cs="Arial"/>
          <w:lang w:val="bg-BG"/>
        </w:rPr>
        <w:t>След получаване на съгласието на TRANSGAZ SA №</w:t>
      </w:r>
      <w:r w:rsidR="00CE147C" w:rsidRPr="007375EB">
        <w:rPr>
          <w:rFonts w:cs="Arial"/>
          <w:lang w:val="bg-BG"/>
        </w:rPr>
        <w:t xml:space="preserve"> </w:t>
      </w:r>
      <w:r w:rsidRPr="007375EB">
        <w:rPr>
          <w:rFonts w:cs="Arial"/>
          <w:lang w:val="bg-BG"/>
        </w:rPr>
        <w:t xml:space="preserve">34618/948/10.05.2023 г. за въпросния план е наложен отказ от 2 обекта, съответно вятърни електроцентрали Т17 и Т23, които не са спазили законовите отстояния от идентифицираните магистрални тръбопроводи и по този начин с цел спазване на условията, наложени от </w:t>
      </w:r>
      <w:r w:rsidR="00CE147C" w:rsidRPr="007375EB">
        <w:rPr>
          <w:rFonts w:cs="Arial"/>
          <w:lang w:val="bg-BG"/>
        </w:rPr>
        <w:t xml:space="preserve">съгласието </w:t>
      </w:r>
      <w:r w:rsidRPr="007375EB">
        <w:rPr>
          <w:rFonts w:cs="Arial"/>
          <w:lang w:val="bg-BG"/>
        </w:rPr>
        <w:t>на Transgaz, броят на вятърните електроцентрали е 46</w:t>
      </w:r>
      <w:r w:rsidR="00846035" w:rsidRPr="007375EB">
        <w:rPr>
          <w:lang w:val="bg-BG"/>
        </w:rPr>
        <w:t>.</w:t>
      </w:r>
    </w:p>
    <w:p w14:paraId="4EFA6902" w14:textId="7A73D3E2" w:rsidR="00CE147C" w:rsidRPr="007375EB" w:rsidRDefault="00CE147C" w:rsidP="003F3C11">
      <w:pPr>
        <w:autoSpaceDE w:val="0"/>
        <w:autoSpaceDN w:val="0"/>
        <w:adjustRightInd w:val="0"/>
        <w:spacing w:after="120" w:line="360" w:lineRule="auto"/>
        <w:jc w:val="both"/>
        <w:rPr>
          <w:rFonts w:cs="Arial"/>
          <w:b/>
          <w:bCs/>
          <w:lang w:val="bg-BG"/>
        </w:rPr>
      </w:pPr>
      <w:r w:rsidRPr="007375EB">
        <w:rPr>
          <w:rFonts w:cs="Arial"/>
          <w:lang w:val="bg-BG"/>
        </w:rPr>
        <w:t xml:space="preserve">Агенцията за опазване на околната среда Констанца (наричана по-долу „APM Констанца“) реши с първоначалното решение № 32/12.04.2024 г., че за този план е необходимо да се премине през процедурата за </w:t>
      </w:r>
      <w:r w:rsidRPr="007375EB">
        <w:rPr>
          <w:rFonts w:cs="Arial"/>
          <w:b/>
          <w:bCs/>
          <w:lang w:val="bg-BG"/>
        </w:rPr>
        <w:t>оценка на околната среда, подходящата процедура за оценка и процедурата за оценка на околната среда в трансграничен контекст</w:t>
      </w:r>
      <w:r w:rsidRPr="007375EB">
        <w:rPr>
          <w:rFonts w:cs="Arial"/>
          <w:lang w:val="bg-BG"/>
        </w:rPr>
        <w:t xml:space="preserve">, като се има предвид включването на PUZ в разпоредбите на чл.5 , ал. 2 от Решение на правителството (РП) No 1076/2004 г., резултатите от оценката на критериите, установени в приложение №. 1 от РП № 1076/2004 с последващи изменения и възможните ефекти, които биха могли да имат върху защитените природни територии. Така </w:t>
      </w:r>
      <w:r w:rsidR="0014580E" w:rsidRPr="007375EB">
        <w:rPr>
          <w:rFonts w:cs="Arial"/>
          <w:b/>
          <w:bCs/>
          <w:lang w:val="bg-BG"/>
        </w:rPr>
        <w:t>ЗГП</w:t>
      </w:r>
      <w:r w:rsidRPr="007375EB">
        <w:rPr>
          <w:rFonts w:cs="Arial"/>
          <w:b/>
          <w:bCs/>
          <w:lang w:val="bg-BG"/>
        </w:rPr>
        <w:t xml:space="preserve"> ще подлежи на процедура за приемане с екологично одобрение.</w:t>
      </w:r>
    </w:p>
    <w:p w14:paraId="45CCF146" w14:textId="49A6FB7E" w:rsidR="004D7042" w:rsidRPr="007375EB" w:rsidRDefault="00CE147C" w:rsidP="004D7042">
      <w:pPr>
        <w:autoSpaceDE w:val="0"/>
        <w:autoSpaceDN w:val="0"/>
        <w:adjustRightInd w:val="0"/>
        <w:spacing w:after="120" w:line="360" w:lineRule="auto"/>
        <w:jc w:val="both"/>
        <w:rPr>
          <w:rFonts w:cs="Arial"/>
          <w:lang w:val="bg-BG"/>
        </w:rPr>
      </w:pPr>
      <w:r w:rsidRPr="007375EB">
        <w:rPr>
          <w:rFonts w:cs="Arial"/>
          <w:lang w:val="bg-BG"/>
        </w:rPr>
        <w:lastRenderedPageBreak/>
        <w:t>Докладът за околната среда и Изследването за адекватна оценка трябваше да бъдат разработени, за да се премине през процедурата по околната среда.</w:t>
      </w:r>
    </w:p>
    <w:p w14:paraId="56E55653" w14:textId="4CF60FB7" w:rsidR="00EA6160" w:rsidRPr="007375EB" w:rsidRDefault="00EA6160" w:rsidP="00EA6160">
      <w:pPr>
        <w:autoSpaceDE w:val="0"/>
        <w:autoSpaceDN w:val="0"/>
        <w:adjustRightInd w:val="0"/>
        <w:spacing w:after="120" w:line="360" w:lineRule="auto"/>
        <w:jc w:val="both"/>
        <w:rPr>
          <w:rFonts w:cs="Arial"/>
          <w:lang w:val="bg-BG"/>
        </w:rPr>
      </w:pPr>
      <w:r w:rsidRPr="007375EB">
        <w:rPr>
          <w:rFonts w:cs="Arial"/>
          <w:lang w:val="bg-BG"/>
        </w:rPr>
        <w:t>Доклад за околната среда е неразделна част от процедурата за приемане на планове и програми, които могат да имат значително въздействие върху околната среда, като процедурата за нейното извършване е регламентирана в РП № 1076/2004 г. за установяване на процедура за извършване на екологична оценка на планове и програми, с последващи изменения. С това решение се транспонират в националното законодателство разпоредбите на Директива 2001/42/ЕО на Европейския парламент и на Съвета от 27.06.2001 г. относно оценката на последиците на някои планове и програми върху околната среда (наричана по-нататък "Директива за СЕО").</w:t>
      </w:r>
    </w:p>
    <w:p w14:paraId="16864569" w14:textId="288A0E04" w:rsidR="00EA6160" w:rsidRPr="007375EB" w:rsidRDefault="00EA6160" w:rsidP="00EA6160">
      <w:pPr>
        <w:autoSpaceDE w:val="0"/>
        <w:autoSpaceDN w:val="0"/>
        <w:adjustRightInd w:val="0"/>
        <w:spacing w:after="120" w:line="360" w:lineRule="auto"/>
        <w:jc w:val="both"/>
        <w:rPr>
          <w:rFonts w:cs="Arial"/>
          <w:lang w:val="bg-BG"/>
        </w:rPr>
      </w:pPr>
      <w:r w:rsidRPr="007375EB">
        <w:rPr>
          <w:rFonts w:cs="Arial"/>
          <w:lang w:val="bg-BG"/>
        </w:rPr>
        <w:t>В доклада за околната среда се идентифицират, описват и оценяват потенциалните значителни въздействия върху околната среда от прилагането на Зонален градоустройствен план, както и неговите алтернативи, като се вземат предвид целите и обхванатата географска област.</w:t>
      </w:r>
    </w:p>
    <w:p w14:paraId="71D47717" w14:textId="60D2681F" w:rsidR="00EE5A4C" w:rsidRPr="007375EB" w:rsidRDefault="00EA6160" w:rsidP="00EE5A4C">
      <w:pPr>
        <w:autoSpaceDE w:val="0"/>
        <w:autoSpaceDN w:val="0"/>
        <w:adjustRightInd w:val="0"/>
        <w:spacing w:after="120" w:line="360" w:lineRule="auto"/>
        <w:jc w:val="both"/>
        <w:rPr>
          <w:rFonts w:cs="Arial"/>
          <w:lang w:val="bg-BG"/>
        </w:rPr>
      </w:pPr>
      <w:r w:rsidRPr="007375EB">
        <w:rPr>
          <w:rFonts w:cs="Arial"/>
          <w:lang w:val="bg-BG"/>
        </w:rPr>
        <w:t>Докладът за околната среда е изготвен в съответствие с разпоредбите на Приложение № 2 към РП № 1076/2004, препоръките на Общото ръководство за процедурата за стратегическа екологична оценка (СЕО), разработено от Министерството на околната среда и управлението на водите в сътрудничество с Националната агенция за опазване на околната среда и на Ръководството за прилагане на процедурата за извършване на изготвя екологична оценка за планове и програми, одобрени със заповед на министъра на околната среда и управлението на водите № 117/2006 г.</w:t>
      </w:r>
    </w:p>
    <w:p w14:paraId="6FD58531" w14:textId="49DADB9C" w:rsidR="00030763" w:rsidRPr="007375EB" w:rsidRDefault="0030746B" w:rsidP="00EE5A4C">
      <w:pPr>
        <w:autoSpaceDE w:val="0"/>
        <w:autoSpaceDN w:val="0"/>
        <w:adjustRightInd w:val="0"/>
        <w:spacing w:after="120" w:line="360" w:lineRule="auto"/>
        <w:jc w:val="both"/>
        <w:rPr>
          <w:rFonts w:cs="Arial"/>
          <w:lang w:val="bg-BG"/>
        </w:rPr>
      </w:pPr>
      <w:r w:rsidRPr="007375EB">
        <w:rPr>
          <w:rFonts w:cs="Arial"/>
          <w:lang w:val="bg-BG"/>
        </w:rPr>
        <w:t>Изследването за адекватна оценка е извършено в съответствие с разпоредбите на Методическото ръководство за адекватна оценка на потенциалните въздействия на плановете или проектите върху защитените природни територии от интерес за Общността, одобрено със Заповед № 1682/2023 г., впоследствие изменено и допълнено със Заповед № 2.452/2023 г., и в съответствие с разпоредбите на специалното ръководство (одобрено със Заповед № 1679/2023 г. за одобряване на специфичното Методическо ръководство за адекватна оценка на потенциалните въздействия на плановете/проектите в зоните от интерес), като е взето предвид, че въпросният план е включен в зоната "Производство на енергия".</w:t>
      </w:r>
    </w:p>
    <w:p w14:paraId="2A6C3203" w14:textId="70BBFA97" w:rsidR="0030746B" w:rsidRPr="007375EB" w:rsidRDefault="0030746B" w:rsidP="0030746B">
      <w:pPr>
        <w:autoSpaceDE w:val="0"/>
        <w:autoSpaceDN w:val="0"/>
        <w:adjustRightInd w:val="0"/>
        <w:spacing w:after="120" w:line="360" w:lineRule="auto"/>
        <w:jc w:val="both"/>
        <w:rPr>
          <w:rFonts w:cs="Arial"/>
          <w:lang w:val="bg-BG"/>
        </w:rPr>
      </w:pPr>
      <w:r w:rsidRPr="007375EB">
        <w:rPr>
          <w:rFonts w:cs="Arial"/>
          <w:lang w:val="bg-BG"/>
        </w:rPr>
        <w:t>Заключенията от изследването на адекватна оценка са представени и включени в този доклад за околната среда.</w:t>
      </w:r>
    </w:p>
    <w:p w14:paraId="0D064D37" w14:textId="1CF70384" w:rsidR="004D7042" w:rsidRPr="007375EB" w:rsidRDefault="0030746B" w:rsidP="00EE5A4C">
      <w:pPr>
        <w:autoSpaceDE w:val="0"/>
        <w:autoSpaceDN w:val="0"/>
        <w:adjustRightInd w:val="0"/>
        <w:spacing w:after="120" w:line="360" w:lineRule="auto"/>
        <w:jc w:val="both"/>
        <w:rPr>
          <w:rFonts w:cs="Arial"/>
          <w:lang w:val="bg-BG"/>
        </w:rPr>
      </w:pPr>
      <w:r w:rsidRPr="007375EB">
        <w:rPr>
          <w:rFonts w:cs="Arial"/>
          <w:lang w:val="bg-BG"/>
        </w:rPr>
        <w:t xml:space="preserve">Докладът за околната среда и проучването за адекватна оценка са извършени от SC Ramboll South East Europe SRL, компания, сертифицирана от Комисията за атестиране на физически и юридически лица, разработващи екологични проучвания, назначена от Министерството на околната среда и горите и регистрирана в Регистър на дипломираните експерти за разработване на екологични проучвания, за следните области и изследвания: Доклад за оценка на въздействието върху околната среда (RIM-2, RIM-3, RIM-7, RIM-11a, RIM-11b, RIM-11c); Доклад за обекта (RA-7; RM-3, RM-11a), Доклад за околната среда (RM-11b, RM-11c, RM-13b); Доклад за безопасност (RS-2, RS-11c); Екологичен баланс (BM-2, BM-11b, BM-11c); Проучване за оценка на адекватността (EA); Изследване на изменението на климата (EGSC) - Сертификат №. RGX 333/1.08.2022 г. (виж </w:t>
      </w:r>
      <w:r w:rsidRPr="007375EB">
        <w:rPr>
          <w:rFonts w:cs="Arial"/>
          <w:b/>
          <w:bCs/>
          <w:color w:val="ED0000"/>
          <w:lang w:val="bg-BG"/>
        </w:rPr>
        <w:t>Приложение</w:t>
      </w:r>
      <w:r w:rsidRPr="007375EB">
        <w:rPr>
          <w:rFonts w:cs="Arial"/>
          <w:color w:val="ED0000"/>
          <w:lang w:val="bg-BG"/>
        </w:rPr>
        <w:t xml:space="preserve"> </w:t>
      </w:r>
      <w:r w:rsidR="00EE5A4C" w:rsidRPr="007375EB">
        <w:rPr>
          <w:rFonts w:cs="Arial"/>
          <w:b/>
          <w:bCs/>
          <w:color w:val="FE4B00" w:themeColor="accent5" w:themeShade="BF"/>
          <w:lang w:val="bg-BG"/>
        </w:rPr>
        <w:t>1</w:t>
      </w:r>
      <w:r w:rsidR="00EE5A4C" w:rsidRPr="007375EB">
        <w:rPr>
          <w:rFonts w:cs="Arial"/>
          <w:lang w:val="bg-BG"/>
        </w:rPr>
        <w:t>).</w:t>
      </w:r>
    </w:p>
    <w:p w14:paraId="4E148C3A" w14:textId="77777777" w:rsidR="001F0D7D" w:rsidRPr="007375EB" w:rsidRDefault="001F0D7D" w:rsidP="009D29AE">
      <w:pPr>
        <w:rPr>
          <w:lang w:val="bg-BG" w:eastAsia="en-GB"/>
        </w:rPr>
        <w:sectPr w:rsidR="001F0D7D" w:rsidRPr="007375EB" w:rsidSect="00BD75F4">
          <w:footerReference w:type="default" r:id="rId26"/>
          <w:pgSz w:w="11906" w:h="16838" w:code="9"/>
          <w:pgMar w:top="1702" w:right="1416" w:bottom="1418" w:left="1191" w:header="839" w:footer="680" w:gutter="0"/>
          <w:cols w:space="708"/>
          <w:docGrid w:linePitch="360"/>
        </w:sectPr>
      </w:pPr>
    </w:p>
    <w:p w14:paraId="441A1743" w14:textId="01D3F53B" w:rsidR="006B59ED" w:rsidRPr="007375EB" w:rsidRDefault="00EA6160" w:rsidP="00FF5E18">
      <w:pPr>
        <w:pStyle w:val="Heading1"/>
        <w:numPr>
          <w:ilvl w:val="0"/>
          <w:numId w:val="16"/>
        </w:numPr>
        <w:suppressAutoHyphens w:val="0"/>
        <w:spacing w:before="0" w:after="240" w:line="360" w:lineRule="auto"/>
        <w:ind w:left="567" w:hanging="567"/>
        <w:contextualSpacing w:val="0"/>
        <w:jc w:val="both"/>
        <w:rPr>
          <w:b/>
          <w:bCs w:val="0"/>
          <w:sz w:val="20"/>
          <w:szCs w:val="20"/>
          <w:lang w:val="bg-BG" w:eastAsia="ro-RO"/>
        </w:rPr>
      </w:pPr>
      <w:r w:rsidRPr="007375EB">
        <w:rPr>
          <w:b/>
          <w:bCs w:val="0"/>
          <w:sz w:val="20"/>
          <w:szCs w:val="20"/>
          <w:lang w:val="bg-BG" w:eastAsia="ro-RO"/>
        </w:rPr>
        <w:lastRenderedPageBreak/>
        <w:t>Излагане на съдържанието и основните цели на зоналния градоустройствен план (</w:t>
      </w:r>
      <w:r w:rsidR="0014580E" w:rsidRPr="007375EB">
        <w:rPr>
          <w:b/>
          <w:bCs w:val="0"/>
          <w:sz w:val="20"/>
          <w:szCs w:val="20"/>
          <w:lang w:val="bg-BG" w:eastAsia="ro-RO"/>
        </w:rPr>
        <w:t>ЗГП</w:t>
      </w:r>
      <w:r w:rsidRPr="007375EB">
        <w:rPr>
          <w:b/>
          <w:bCs w:val="0"/>
          <w:sz w:val="20"/>
          <w:szCs w:val="20"/>
          <w:lang w:val="bg-BG" w:eastAsia="ro-RO"/>
        </w:rPr>
        <w:t>) и връзката с други съответни планове и програми</w:t>
      </w:r>
    </w:p>
    <w:p w14:paraId="3AF60D6E" w14:textId="58167A7C" w:rsidR="006B59ED" w:rsidRPr="007375EB" w:rsidRDefault="00EA6160" w:rsidP="00125F99">
      <w:pPr>
        <w:pStyle w:val="ListParagraph"/>
        <w:numPr>
          <w:ilvl w:val="1"/>
          <w:numId w:val="20"/>
        </w:numPr>
        <w:spacing w:after="120" w:line="360" w:lineRule="auto"/>
        <w:outlineLvl w:val="1"/>
        <w:rPr>
          <w:bCs/>
          <w:i/>
          <w:iCs/>
          <w:color w:val="1C78F4" w:themeColor="accent1" w:themeTint="99"/>
          <w:lang w:val="bg-BG" w:eastAsia="ro-RO"/>
        </w:rPr>
      </w:pPr>
      <w:r w:rsidRPr="007375EB">
        <w:rPr>
          <w:bCs/>
          <w:color w:val="1C78F4" w:themeColor="accent1" w:themeTint="99"/>
          <w:lang w:val="bg-BG" w:eastAsia="ro-RO"/>
        </w:rPr>
        <w:t>Излагане на съдържанието и основните цели на зоналния градоустройствен план (</w:t>
      </w:r>
      <w:r w:rsidR="0014580E" w:rsidRPr="007375EB">
        <w:rPr>
          <w:bCs/>
          <w:color w:val="1C78F4" w:themeColor="accent1" w:themeTint="99"/>
          <w:lang w:val="bg-BG" w:eastAsia="ro-RO"/>
        </w:rPr>
        <w:t>ЗГП</w:t>
      </w:r>
      <w:r w:rsidRPr="007375EB">
        <w:rPr>
          <w:bCs/>
          <w:color w:val="1C78F4" w:themeColor="accent1" w:themeTint="99"/>
          <w:lang w:val="bg-BG" w:eastAsia="ro-RO"/>
        </w:rPr>
        <w:t>)</w:t>
      </w:r>
    </w:p>
    <w:p w14:paraId="6194507A" w14:textId="77777777" w:rsidR="00EA6160" w:rsidRPr="007375EB" w:rsidRDefault="00EA6160" w:rsidP="00EA6160">
      <w:pPr>
        <w:shd w:val="clear" w:color="auto" w:fill="FFFFFF"/>
        <w:spacing w:after="120" w:line="360" w:lineRule="auto"/>
        <w:jc w:val="both"/>
        <w:rPr>
          <w:rFonts w:cs="Arial"/>
          <w:lang w:val="bg-BG"/>
        </w:rPr>
      </w:pPr>
      <w:r w:rsidRPr="007375EB">
        <w:rPr>
          <w:rFonts w:cs="Arial"/>
          <w:lang w:val="bg-BG"/>
        </w:rPr>
        <w:t>Зоналният градоустройствен план е иницииран с цел установяване на условията за местоположение, оразмеряване, технологично съответствие и градоустройствена регулация за „</w:t>
      </w:r>
      <w:sdt>
        <w:sdtPr>
          <w:rPr>
            <w:i/>
            <w:iCs/>
            <w:lang w:val="bg-BG"/>
          </w:rPr>
          <w:alias w:val="Category"/>
          <w:id w:val="-645433265"/>
          <w:placeholder>
            <w:docPart w:val="877C516FFBEB4E56862634C1DEB7F6C0"/>
          </w:placeholder>
          <w:dataBinding w:prefixMappings="xmlns:ns0='http://purl.org/dc/elements/1.1/' xmlns:ns1='http://schemas.openxmlformats.org/package/2006/metadata/core-properties' " w:xpath="/ns1:coreProperties[1]/ns1:category[1]" w:storeItemID="{6C3C8BC8-F283-45AE-878A-BAB7291924A1}"/>
          <w:text/>
        </w:sdtPr>
        <w:sdtContent>
          <w:r w:rsidRPr="007375EB">
            <w:rPr>
              <w:i/>
              <w:iCs/>
              <w:lang w:val="bg-BG"/>
            </w:rPr>
            <w:t>Парк за вятърна енергия 48 (46) Вятърни електроцентрали прибл. 316.8МВт (303.6МВт), Трансформаторни станции, Електрически мрежи, изграждане и модернизация на комуникационни и достъпни пътища</w:t>
          </w:r>
        </w:sdtContent>
      </w:sdt>
      <w:r w:rsidRPr="007375EB">
        <w:rPr>
          <w:rFonts w:cs="Arial"/>
          <w:lang w:val="bg-BG"/>
        </w:rPr>
        <w:t>”.</w:t>
      </w:r>
    </w:p>
    <w:p w14:paraId="0EAEB9A5" w14:textId="0B77FA5C" w:rsidR="002F579F" w:rsidRPr="007375EB" w:rsidRDefault="0030746B" w:rsidP="00125F99">
      <w:pPr>
        <w:pStyle w:val="ListParagraph"/>
        <w:numPr>
          <w:ilvl w:val="2"/>
          <w:numId w:val="20"/>
        </w:numPr>
        <w:spacing w:after="120" w:line="360" w:lineRule="auto"/>
        <w:outlineLvl w:val="2"/>
        <w:rPr>
          <w:b/>
          <w:bCs/>
          <w:i/>
          <w:iCs/>
          <w:color w:val="009DF0"/>
          <w:lang w:val="bg-BG" w:eastAsia="ro-RO"/>
        </w:rPr>
      </w:pPr>
      <w:r w:rsidRPr="007375EB">
        <w:rPr>
          <w:b/>
          <w:bCs/>
          <w:i/>
          <w:iCs/>
          <w:color w:val="009DF0"/>
          <w:lang w:val="bg-BG" w:eastAsia="ro-RO"/>
        </w:rPr>
        <w:t>Съдържанието на PUZ</w:t>
      </w:r>
    </w:p>
    <w:p w14:paraId="35068A20" w14:textId="3BD6B2E0" w:rsidR="00724E7A" w:rsidRPr="007375EB" w:rsidRDefault="006333F2" w:rsidP="00DB4B54">
      <w:pPr>
        <w:autoSpaceDE w:val="0"/>
        <w:autoSpaceDN w:val="0"/>
        <w:adjustRightInd w:val="0"/>
        <w:spacing w:after="120" w:line="360" w:lineRule="auto"/>
        <w:jc w:val="both"/>
        <w:rPr>
          <w:rFonts w:cs="Arial"/>
          <w:lang w:val="bg-BG"/>
        </w:rPr>
      </w:pPr>
      <w:r w:rsidRPr="007375EB">
        <w:rPr>
          <w:rFonts w:cs="Arial"/>
          <w:lang w:val="bg-BG"/>
        </w:rPr>
        <w:t>Търговското дружество SOUTH WIND SRL възнамерява да изгради на територията на община Черкезу парк за вятърна енергия, състоящ се от 48 (46) вятърни електроцентрали с общ капацитет от около 316,8 (303,6) МВт</w:t>
      </w:r>
      <w:r w:rsidR="00724E7A" w:rsidRPr="007375EB">
        <w:rPr>
          <w:rFonts w:cs="Arial"/>
          <w:lang w:val="bg-BG"/>
        </w:rPr>
        <w:t xml:space="preserve">. </w:t>
      </w:r>
    </w:p>
    <w:p w14:paraId="26012BA2" w14:textId="6A62F694" w:rsidR="00700B79" w:rsidRPr="007375EB" w:rsidRDefault="006333F2" w:rsidP="00700B79">
      <w:pPr>
        <w:spacing w:after="120" w:line="360" w:lineRule="auto"/>
        <w:jc w:val="both"/>
        <w:rPr>
          <w:lang w:val="bg-BG"/>
        </w:rPr>
      </w:pPr>
      <w:r w:rsidRPr="007375EB">
        <w:rPr>
          <w:lang w:val="bg-BG"/>
        </w:rPr>
        <w:t xml:space="preserve">В процеса на реализиране на </w:t>
      </w:r>
      <w:r w:rsidR="0014580E" w:rsidRPr="007375EB">
        <w:rPr>
          <w:lang w:val="bg-BG"/>
        </w:rPr>
        <w:t>ЗГП</w:t>
      </w:r>
      <w:r w:rsidRPr="007375EB">
        <w:rPr>
          <w:lang w:val="bg-BG"/>
        </w:rPr>
        <w:t xml:space="preserve"> бяха проучени 4 алтернативи</w:t>
      </w:r>
      <w:r w:rsidR="00700B79" w:rsidRPr="007375EB">
        <w:rPr>
          <w:lang w:val="bg-BG"/>
        </w:rPr>
        <w:t>:</w:t>
      </w:r>
    </w:p>
    <w:p w14:paraId="15F3B37B" w14:textId="181B7AB5" w:rsidR="00700B79" w:rsidRPr="00015438" w:rsidRDefault="006333F2" w:rsidP="00700B79">
      <w:pPr>
        <w:pStyle w:val="ListParagraph"/>
        <w:numPr>
          <w:ilvl w:val="0"/>
          <w:numId w:val="66"/>
        </w:numPr>
        <w:spacing w:after="120" w:line="360" w:lineRule="auto"/>
        <w:jc w:val="both"/>
        <w:rPr>
          <w:lang w:val="bg-BG"/>
        </w:rPr>
      </w:pPr>
      <w:r w:rsidRPr="007375EB">
        <w:rPr>
          <w:b/>
          <w:bCs/>
          <w:lang w:val="bg-BG"/>
        </w:rPr>
        <w:t xml:space="preserve">Алтернатива "нула" </w:t>
      </w:r>
      <w:r w:rsidRPr="007375EB">
        <w:rPr>
          <w:lang w:val="bg-BG"/>
        </w:rPr>
        <w:t>- без прилагане на PUZ</w:t>
      </w:r>
    </w:p>
    <w:p w14:paraId="1BF8425C" w14:textId="77777777" w:rsidR="00015438" w:rsidRPr="00E965E1" w:rsidRDefault="00015438" w:rsidP="00015438">
      <w:pPr>
        <w:spacing w:after="120" w:line="360" w:lineRule="auto"/>
        <w:jc w:val="both"/>
        <w:rPr>
          <w:lang w:val="bg-BG"/>
        </w:rPr>
      </w:pPr>
      <w:bookmarkStart w:id="9" w:name="_Hlk197442126"/>
      <w:r w:rsidRPr="00E965E1">
        <w:rPr>
          <w:lang w:val="bg-BG"/>
        </w:rPr>
        <w:t xml:space="preserve">Предимствата от незавършването на проекта са: </w:t>
      </w:r>
    </w:p>
    <w:p w14:paraId="625CFEE0" w14:textId="77777777" w:rsidR="00015438" w:rsidRPr="00E965E1" w:rsidRDefault="00015438" w:rsidP="00015438">
      <w:pPr>
        <w:spacing w:after="120" w:line="360" w:lineRule="auto"/>
        <w:jc w:val="both"/>
        <w:rPr>
          <w:lang w:val="bg-BG"/>
        </w:rPr>
      </w:pPr>
      <w:r w:rsidRPr="00E965E1">
        <w:rPr>
          <w:lang w:val="bg-BG"/>
        </w:rPr>
        <w:t xml:space="preserve">• Биоразнообразие - запазване на непроменено използване на земята на цялата площ, предложена за изграждане на бъдещия парк и запазване на целостта на присъстващите видове и евентуално присъстващи в бъдещото местоположение. </w:t>
      </w:r>
    </w:p>
    <w:p w14:paraId="4614FD5B" w14:textId="77777777" w:rsidR="00015438" w:rsidRPr="00E965E1" w:rsidRDefault="00015438" w:rsidP="00015438">
      <w:pPr>
        <w:spacing w:after="120" w:line="360" w:lineRule="auto"/>
        <w:jc w:val="both"/>
        <w:rPr>
          <w:lang w:val="bg-BG"/>
        </w:rPr>
      </w:pPr>
      <w:r w:rsidRPr="00E965E1">
        <w:rPr>
          <w:lang w:val="bg-BG"/>
        </w:rPr>
        <w:t xml:space="preserve">• Вода - поддържане на качеството на водата (няма да има потенциални рискове от замърсяване на водните тела, пресечени от предложения маршрут, в случай на случайни замърсявания); </w:t>
      </w:r>
    </w:p>
    <w:p w14:paraId="2A6E7ABF" w14:textId="77777777" w:rsidR="00015438" w:rsidRPr="00E965E1" w:rsidRDefault="00015438" w:rsidP="00015438">
      <w:pPr>
        <w:spacing w:after="120" w:line="360" w:lineRule="auto"/>
        <w:jc w:val="both"/>
        <w:rPr>
          <w:lang w:val="bg-BG"/>
        </w:rPr>
      </w:pPr>
      <w:r w:rsidRPr="00E965E1">
        <w:rPr>
          <w:lang w:val="bg-BG"/>
        </w:rPr>
        <w:t xml:space="preserve">• Земя - запазване на почвените повърхности с растителност; </w:t>
      </w:r>
    </w:p>
    <w:p w14:paraId="0493A849" w14:textId="77777777" w:rsidR="00015438" w:rsidRPr="00E965E1" w:rsidRDefault="00015438" w:rsidP="00015438">
      <w:pPr>
        <w:spacing w:after="120" w:line="360" w:lineRule="auto"/>
        <w:jc w:val="both"/>
        <w:rPr>
          <w:lang w:val="bg-BG"/>
        </w:rPr>
      </w:pPr>
      <w:r w:rsidRPr="00E965E1">
        <w:rPr>
          <w:lang w:val="bg-BG"/>
        </w:rPr>
        <w:t xml:space="preserve">• Пейзаж - запазване на съществуващите полуестествени и антропогенни елементи; </w:t>
      </w:r>
    </w:p>
    <w:p w14:paraId="5AF6A57A" w14:textId="6B67B4E5" w:rsidR="00015438" w:rsidRPr="00E965E1" w:rsidRDefault="00015438" w:rsidP="00015438">
      <w:pPr>
        <w:spacing w:after="120" w:line="360" w:lineRule="auto"/>
        <w:jc w:val="both"/>
      </w:pPr>
      <w:r w:rsidRPr="00E965E1">
        <w:rPr>
          <w:lang w:val="bg-BG"/>
        </w:rPr>
        <w:t>• Социална и икономическа среда - поддържане на съществуващото положение (няма да се генерират други емисии в района на населените места, няма да се появят други източници на шум).</w:t>
      </w:r>
    </w:p>
    <w:p w14:paraId="5D8CE7EF" w14:textId="77777777" w:rsidR="00015438" w:rsidRPr="00E965E1" w:rsidRDefault="00015438" w:rsidP="00015438">
      <w:pPr>
        <w:spacing w:after="120" w:line="360" w:lineRule="auto"/>
        <w:jc w:val="both"/>
        <w:rPr>
          <w:lang w:val="bg-BG"/>
        </w:rPr>
      </w:pPr>
      <w:r w:rsidRPr="00E965E1">
        <w:rPr>
          <w:lang w:val="bg-BG"/>
        </w:rPr>
        <w:t xml:space="preserve">Въпреки това тези недостатъци ще могат да бъдат намалени или дори изключени чрез прилагането на набор от мерки за всеки потенциално засегнат компонент на проекта (социално-икономически компонент, биоразнообразие, повърхностни и подземни водни тела, почва и подпочвени слоеве, въздух). </w:t>
      </w:r>
    </w:p>
    <w:p w14:paraId="0C3E9E44" w14:textId="77777777" w:rsidR="00015438" w:rsidRPr="00E965E1" w:rsidRDefault="00015438" w:rsidP="00015438">
      <w:pPr>
        <w:spacing w:after="120" w:line="360" w:lineRule="auto"/>
        <w:jc w:val="both"/>
        <w:rPr>
          <w:lang w:val="bg-BG"/>
        </w:rPr>
      </w:pPr>
      <w:r w:rsidRPr="00E965E1">
        <w:rPr>
          <w:lang w:val="bg-BG"/>
        </w:rPr>
        <w:t xml:space="preserve">Неизпълнението на проекта обаче ще доведе до запазване на настоящите условия по отношение на емисиите на парникови газове, прахови частици, азотни и серни оксиди и т.н. В същото време решението да не се реализира предложената инвестиция може да допринесе за неспазване на целите, установени на европейско и национално ниво, а именно намаляване с 80%-95% до 2050 г. на въздействието на енергийния сектор върху околната среда. </w:t>
      </w:r>
    </w:p>
    <w:p w14:paraId="37EB7414" w14:textId="01AAB06B" w:rsidR="00015438" w:rsidRPr="00E965E1" w:rsidRDefault="00015438" w:rsidP="00015438">
      <w:pPr>
        <w:spacing w:after="120" w:line="360" w:lineRule="auto"/>
        <w:jc w:val="both"/>
        <w:rPr>
          <w:lang w:val="bg-BG"/>
        </w:rPr>
      </w:pPr>
      <w:r w:rsidRPr="00E965E1">
        <w:rPr>
          <w:lang w:val="bg-BG"/>
        </w:rPr>
        <w:lastRenderedPageBreak/>
        <w:t>Липсата на адекватна инфраструктура към условията за увеличаване на потреблението на енергия, която да привлече различни икономически оператори за икономическото развитие на региона, води до значително негативно въздействие върху икономическата среда. Освен това, в резултат на реализацията на проекта ще бъдат създадени нови работни места както по време на изпълнението, така и след това в периода на експлоатация на бъдещия парк.</w:t>
      </w:r>
    </w:p>
    <w:p w14:paraId="35770B49" w14:textId="77777777" w:rsidR="00015438" w:rsidRPr="00E965E1" w:rsidRDefault="00015438" w:rsidP="00015438">
      <w:pPr>
        <w:spacing w:after="120" w:line="360" w:lineRule="auto"/>
        <w:jc w:val="both"/>
        <w:rPr>
          <w:lang w:val="bg-BG"/>
        </w:rPr>
      </w:pPr>
      <w:r w:rsidRPr="00E965E1">
        <w:rPr>
          <w:lang w:val="bg-BG"/>
        </w:rPr>
        <w:t xml:space="preserve">Като се вземат предвид гореизложените факти, Алтернатива „0” не представлява жизнеспособна опция от гледна точка на въздействието върху околната среда. Изграждането на бъдещия парк представлява необходима опция, тъй като може да отговори на следните две основни цели: </w:t>
      </w:r>
    </w:p>
    <w:p w14:paraId="0D268209" w14:textId="77777777" w:rsidR="00015438" w:rsidRPr="00E965E1" w:rsidRDefault="00015438" w:rsidP="00015438">
      <w:pPr>
        <w:spacing w:after="120" w:line="360" w:lineRule="auto"/>
        <w:jc w:val="both"/>
        <w:rPr>
          <w:lang w:val="bg-BG"/>
        </w:rPr>
      </w:pPr>
      <w:r w:rsidRPr="00E965E1">
        <w:rPr>
          <w:lang w:val="bg-BG"/>
        </w:rPr>
        <w:t xml:space="preserve">• Значително намаляване на текущото отрицателно въздействие, дължащо се основно на производството на енергия от изкопаеми горива и съответно намаляване на емисиите на парникови газове; </w:t>
      </w:r>
    </w:p>
    <w:p w14:paraId="7DCB9D2E" w14:textId="32F8C83C" w:rsidR="00015438" w:rsidRPr="00E965E1" w:rsidRDefault="00015438" w:rsidP="00015438">
      <w:pPr>
        <w:spacing w:after="120" w:line="360" w:lineRule="auto"/>
        <w:jc w:val="both"/>
        <w:rPr>
          <w:lang w:val="bg-BG"/>
        </w:rPr>
      </w:pPr>
      <w:r w:rsidRPr="00E965E1">
        <w:rPr>
          <w:lang w:val="bg-BG"/>
        </w:rPr>
        <w:t>• Избягване на генерирането на допълнителни значителни въздействия чрез избора на местоположение и конструктивни решения на бъдещата инвестиция.</w:t>
      </w:r>
    </w:p>
    <w:bookmarkEnd w:id="9"/>
    <w:p w14:paraId="4139300E" w14:textId="45D63218" w:rsidR="00700B79" w:rsidRPr="007375EB" w:rsidRDefault="006333F2" w:rsidP="00700B79">
      <w:pPr>
        <w:pStyle w:val="ListParagraph"/>
        <w:numPr>
          <w:ilvl w:val="0"/>
          <w:numId w:val="65"/>
        </w:numPr>
        <w:spacing w:after="120" w:line="360" w:lineRule="auto"/>
        <w:jc w:val="both"/>
        <w:rPr>
          <w:lang w:val="bg-BG"/>
        </w:rPr>
      </w:pPr>
      <w:r w:rsidRPr="007375EB">
        <w:rPr>
          <w:b/>
          <w:bCs/>
          <w:lang w:val="bg-BG"/>
        </w:rPr>
        <w:t xml:space="preserve">Алтернатива I - </w:t>
      </w:r>
      <w:r w:rsidRPr="007375EB">
        <w:rPr>
          <w:lang w:val="bg-BG"/>
        </w:rPr>
        <w:t>стартира през 2011 г. (състои се от 3 вятърни парка) - 117 вятърни електроцентрали с обща инсталирана мощност 351 МВт</w:t>
      </w:r>
    </w:p>
    <w:p w14:paraId="49F54FAB" w14:textId="284CC99C" w:rsidR="00700B79" w:rsidRPr="007375EB" w:rsidRDefault="006333F2" w:rsidP="00700B79">
      <w:pPr>
        <w:pStyle w:val="ListParagraph"/>
        <w:numPr>
          <w:ilvl w:val="0"/>
          <w:numId w:val="65"/>
        </w:numPr>
        <w:spacing w:after="120" w:line="360" w:lineRule="auto"/>
        <w:jc w:val="both"/>
        <w:rPr>
          <w:lang w:val="bg-BG"/>
        </w:rPr>
      </w:pPr>
      <w:r w:rsidRPr="007375EB">
        <w:rPr>
          <w:b/>
          <w:bCs/>
          <w:lang w:val="bg-BG"/>
        </w:rPr>
        <w:t xml:space="preserve">Алтернатива </w:t>
      </w:r>
      <w:r w:rsidR="00045F6C" w:rsidRPr="007375EB">
        <w:rPr>
          <w:b/>
          <w:bCs/>
          <w:lang w:val="bg-BG"/>
        </w:rPr>
        <w:t>II</w:t>
      </w:r>
      <w:r w:rsidR="00045F6C" w:rsidRPr="007375EB">
        <w:rPr>
          <w:lang w:val="bg-BG"/>
        </w:rPr>
        <w:t xml:space="preserve"> -</w:t>
      </w:r>
      <w:r w:rsidR="00700B79" w:rsidRPr="007375EB">
        <w:rPr>
          <w:lang w:val="bg-BG"/>
        </w:rPr>
        <w:t xml:space="preserve"> </w:t>
      </w:r>
      <w:r w:rsidRPr="007375EB">
        <w:rPr>
          <w:lang w:val="bg-BG"/>
        </w:rPr>
        <w:t>стартира през 2022 г. - 48 вятърни електроцентрали с обща инсталирана мощност 316,8 МВт</w:t>
      </w:r>
      <w:r w:rsidR="00700B79" w:rsidRPr="007375EB">
        <w:rPr>
          <w:rFonts w:eastAsia="Verdana" w:cs="Verdana"/>
          <w:lang w:val="bg-BG"/>
        </w:rPr>
        <w:t xml:space="preserve"> </w:t>
      </w:r>
    </w:p>
    <w:p w14:paraId="62FE3101" w14:textId="62E39196" w:rsidR="00700B79" w:rsidRPr="007375EB" w:rsidRDefault="006333F2" w:rsidP="00700B79">
      <w:pPr>
        <w:pStyle w:val="ListParagraph"/>
        <w:numPr>
          <w:ilvl w:val="0"/>
          <w:numId w:val="65"/>
        </w:numPr>
        <w:spacing w:after="120" w:line="360" w:lineRule="auto"/>
        <w:jc w:val="both"/>
        <w:rPr>
          <w:lang w:val="bg-BG"/>
        </w:rPr>
      </w:pPr>
      <w:r w:rsidRPr="007375EB">
        <w:rPr>
          <w:b/>
          <w:bCs/>
          <w:lang w:val="bg-BG"/>
        </w:rPr>
        <w:t xml:space="preserve">Алтернатива </w:t>
      </w:r>
      <w:r w:rsidR="00D6196C" w:rsidRPr="007375EB">
        <w:rPr>
          <w:b/>
          <w:bCs/>
          <w:lang w:val="bg-BG"/>
        </w:rPr>
        <w:t>III</w:t>
      </w:r>
      <w:r w:rsidR="00D6196C" w:rsidRPr="007375EB">
        <w:rPr>
          <w:lang w:val="bg-BG"/>
        </w:rPr>
        <w:t xml:space="preserve"> - </w:t>
      </w:r>
      <w:r w:rsidRPr="007375EB">
        <w:rPr>
          <w:lang w:val="bg-BG"/>
        </w:rPr>
        <w:t>стартира през 2023 г. след получаване на съгласие на TRANSGAZ SA № 34618/948/10.05.2023 г., след което 2 централи T17 и T23 бяха отказани, като по този начин новият вятърен парк ще включва 46 вятърни електроцентрали с обща инсталирана мощност 303,6 МВт</w:t>
      </w:r>
    </w:p>
    <w:p w14:paraId="28D13DA6" w14:textId="4FB68940" w:rsidR="004D2190" w:rsidRPr="007375EB" w:rsidRDefault="006333F2" w:rsidP="00DB4B54">
      <w:pPr>
        <w:autoSpaceDE w:val="0"/>
        <w:autoSpaceDN w:val="0"/>
        <w:adjustRightInd w:val="0"/>
        <w:spacing w:after="120" w:line="360" w:lineRule="auto"/>
        <w:jc w:val="both"/>
        <w:rPr>
          <w:rFonts w:cs="Arial"/>
          <w:lang w:val="bg-BG"/>
        </w:rPr>
      </w:pPr>
      <w:r w:rsidRPr="007375EB">
        <w:rPr>
          <w:rFonts w:cs="Arial"/>
          <w:lang w:val="bg-BG"/>
        </w:rPr>
        <w:t xml:space="preserve">Описанието на съдържанието на </w:t>
      </w:r>
      <w:r w:rsidR="0014580E" w:rsidRPr="007375EB">
        <w:rPr>
          <w:rFonts w:cs="Arial"/>
          <w:lang w:val="bg-BG"/>
        </w:rPr>
        <w:t>ЗГП</w:t>
      </w:r>
      <w:r w:rsidRPr="007375EB">
        <w:rPr>
          <w:rFonts w:cs="Arial"/>
          <w:lang w:val="bg-BG"/>
        </w:rPr>
        <w:t xml:space="preserve"> включва избраната за изпълнение оптимална алтернатива, съответно </w:t>
      </w:r>
      <w:r w:rsidRPr="007375EB">
        <w:rPr>
          <w:rFonts w:cs="Arial"/>
          <w:b/>
          <w:bCs/>
          <w:lang w:val="bg-BG"/>
        </w:rPr>
        <w:t>Алтернатива III</w:t>
      </w:r>
      <w:r w:rsidR="00127ABF" w:rsidRPr="007375EB">
        <w:rPr>
          <w:rFonts w:cs="Arial"/>
          <w:lang w:val="bg-BG"/>
        </w:rPr>
        <w:t>.</w:t>
      </w:r>
    </w:p>
    <w:p w14:paraId="589D96AF" w14:textId="54DE01E6" w:rsidR="00EB1A60" w:rsidRPr="007375EB" w:rsidRDefault="0030746B" w:rsidP="001A5779">
      <w:pPr>
        <w:autoSpaceDE w:val="0"/>
        <w:autoSpaceDN w:val="0"/>
        <w:adjustRightInd w:val="0"/>
        <w:spacing w:after="120" w:line="360" w:lineRule="auto"/>
        <w:jc w:val="both"/>
        <w:rPr>
          <w:rFonts w:cs="Arial"/>
          <w:lang w:val="bg-BG"/>
        </w:rPr>
      </w:pPr>
      <w:bookmarkStart w:id="10" w:name="_Hlk168390656"/>
      <w:r w:rsidRPr="007375EB">
        <w:rPr>
          <w:rFonts w:cs="Arial"/>
          <w:lang w:val="bg-BG"/>
        </w:rPr>
        <w:t xml:space="preserve">Предложената за реализация електроцентрала ще бъде разположена в извънградската зона, в западната и източната част на административната територия на община Черкезу, на границата с общините </w:t>
      </w:r>
      <w:r w:rsidR="00813962" w:rsidRPr="007375EB">
        <w:rPr>
          <w:rFonts w:cs="Arial"/>
          <w:lang w:val="bg-BG"/>
        </w:rPr>
        <w:t>Кирногени</w:t>
      </w:r>
      <w:r w:rsidRPr="007375EB">
        <w:rPr>
          <w:rFonts w:cs="Arial"/>
          <w:lang w:val="bg-BG"/>
        </w:rPr>
        <w:t>, Индепенденца, Думбравени и град Негру Вода, окръг Констанца. Местоположението на енергийния парк е в непосредствена близост до граничната линия с България</w:t>
      </w:r>
      <w:r w:rsidR="00EB1A60" w:rsidRPr="007375EB">
        <w:rPr>
          <w:rFonts w:cs="Arial"/>
          <w:lang w:val="bg-BG"/>
        </w:rPr>
        <w:t>.</w:t>
      </w:r>
    </w:p>
    <w:bookmarkEnd w:id="10"/>
    <w:p w14:paraId="7D20792D" w14:textId="4FFA1FF0" w:rsidR="00B03F75" w:rsidRPr="007375EB" w:rsidRDefault="006333F2" w:rsidP="001A5779">
      <w:pPr>
        <w:autoSpaceDE w:val="0"/>
        <w:autoSpaceDN w:val="0"/>
        <w:adjustRightInd w:val="0"/>
        <w:spacing w:after="120" w:line="360" w:lineRule="auto"/>
        <w:jc w:val="both"/>
        <w:rPr>
          <w:rFonts w:cs="Arial"/>
          <w:lang w:val="bg-BG"/>
        </w:rPr>
      </w:pPr>
      <w:r w:rsidRPr="007375EB">
        <w:rPr>
          <w:rFonts w:cs="Arial"/>
          <w:lang w:val="bg-BG"/>
        </w:rPr>
        <w:t>В района, в съседство с вятърните електроцентрали T1, T4, T12, T26, T27 и T28, има напоителни канали, които не са в експлоатация.</w:t>
      </w:r>
    </w:p>
    <w:p w14:paraId="72F823FF" w14:textId="57966079" w:rsidR="00B70722" w:rsidRPr="007375EB" w:rsidRDefault="006333F2" w:rsidP="009C3ABD">
      <w:pPr>
        <w:autoSpaceDE w:val="0"/>
        <w:autoSpaceDN w:val="0"/>
        <w:adjustRightInd w:val="0"/>
        <w:spacing w:after="120" w:line="360" w:lineRule="auto"/>
        <w:jc w:val="both"/>
        <w:rPr>
          <w:rFonts w:cs="Arial"/>
          <w:lang w:val="bg-BG"/>
        </w:rPr>
      </w:pPr>
      <w:r w:rsidRPr="007375EB">
        <w:rPr>
          <w:rFonts w:cs="Arial"/>
          <w:lang w:val="bg-BG"/>
        </w:rPr>
        <w:t xml:space="preserve">Районът, проучен за изпълнението на целта, включва земеделски земи за обработваеми земи и земи със специално предназначение - селскостопански пътища в публичната собственост на териториално-административната единица община Черкезу, управлявана от местния съвет на община Черкезу, и публичната собственост от окръжен интерес. Бенефициерът на инвестицията, SOUTH WIND S.R.L., е сключил договори за отстъпване на собственост и суперфиция за земята, върху която ще се реализира инвестицията, предложена от </w:t>
      </w:r>
      <w:r w:rsidR="0014580E" w:rsidRPr="007375EB">
        <w:rPr>
          <w:rFonts w:cs="Arial"/>
          <w:lang w:val="bg-BG"/>
        </w:rPr>
        <w:t>ЗГП</w:t>
      </w:r>
      <w:r w:rsidR="000F1E68" w:rsidRPr="007375EB">
        <w:rPr>
          <w:rFonts w:cs="Arial"/>
          <w:lang w:val="bg-BG"/>
        </w:rPr>
        <w:t>.</w:t>
      </w:r>
    </w:p>
    <w:p w14:paraId="057846BB" w14:textId="250F17AC" w:rsidR="001D7688" w:rsidRPr="007375EB" w:rsidRDefault="006E1E69" w:rsidP="00D005A3">
      <w:pPr>
        <w:autoSpaceDE w:val="0"/>
        <w:autoSpaceDN w:val="0"/>
        <w:adjustRightInd w:val="0"/>
        <w:spacing w:after="120" w:line="360" w:lineRule="auto"/>
        <w:jc w:val="both"/>
        <w:rPr>
          <w:rFonts w:cs="Arial"/>
          <w:lang w:val="bg-BG"/>
        </w:rPr>
      </w:pPr>
      <w:r w:rsidRPr="007375EB">
        <w:rPr>
          <w:rFonts w:cs="Arial"/>
          <w:lang w:val="bg-BG"/>
        </w:rPr>
        <w:t>Общата площ на предложения план е 3027,77 ха.</w:t>
      </w:r>
    </w:p>
    <w:p w14:paraId="4A122BC5" w14:textId="5E1C6675" w:rsidR="00724E7A" w:rsidRPr="007375EB" w:rsidRDefault="006E1E69" w:rsidP="00DB4B54">
      <w:pPr>
        <w:autoSpaceDE w:val="0"/>
        <w:autoSpaceDN w:val="0"/>
        <w:adjustRightInd w:val="0"/>
        <w:spacing w:after="120" w:line="360" w:lineRule="auto"/>
        <w:jc w:val="both"/>
        <w:rPr>
          <w:rFonts w:cs="Arial"/>
          <w:b/>
          <w:bCs/>
          <w:u w:val="single"/>
          <w:lang w:val="bg-BG"/>
        </w:rPr>
      </w:pPr>
      <w:r w:rsidRPr="007375EB">
        <w:rPr>
          <w:rFonts w:cs="Arial"/>
          <w:b/>
          <w:bCs/>
          <w:lang w:val="bg-BG"/>
        </w:rPr>
        <w:lastRenderedPageBreak/>
        <w:t>Въз основа на съгласието на TRANSGAZ SA № 34618/948/10.05.2023 г., 2 обекта, електроцентрали T17 и T23, които не спазват законовите разстояния от основните тръбопроводи, посочени в съгласие, са изоставени.</w:t>
      </w:r>
      <w:r w:rsidR="00724E7A" w:rsidRPr="007375EB">
        <w:rPr>
          <w:rFonts w:cs="Arial"/>
          <w:b/>
          <w:bCs/>
          <w:lang w:val="bg-BG"/>
        </w:rPr>
        <w:t xml:space="preserve"> </w:t>
      </w:r>
      <w:r w:rsidRPr="007375EB">
        <w:rPr>
          <w:u w:val="single"/>
          <w:lang w:val="bg-BG"/>
        </w:rPr>
        <w:t>Полученият парк за вятърна енергия ще се състои от 46 вятърни електроцентрали от 6,6 МВт всяка, с обща крайна мощност от 303,6 МВт</w:t>
      </w:r>
      <w:r w:rsidR="008771C3" w:rsidRPr="007375EB">
        <w:rPr>
          <w:u w:val="single"/>
          <w:lang w:val="bg-BG"/>
        </w:rPr>
        <w:t>.</w:t>
      </w:r>
    </w:p>
    <w:p w14:paraId="719485B1" w14:textId="2A2ABF27" w:rsidR="00F049E7" w:rsidRPr="007375EB" w:rsidRDefault="006E1E69" w:rsidP="004A0BF0">
      <w:pPr>
        <w:tabs>
          <w:tab w:val="left" w:pos="709"/>
        </w:tabs>
        <w:spacing w:after="120" w:line="360" w:lineRule="auto"/>
        <w:jc w:val="both"/>
        <w:rPr>
          <w:rFonts w:cs="Arial"/>
          <w:lang w:val="bg-BG"/>
        </w:rPr>
      </w:pPr>
      <w:r w:rsidRPr="007375EB">
        <w:rPr>
          <w:rFonts w:cs="Arial"/>
          <w:b/>
          <w:bCs/>
          <w:color w:val="00B0F0"/>
          <w:lang w:val="bg-BG"/>
        </w:rPr>
        <w:t xml:space="preserve">Земите, </w:t>
      </w:r>
      <w:r w:rsidRPr="007375EB">
        <w:rPr>
          <w:rFonts w:cs="Arial"/>
          <w:b/>
          <w:bCs/>
          <w:lang w:val="bg-BG"/>
        </w:rPr>
        <w:t xml:space="preserve">върху които ще се развива инвестицията, която е предмет на тази документация, са представени от парцелите, представени в следващата таблица (виж Ситуационен план, </w:t>
      </w:r>
      <w:r w:rsidRPr="007375EB">
        <w:rPr>
          <w:rFonts w:cs="Arial"/>
          <w:b/>
          <w:bCs/>
          <w:color w:val="FF3300"/>
          <w:lang w:val="bg-BG"/>
        </w:rPr>
        <w:t>Приложение</w:t>
      </w:r>
      <w:r w:rsidRPr="007375EB">
        <w:rPr>
          <w:rFonts w:cs="Arial"/>
          <w:b/>
          <w:bCs/>
          <w:lang w:val="bg-BG"/>
        </w:rPr>
        <w:t xml:space="preserve"> </w:t>
      </w:r>
      <w:r w:rsidR="00BF6B7B" w:rsidRPr="007375EB">
        <w:rPr>
          <w:rFonts w:cs="Arial"/>
          <w:b/>
          <w:bCs/>
          <w:color w:val="FE4B00" w:themeColor="accent5" w:themeShade="BF"/>
          <w:lang w:val="bg-BG"/>
        </w:rPr>
        <w:t>2</w:t>
      </w:r>
      <w:r w:rsidR="00F049E7" w:rsidRPr="007375EB">
        <w:rPr>
          <w:rFonts w:cs="Arial"/>
          <w:lang w:val="bg-BG"/>
        </w:rPr>
        <w:t>):</w:t>
      </w:r>
    </w:p>
    <w:tbl>
      <w:tblPr>
        <w:tblStyle w:val="TableGrid"/>
        <w:tblW w:w="9214" w:type="dxa"/>
        <w:tblInd w:w="-5"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2807"/>
        <w:gridCol w:w="3118"/>
        <w:gridCol w:w="3289"/>
      </w:tblGrid>
      <w:tr w:rsidR="002D1F54" w:rsidRPr="007375EB" w14:paraId="269005AD" w14:textId="77777777" w:rsidTr="00016173">
        <w:trPr>
          <w:tblHeader/>
        </w:trPr>
        <w:tc>
          <w:tcPr>
            <w:tcW w:w="2807" w:type="dxa"/>
            <w:shd w:val="clear" w:color="auto" w:fill="00B0F0"/>
          </w:tcPr>
          <w:p w14:paraId="69D9BF13" w14:textId="1313B968" w:rsidR="00F049E7" w:rsidRPr="007375EB" w:rsidRDefault="006E1E69">
            <w:pPr>
              <w:spacing w:line="240" w:lineRule="auto"/>
              <w:jc w:val="both"/>
              <w:rPr>
                <w:rFonts w:eastAsia="Times New Roman" w:cs="Calibri"/>
                <w:b/>
                <w:bCs/>
                <w:color w:val="FFFFFF" w:themeColor="background1"/>
                <w:sz w:val="16"/>
                <w:szCs w:val="16"/>
                <w:lang w:val="bg-BG" w:eastAsia="en-GB"/>
              </w:rPr>
            </w:pPr>
            <w:r w:rsidRPr="007375EB">
              <w:rPr>
                <w:rFonts w:eastAsia="Times New Roman" w:cs="Calibri"/>
                <w:b/>
                <w:bCs/>
                <w:color w:val="FFFFFF" w:themeColor="background1"/>
                <w:sz w:val="16"/>
                <w:szCs w:val="16"/>
                <w:lang w:val="bg-BG" w:eastAsia="en-GB"/>
              </w:rPr>
              <w:t>Инвестиции</w:t>
            </w:r>
          </w:p>
        </w:tc>
        <w:tc>
          <w:tcPr>
            <w:tcW w:w="6407" w:type="dxa"/>
            <w:gridSpan w:val="2"/>
            <w:shd w:val="clear" w:color="auto" w:fill="00B0F0"/>
          </w:tcPr>
          <w:p w14:paraId="61842BC5" w14:textId="1BB89CE1" w:rsidR="00F049E7" w:rsidRPr="007375EB" w:rsidRDefault="006E1E69">
            <w:pPr>
              <w:spacing w:line="240" w:lineRule="auto"/>
              <w:jc w:val="both"/>
              <w:rPr>
                <w:rFonts w:eastAsia="Times New Roman" w:cs="Calibri"/>
                <w:b/>
                <w:bCs/>
                <w:color w:val="FFFFFF" w:themeColor="background1"/>
                <w:sz w:val="16"/>
                <w:szCs w:val="16"/>
                <w:lang w:val="bg-BG" w:eastAsia="en-GB"/>
              </w:rPr>
            </w:pPr>
            <w:r w:rsidRPr="007375EB">
              <w:rPr>
                <w:rFonts w:eastAsia="Times New Roman" w:cs="Calibri"/>
                <w:b/>
                <w:bCs/>
                <w:color w:val="FFFFFF" w:themeColor="background1"/>
                <w:sz w:val="16"/>
                <w:szCs w:val="16"/>
                <w:lang w:val="bg-BG" w:eastAsia="en-GB"/>
              </w:rPr>
              <w:t>Парцели</w:t>
            </w:r>
          </w:p>
        </w:tc>
      </w:tr>
      <w:tr w:rsidR="00F049E7" w:rsidRPr="007375EB" w14:paraId="16658969" w14:textId="77777777" w:rsidTr="00016173">
        <w:tc>
          <w:tcPr>
            <w:tcW w:w="2807" w:type="dxa"/>
            <w:shd w:val="clear" w:color="auto" w:fill="F2F2F2" w:themeFill="background1" w:themeFillShade="F2"/>
          </w:tcPr>
          <w:p w14:paraId="7E3680E8" w14:textId="60A2BFBB" w:rsidR="00F049E7" w:rsidRPr="007375EB" w:rsidRDefault="006E1E69">
            <w:pPr>
              <w:spacing w:line="240" w:lineRule="auto"/>
              <w:jc w:val="both"/>
              <w:rPr>
                <w:rFonts w:eastAsia="Times New Roman" w:cs="Calibri"/>
                <w:b/>
                <w:bCs/>
                <w:color w:val="444444"/>
                <w:sz w:val="16"/>
                <w:szCs w:val="16"/>
                <w:lang w:val="bg-BG" w:eastAsia="en-GB"/>
              </w:rPr>
            </w:pPr>
            <w:r w:rsidRPr="007375EB">
              <w:rPr>
                <w:rFonts w:eastAsia="Times New Roman" w:cs="Calibri"/>
                <w:b/>
                <w:bCs/>
                <w:color w:val="444444"/>
                <w:sz w:val="16"/>
                <w:szCs w:val="16"/>
                <w:lang w:val="bg-BG" w:eastAsia="en-GB"/>
              </w:rPr>
              <w:t>Вятърни електроцентрали (турбини)</w:t>
            </w:r>
          </w:p>
        </w:tc>
        <w:tc>
          <w:tcPr>
            <w:tcW w:w="3118" w:type="dxa"/>
          </w:tcPr>
          <w:p w14:paraId="0BFC33EE" w14:textId="581335BF" w:rsidR="00F049E7" w:rsidRPr="007375EB" w:rsidRDefault="006053C4"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централа</w:t>
            </w:r>
            <w:r w:rsidR="00F049E7" w:rsidRPr="007375EB">
              <w:rPr>
                <w:rFonts w:eastAsia="Times New Roman" w:cs="Calibri"/>
                <w:color w:val="444444"/>
                <w:sz w:val="16"/>
                <w:szCs w:val="16"/>
                <w:lang w:val="bg-BG" w:eastAsia="en-GB"/>
              </w:rPr>
              <w:t xml:space="preserve"> T1 - A 439/2/15 </w:t>
            </w:r>
          </w:p>
          <w:p w14:paraId="6560D773" w14:textId="6F84DE75" w:rsidR="00F049E7" w:rsidRPr="007375EB" w:rsidRDefault="006053C4"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T15 – A 208/1/20</w:t>
            </w:r>
          </w:p>
          <w:p w14:paraId="4F363423" w14:textId="32C285A8" w:rsidR="00F049E7" w:rsidRPr="007375EB" w:rsidRDefault="006053C4"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централи </w:t>
            </w:r>
            <w:r w:rsidR="00F049E7" w:rsidRPr="007375EB">
              <w:rPr>
                <w:rFonts w:eastAsia="Times New Roman" w:cs="Calibri"/>
                <w:color w:val="444444"/>
                <w:sz w:val="16"/>
                <w:szCs w:val="16"/>
                <w:lang w:val="bg-BG" w:eastAsia="en-GB"/>
              </w:rPr>
              <w:t>T2 - A 411/1/10</w:t>
            </w:r>
          </w:p>
          <w:p w14:paraId="6D7B08FD" w14:textId="25CB77C7" w:rsidR="00F049E7" w:rsidRPr="007375EB" w:rsidRDefault="006053C4"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T16 – A 208/1/13</w:t>
            </w:r>
          </w:p>
          <w:p w14:paraId="2414CFCB" w14:textId="4B6EFEDE" w:rsidR="00F049E7" w:rsidRPr="007375EB" w:rsidRDefault="006053C4"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T3 – A 439/1/16</w:t>
            </w:r>
          </w:p>
          <w:p w14:paraId="4D745837" w14:textId="2AAA5E37" w:rsidR="00F049E7" w:rsidRPr="007375EB" w:rsidRDefault="006053C4" w:rsidP="00806B73">
            <w:pPr>
              <w:pStyle w:val="ListParagraph"/>
              <w:numPr>
                <w:ilvl w:val="0"/>
                <w:numId w:val="14"/>
              </w:numPr>
              <w:spacing w:line="240" w:lineRule="auto"/>
              <w:ind w:left="322" w:hanging="284"/>
              <w:jc w:val="both"/>
              <w:rPr>
                <w:rFonts w:eastAsia="Times New Roman" w:cs="Calibri"/>
                <w:b/>
                <w:bCs/>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T17 – A 78/22+A 78/23</w:t>
            </w:r>
            <w:r w:rsidR="00874AEE" w:rsidRPr="007375EB">
              <w:rPr>
                <w:rFonts w:eastAsia="Times New Roman" w:cs="Calibri"/>
                <w:color w:val="444444"/>
                <w:sz w:val="16"/>
                <w:szCs w:val="16"/>
                <w:lang w:val="bg-BG" w:eastAsia="en-GB"/>
              </w:rPr>
              <w:t xml:space="preserve"> -</w:t>
            </w:r>
            <w:r w:rsidR="00874AEE" w:rsidRPr="007375EB">
              <w:rPr>
                <w:rFonts w:eastAsia="Times New Roman" w:cs="Calibri"/>
                <w:b/>
                <w:bCs/>
                <w:color w:val="444444"/>
                <w:sz w:val="16"/>
                <w:szCs w:val="16"/>
                <w:lang w:val="bg-BG" w:eastAsia="en-GB"/>
              </w:rPr>
              <w:t xml:space="preserve"> </w:t>
            </w:r>
            <w:r w:rsidR="006E1E69" w:rsidRPr="007375EB">
              <w:rPr>
                <w:rFonts w:eastAsia="Times New Roman" w:cs="Calibri"/>
                <w:b/>
                <w:bCs/>
                <w:color w:val="444444"/>
                <w:sz w:val="16"/>
                <w:szCs w:val="16"/>
                <w:lang w:val="bg-BG" w:eastAsia="en-GB"/>
              </w:rPr>
              <w:t>отменена</w:t>
            </w:r>
          </w:p>
          <w:p w14:paraId="03691C09" w14:textId="244D41DE" w:rsidR="00F049E7" w:rsidRPr="007375EB" w:rsidRDefault="006053C4"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T4 – A 439/3/3</w:t>
            </w:r>
          </w:p>
          <w:p w14:paraId="726547E1" w14:textId="3643EAEB" w:rsidR="00F049E7" w:rsidRPr="007375EB" w:rsidRDefault="006053C4"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T18 - A 177/23</w:t>
            </w:r>
          </w:p>
          <w:p w14:paraId="32836EF0" w14:textId="1FF412F9"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T5 – A 208/2/3</w:t>
            </w:r>
          </w:p>
          <w:p w14:paraId="7743ABC0" w14:textId="21FB75FE"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 xml:space="preserve">T19 –  A 177/10 </w:t>
            </w:r>
          </w:p>
          <w:p w14:paraId="7A20D849" w14:textId="292A9412"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T6 – A 430/2/15</w:t>
            </w:r>
          </w:p>
          <w:p w14:paraId="59166C51" w14:textId="6C4CAA22"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T20 – A 169/27</w:t>
            </w:r>
          </w:p>
          <w:p w14:paraId="4C464CBF" w14:textId="143276CA"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T7 – A 98/2/4/2</w:t>
            </w:r>
          </w:p>
          <w:p w14:paraId="3FFB15C0" w14:textId="02DA9624"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T21 – A 359/12</w:t>
            </w:r>
          </w:p>
          <w:p w14:paraId="1E7E42D7" w14:textId="25B17925"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T8 – A 430/1/17</w:t>
            </w:r>
          </w:p>
          <w:p w14:paraId="6CD6EEA5" w14:textId="0FE77F8D"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T22 – A 359/3</w:t>
            </w:r>
          </w:p>
          <w:p w14:paraId="0C8E2728" w14:textId="20BD533B"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T9 - A 98/1/8</w:t>
            </w:r>
          </w:p>
          <w:p w14:paraId="4480DCB5" w14:textId="4AB0893C"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T23 – A 359/25</w:t>
            </w:r>
            <w:r w:rsidR="00874AEE" w:rsidRPr="007375EB">
              <w:rPr>
                <w:rFonts w:eastAsia="Times New Roman" w:cs="Calibri"/>
                <w:color w:val="444444"/>
                <w:sz w:val="16"/>
                <w:szCs w:val="16"/>
                <w:lang w:val="bg-BG" w:eastAsia="en-GB"/>
              </w:rPr>
              <w:t xml:space="preserve"> </w:t>
            </w:r>
            <w:r w:rsidR="001C64AE" w:rsidRPr="007375EB">
              <w:rPr>
                <w:rFonts w:eastAsia="Times New Roman" w:cs="Calibri"/>
                <w:b/>
                <w:bCs/>
                <w:color w:val="444444"/>
                <w:sz w:val="16"/>
                <w:szCs w:val="16"/>
                <w:lang w:val="bg-BG" w:eastAsia="en-GB"/>
              </w:rPr>
              <w:t xml:space="preserve">- </w:t>
            </w:r>
            <w:r w:rsidRPr="007375EB">
              <w:rPr>
                <w:rFonts w:eastAsia="Times New Roman" w:cs="Calibri"/>
                <w:b/>
                <w:bCs/>
                <w:color w:val="444444"/>
                <w:sz w:val="16"/>
                <w:szCs w:val="16"/>
                <w:lang w:val="bg-BG" w:eastAsia="en-GB"/>
              </w:rPr>
              <w:t>отменена</w:t>
            </w:r>
          </w:p>
          <w:p w14:paraId="1E9FE7EB" w14:textId="2027996D"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T10 – A 207/7</w:t>
            </w:r>
          </w:p>
          <w:p w14:paraId="7790E5E1" w14:textId="49731281"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T24 – A 363/2/9</w:t>
            </w:r>
          </w:p>
          <w:p w14:paraId="0CCFDBD5" w14:textId="6759E0EC"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T11 – A 195/25</w:t>
            </w:r>
          </w:p>
          <w:p w14:paraId="1D312DDB" w14:textId="4D57C025"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T25 – A 363/1/23</w:t>
            </w:r>
          </w:p>
          <w:p w14:paraId="02B8FC3C" w14:textId="6E530DDC"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T12 – A 208/2/21</w:t>
            </w:r>
          </w:p>
          <w:p w14:paraId="0DB13CD4" w14:textId="6F82B475"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T26 – A 72/4</w:t>
            </w:r>
          </w:p>
          <w:p w14:paraId="637738E1" w14:textId="535AC261"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T13 – A 179/10/1</w:t>
            </w:r>
          </w:p>
          <w:p w14:paraId="6FCDF27E" w14:textId="34BE4A9F"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T27 – A 90/9</w:t>
            </w:r>
            <w:r w:rsidR="00F049E7" w:rsidRPr="007375EB">
              <w:rPr>
                <w:rFonts w:eastAsia="Times New Roman" w:cs="Calibri"/>
                <w:color w:val="444444"/>
                <w:sz w:val="16"/>
                <w:szCs w:val="16"/>
                <w:lang w:val="bg-BG" w:eastAsia="en-GB"/>
              </w:rPr>
              <w:tab/>
            </w:r>
          </w:p>
        </w:tc>
        <w:tc>
          <w:tcPr>
            <w:tcW w:w="3289" w:type="dxa"/>
          </w:tcPr>
          <w:p w14:paraId="4ADCB50C" w14:textId="00EB0022" w:rsidR="00F049E7" w:rsidRPr="007375EB" w:rsidRDefault="006053C4"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T14 – A 174/11</w:t>
            </w:r>
          </w:p>
          <w:p w14:paraId="101A6F25" w14:textId="257A6818" w:rsidR="00F049E7" w:rsidRPr="007375EB" w:rsidRDefault="006053C4"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 xml:space="preserve">T28 – A 363/2/30; </w:t>
            </w:r>
          </w:p>
          <w:p w14:paraId="6126937D" w14:textId="1EEA3E49" w:rsidR="00F049E7" w:rsidRPr="007375EB" w:rsidRDefault="006053C4"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T29 – A 367/49;</w:t>
            </w:r>
          </w:p>
          <w:p w14:paraId="1FF51354" w14:textId="39E4B8C1" w:rsidR="00F049E7" w:rsidRPr="007375EB" w:rsidRDefault="006053C4"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T30 – A 72/34;</w:t>
            </w:r>
          </w:p>
          <w:p w14:paraId="17F34D18" w14:textId="1AD32092" w:rsidR="00F049E7" w:rsidRPr="007375EB" w:rsidRDefault="006053C4"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T31 – A 367/12/2</w:t>
            </w:r>
          </w:p>
          <w:p w14:paraId="6BE14172" w14:textId="6AB14FC4" w:rsidR="00F049E7" w:rsidRPr="007375EB" w:rsidRDefault="006053C4"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T32</w:t>
            </w:r>
            <w:r w:rsidR="00874AEE" w:rsidRPr="007375EB">
              <w:rPr>
                <w:rFonts w:eastAsia="Times New Roman" w:cs="Calibri"/>
                <w:color w:val="444444"/>
                <w:sz w:val="16"/>
                <w:szCs w:val="16"/>
                <w:lang w:val="bg-BG" w:eastAsia="en-GB"/>
              </w:rPr>
              <w:t xml:space="preserve"> </w:t>
            </w:r>
            <w:r w:rsidR="00F049E7" w:rsidRPr="007375EB">
              <w:rPr>
                <w:rFonts w:eastAsia="Times New Roman" w:cs="Calibri"/>
                <w:color w:val="444444"/>
                <w:sz w:val="16"/>
                <w:szCs w:val="16"/>
                <w:lang w:val="bg-BG" w:eastAsia="en-GB"/>
              </w:rPr>
              <w:t xml:space="preserve">– A 9/12 </w:t>
            </w:r>
            <w:r w:rsidR="006E1E69" w:rsidRPr="007375EB">
              <w:rPr>
                <w:rFonts w:eastAsia="Times New Roman" w:cs="Calibri"/>
                <w:color w:val="444444"/>
                <w:sz w:val="16"/>
                <w:szCs w:val="16"/>
                <w:lang w:val="bg-BG" w:eastAsia="en-GB"/>
              </w:rPr>
              <w:t xml:space="preserve">партида </w:t>
            </w:r>
            <w:r w:rsidR="00F049E7" w:rsidRPr="007375EB">
              <w:rPr>
                <w:rFonts w:eastAsia="Times New Roman" w:cs="Calibri"/>
                <w:color w:val="444444"/>
                <w:sz w:val="16"/>
                <w:szCs w:val="16"/>
                <w:lang w:val="bg-BG" w:eastAsia="en-GB"/>
              </w:rPr>
              <w:t xml:space="preserve">1,A9/12 </w:t>
            </w:r>
            <w:r w:rsidR="006E1E69" w:rsidRPr="007375EB">
              <w:rPr>
                <w:rFonts w:eastAsia="Times New Roman" w:cs="Calibri"/>
                <w:color w:val="444444"/>
                <w:sz w:val="16"/>
                <w:szCs w:val="16"/>
                <w:lang w:val="bg-BG" w:eastAsia="en-GB"/>
              </w:rPr>
              <w:t xml:space="preserve">партида </w:t>
            </w:r>
            <w:r w:rsidR="00F049E7" w:rsidRPr="007375EB">
              <w:rPr>
                <w:rFonts w:eastAsia="Times New Roman" w:cs="Calibri"/>
                <w:color w:val="444444"/>
                <w:sz w:val="16"/>
                <w:szCs w:val="16"/>
                <w:lang w:val="bg-BG" w:eastAsia="en-GB"/>
              </w:rPr>
              <w:t xml:space="preserve">2,A9/12 </w:t>
            </w:r>
            <w:r w:rsidR="006E1E69" w:rsidRPr="007375EB">
              <w:rPr>
                <w:rFonts w:eastAsia="Times New Roman" w:cs="Calibri"/>
                <w:color w:val="444444"/>
                <w:sz w:val="16"/>
                <w:szCs w:val="16"/>
                <w:lang w:val="bg-BG" w:eastAsia="en-GB"/>
              </w:rPr>
              <w:t>партида 3</w:t>
            </w:r>
          </w:p>
          <w:p w14:paraId="3B98A74E" w14:textId="22048F1A" w:rsidR="00F049E7" w:rsidRPr="007375EB" w:rsidRDefault="006053C4"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T33 – A 78/10;</w:t>
            </w:r>
          </w:p>
          <w:p w14:paraId="6A571C99" w14:textId="246D2A5E"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T34 – A 1/20/1, A 1/20/2</w:t>
            </w:r>
          </w:p>
          <w:p w14:paraId="2AF0FB71" w14:textId="00EE482F"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T35 – A 277/2/11</w:t>
            </w:r>
          </w:p>
          <w:p w14:paraId="79EADA11" w14:textId="3ED4747B"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T43 – A 338/2/6</w:t>
            </w:r>
          </w:p>
          <w:p w14:paraId="41BCAAF9" w14:textId="547BC408"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T36 – A 277/2/3</w:t>
            </w:r>
          </w:p>
          <w:p w14:paraId="7DF7E267" w14:textId="7825D773"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T44 – A 338/3/5;</w:t>
            </w:r>
          </w:p>
          <w:p w14:paraId="29B5825B" w14:textId="1EC2BF8E"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T37 – A 124/11</w:t>
            </w:r>
          </w:p>
          <w:p w14:paraId="33569721" w14:textId="74405331"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T45 – A 335/1/3;</w:t>
            </w:r>
          </w:p>
          <w:p w14:paraId="1BF09E10" w14:textId="267D0438"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T38 – A 250/26</w:t>
            </w:r>
          </w:p>
          <w:p w14:paraId="78EC93D1" w14:textId="16E5403A"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T46 – A 314/1/18/1, A 314/1/18/2;</w:t>
            </w:r>
          </w:p>
          <w:p w14:paraId="26EFA81F" w14:textId="19DBB693"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T39 – A 251/28/1</w:t>
            </w:r>
          </w:p>
          <w:p w14:paraId="53117604" w14:textId="6F69D1D1"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T47 – A 314/1/12</w:t>
            </w:r>
          </w:p>
          <w:p w14:paraId="5FE95F9A" w14:textId="139A8AB1"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T40 – A 250/10</w:t>
            </w:r>
          </w:p>
          <w:p w14:paraId="17058338" w14:textId="3D4990C4"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T48 – A 411/2/4;</w:t>
            </w:r>
          </w:p>
          <w:p w14:paraId="4987C0E0" w14:textId="1CDBD1F0"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T41 – A 338/1/21</w:t>
            </w:r>
          </w:p>
          <w:p w14:paraId="77FF40CA" w14:textId="165E81A6" w:rsidR="00F049E7" w:rsidRPr="007375EB" w:rsidRDefault="006E1E69"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централа </w:t>
            </w:r>
            <w:r w:rsidR="00F049E7" w:rsidRPr="007375EB">
              <w:rPr>
                <w:rFonts w:eastAsia="Times New Roman" w:cs="Calibri"/>
                <w:color w:val="444444"/>
                <w:sz w:val="16"/>
                <w:szCs w:val="16"/>
                <w:lang w:val="bg-BG" w:eastAsia="en-GB"/>
              </w:rPr>
              <w:t>T42 – A 379/7/5</w:t>
            </w:r>
            <w:r w:rsidR="00F049E7" w:rsidRPr="007375EB">
              <w:rPr>
                <w:rFonts w:eastAsia="Times New Roman" w:cs="Calibri"/>
                <w:color w:val="444444"/>
                <w:sz w:val="16"/>
                <w:szCs w:val="16"/>
                <w:lang w:val="bg-BG" w:eastAsia="en-GB"/>
              </w:rPr>
              <w:tab/>
            </w:r>
          </w:p>
        </w:tc>
      </w:tr>
      <w:tr w:rsidR="00F049E7" w:rsidRPr="007375EB" w14:paraId="4B6A2B79" w14:textId="77777777" w:rsidTr="00016173">
        <w:tc>
          <w:tcPr>
            <w:tcW w:w="2807" w:type="dxa"/>
            <w:shd w:val="clear" w:color="auto" w:fill="F2F2F2" w:themeFill="background1" w:themeFillShade="F2"/>
          </w:tcPr>
          <w:p w14:paraId="505536B8" w14:textId="070EAA89" w:rsidR="00F049E7" w:rsidRPr="007375EB" w:rsidRDefault="00BF535F">
            <w:pPr>
              <w:spacing w:line="240" w:lineRule="auto"/>
              <w:jc w:val="both"/>
              <w:rPr>
                <w:rFonts w:eastAsia="Times New Roman" w:cs="Calibri"/>
                <w:b/>
                <w:bCs/>
                <w:color w:val="444444"/>
                <w:sz w:val="16"/>
                <w:szCs w:val="16"/>
                <w:lang w:val="bg-BG" w:eastAsia="en-GB"/>
              </w:rPr>
            </w:pPr>
            <w:r w:rsidRPr="007375EB">
              <w:rPr>
                <w:rFonts w:eastAsia="Times New Roman" w:cs="Calibri"/>
                <w:b/>
                <w:bCs/>
                <w:color w:val="444444"/>
                <w:sz w:val="16"/>
                <w:szCs w:val="16"/>
                <w:lang w:val="bg-BG" w:eastAsia="en-GB"/>
              </w:rPr>
              <w:t>Трансформаторни станции</w:t>
            </w:r>
          </w:p>
        </w:tc>
        <w:tc>
          <w:tcPr>
            <w:tcW w:w="3118" w:type="dxa"/>
          </w:tcPr>
          <w:p w14:paraId="702105CF" w14:textId="77777777" w:rsidR="00F049E7" w:rsidRPr="007375EB" w:rsidRDefault="00F049E7"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SS01 - A5/28</w:t>
            </w:r>
          </w:p>
          <w:p w14:paraId="69B3BC2C" w14:textId="5286C4AB" w:rsidR="00F049E7" w:rsidRPr="007375EB" w:rsidRDefault="00F049E7"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SS02 - A251/1/26</w:t>
            </w:r>
            <w:r w:rsidR="00AA3988" w:rsidRPr="007375EB">
              <w:rPr>
                <w:rFonts w:eastAsia="Times New Roman" w:cs="Calibri"/>
                <w:color w:val="444444"/>
                <w:sz w:val="16"/>
                <w:szCs w:val="16"/>
                <w:lang w:val="bg-BG" w:eastAsia="en-GB"/>
              </w:rPr>
              <w:t xml:space="preserve"> </w:t>
            </w:r>
            <w:r w:rsidR="00BF6582" w:rsidRPr="007375EB">
              <w:rPr>
                <w:rFonts w:eastAsia="Times New Roman" w:cs="Calibri"/>
                <w:color w:val="444444"/>
                <w:sz w:val="16"/>
                <w:szCs w:val="16"/>
                <w:lang w:val="bg-BG" w:eastAsia="en-GB"/>
              </w:rPr>
              <w:t>–</w:t>
            </w:r>
            <w:r w:rsidR="00AA3988" w:rsidRPr="007375EB">
              <w:rPr>
                <w:rFonts w:eastAsia="Times New Roman" w:cs="Calibri"/>
                <w:color w:val="444444"/>
                <w:sz w:val="16"/>
                <w:szCs w:val="16"/>
                <w:lang w:val="bg-BG" w:eastAsia="en-GB"/>
              </w:rPr>
              <w:t xml:space="preserve"> </w:t>
            </w:r>
            <w:r w:rsidR="006E1E69" w:rsidRPr="007375EB">
              <w:rPr>
                <w:rFonts w:eastAsia="Times New Roman" w:cs="Calibri"/>
                <w:b/>
                <w:bCs/>
                <w:color w:val="444444"/>
                <w:sz w:val="16"/>
                <w:szCs w:val="16"/>
                <w:lang w:val="bg-BG" w:eastAsia="en-GB"/>
              </w:rPr>
              <w:t>отменена</w:t>
            </w:r>
          </w:p>
          <w:p w14:paraId="3DE8D5A7" w14:textId="5D54D4AB" w:rsidR="00BF6582" w:rsidRPr="007375EB" w:rsidRDefault="00CA70C1"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SS0</w:t>
            </w:r>
            <w:r w:rsidR="002111E5" w:rsidRPr="007375EB">
              <w:rPr>
                <w:rFonts w:eastAsia="Times New Roman" w:cs="Calibri"/>
                <w:color w:val="444444"/>
                <w:sz w:val="16"/>
                <w:szCs w:val="16"/>
                <w:lang w:val="bg-BG" w:eastAsia="en-GB"/>
              </w:rPr>
              <w:t>3</w:t>
            </w:r>
            <w:r w:rsidRPr="007375EB">
              <w:rPr>
                <w:rFonts w:eastAsia="Times New Roman" w:cs="Calibri"/>
                <w:color w:val="444444"/>
                <w:sz w:val="16"/>
                <w:szCs w:val="16"/>
                <w:lang w:val="bg-BG" w:eastAsia="en-GB"/>
              </w:rPr>
              <w:t xml:space="preserve"> - A177/16</w:t>
            </w:r>
            <w:r w:rsidR="00590C97" w:rsidRPr="007375EB">
              <w:rPr>
                <w:rFonts w:eastAsia="Times New Roman" w:cs="Calibri"/>
                <w:color w:val="444444"/>
                <w:sz w:val="16"/>
                <w:szCs w:val="16"/>
                <w:lang w:val="bg-BG" w:eastAsia="en-GB"/>
              </w:rPr>
              <w:t xml:space="preserve"> </w:t>
            </w:r>
            <w:r w:rsidR="00BB0FD4" w:rsidRPr="007375EB">
              <w:rPr>
                <w:rFonts w:eastAsia="Times New Roman" w:cs="Calibri"/>
                <w:color w:val="444444"/>
                <w:sz w:val="16"/>
                <w:szCs w:val="16"/>
                <w:lang w:val="bg-BG" w:eastAsia="en-GB"/>
              </w:rPr>
              <w:t>–</w:t>
            </w:r>
            <w:r w:rsidR="00590C97" w:rsidRPr="007375EB">
              <w:rPr>
                <w:rFonts w:eastAsia="Times New Roman" w:cs="Calibri"/>
                <w:color w:val="444444"/>
                <w:sz w:val="16"/>
                <w:szCs w:val="16"/>
                <w:lang w:val="bg-BG" w:eastAsia="en-GB"/>
              </w:rPr>
              <w:t xml:space="preserve"> </w:t>
            </w:r>
            <w:r w:rsidR="00BF535F" w:rsidRPr="007375EB">
              <w:rPr>
                <w:rFonts w:eastAsia="Times New Roman" w:cs="Calibri"/>
                <w:b/>
                <w:bCs/>
                <w:color w:val="444444"/>
                <w:sz w:val="16"/>
                <w:szCs w:val="16"/>
                <w:lang w:val="bg-BG" w:eastAsia="en-GB"/>
              </w:rPr>
              <w:t>предложена нова (в близост до турбина T19)</w:t>
            </w:r>
          </w:p>
        </w:tc>
        <w:tc>
          <w:tcPr>
            <w:tcW w:w="3289" w:type="dxa"/>
          </w:tcPr>
          <w:p w14:paraId="28594076" w14:textId="7722AB46" w:rsidR="00F049E7" w:rsidRPr="007375EB" w:rsidRDefault="00F049E7" w:rsidP="00806B73">
            <w:pPr>
              <w:pStyle w:val="ListParagraph"/>
              <w:numPr>
                <w:ilvl w:val="0"/>
                <w:numId w:val="14"/>
              </w:numPr>
              <w:spacing w:line="240" w:lineRule="auto"/>
              <w:ind w:left="322" w:hanging="284"/>
              <w:jc w:val="both"/>
              <w:rPr>
                <w:rFonts w:eastAsia="Times New Roman" w:cs="Calibri"/>
                <w:sz w:val="16"/>
                <w:szCs w:val="16"/>
                <w:lang w:val="bg-BG" w:eastAsia="en-GB"/>
              </w:rPr>
            </w:pPr>
            <w:r w:rsidRPr="007375EB">
              <w:rPr>
                <w:rFonts w:eastAsia="Times New Roman" w:cs="Calibri"/>
                <w:sz w:val="16"/>
                <w:szCs w:val="16"/>
                <w:lang w:val="bg-BG" w:eastAsia="en-GB"/>
              </w:rPr>
              <w:t xml:space="preserve">•SS03 </w:t>
            </w:r>
            <w:r w:rsidR="00C022DE" w:rsidRPr="007375EB">
              <w:rPr>
                <w:rFonts w:eastAsia="Times New Roman" w:cs="Calibri"/>
                <w:sz w:val="16"/>
                <w:szCs w:val="16"/>
                <w:lang w:val="bg-BG" w:eastAsia="en-GB"/>
              </w:rPr>
              <w:t>–</w:t>
            </w:r>
            <w:r w:rsidRPr="007375EB">
              <w:rPr>
                <w:rFonts w:eastAsia="Times New Roman" w:cs="Calibri"/>
                <w:sz w:val="16"/>
                <w:szCs w:val="16"/>
                <w:lang w:val="bg-BG" w:eastAsia="en-GB"/>
              </w:rPr>
              <w:t xml:space="preserve"> A</w:t>
            </w:r>
            <w:r w:rsidR="00C022DE" w:rsidRPr="007375EB">
              <w:rPr>
                <w:rFonts w:eastAsia="Times New Roman" w:cs="Calibri"/>
                <w:sz w:val="16"/>
                <w:szCs w:val="16"/>
                <w:lang w:val="bg-BG" w:eastAsia="en-GB"/>
              </w:rPr>
              <w:t>367</w:t>
            </w:r>
            <w:r w:rsidRPr="007375EB">
              <w:rPr>
                <w:rFonts w:eastAsia="Times New Roman" w:cs="Calibri"/>
                <w:sz w:val="16"/>
                <w:szCs w:val="16"/>
                <w:lang w:val="bg-BG" w:eastAsia="en-GB"/>
              </w:rPr>
              <w:t>/</w:t>
            </w:r>
            <w:r w:rsidR="00C022DE" w:rsidRPr="007375EB">
              <w:rPr>
                <w:rFonts w:eastAsia="Times New Roman" w:cs="Calibri"/>
                <w:sz w:val="16"/>
                <w:szCs w:val="16"/>
                <w:lang w:val="bg-BG" w:eastAsia="en-GB"/>
              </w:rPr>
              <w:t>49</w:t>
            </w:r>
            <w:r w:rsidR="00035F3C" w:rsidRPr="007375EB">
              <w:rPr>
                <w:rFonts w:eastAsia="Times New Roman" w:cs="Calibri"/>
                <w:sz w:val="16"/>
                <w:szCs w:val="16"/>
                <w:lang w:val="bg-BG" w:eastAsia="en-GB"/>
              </w:rPr>
              <w:t xml:space="preserve"> </w:t>
            </w:r>
            <w:r w:rsidR="00BF535F" w:rsidRPr="007375EB">
              <w:rPr>
                <w:rFonts w:eastAsia="Times New Roman" w:cs="Calibri"/>
                <w:sz w:val="16"/>
                <w:szCs w:val="16"/>
                <w:lang w:val="bg-BG" w:eastAsia="en-GB"/>
              </w:rPr>
              <w:t>ще бъде предмет на друга процедура за разрешаване</w:t>
            </w:r>
          </w:p>
          <w:p w14:paraId="030AABB7" w14:textId="7D4BE98A" w:rsidR="00F049E7" w:rsidRPr="007375EB" w:rsidRDefault="00F049E7"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sz w:val="16"/>
                <w:szCs w:val="16"/>
                <w:lang w:val="bg-BG" w:eastAsia="en-GB"/>
              </w:rPr>
              <w:t>•SS04 - A207/11</w:t>
            </w:r>
            <w:r w:rsidR="00D45ACE" w:rsidRPr="007375EB">
              <w:rPr>
                <w:rFonts w:eastAsia="Times New Roman" w:cs="Calibri"/>
                <w:sz w:val="16"/>
                <w:szCs w:val="16"/>
                <w:lang w:val="bg-BG" w:eastAsia="en-GB"/>
              </w:rPr>
              <w:t xml:space="preserve"> </w:t>
            </w:r>
          </w:p>
        </w:tc>
      </w:tr>
      <w:tr w:rsidR="00F049E7" w:rsidRPr="007375EB" w14:paraId="3F725C4B" w14:textId="77777777" w:rsidTr="00016173">
        <w:tc>
          <w:tcPr>
            <w:tcW w:w="2807" w:type="dxa"/>
            <w:shd w:val="clear" w:color="auto" w:fill="F2F2F2" w:themeFill="background1" w:themeFillShade="F2"/>
          </w:tcPr>
          <w:p w14:paraId="3F0267AB" w14:textId="0A320AC8" w:rsidR="00F049E7" w:rsidRPr="007375EB" w:rsidRDefault="00BF535F" w:rsidP="00752741">
            <w:pPr>
              <w:spacing w:line="240" w:lineRule="auto"/>
              <w:jc w:val="both"/>
              <w:rPr>
                <w:rFonts w:eastAsia="Times New Roman" w:cs="Calibri"/>
                <w:b/>
                <w:bCs/>
                <w:color w:val="444444"/>
                <w:sz w:val="16"/>
                <w:szCs w:val="16"/>
                <w:lang w:val="bg-BG" w:eastAsia="en-GB"/>
              </w:rPr>
            </w:pPr>
            <w:r w:rsidRPr="007375EB">
              <w:rPr>
                <w:rFonts w:eastAsia="Times New Roman" w:cs="Calibri"/>
                <w:b/>
                <w:bCs/>
                <w:color w:val="444444"/>
                <w:sz w:val="16"/>
                <w:szCs w:val="16"/>
                <w:lang w:val="bg-BG" w:eastAsia="en-GB"/>
              </w:rPr>
              <w:t>Организация на обекта (временна)</w:t>
            </w:r>
          </w:p>
        </w:tc>
        <w:tc>
          <w:tcPr>
            <w:tcW w:w="6407" w:type="dxa"/>
            <w:gridSpan w:val="2"/>
          </w:tcPr>
          <w:p w14:paraId="5A4FE1F6" w14:textId="62D9B055" w:rsidR="00F049E7" w:rsidRPr="007375EB" w:rsidRDefault="00F049E7"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OS1 - A251/1/31</w:t>
            </w:r>
          </w:p>
          <w:p w14:paraId="459C8836" w14:textId="544E8644" w:rsidR="00F049E7" w:rsidRPr="007375EB" w:rsidRDefault="00F049E7"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OS2 - A367/15 </w:t>
            </w:r>
          </w:p>
          <w:p w14:paraId="21226466" w14:textId="77777777" w:rsidR="00F049E7" w:rsidRPr="007375EB" w:rsidRDefault="00F049E7"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OS3 -  A250/9</w:t>
            </w:r>
          </w:p>
        </w:tc>
      </w:tr>
      <w:tr w:rsidR="00F049E7" w:rsidRPr="007375EB" w14:paraId="71CD3DC6" w14:textId="77777777" w:rsidTr="00016173">
        <w:tc>
          <w:tcPr>
            <w:tcW w:w="2807" w:type="dxa"/>
            <w:shd w:val="clear" w:color="auto" w:fill="F2F2F2" w:themeFill="background1" w:themeFillShade="F2"/>
          </w:tcPr>
          <w:p w14:paraId="6AB1207D" w14:textId="61635243" w:rsidR="00F049E7" w:rsidRPr="007375EB" w:rsidRDefault="00BF535F">
            <w:pPr>
              <w:spacing w:line="240" w:lineRule="auto"/>
              <w:jc w:val="both"/>
              <w:rPr>
                <w:rFonts w:eastAsia="Times New Roman" w:cs="Calibri"/>
                <w:b/>
                <w:bCs/>
                <w:color w:val="444444"/>
                <w:sz w:val="16"/>
                <w:szCs w:val="16"/>
                <w:lang w:val="bg-BG" w:eastAsia="en-GB"/>
              </w:rPr>
            </w:pPr>
            <w:r w:rsidRPr="007375EB">
              <w:rPr>
                <w:rFonts w:eastAsia="Times New Roman" w:cs="Calibri"/>
                <w:b/>
                <w:bCs/>
                <w:color w:val="444444"/>
                <w:sz w:val="16"/>
                <w:szCs w:val="16"/>
                <w:lang w:val="bg-BG" w:eastAsia="en-GB"/>
              </w:rPr>
              <w:t>Пътища за достъп до парцелите</w:t>
            </w:r>
          </w:p>
        </w:tc>
        <w:tc>
          <w:tcPr>
            <w:tcW w:w="6407" w:type="dxa"/>
            <w:gridSpan w:val="2"/>
          </w:tcPr>
          <w:p w14:paraId="28383E18" w14:textId="1BFA9B4C" w:rsidR="00F049E7" w:rsidRPr="007375EB" w:rsidRDefault="00F049E7"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A163/18/2</w:t>
            </w:r>
          </w:p>
          <w:p w14:paraId="10B2DAAA" w14:textId="77777777" w:rsidR="00F049E7" w:rsidRPr="007375EB" w:rsidRDefault="00F049E7"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 xml:space="preserve">A277/4/7 </w:t>
            </w:r>
          </w:p>
          <w:p w14:paraId="387B6B39" w14:textId="77777777" w:rsidR="00F049E7" w:rsidRPr="007375EB" w:rsidRDefault="00F049E7" w:rsidP="00806B73">
            <w:pPr>
              <w:pStyle w:val="ListParagraph"/>
              <w:numPr>
                <w:ilvl w:val="0"/>
                <w:numId w:val="14"/>
              </w:numPr>
              <w:spacing w:line="240" w:lineRule="auto"/>
              <w:ind w:left="322" w:hanging="284"/>
              <w:jc w:val="both"/>
              <w:rPr>
                <w:rFonts w:eastAsia="Times New Roman" w:cs="Calibri"/>
                <w:color w:val="444444"/>
                <w:sz w:val="16"/>
                <w:szCs w:val="16"/>
                <w:lang w:val="bg-BG" w:eastAsia="en-GB"/>
              </w:rPr>
            </w:pPr>
            <w:r w:rsidRPr="007375EB">
              <w:rPr>
                <w:rFonts w:eastAsia="Times New Roman" w:cs="Calibri"/>
                <w:color w:val="444444"/>
                <w:sz w:val="16"/>
                <w:szCs w:val="16"/>
                <w:lang w:val="bg-BG" w:eastAsia="en-GB"/>
              </w:rPr>
              <w:t>A251/31</w:t>
            </w:r>
          </w:p>
        </w:tc>
      </w:tr>
    </w:tbl>
    <w:p w14:paraId="6E4E2BB7" w14:textId="3FCBBD8C" w:rsidR="00F049E7" w:rsidRPr="007375EB" w:rsidRDefault="006E1E69" w:rsidP="00F049E7">
      <w:pPr>
        <w:shd w:val="clear" w:color="auto" w:fill="FFFFFF"/>
        <w:spacing w:after="120" w:line="360" w:lineRule="auto"/>
        <w:jc w:val="both"/>
        <w:rPr>
          <w:rFonts w:cs="Arial"/>
          <w:lang w:val="bg-BG"/>
        </w:rPr>
      </w:pPr>
      <w:r w:rsidRPr="007375EB">
        <w:rPr>
          <w:rFonts w:cs="Arial"/>
          <w:b/>
          <w:bCs/>
          <w:color w:val="27C9E9"/>
          <w:lang w:val="bg-BG"/>
        </w:rPr>
        <w:t>Достъпът до обекта</w:t>
      </w:r>
      <w:r w:rsidRPr="007375EB">
        <w:rPr>
          <w:rFonts w:cs="Arial"/>
          <w:color w:val="007BB8"/>
          <w:lang w:val="bg-BG"/>
        </w:rPr>
        <w:t xml:space="preserve"> </w:t>
      </w:r>
      <w:r w:rsidRPr="007375EB">
        <w:rPr>
          <w:rFonts w:cs="Arial"/>
          <w:lang w:val="bg-BG"/>
        </w:rPr>
        <w:t>е от националния път (DN), общинските пътища (DC) и съществуващите експлоатационни пътища (De), изброени по-долу</w:t>
      </w:r>
      <w:r w:rsidR="00F049E7" w:rsidRPr="007375EB">
        <w:rPr>
          <w:rFonts w:cs="Arial"/>
          <w:lang w:val="bg-BG"/>
        </w:rPr>
        <w:t>:</w:t>
      </w:r>
    </w:p>
    <w:tbl>
      <w:tblPr>
        <w:tblStyle w:val="TableGrid"/>
        <w:tblW w:w="9214" w:type="dxa"/>
        <w:tblInd w:w="-5"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2663"/>
        <w:gridCol w:w="6551"/>
      </w:tblGrid>
      <w:tr w:rsidR="002D1F54" w:rsidRPr="007375EB" w14:paraId="3CC5BB86" w14:textId="77777777" w:rsidTr="00016173">
        <w:trPr>
          <w:tblHeader/>
        </w:trPr>
        <w:tc>
          <w:tcPr>
            <w:tcW w:w="2663" w:type="dxa"/>
            <w:shd w:val="clear" w:color="auto" w:fill="00B0F0"/>
          </w:tcPr>
          <w:p w14:paraId="5D6A9C6D" w14:textId="759AC732" w:rsidR="00F049E7" w:rsidRPr="007375EB" w:rsidRDefault="00F049E7" w:rsidP="003B5160">
            <w:pPr>
              <w:spacing w:line="240" w:lineRule="auto"/>
              <w:jc w:val="both"/>
              <w:rPr>
                <w:rFonts w:eastAsia="Times New Roman" w:cs="Calibri"/>
                <w:b/>
                <w:bCs/>
                <w:color w:val="FFFFFF" w:themeColor="background1"/>
                <w:sz w:val="16"/>
                <w:szCs w:val="16"/>
                <w:lang w:val="bg-BG" w:eastAsia="en-GB"/>
              </w:rPr>
            </w:pPr>
            <w:r w:rsidRPr="007375EB">
              <w:rPr>
                <w:rFonts w:eastAsia="Times New Roman" w:cs="Calibri"/>
                <w:color w:val="444444"/>
                <w:sz w:val="16"/>
                <w:szCs w:val="16"/>
                <w:lang w:val="bg-BG" w:eastAsia="en-GB"/>
              </w:rPr>
              <w:br w:type="page"/>
            </w:r>
            <w:r w:rsidR="00712480" w:rsidRPr="007375EB">
              <w:rPr>
                <w:rFonts w:eastAsia="Times New Roman" w:cs="Calibri"/>
                <w:b/>
                <w:bCs/>
                <w:color w:val="FFFFFF" w:themeColor="background1"/>
                <w:sz w:val="16"/>
                <w:szCs w:val="16"/>
                <w:lang w:val="bg-BG" w:eastAsia="en-GB"/>
              </w:rPr>
              <w:t>Вид на пътя</w:t>
            </w:r>
          </w:p>
        </w:tc>
        <w:tc>
          <w:tcPr>
            <w:tcW w:w="6551" w:type="dxa"/>
            <w:shd w:val="clear" w:color="auto" w:fill="00B0F0"/>
          </w:tcPr>
          <w:p w14:paraId="5DFFE374" w14:textId="3712D7C4" w:rsidR="00F049E7" w:rsidRPr="007375EB" w:rsidRDefault="00712480" w:rsidP="003B5160">
            <w:pPr>
              <w:spacing w:line="240" w:lineRule="auto"/>
              <w:jc w:val="both"/>
              <w:rPr>
                <w:rFonts w:eastAsia="Times New Roman" w:cs="Calibri"/>
                <w:b/>
                <w:bCs/>
                <w:color w:val="FFFFFF" w:themeColor="background1"/>
                <w:sz w:val="16"/>
                <w:szCs w:val="16"/>
                <w:lang w:val="bg-BG" w:eastAsia="en-GB"/>
              </w:rPr>
            </w:pPr>
            <w:r w:rsidRPr="007375EB">
              <w:rPr>
                <w:rFonts w:eastAsia="Times New Roman" w:cs="Calibri"/>
                <w:b/>
                <w:bCs/>
                <w:color w:val="FFFFFF" w:themeColor="background1"/>
                <w:sz w:val="16"/>
                <w:szCs w:val="16"/>
                <w:lang w:val="bg-BG" w:eastAsia="en-GB"/>
              </w:rPr>
              <w:t>Достъп до обекта</w:t>
            </w:r>
          </w:p>
        </w:tc>
      </w:tr>
      <w:tr w:rsidR="00F049E7" w:rsidRPr="007375EB" w14:paraId="3ABA899E" w14:textId="77777777" w:rsidTr="00016173">
        <w:trPr>
          <w:trHeight w:val="123"/>
        </w:trPr>
        <w:tc>
          <w:tcPr>
            <w:tcW w:w="2663" w:type="dxa"/>
            <w:shd w:val="clear" w:color="auto" w:fill="F2F2F2" w:themeFill="background1" w:themeFillShade="F2"/>
          </w:tcPr>
          <w:p w14:paraId="08B7CA1E" w14:textId="47489359" w:rsidR="00F049E7" w:rsidRPr="007375EB" w:rsidRDefault="00712480" w:rsidP="003B5160">
            <w:pPr>
              <w:spacing w:line="240" w:lineRule="auto"/>
              <w:jc w:val="both"/>
              <w:rPr>
                <w:sz w:val="16"/>
                <w:szCs w:val="16"/>
                <w:lang w:val="bg-BG"/>
              </w:rPr>
            </w:pPr>
            <w:r w:rsidRPr="007375EB">
              <w:rPr>
                <w:sz w:val="16"/>
                <w:szCs w:val="16"/>
                <w:lang w:val="bg-BG"/>
              </w:rPr>
              <w:t>Национален път</w:t>
            </w:r>
          </w:p>
        </w:tc>
        <w:tc>
          <w:tcPr>
            <w:tcW w:w="6551" w:type="dxa"/>
          </w:tcPr>
          <w:p w14:paraId="0DD18A7D" w14:textId="0ED102F2" w:rsidR="00F049E7" w:rsidRPr="007375EB" w:rsidRDefault="00F049E7" w:rsidP="003B5160">
            <w:pPr>
              <w:spacing w:line="240" w:lineRule="auto"/>
              <w:jc w:val="both"/>
              <w:rPr>
                <w:sz w:val="16"/>
                <w:szCs w:val="16"/>
                <w:lang w:val="bg-BG"/>
              </w:rPr>
            </w:pPr>
            <w:r w:rsidRPr="007375EB">
              <w:rPr>
                <w:sz w:val="16"/>
                <w:szCs w:val="16"/>
                <w:lang w:val="bg-BG"/>
              </w:rPr>
              <w:t xml:space="preserve">DN38 </w:t>
            </w:r>
            <w:r w:rsidR="00712480" w:rsidRPr="007375EB">
              <w:rPr>
                <w:sz w:val="16"/>
                <w:szCs w:val="16"/>
                <w:lang w:val="bg-BG"/>
              </w:rPr>
              <w:t>Констанца – Негру Вода</w:t>
            </w:r>
          </w:p>
        </w:tc>
      </w:tr>
      <w:tr w:rsidR="00AE0A59" w:rsidRPr="007375EB" w14:paraId="17B354D7" w14:textId="77777777" w:rsidTr="00016173">
        <w:trPr>
          <w:trHeight w:val="123"/>
        </w:trPr>
        <w:tc>
          <w:tcPr>
            <w:tcW w:w="2663" w:type="dxa"/>
            <w:shd w:val="clear" w:color="auto" w:fill="F2F2F2" w:themeFill="background1" w:themeFillShade="F2"/>
          </w:tcPr>
          <w:p w14:paraId="461DEE44" w14:textId="09510FC4" w:rsidR="00AE0A59" w:rsidRPr="007375EB" w:rsidRDefault="00712480" w:rsidP="003B5160">
            <w:pPr>
              <w:spacing w:line="240" w:lineRule="auto"/>
              <w:jc w:val="both"/>
              <w:rPr>
                <w:sz w:val="16"/>
                <w:szCs w:val="16"/>
                <w:lang w:val="bg-BG"/>
              </w:rPr>
            </w:pPr>
            <w:r w:rsidRPr="007375EB">
              <w:rPr>
                <w:sz w:val="16"/>
                <w:szCs w:val="16"/>
                <w:lang w:val="bg-BG"/>
              </w:rPr>
              <w:t>Окръжен път</w:t>
            </w:r>
          </w:p>
        </w:tc>
        <w:tc>
          <w:tcPr>
            <w:tcW w:w="6551" w:type="dxa"/>
          </w:tcPr>
          <w:p w14:paraId="054A8A96" w14:textId="498139CD" w:rsidR="00AE0A59" w:rsidRPr="007375EB" w:rsidRDefault="00C65243" w:rsidP="003B5160">
            <w:pPr>
              <w:spacing w:line="240" w:lineRule="auto"/>
              <w:jc w:val="both"/>
              <w:rPr>
                <w:sz w:val="16"/>
                <w:szCs w:val="16"/>
                <w:lang w:val="bg-BG"/>
              </w:rPr>
            </w:pPr>
            <w:r w:rsidRPr="007375EB">
              <w:rPr>
                <w:sz w:val="16"/>
                <w:szCs w:val="16"/>
                <w:lang w:val="bg-BG" w:eastAsia="ro-RO"/>
              </w:rPr>
              <w:t xml:space="preserve">DJ391 </w:t>
            </w:r>
            <w:r w:rsidR="00712480" w:rsidRPr="007375EB">
              <w:rPr>
                <w:sz w:val="16"/>
                <w:szCs w:val="16"/>
                <w:lang w:val="bg-BG" w:eastAsia="ro-RO"/>
              </w:rPr>
              <w:t>Мангалия - Негру Вода - Кобадин - Тузла</w:t>
            </w:r>
          </w:p>
        </w:tc>
      </w:tr>
      <w:tr w:rsidR="00F049E7" w:rsidRPr="007375EB" w14:paraId="0C32045E" w14:textId="77777777" w:rsidTr="003B5160">
        <w:trPr>
          <w:trHeight w:val="260"/>
        </w:trPr>
        <w:tc>
          <w:tcPr>
            <w:tcW w:w="2663" w:type="dxa"/>
            <w:shd w:val="clear" w:color="auto" w:fill="F2F2F2" w:themeFill="background1" w:themeFillShade="F2"/>
          </w:tcPr>
          <w:p w14:paraId="213E52AF" w14:textId="14EFA80C" w:rsidR="00F049E7" w:rsidRPr="007375EB" w:rsidRDefault="00712480" w:rsidP="003B5160">
            <w:pPr>
              <w:spacing w:line="240" w:lineRule="auto"/>
              <w:rPr>
                <w:sz w:val="16"/>
                <w:szCs w:val="16"/>
                <w:lang w:val="bg-BG"/>
              </w:rPr>
            </w:pPr>
            <w:r w:rsidRPr="007375EB">
              <w:rPr>
                <w:sz w:val="16"/>
                <w:szCs w:val="16"/>
                <w:lang w:val="bg-BG"/>
              </w:rPr>
              <w:t>Съществуващи общински пътища</w:t>
            </w:r>
          </w:p>
        </w:tc>
        <w:tc>
          <w:tcPr>
            <w:tcW w:w="6551" w:type="dxa"/>
          </w:tcPr>
          <w:p w14:paraId="6EF6C6B5" w14:textId="021D41FB" w:rsidR="00F049E7" w:rsidRPr="007375EB" w:rsidRDefault="009115E0" w:rsidP="003B5160">
            <w:pPr>
              <w:spacing w:line="240" w:lineRule="auto"/>
              <w:jc w:val="both"/>
              <w:rPr>
                <w:sz w:val="16"/>
                <w:szCs w:val="16"/>
                <w:lang w:val="bg-BG"/>
              </w:rPr>
            </w:pPr>
            <w:r w:rsidRPr="007375EB">
              <w:rPr>
                <w:sz w:val="16"/>
                <w:szCs w:val="16"/>
                <w:lang w:val="bg-BG"/>
              </w:rPr>
              <w:t>D</w:t>
            </w:r>
            <w:r w:rsidR="0065558F" w:rsidRPr="007375EB">
              <w:rPr>
                <w:sz w:val="16"/>
                <w:szCs w:val="16"/>
                <w:lang w:val="bg-BG"/>
              </w:rPr>
              <w:t>C</w:t>
            </w:r>
            <w:r w:rsidRPr="007375EB">
              <w:rPr>
                <w:sz w:val="16"/>
                <w:szCs w:val="16"/>
                <w:lang w:val="bg-BG"/>
              </w:rPr>
              <w:t xml:space="preserve">13, </w:t>
            </w:r>
            <w:r w:rsidR="00651995" w:rsidRPr="007375EB">
              <w:rPr>
                <w:sz w:val="16"/>
                <w:szCs w:val="16"/>
                <w:lang w:val="bg-BG"/>
              </w:rPr>
              <w:t>D</w:t>
            </w:r>
            <w:r w:rsidR="0065558F" w:rsidRPr="007375EB">
              <w:rPr>
                <w:sz w:val="16"/>
                <w:szCs w:val="16"/>
                <w:lang w:val="bg-BG"/>
              </w:rPr>
              <w:t>C</w:t>
            </w:r>
            <w:r w:rsidR="00651995" w:rsidRPr="007375EB">
              <w:rPr>
                <w:sz w:val="16"/>
                <w:szCs w:val="16"/>
                <w:lang w:val="bg-BG"/>
              </w:rPr>
              <w:t>16, D</w:t>
            </w:r>
            <w:r w:rsidR="0065558F" w:rsidRPr="007375EB">
              <w:rPr>
                <w:sz w:val="16"/>
                <w:szCs w:val="16"/>
                <w:lang w:val="bg-BG"/>
              </w:rPr>
              <w:t>C</w:t>
            </w:r>
            <w:r w:rsidR="00651995" w:rsidRPr="007375EB">
              <w:rPr>
                <w:sz w:val="16"/>
                <w:szCs w:val="16"/>
                <w:lang w:val="bg-BG"/>
              </w:rPr>
              <w:t xml:space="preserve">17, </w:t>
            </w:r>
            <w:r w:rsidRPr="007375EB">
              <w:rPr>
                <w:sz w:val="16"/>
                <w:szCs w:val="16"/>
                <w:lang w:val="bg-BG"/>
              </w:rPr>
              <w:t>D</w:t>
            </w:r>
            <w:r w:rsidR="0065558F" w:rsidRPr="007375EB">
              <w:rPr>
                <w:sz w:val="16"/>
                <w:szCs w:val="16"/>
                <w:lang w:val="bg-BG"/>
              </w:rPr>
              <w:t>C</w:t>
            </w:r>
            <w:r w:rsidRPr="007375EB">
              <w:rPr>
                <w:sz w:val="16"/>
                <w:szCs w:val="16"/>
                <w:lang w:val="bg-BG"/>
              </w:rPr>
              <w:t>18, D</w:t>
            </w:r>
            <w:r w:rsidR="0065558F" w:rsidRPr="007375EB">
              <w:rPr>
                <w:sz w:val="16"/>
                <w:szCs w:val="16"/>
                <w:lang w:val="bg-BG"/>
              </w:rPr>
              <w:t>C</w:t>
            </w:r>
            <w:r w:rsidRPr="007375EB">
              <w:rPr>
                <w:sz w:val="16"/>
                <w:szCs w:val="16"/>
                <w:lang w:val="bg-BG"/>
              </w:rPr>
              <w:t>19</w:t>
            </w:r>
          </w:p>
        </w:tc>
      </w:tr>
      <w:tr w:rsidR="00F049E7" w:rsidRPr="007375EB" w14:paraId="731C3978" w14:textId="77777777" w:rsidTr="00016173">
        <w:trPr>
          <w:trHeight w:val="699"/>
        </w:trPr>
        <w:tc>
          <w:tcPr>
            <w:tcW w:w="2663" w:type="dxa"/>
            <w:shd w:val="clear" w:color="auto" w:fill="F2F2F2" w:themeFill="background1" w:themeFillShade="F2"/>
          </w:tcPr>
          <w:p w14:paraId="75DE524D" w14:textId="76718BCE" w:rsidR="00F049E7" w:rsidRPr="007375EB" w:rsidRDefault="00712480" w:rsidP="003B5160">
            <w:pPr>
              <w:spacing w:line="240" w:lineRule="auto"/>
              <w:rPr>
                <w:sz w:val="16"/>
                <w:szCs w:val="16"/>
                <w:lang w:val="bg-BG"/>
              </w:rPr>
            </w:pPr>
            <w:r w:rsidRPr="007375EB">
              <w:rPr>
                <w:sz w:val="16"/>
                <w:szCs w:val="16"/>
                <w:lang w:val="bg-BG"/>
              </w:rPr>
              <w:t>Съществуващи селскостопански пътища</w:t>
            </w:r>
          </w:p>
        </w:tc>
        <w:tc>
          <w:tcPr>
            <w:tcW w:w="6551" w:type="dxa"/>
          </w:tcPr>
          <w:p w14:paraId="6D08511A" w14:textId="2E1F0B9B" w:rsidR="00F049E7" w:rsidRPr="007375EB" w:rsidRDefault="00CD44A7" w:rsidP="003B5160">
            <w:pPr>
              <w:spacing w:line="240" w:lineRule="auto"/>
              <w:jc w:val="both"/>
              <w:rPr>
                <w:sz w:val="16"/>
                <w:szCs w:val="16"/>
                <w:lang w:val="bg-BG"/>
              </w:rPr>
            </w:pPr>
            <w:r w:rsidRPr="007375EB">
              <w:rPr>
                <w:sz w:val="16"/>
                <w:szCs w:val="16"/>
                <w:lang w:val="bg-BG"/>
              </w:rPr>
              <w:t>De 357, De 64, De 68, De 77, De 75/20, De 78/3, De 87, De 78/1, De 94/1, De 163/1,De 181, De 176, De 168, De 173, De169/1, De 172, De 208/1/1, De 198, De 195/16, De 98/1/1, De 98/2/1, De 430/1/1, De 430/2/1, De 432, De 440, De 439/2/1, De 411/1/1, De 439/1/1, De 224/4, De 251/1, De 130/2, De 250/1, De 130/1, De 129, De 128, De 125, De 271, De 258/10, De 379/2/1, De 361, De 356/1, De 356, De 356/2, De 339/1, De 339, De 337, De 336, De 314/1/1, De 315, De 277/8, De 277/7.</w:t>
            </w:r>
          </w:p>
        </w:tc>
      </w:tr>
      <w:tr w:rsidR="00F049E7" w:rsidRPr="007375EB" w14:paraId="373E8E7A" w14:textId="77777777" w:rsidTr="00016173">
        <w:tc>
          <w:tcPr>
            <w:tcW w:w="2663" w:type="dxa"/>
            <w:shd w:val="clear" w:color="auto" w:fill="F2F2F2" w:themeFill="background1" w:themeFillShade="F2"/>
          </w:tcPr>
          <w:p w14:paraId="1CD5A782" w14:textId="35FE5855" w:rsidR="00F049E7" w:rsidRPr="007375EB" w:rsidRDefault="00712480" w:rsidP="003B5160">
            <w:pPr>
              <w:spacing w:line="240" w:lineRule="auto"/>
              <w:rPr>
                <w:sz w:val="16"/>
                <w:szCs w:val="16"/>
                <w:lang w:val="bg-BG"/>
              </w:rPr>
            </w:pPr>
            <w:r w:rsidRPr="007375EB">
              <w:rPr>
                <w:sz w:val="16"/>
                <w:szCs w:val="16"/>
                <w:lang w:val="bg-BG"/>
              </w:rPr>
              <w:lastRenderedPageBreak/>
              <w:t>Пътища за достъп до парцелите</w:t>
            </w:r>
          </w:p>
        </w:tc>
        <w:tc>
          <w:tcPr>
            <w:tcW w:w="6551" w:type="dxa"/>
          </w:tcPr>
          <w:p w14:paraId="4B87E3E4" w14:textId="77777777" w:rsidR="00F049E7" w:rsidRPr="007375EB" w:rsidRDefault="00F049E7" w:rsidP="003B5160">
            <w:pPr>
              <w:spacing w:line="240" w:lineRule="auto"/>
              <w:jc w:val="both"/>
              <w:rPr>
                <w:sz w:val="16"/>
                <w:szCs w:val="16"/>
                <w:lang w:val="bg-BG"/>
              </w:rPr>
            </w:pPr>
            <w:r w:rsidRPr="007375EB">
              <w:rPr>
                <w:sz w:val="16"/>
                <w:szCs w:val="16"/>
                <w:lang w:val="bg-BG"/>
              </w:rPr>
              <w:t>A163/18/2, A277/4/7 și A251/31.</w:t>
            </w:r>
          </w:p>
        </w:tc>
      </w:tr>
    </w:tbl>
    <w:p w14:paraId="0D51C113" w14:textId="468324FF" w:rsidR="00466029" w:rsidRPr="007375EB" w:rsidRDefault="006E1E69" w:rsidP="00E633B2">
      <w:pPr>
        <w:spacing w:after="120" w:line="360" w:lineRule="auto"/>
        <w:jc w:val="both"/>
        <w:rPr>
          <w:lang w:val="bg-BG" w:eastAsia="ro-RO"/>
        </w:rPr>
      </w:pPr>
      <w:r w:rsidRPr="007375EB">
        <w:rPr>
          <w:lang w:val="bg-BG" w:eastAsia="ro-RO"/>
        </w:rPr>
        <w:t>Окръжният път Dj 391 е асфалтиран път, общинските пътища са частично асфалтирани, а всички други експлоатационни пътища са черни пътища</w:t>
      </w:r>
      <w:r w:rsidR="00466029" w:rsidRPr="007375EB">
        <w:rPr>
          <w:lang w:val="bg-BG" w:eastAsia="ro-RO"/>
        </w:rPr>
        <w:t xml:space="preserve">. </w:t>
      </w:r>
    </w:p>
    <w:p w14:paraId="296327F8" w14:textId="36251451" w:rsidR="006E1E69" w:rsidRPr="007375EB" w:rsidRDefault="006E1E69" w:rsidP="00883AD5">
      <w:pPr>
        <w:autoSpaceDE w:val="0"/>
        <w:autoSpaceDN w:val="0"/>
        <w:adjustRightInd w:val="0"/>
        <w:spacing w:after="120" w:line="360" w:lineRule="auto"/>
        <w:jc w:val="both"/>
        <w:rPr>
          <w:rFonts w:cs="Verdana"/>
          <w:color w:val="000000"/>
          <w:lang w:val="bg-BG"/>
        </w:rPr>
      </w:pPr>
      <w:r w:rsidRPr="007375EB">
        <w:rPr>
          <w:rFonts w:cs="Verdana"/>
          <w:color w:val="000000"/>
          <w:lang w:val="bg-BG"/>
        </w:rPr>
        <w:t>Тъй като пътищата за достъп нямат конструкция, подходяща за интензивен трафик, е необходимо те да бъдат подредени, за да се осигури необходимият радиус на кривина за ремаркетата, използвани за транспортиране на компонентите на вятърните електроцентрали. Пътищата за достъп и свързващите пътища между вятърните турбини и платформите за сглобяване и поддръжка ще бъдат изградени на площадките</w:t>
      </w:r>
      <w:r w:rsidR="00DB77F2" w:rsidRPr="007375EB">
        <w:rPr>
          <w:rFonts w:cs="Verdana"/>
          <w:color w:val="000000"/>
          <w:lang w:val="bg-BG"/>
        </w:rPr>
        <w:t>.</w:t>
      </w:r>
    </w:p>
    <w:p w14:paraId="24796923" w14:textId="3414933C" w:rsidR="00DB77F2" w:rsidRPr="007375EB" w:rsidRDefault="00712480" w:rsidP="00883AD5">
      <w:pPr>
        <w:autoSpaceDE w:val="0"/>
        <w:autoSpaceDN w:val="0"/>
        <w:adjustRightInd w:val="0"/>
        <w:spacing w:after="120" w:line="360" w:lineRule="auto"/>
        <w:jc w:val="both"/>
        <w:rPr>
          <w:rFonts w:cs="Verdana"/>
          <w:color w:val="000000"/>
          <w:lang w:val="bg-BG"/>
        </w:rPr>
      </w:pPr>
      <w:r w:rsidRPr="007375EB">
        <w:rPr>
          <w:rFonts w:cs="Verdana"/>
          <w:color w:val="000000"/>
          <w:lang w:val="bg-BG"/>
        </w:rPr>
        <w:t>Пътищата и платформите се покриват с битумизиран камък, положен върху пясъчно легло. Конструкцията им трябва да осигурява устойчивост на максимално натоварване от 12 тона на ос и натиск от 18,5 тона/м</w:t>
      </w:r>
      <w:r w:rsidRPr="007375EB">
        <w:rPr>
          <w:rFonts w:cs="Verdana"/>
          <w:color w:val="000000"/>
          <w:vertAlign w:val="superscript"/>
          <w:lang w:val="bg-BG"/>
        </w:rPr>
        <w:t>2</w:t>
      </w:r>
      <w:r w:rsidRPr="007375EB">
        <w:rPr>
          <w:rFonts w:cs="Verdana"/>
          <w:color w:val="000000"/>
          <w:lang w:val="bg-BG"/>
        </w:rPr>
        <w:t>. Широчината на пътищата за ограждане трябва да бъде 4,50 m с минимален радиус на кривата 50,00 m в зоната за достъп от обслужващите пътища.</w:t>
      </w:r>
      <w:r w:rsidR="00DB77F2" w:rsidRPr="007375EB">
        <w:rPr>
          <w:rFonts w:cs="Verdana"/>
          <w:color w:val="000000"/>
          <w:lang w:val="bg-BG"/>
        </w:rPr>
        <w:t xml:space="preserve"> </w:t>
      </w:r>
    </w:p>
    <w:p w14:paraId="60C33516" w14:textId="40A23C4F" w:rsidR="00DB77F2" w:rsidRPr="007375EB" w:rsidRDefault="00712480" w:rsidP="00883AD5">
      <w:pPr>
        <w:autoSpaceDE w:val="0"/>
        <w:autoSpaceDN w:val="0"/>
        <w:adjustRightInd w:val="0"/>
        <w:spacing w:after="120" w:line="360" w:lineRule="auto"/>
        <w:jc w:val="both"/>
        <w:rPr>
          <w:rFonts w:cs="Verdana"/>
          <w:color w:val="000000"/>
          <w:lang w:val="bg-BG"/>
        </w:rPr>
      </w:pPr>
      <w:r w:rsidRPr="007375EB">
        <w:rPr>
          <w:rFonts w:cs="Verdana"/>
          <w:color w:val="000000"/>
          <w:lang w:val="bg-BG"/>
        </w:rPr>
        <w:t>За оттичане на дъждовната вода се осигуряват наклони от мин. 3 % и радиуси на кривината от мин. 50 м при достъпа до площадката. Всеки парцел ще има пряк достъп до изграден експлоатационен път. Радиусите на кривина ще бъдат осигурени чрез временното отдаване на някои земни повърхности. Пътищата за достъп до парцелите ще бъдат изградени чрез полагане на битумизирана каменна настилка върху пясъчна настилка. Работите по благоустрояването на пътищата за достъп, намиращи се в обществено достояние от местен интерес, ще бъдат извършени от бенефициента на инвестицията въз основа на договор, сключен с кметството на Черкезу</w:t>
      </w:r>
      <w:r w:rsidR="00F942B1" w:rsidRPr="007375EB">
        <w:rPr>
          <w:rFonts w:cs="Verdana"/>
          <w:color w:val="000000"/>
          <w:lang w:val="bg-BG"/>
        </w:rPr>
        <w:t>.</w:t>
      </w:r>
      <w:r w:rsidR="00DB77F2" w:rsidRPr="007375EB">
        <w:rPr>
          <w:rFonts w:cs="Verdana"/>
          <w:color w:val="000000"/>
          <w:lang w:val="bg-BG"/>
        </w:rPr>
        <w:t xml:space="preserve"> </w:t>
      </w:r>
    </w:p>
    <w:p w14:paraId="0D36CB12" w14:textId="550F7E7D" w:rsidR="00DB77F2" w:rsidRPr="007375EB" w:rsidRDefault="00712480" w:rsidP="00883AD5">
      <w:pPr>
        <w:spacing w:after="120" w:line="360" w:lineRule="auto"/>
        <w:jc w:val="both"/>
        <w:rPr>
          <w:lang w:val="bg-BG" w:eastAsia="ro-RO"/>
        </w:rPr>
      </w:pPr>
      <w:r w:rsidRPr="007375EB">
        <w:rPr>
          <w:lang w:val="bg-BG" w:eastAsia="ro-RO"/>
        </w:rPr>
        <w:t>За осъществяването на инвестицията е необходимо да се извърши надзиждане/подзиждане на главните тръбопроводи, принадлежащи на Transgaz Mediaș SA, само по трасето на експлоатационния път От 75/20</w:t>
      </w:r>
      <w:r w:rsidR="00DB77F2" w:rsidRPr="007375EB">
        <w:rPr>
          <w:lang w:val="bg-BG" w:eastAsia="ro-RO"/>
        </w:rPr>
        <w:t>.</w:t>
      </w:r>
    </w:p>
    <w:p w14:paraId="1963C0BC" w14:textId="08FB9A8F" w:rsidR="00F91FF3" w:rsidRPr="007375EB" w:rsidRDefault="00712480" w:rsidP="00883AD5">
      <w:pPr>
        <w:spacing w:after="120" w:line="360" w:lineRule="auto"/>
        <w:jc w:val="both"/>
        <w:rPr>
          <w:lang w:val="bg-BG"/>
        </w:rPr>
      </w:pPr>
      <w:r w:rsidRPr="007375EB">
        <w:rPr>
          <w:b/>
          <w:bCs/>
          <w:color w:val="00B0F0"/>
          <w:lang w:val="bg-BG"/>
        </w:rPr>
        <w:t xml:space="preserve">Вятърната електроцентрала </w:t>
      </w:r>
      <w:r w:rsidRPr="007375EB">
        <w:rPr>
          <w:lang w:val="bg-BG"/>
        </w:rPr>
        <w:t>има следните основни компоненти, показани на следващата фигура и таблица</w:t>
      </w:r>
      <w:r w:rsidR="00F91FF3" w:rsidRPr="007375EB">
        <w:rPr>
          <w:lang w:val="bg-BG"/>
        </w:rPr>
        <w:t>:</w:t>
      </w:r>
    </w:p>
    <w:p w14:paraId="4FE7DFA2" w14:textId="278D93A5" w:rsidR="00466029" w:rsidRPr="007375EB" w:rsidRDefault="007F2EAF" w:rsidP="002557CA">
      <w:pPr>
        <w:spacing w:after="120" w:line="360" w:lineRule="auto"/>
        <w:jc w:val="center"/>
        <w:rPr>
          <w:rFonts w:cs="Arial"/>
          <w:lang w:val="bg-BG"/>
        </w:rPr>
      </w:pPr>
      <w:r w:rsidRPr="007375EB">
        <w:rPr>
          <w:rFonts w:cs="Arial"/>
          <w:noProof/>
          <w:lang w:val="bg-BG"/>
        </w:rPr>
        <mc:AlternateContent>
          <mc:Choice Requires="wps">
            <w:drawing>
              <wp:anchor distT="0" distB="0" distL="114300" distR="114300" simplePos="0" relativeHeight="251660304" behindDoc="0" locked="0" layoutInCell="1" allowOverlap="1" wp14:anchorId="36D34242" wp14:editId="2DA11A24">
                <wp:simplePos x="0" y="0"/>
                <wp:positionH relativeFrom="column">
                  <wp:posOffset>4082415</wp:posOffset>
                </wp:positionH>
                <wp:positionV relativeFrom="paragraph">
                  <wp:posOffset>1355090</wp:posOffset>
                </wp:positionV>
                <wp:extent cx="1958340" cy="358140"/>
                <wp:effectExtent l="0" t="0" r="22860" b="22860"/>
                <wp:wrapNone/>
                <wp:docPr id="791159252" name="Text Box 25"/>
                <wp:cNvGraphicFramePr/>
                <a:graphic xmlns:a="http://schemas.openxmlformats.org/drawingml/2006/main">
                  <a:graphicData uri="http://schemas.microsoft.com/office/word/2010/wordprocessingShape">
                    <wps:wsp>
                      <wps:cNvSpPr txBox="1"/>
                      <wps:spPr>
                        <a:xfrm>
                          <a:off x="0" y="0"/>
                          <a:ext cx="1958340" cy="358140"/>
                        </a:xfrm>
                        <a:prstGeom prst="rect">
                          <a:avLst/>
                        </a:prstGeom>
                        <a:solidFill>
                          <a:schemeClr val="lt1"/>
                        </a:solidFill>
                        <a:ln w="6350">
                          <a:solidFill>
                            <a:prstClr val="black"/>
                          </a:solidFill>
                        </a:ln>
                      </wps:spPr>
                      <wps:txbx>
                        <w:txbxContent>
                          <w:p w14:paraId="78FF00C0" w14:textId="4459DC5E" w:rsidR="007F2EAF" w:rsidRPr="007F2EAF" w:rsidRDefault="007F2EAF">
                            <w:pPr>
                              <w:rPr>
                                <w:lang w:val="ru-RU"/>
                              </w:rPr>
                            </w:pPr>
                            <w:r>
                              <w:rPr>
                                <w:lang w:val="ru-RU"/>
                              </w:rPr>
                              <w:t>Основа / Платформа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6D34242" id="Text Box 25" o:spid="_x0000_s1030" type="#_x0000_t202" style="position:absolute;left:0;text-align:left;margin-left:321.45pt;margin-top:106.7pt;width:154.2pt;height:28.2pt;z-index:251660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" fillcolor="white [3201]" strokeweight=".5pt">
                <v:textbox>
                  <w:txbxContent>
                    <w:p w14:paraId="78FF00C0" w14:textId="4459DC5E" w:rsidR="007F2EAF" w:rsidRPr="007F2EAF" w:rsidRDefault="007F2EAF">
                      <w:pPr>
                        <w:rPr>
                          <w:lang w:val="ru-RU"/>
                        </w:rPr>
                      </w:pPr>
                      <w:r>
                        <w:rPr>
                          <w:lang w:val="ru-RU"/>
                        </w:rPr>
                        <w:t>Основа / Платформа</w:t>
                      </w:r>
                    </w:p>
                  </w:txbxContent>
                </v:textbox>
              </v:shape>
            </w:pict>
          </mc:Fallback>
        </mc:AlternateContent>
      </w:r>
      <w:r w:rsidRPr="007375EB">
        <w:rPr>
          <w:rFonts w:cs="Arial"/>
          <w:noProof/>
          <w:lang w:val="bg-BG"/>
        </w:rPr>
        <mc:AlternateContent>
          <mc:Choice Requires="wps">
            <w:drawing>
              <wp:anchor distT="0" distB="0" distL="114300" distR="114300" simplePos="0" relativeHeight="251659280" behindDoc="0" locked="0" layoutInCell="1" allowOverlap="1" wp14:anchorId="721A076A" wp14:editId="04B6AC49">
                <wp:simplePos x="0" y="0"/>
                <wp:positionH relativeFrom="column">
                  <wp:posOffset>4036695</wp:posOffset>
                </wp:positionH>
                <wp:positionV relativeFrom="paragraph">
                  <wp:posOffset>356870</wp:posOffset>
                </wp:positionV>
                <wp:extent cx="1539240" cy="784860"/>
                <wp:effectExtent l="0" t="0" r="22860" b="15240"/>
                <wp:wrapNone/>
                <wp:docPr id="1118849308" name="Text Box 24"/>
                <wp:cNvGraphicFramePr/>
                <a:graphic xmlns:a="http://schemas.openxmlformats.org/drawingml/2006/main">
                  <a:graphicData uri="http://schemas.microsoft.com/office/word/2010/wordprocessingShape">
                    <wps:wsp>
                      <wps:cNvSpPr txBox="1"/>
                      <wps:spPr>
                        <a:xfrm>
                          <a:off x="0" y="0"/>
                          <a:ext cx="1539240" cy="784860"/>
                        </a:xfrm>
                        <a:prstGeom prst="rect">
                          <a:avLst/>
                        </a:prstGeom>
                        <a:solidFill>
                          <a:schemeClr val="lt1"/>
                        </a:solidFill>
                        <a:ln w="6350">
                          <a:solidFill>
                            <a:prstClr val="black"/>
                          </a:solidFill>
                        </a:ln>
                      </wps:spPr>
                      <wps:txbx>
                        <w:txbxContent>
                          <w:p w14:paraId="4EB44E2E" w14:textId="047016B0" w:rsidR="007F2EAF" w:rsidRPr="007F2EAF" w:rsidRDefault="007F2EAF">
                            <w:pPr>
                              <w:rPr>
                                <w:lang w:val="ru-RU"/>
                              </w:rPr>
                            </w:pPr>
                            <w:r w:rsidRPr="007F2EAF">
                              <w:rPr>
                                <w:lang w:val="ru-RU"/>
                              </w:rPr>
                              <w:t>Гондола</w:t>
                            </w:r>
                          </w:p>
                          <w:p w14:paraId="0B823BAE" w14:textId="77777777" w:rsidR="007F2EAF" w:rsidRPr="007F2EAF" w:rsidRDefault="007F2EAF">
                            <w:pPr>
                              <w:rPr>
                                <w:lang w:val="ru-RU"/>
                              </w:rPr>
                            </w:pPr>
                          </w:p>
                          <w:p w14:paraId="6A7CCB65" w14:textId="34F93E10" w:rsidR="007F2EAF" w:rsidRPr="007F2EAF" w:rsidRDefault="007F2EAF">
                            <w:pPr>
                              <w:rPr>
                                <w:lang w:val="ru-RU"/>
                              </w:rPr>
                            </w:pPr>
                            <w:r w:rsidRPr="007F2EAF">
                              <w:rPr>
                                <w:lang w:val="ru-RU"/>
                              </w:rPr>
                              <w:t>Лопатка</w:t>
                            </w:r>
                          </w:p>
                          <w:p w14:paraId="0BA495D5" w14:textId="4202AE74" w:rsidR="007F2EAF" w:rsidRPr="007F2EAF" w:rsidRDefault="007F2EAF">
                            <w:pPr>
                              <w:rPr>
                                <w:sz w:val="20"/>
                                <w:szCs w:val="20"/>
                                <w:lang w:val="ru-RU"/>
                              </w:rPr>
                            </w:pPr>
                            <w:r>
                              <w:rPr>
                                <w:lang w:val="ru-RU"/>
                              </w:rPr>
                              <w:t>Стълба</w:t>
                            </w:r>
                            <w:r w:rsidRPr="007F2EAF">
                              <w:rPr>
                                <w:sz w:val="20"/>
                                <w:szCs w:val="20"/>
                                <w:lang w:val="ru-RU"/>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21A076A" id="Text Box 24" o:spid="_x0000_s1031" type="#_x0000_t202" style="position:absolute;left:0;text-align:left;margin-left:317.85pt;margin-top:28.1pt;width:121.2pt;height:61.8pt;z-index:251659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" fillcolor="white [3201]" strokeweight=".5pt">
                <v:textbox>
                  <w:txbxContent>
                    <w:p w14:paraId="4EB44E2E" w14:textId="047016B0" w:rsidR="007F2EAF" w:rsidRPr="007F2EAF" w:rsidRDefault="007F2EAF">
                      <w:pPr>
                        <w:rPr>
                          <w:lang w:val="ru-RU"/>
                        </w:rPr>
                      </w:pPr>
                      <w:r w:rsidRPr="007F2EAF">
                        <w:rPr>
                          <w:lang w:val="ru-RU"/>
                        </w:rPr>
                        <w:t>Гондола</w:t>
                      </w:r>
                    </w:p>
                    <w:p w14:paraId="0B823BAE" w14:textId="77777777" w:rsidR="007F2EAF" w:rsidRPr="007F2EAF" w:rsidRDefault="007F2EAF">
                      <w:pPr>
                        <w:rPr>
                          <w:lang w:val="ru-RU"/>
                        </w:rPr>
                      </w:pPr>
                    </w:p>
                    <w:p w14:paraId="6A7CCB65" w14:textId="34F93E10" w:rsidR="007F2EAF" w:rsidRPr="007F2EAF" w:rsidRDefault="007F2EAF">
                      <w:pPr>
                        <w:rPr>
                          <w:lang w:val="ru-RU"/>
                        </w:rPr>
                      </w:pPr>
                      <w:r w:rsidRPr="007F2EAF">
                        <w:rPr>
                          <w:lang w:val="ru-RU"/>
                        </w:rPr>
                        <w:t>Лопатка</w:t>
                      </w:r>
                    </w:p>
                    <w:p w14:paraId="0BA495D5" w14:textId="4202AE74" w:rsidR="007F2EAF" w:rsidRPr="007F2EAF" w:rsidRDefault="007F2EAF">
                      <w:pPr>
                        <w:rPr>
                          <w:sz w:val="20"/>
                          <w:szCs w:val="20"/>
                          <w:lang w:val="ru-RU"/>
                        </w:rPr>
                      </w:pPr>
                      <w:r>
                        <w:rPr>
                          <w:lang w:val="ru-RU"/>
                        </w:rPr>
                        <w:t>Стълба</w:t>
                      </w:r>
                      <w:r w:rsidRPr="007F2EAF">
                        <w:rPr>
                          <w:sz w:val="20"/>
                          <w:szCs w:val="20"/>
                          <w:lang w:val="ru-RU"/>
                        </w:rPr>
                        <w:t xml:space="preserve"> </w:t>
                      </w:r>
                    </w:p>
                  </w:txbxContent>
                </v:textbox>
              </v:shape>
            </w:pict>
          </mc:Fallback>
        </mc:AlternateContent>
      </w:r>
      <w:r w:rsidR="00A1093D" w:rsidRPr="007375EB">
        <w:rPr>
          <w:rFonts w:cs="Arial"/>
          <w:noProof/>
          <w:lang w:val="bg-BG"/>
        </w:rPr>
        <w:drawing>
          <wp:inline distT="0" distB="0" distL="0" distR="0" wp14:anchorId="53932B76" wp14:editId="58A1D1FB">
            <wp:extent cx="4685453" cy="1800000"/>
            <wp:effectExtent l="0" t="0" r="127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85453" cy="1800000"/>
                    </a:xfrm>
                    <a:prstGeom prst="rect">
                      <a:avLst/>
                    </a:prstGeom>
                    <a:noFill/>
                    <a:ln>
                      <a:noFill/>
                    </a:ln>
                  </pic:spPr>
                </pic:pic>
              </a:graphicData>
            </a:graphic>
          </wp:inline>
        </w:drawing>
      </w:r>
    </w:p>
    <w:p w14:paraId="5E47BF60" w14:textId="1E66E568" w:rsidR="002557CA" w:rsidRPr="007375EB" w:rsidRDefault="00712480" w:rsidP="008955AF">
      <w:pPr>
        <w:pStyle w:val="Caption"/>
        <w:spacing w:after="120" w:line="240" w:lineRule="auto"/>
        <w:jc w:val="center"/>
        <w:rPr>
          <w:sz w:val="16"/>
          <w:szCs w:val="16"/>
          <w:lang w:val="bg-BG"/>
        </w:rPr>
      </w:pPr>
      <w:r w:rsidRPr="007375EB">
        <w:rPr>
          <w:sz w:val="16"/>
          <w:szCs w:val="16"/>
          <w:lang w:val="bg-BG"/>
        </w:rPr>
        <w:t>Фигура 1. 1 Компоненти на вятърна турбина</w:t>
      </w:r>
    </w:p>
    <w:tbl>
      <w:tblPr>
        <w:tblStyle w:val="TableGrid"/>
        <w:tblW w:w="0" w:type="auto"/>
        <w:tblBorders>
          <w:insideH w:val="dashSmallGap" w:sz="4" w:space="0" w:color="auto"/>
          <w:insideV w:val="dashSmallGap" w:sz="4" w:space="0" w:color="auto"/>
        </w:tblBorders>
        <w:tblLook w:val="04A0" w:firstRow="1" w:lastRow="0" w:firstColumn="1" w:lastColumn="0" w:noHBand="0" w:noVBand="1"/>
      </w:tblPr>
      <w:tblGrid>
        <w:gridCol w:w="2055"/>
        <w:gridCol w:w="7234"/>
      </w:tblGrid>
      <w:tr w:rsidR="00196CC1" w:rsidRPr="007375EB" w14:paraId="6218BF00" w14:textId="77777777" w:rsidTr="007F2EAF">
        <w:tc>
          <w:tcPr>
            <w:tcW w:w="1996" w:type="dxa"/>
            <w:shd w:val="clear" w:color="auto" w:fill="F2F2F2" w:themeFill="background1" w:themeFillShade="F2"/>
          </w:tcPr>
          <w:p w14:paraId="65BE7C51" w14:textId="103A7841" w:rsidR="000D7204" w:rsidRPr="007375EB" w:rsidRDefault="007F2EAF" w:rsidP="00D0532F">
            <w:pPr>
              <w:spacing w:after="120" w:line="240" w:lineRule="auto"/>
              <w:jc w:val="both"/>
              <w:rPr>
                <w:rFonts w:eastAsia="Verdana" w:cs="Verdana"/>
                <w:b/>
                <w:sz w:val="16"/>
                <w:lang w:val="bg-BG"/>
              </w:rPr>
            </w:pPr>
            <w:r w:rsidRPr="007375EB">
              <w:rPr>
                <w:rFonts w:eastAsia="Verdana" w:cs="Verdana"/>
                <w:b/>
                <w:sz w:val="16"/>
                <w:lang w:val="bg-BG"/>
              </w:rPr>
              <w:t>Гондола</w:t>
            </w:r>
          </w:p>
          <w:p w14:paraId="5F917621" w14:textId="77777777" w:rsidR="000E3140" w:rsidRPr="007375EB" w:rsidRDefault="000E3140" w:rsidP="00D0532F">
            <w:pPr>
              <w:spacing w:after="120" w:line="240" w:lineRule="auto"/>
              <w:jc w:val="both"/>
              <w:rPr>
                <w:sz w:val="12"/>
                <w:szCs w:val="12"/>
                <w:lang w:val="bg-BG"/>
              </w:rPr>
            </w:pPr>
          </w:p>
          <w:p w14:paraId="57B42C55" w14:textId="56EF9E87" w:rsidR="000D7204" w:rsidRPr="007375EB" w:rsidRDefault="007F2EAF" w:rsidP="00D0532F">
            <w:pPr>
              <w:spacing w:after="120" w:line="240" w:lineRule="auto"/>
              <w:jc w:val="both"/>
              <w:rPr>
                <w:lang w:val="bg-BG"/>
              </w:rPr>
            </w:pPr>
            <w:r w:rsidRPr="007375EB">
              <w:rPr>
                <w:rFonts w:eastAsia="Verdana" w:cs="Verdana"/>
                <w:b/>
                <w:sz w:val="16"/>
                <w:lang w:val="bg-BG"/>
              </w:rPr>
              <w:t>Лопатка</w:t>
            </w:r>
          </w:p>
          <w:p w14:paraId="737C9C18" w14:textId="59CE4109" w:rsidR="000D7204" w:rsidRPr="007375EB" w:rsidRDefault="007F2EAF" w:rsidP="00D0532F">
            <w:pPr>
              <w:spacing w:after="120" w:line="240" w:lineRule="auto"/>
              <w:jc w:val="both"/>
              <w:rPr>
                <w:lang w:val="bg-BG"/>
              </w:rPr>
            </w:pPr>
            <w:r w:rsidRPr="007375EB">
              <w:rPr>
                <w:rFonts w:eastAsia="Verdana" w:cs="Verdana"/>
                <w:b/>
                <w:sz w:val="16"/>
                <w:lang w:val="bg-BG"/>
              </w:rPr>
              <w:t>Стълба</w:t>
            </w:r>
          </w:p>
          <w:p w14:paraId="70307032" w14:textId="21951037" w:rsidR="00196CC1" w:rsidRPr="007375EB" w:rsidRDefault="007F2EAF" w:rsidP="00D0532F">
            <w:pPr>
              <w:pStyle w:val="Caption-Text"/>
              <w:spacing w:after="120" w:line="240" w:lineRule="auto"/>
              <w:jc w:val="both"/>
              <w:rPr>
                <w:sz w:val="18"/>
                <w:lang w:val="bg-BG"/>
              </w:rPr>
            </w:pPr>
            <w:r w:rsidRPr="007375EB">
              <w:rPr>
                <w:rFonts w:eastAsia="Verdana" w:cs="Verdana"/>
                <w:b/>
                <w:sz w:val="16"/>
                <w:lang w:val="bg-BG"/>
              </w:rPr>
              <w:lastRenderedPageBreak/>
              <w:t>Основа/Платформа</w:t>
            </w:r>
          </w:p>
        </w:tc>
        <w:tc>
          <w:tcPr>
            <w:tcW w:w="7293" w:type="dxa"/>
          </w:tcPr>
          <w:p w14:paraId="0C25307F" w14:textId="77777777" w:rsidR="00AB3133" w:rsidRPr="007375EB" w:rsidRDefault="00AB3133" w:rsidP="00AB3133">
            <w:pPr>
              <w:pStyle w:val="Caption-Text"/>
              <w:spacing w:after="120" w:line="240" w:lineRule="auto"/>
              <w:jc w:val="both"/>
              <w:rPr>
                <w:sz w:val="16"/>
                <w:szCs w:val="16"/>
                <w:lang w:val="bg-BG"/>
              </w:rPr>
            </w:pPr>
            <w:r w:rsidRPr="007375EB">
              <w:rPr>
                <w:sz w:val="16"/>
                <w:szCs w:val="16"/>
                <w:lang w:val="bg-BG"/>
              </w:rPr>
              <w:lastRenderedPageBreak/>
              <w:t xml:space="preserve">Гондолата е монтирана на горната част на стълба. Вътре в гондолата се намира генераторът. Генераторът е оборудван с ротор и система за управление. </w:t>
            </w:r>
          </w:p>
          <w:p w14:paraId="09C22028" w14:textId="77777777" w:rsidR="00AB3133" w:rsidRPr="007375EB" w:rsidRDefault="00AB3133" w:rsidP="00AB3133">
            <w:pPr>
              <w:pStyle w:val="Caption-Text"/>
              <w:spacing w:after="120" w:line="240" w:lineRule="auto"/>
              <w:jc w:val="both"/>
              <w:rPr>
                <w:sz w:val="16"/>
                <w:szCs w:val="16"/>
                <w:lang w:val="bg-BG"/>
              </w:rPr>
            </w:pPr>
            <w:r w:rsidRPr="007375EB">
              <w:rPr>
                <w:sz w:val="16"/>
                <w:szCs w:val="16"/>
                <w:lang w:val="bg-BG"/>
              </w:rPr>
              <w:t xml:space="preserve">Роторът има 3 лопатки с диаметър 170 метра. </w:t>
            </w:r>
          </w:p>
          <w:p w14:paraId="5125FD4B" w14:textId="64B1B54C" w:rsidR="00383280" w:rsidRPr="007375EB" w:rsidRDefault="00AB3133" w:rsidP="00AB3133">
            <w:pPr>
              <w:pStyle w:val="Caption-Text"/>
              <w:spacing w:after="120" w:line="240" w:lineRule="auto"/>
              <w:jc w:val="both"/>
              <w:rPr>
                <w:sz w:val="16"/>
                <w:szCs w:val="16"/>
                <w:lang w:val="bg-BG"/>
              </w:rPr>
            </w:pPr>
            <w:r w:rsidRPr="007375EB">
              <w:rPr>
                <w:sz w:val="16"/>
                <w:szCs w:val="16"/>
                <w:lang w:val="bg-BG"/>
              </w:rPr>
              <w:t>Стълбът, който поддържа гондолата, е изработен от метал и ще бъде висок 155 метра.</w:t>
            </w:r>
          </w:p>
          <w:p w14:paraId="61C0F7AD" w14:textId="77777777" w:rsidR="00AB3133" w:rsidRPr="007375EB" w:rsidRDefault="00AB3133" w:rsidP="00AB3133">
            <w:pPr>
              <w:pStyle w:val="Caption-Text"/>
              <w:spacing w:after="120" w:line="240" w:lineRule="auto"/>
              <w:jc w:val="both"/>
              <w:rPr>
                <w:sz w:val="16"/>
                <w:szCs w:val="16"/>
                <w:lang w:val="bg-BG"/>
              </w:rPr>
            </w:pPr>
            <w:r w:rsidRPr="007375EB">
              <w:rPr>
                <w:sz w:val="16"/>
                <w:szCs w:val="16"/>
                <w:lang w:val="bg-BG"/>
              </w:rPr>
              <w:lastRenderedPageBreak/>
              <w:t xml:space="preserve">Целта на фундамента е да поддържа стълба, ротора, лопатките и гондолата с цялото оборудване, както и да предава посочените специфични натоварвания на земята, без да предизвиква деформации, които биха застрашили безопасната работа (без да се превишава носещата способност на земята на фундамента). Фундаментът на вятърния генератор е изолиран, тип бетонна плоча, носещ фундамент, изработен от монолитно отлят стоманобетон. </w:t>
            </w:r>
          </w:p>
          <w:p w14:paraId="0D2D2E47" w14:textId="3F4E1786" w:rsidR="00383280" w:rsidRPr="007375EB" w:rsidRDefault="00AB3133" w:rsidP="00AB3133">
            <w:pPr>
              <w:pStyle w:val="Caption-Text"/>
              <w:spacing w:after="120" w:line="240" w:lineRule="auto"/>
              <w:jc w:val="both"/>
              <w:rPr>
                <w:sz w:val="16"/>
                <w:szCs w:val="16"/>
                <w:lang w:val="bg-BG"/>
              </w:rPr>
            </w:pPr>
            <w:r w:rsidRPr="007375EB">
              <w:rPr>
                <w:sz w:val="16"/>
                <w:szCs w:val="16"/>
                <w:lang w:val="bg-BG"/>
              </w:rPr>
              <w:t>Предлага се да се реализират технологични платформи за периода на монтаж на ветрогенераторните агрегати. Платформите ще бъдат разположени в непосредствена близост до пътя, в непосредствена близост до всеки фундамент на ветрогенератор.</w:t>
            </w:r>
          </w:p>
          <w:p w14:paraId="0D4D1B30" w14:textId="217105CE" w:rsidR="00196CC1" w:rsidRPr="007375EB" w:rsidRDefault="00AB3133" w:rsidP="00D0532F">
            <w:pPr>
              <w:pStyle w:val="Caption-Text"/>
              <w:spacing w:after="120" w:line="240" w:lineRule="auto"/>
              <w:jc w:val="both"/>
              <w:rPr>
                <w:sz w:val="18"/>
                <w:lang w:val="bg-BG"/>
              </w:rPr>
            </w:pPr>
            <w:r w:rsidRPr="007375EB">
              <w:rPr>
                <w:sz w:val="16"/>
                <w:szCs w:val="16"/>
                <w:lang w:val="bg-BG"/>
              </w:rPr>
              <w:t>Технологичните платформи се запазват, те ще се използват в случай на евентуални интервенции върху ветрогенераторите за изравняване на терена, след което ще се покрият с баластра. Максималната височина на платформата на площадката ще бъде макс. 0,95 m.</w:t>
            </w:r>
          </w:p>
        </w:tc>
      </w:tr>
    </w:tbl>
    <w:p w14:paraId="2F09DD7B" w14:textId="32002666" w:rsidR="00EA2A9E" w:rsidRPr="007375EB" w:rsidRDefault="00270417" w:rsidP="00225A8E">
      <w:pPr>
        <w:spacing w:after="116" w:line="362" w:lineRule="auto"/>
        <w:ind w:left="-6" w:hanging="11"/>
        <w:jc w:val="both"/>
        <w:rPr>
          <w:lang w:val="bg-BG"/>
        </w:rPr>
      </w:pPr>
      <w:r w:rsidRPr="007375EB">
        <w:rPr>
          <w:b/>
          <w:bCs/>
          <w:color w:val="00B0F0"/>
          <w:lang w:val="bg-BG"/>
        </w:rPr>
        <w:lastRenderedPageBreak/>
        <w:t>Надграждане на мрежата</w:t>
      </w:r>
      <w:r w:rsidR="00A07351" w:rsidRPr="007375EB">
        <w:rPr>
          <w:lang w:val="bg-BG"/>
        </w:rPr>
        <w:t xml:space="preserve">: </w:t>
      </w:r>
      <w:r w:rsidRPr="007375EB">
        <w:rPr>
          <w:rFonts w:eastAsia="Verdana" w:cs="Verdana"/>
          <w:lang w:val="bg-BG"/>
        </w:rPr>
        <w:t>За експлоатацията на вятърните електроцентрали не са необходими други видове строителни съоръжения. Съществуващата електрическа мрежа и кабели в района ще бъдат защитени както по време на строителството, така и при експлоатацията</w:t>
      </w:r>
      <w:r w:rsidR="00EA2A9E" w:rsidRPr="007375EB">
        <w:rPr>
          <w:rFonts w:eastAsia="Verdana" w:cs="Verdana"/>
          <w:lang w:val="bg-BG"/>
        </w:rPr>
        <w:t xml:space="preserve">. </w:t>
      </w:r>
    </w:p>
    <w:p w14:paraId="28827294" w14:textId="59344734" w:rsidR="00EA2A9E" w:rsidRPr="007375EB" w:rsidRDefault="006972DA" w:rsidP="00225A8E">
      <w:pPr>
        <w:spacing w:after="116" w:line="362" w:lineRule="auto"/>
        <w:ind w:left="-6" w:hanging="11"/>
        <w:jc w:val="both"/>
        <w:rPr>
          <w:rFonts w:eastAsia="Verdana" w:cs="Verdana"/>
          <w:lang w:val="bg-BG"/>
        </w:rPr>
      </w:pPr>
      <w:r w:rsidRPr="007375EB">
        <w:rPr>
          <w:rFonts w:eastAsia="Verdana" w:cs="Verdana"/>
          <w:lang w:val="bg-BG"/>
        </w:rPr>
        <w:t>Ветроенергийните централи са свързани помежду си чрез подземна кабелна система (ПЕС) към трансформаторните подстанции 33 кВ/110 кВ, разположени в района на проучването За да се свърже ветроенергийният парк с националната енергийна система (НЕС), ще бъде направена въздушна/подземна електрическа връзка от трансформаторните подстанции 33 кВ/110 кВ към ВЕЛ 110 кВ в района</w:t>
      </w:r>
      <w:r w:rsidR="00EA2A9E" w:rsidRPr="007375EB">
        <w:rPr>
          <w:rFonts w:eastAsia="Verdana" w:cs="Verdana"/>
          <w:lang w:val="bg-BG"/>
        </w:rPr>
        <w:t xml:space="preserve">. </w:t>
      </w:r>
      <w:r w:rsidRPr="007375EB">
        <w:rPr>
          <w:rFonts w:eastAsia="Verdana" w:cs="Verdana"/>
          <w:lang w:val="bg-BG"/>
        </w:rPr>
        <w:t>Електрическата мрежа, свързваща електроцентралите с трансформаторните подстанции 33кВ-110кВ, разположени в парцели A 5/28 и A 177/16, ще бъде вкопана на дълбочина 1,00-1,50 м и ще бъде разположена в разработените/неразработените селскостопански пътища в района на изследването.</w:t>
      </w:r>
      <w:r w:rsidR="00EA2A9E" w:rsidRPr="007375EB">
        <w:rPr>
          <w:rFonts w:eastAsia="Verdana" w:cs="Verdana"/>
          <w:lang w:val="bg-BG"/>
        </w:rPr>
        <w:t xml:space="preserve"> </w:t>
      </w:r>
    </w:p>
    <w:p w14:paraId="5EC5A70A" w14:textId="3E1B7BEE" w:rsidR="00F2657E" w:rsidRPr="007375EB" w:rsidRDefault="006972DA" w:rsidP="00F2657E">
      <w:pPr>
        <w:spacing w:after="116" w:line="362" w:lineRule="auto"/>
        <w:ind w:left="-5" w:right="148" w:hanging="10"/>
        <w:jc w:val="both"/>
        <w:rPr>
          <w:lang w:val="bg-BG"/>
        </w:rPr>
      </w:pPr>
      <w:r w:rsidRPr="007375EB">
        <w:rPr>
          <w:b/>
          <w:bCs/>
          <w:color w:val="00B0F0"/>
          <w:lang w:val="bg-BG"/>
        </w:rPr>
        <w:t>Организация на строителната площадка</w:t>
      </w:r>
      <w:r w:rsidR="00A04224" w:rsidRPr="007375EB">
        <w:rPr>
          <w:b/>
          <w:bCs/>
          <w:color w:val="00B0F0"/>
          <w:lang w:val="bg-BG"/>
        </w:rPr>
        <w:t>:</w:t>
      </w:r>
      <w:r w:rsidR="00A04224" w:rsidRPr="007375EB">
        <w:rPr>
          <w:lang w:val="bg-BG"/>
        </w:rPr>
        <w:t xml:space="preserve"> </w:t>
      </w:r>
      <w:r w:rsidR="006F7098" w:rsidRPr="007375EB">
        <w:rPr>
          <w:rFonts w:eastAsia="Verdana" w:cs="Verdana"/>
          <w:lang w:val="bg-BG"/>
        </w:rPr>
        <w:t xml:space="preserve">За да се реализират предложените инвестиции, са необходими 3 временни организации на строителната площадка на парцелите: A251/1/31, A367/15, A250/9. Временните организации на строителната площадка ще заемат площ от около </w:t>
      </w:r>
      <w:r w:rsidR="006F7098" w:rsidRPr="007375EB">
        <w:rPr>
          <w:rFonts w:eastAsia="Verdana" w:cs="Verdana"/>
          <w:b/>
          <w:bCs/>
          <w:lang w:val="bg-BG"/>
        </w:rPr>
        <w:t>3 000</w:t>
      </w:r>
      <w:r w:rsidR="006F7098" w:rsidRPr="007375EB">
        <w:rPr>
          <w:rFonts w:eastAsia="Verdana" w:cs="Verdana"/>
          <w:lang w:val="bg-BG"/>
        </w:rPr>
        <w:t xml:space="preserve"> м2 всяка.</w:t>
      </w:r>
      <w:r w:rsidR="00F2657E" w:rsidRPr="007375EB">
        <w:rPr>
          <w:rFonts w:eastAsia="Verdana" w:cs="Verdana"/>
          <w:lang w:val="bg-BG"/>
        </w:rPr>
        <w:t xml:space="preserve"> </w:t>
      </w:r>
    </w:p>
    <w:p w14:paraId="5FA623F1" w14:textId="208BCD77" w:rsidR="00F2657E" w:rsidRPr="007375EB" w:rsidRDefault="006972DA" w:rsidP="007F2EAF">
      <w:pPr>
        <w:spacing w:after="116" w:line="362" w:lineRule="auto"/>
        <w:ind w:left="-5" w:right="142" w:hanging="10"/>
        <w:jc w:val="both"/>
        <w:rPr>
          <w:lang w:val="bg-BG"/>
        </w:rPr>
      </w:pPr>
      <w:r w:rsidRPr="007375EB">
        <w:rPr>
          <w:rFonts w:eastAsia="Verdana" w:cs="Verdana"/>
          <w:lang w:val="bg-BG"/>
        </w:rPr>
        <w:t>За да се създаде организацията на строителната площадка, горният слой на почвата ще бъде отстранен и ще бъде положен дренажен слой (пясък и чакъл), за да се предотврати замърсяване на почвата поради случайно изтичане. Горният слой почва ще бъде складиран в близост до организацията на площадката с оглед повторното му използване за възстановяване на площадката след демонтирането на организацията на площадката.</w:t>
      </w:r>
    </w:p>
    <w:p w14:paraId="135229DD" w14:textId="7CA5047B" w:rsidR="004A2D36" w:rsidRPr="007375EB" w:rsidRDefault="007F2EAF" w:rsidP="00225A8E">
      <w:pPr>
        <w:pStyle w:val="ListParagraph"/>
        <w:numPr>
          <w:ilvl w:val="2"/>
          <w:numId w:val="20"/>
        </w:numPr>
        <w:spacing w:line="360" w:lineRule="auto"/>
        <w:ind w:left="0" w:firstLine="0"/>
        <w:outlineLvl w:val="2"/>
        <w:rPr>
          <w:b/>
          <w:bCs/>
          <w:i/>
          <w:iCs/>
          <w:color w:val="009DF0"/>
          <w:lang w:val="bg-BG" w:eastAsia="ro-RO"/>
        </w:rPr>
      </w:pPr>
      <w:bookmarkStart w:id="11" w:name="_Toc159320534"/>
      <w:r w:rsidRPr="007375EB">
        <w:rPr>
          <w:b/>
          <w:bCs/>
          <w:i/>
          <w:iCs/>
          <w:color w:val="009DF0"/>
          <w:lang w:val="bg-BG" w:eastAsia="ro-RO"/>
        </w:rPr>
        <w:t xml:space="preserve">Цели на </w:t>
      </w:r>
      <w:r w:rsidR="0014580E" w:rsidRPr="007375EB">
        <w:rPr>
          <w:b/>
          <w:bCs/>
          <w:i/>
          <w:iCs/>
          <w:color w:val="009DF0"/>
          <w:lang w:val="bg-BG" w:eastAsia="ro-RO"/>
        </w:rPr>
        <w:t>ЗГП</w:t>
      </w:r>
    </w:p>
    <w:p w14:paraId="2558DC39" w14:textId="4AC00F40" w:rsidR="007F2EAF" w:rsidRPr="007375EB" w:rsidRDefault="007F2EAF" w:rsidP="00225A8E">
      <w:pPr>
        <w:spacing w:line="360" w:lineRule="auto"/>
        <w:jc w:val="both"/>
        <w:rPr>
          <w:lang w:val="bg-BG" w:eastAsia="ro-RO"/>
        </w:rPr>
      </w:pPr>
      <w:r w:rsidRPr="007375EB">
        <w:rPr>
          <w:lang w:val="bg-BG" w:eastAsia="ro-RO"/>
        </w:rPr>
        <w:t xml:space="preserve">Целите на анализираната </w:t>
      </w:r>
      <w:r w:rsidR="0014580E" w:rsidRPr="007375EB">
        <w:rPr>
          <w:lang w:val="bg-BG" w:eastAsia="ro-RO"/>
        </w:rPr>
        <w:t>ЗГП</w:t>
      </w:r>
      <w:r w:rsidRPr="007375EB">
        <w:rPr>
          <w:lang w:val="bg-BG" w:eastAsia="ro-RO"/>
        </w:rPr>
        <w:t xml:space="preserve"> се отнасят до проучването на района и насърчаването на алтернативно използване на определени площи земя в ТАЕ Черкезу, окръг Констанца, което ще доведе до икономическото развитие на окръга, за да се повиши жизненият стандарт на населението чрез привличане на значителни устойчиви инвестиции.</w:t>
      </w:r>
    </w:p>
    <w:p w14:paraId="449DCC90" w14:textId="5D053CC3" w:rsidR="000128CE" w:rsidRPr="007375EB" w:rsidRDefault="007F2EAF" w:rsidP="007F2EAF">
      <w:pPr>
        <w:spacing w:after="120" w:line="360" w:lineRule="auto"/>
        <w:jc w:val="both"/>
        <w:rPr>
          <w:lang w:val="bg-BG" w:eastAsia="ro-RO"/>
        </w:rPr>
      </w:pPr>
      <w:r w:rsidRPr="007375EB">
        <w:rPr>
          <w:lang w:val="bg-BG" w:eastAsia="ro-RO"/>
        </w:rPr>
        <w:t>Единственият потенциал за развитие със значително икономическо въздействие за района е този, който се определя от почти постоянното присъствие на ветрове. Наред с този потенциал районът може да се използва за земеделие</w:t>
      </w:r>
      <w:r w:rsidR="000128CE" w:rsidRPr="007375EB">
        <w:rPr>
          <w:lang w:val="bg-BG"/>
        </w:rPr>
        <w:t>.</w:t>
      </w:r>
    </w:p>
    <w:p w14:paraId="61B5D9BF" w14:textId="3E21DF41" w:rsidR="00B81A96" w:rsidRPr="007375EB" w:rsidRDefault="00270417" w:rsidP="00B81A96">
      <w:pPr>
        <w:spacing w:after="120" w:line="360" w:lineRule="auto"/>
        <w:jc w:val="both"/>
        <w:rPr>
          <w:lang w:val="bg-BG" w:eastAsia="ro-RO"/>
        </w:rPr>
      </w:pPr>
      <w:r w:rsidRPr="007375EB">
        <w:rPr>
          <w:lang w:val="bg-BG" w:eastAsia="ro-RO"/>
        </w:rPr>
        <w:t>Основната цел на плана е реализирането на парк за вятърна енергия със следните строителни елементи</w:t>
      </w:r>
      <w:r w:rsidR="00B81A96" w:rsidRPr="007375EB">
        <w:rPr>
          <w:lang w:val="bg-BG" w:eastAsia="ro-RO"/>
        </w:rPr>
        <w:t>:</w:t>
      </w:r>
    </w:p>
    <w:p w14:paraId="186F6229" w14:textId="6496299C" w:rsidR="00B81A96" w:rsidRPr="007375EB" w:rsidRDefault="007256DF" w:rsidP="00EA45B2">
      <w:pPr>
        <w:pStyle w:val="ListParagraph"/>
        <w:numPr>
          <w:ilvl w:val="0"/>
          <w:numId w:val="18"/>
        </w:numPr>
        <w:spacing w:after="120" w:line="360" w:lineRule="auto"/>
        <w:jc w:val="both"/>
        <w:rPr>
          <w:lang w:val="bg-BG" w:eastAsia="ro-RO"/>
        </w:rPr>
      </w:pPr>
      <w:r w:rsidRPr="007375EB">
        <w:rPr>
          <w:lang w:val="bg-BG" w:eastAsia="ro-RO"/>
        </w:rPr>
        <w:lastRenderedPageBreak/>
        <w:t xml:space="preserve">48 (46) вятърни електроцентрали тип SIEMENS GAMESA с мощност от 6,6 МВт всяка, с обща мощност от прибл. </w:t>
      </w:r>
      <w:r w:rsidR="00B81A96" w:rsidRPr="007375EB">
        <w:rPr>
          <w:lang w:val="bg-BG" w:eastAsia="ro-RO"/>
        </w:rPr>
        <w:t>316,8</w:t>
      </w:r>
      <w:r w:rsidRPr="007375EB">
        <w:rPr>
          <w:lang w:val="bg-BG" w:eastAsia="ro-RO"/>
        </w:rPr>
        <w:t>МВи</w:t>
      </w:r>
      <w:r w:rsidR="00B81A96" w:rsidRPr="007375EB">
        <w:rPr>
          <w:lang w:val="bg-BG" w:eastAsia="ro-RO"/>
        </w:rPr>
        <w:t xml:space="preserve"> (303,6 </w:t>
      </w:r>
      <w:r w:rsidRPr="007375EB">
        <w:rPr>
          <w:lang w:val="bg-BG" w:eastAsia="ro-RO"/>
        </w:rPr>
        <w:t>МВт</w:t>
      </w:r>
      <w:r w:rsidR="00B81A96" w:rsidRPr="007375EB">
        <w:rPr>
          <w:lang w:val="bg-BG" w:eastAsia="ro-RO"/>
        </w:rPr>
        <w:t xml:space="preserve">), </w:t>
      </w:r>
      <w:r w:rsidRPr="007375EB">
        <w:rPr>
          <w:lang w:val="bg-BG" w:eastAsia="ro-RO"/>
        </w:rPr>
        <w:t>който ще заема площ от ок. 254.17 - ха</w:t>
      </w:r>
      <w:r w:rsidR="00B81A96" w:rsidRPr="007375EB">
        <w:rPr>
          <w:lang w:val="bg-BG" w:eastAsia="ro-RO"/>
        </w:rPr>
        <w:t>.</w:t>
      </w:r>
    </w:p>
    <w:p w14:paraId="287B6B3E" w14:textId="3A80A821" w:rsidR="007256DF" w:rsidRPr="007375EB" w:rsidRDefault="007256DF" w:rsidP="007256DF">
      <w:pPr>
        <w:pStyle w:val="ListParagraph"/>
        <w:numPr>
          <w:ilvl w:val="0"/>
          <w:numId w:val="18"/>
        </w:numPr>
        <w:spacing w:after="120" w:line="360" w:lineRule="auto"/>
        <w:jc w:val="both"/>
        <w:rPr>
          <w:lang w:val="bg-BG" w:eastAsia="ro-RO"/>
        </w:rPr>
      </w:pPr>
      <w:r w:rsidRPr="007375EB">
        <w:rPr>
          <w:lang w:val="bg-BG" w:eastAsia="ro-RO"/>
        </w:rPr>
        <w:t>4 (</w:t>
      </w:r>
      <w:r w:rsidR="00520732" w:rsidRPr="0025286B">
        <w:rPr>
          <w:lang w:val="bg-BG" w:eastAsia="ro-RO"/>
        </w:rPr>
        <w:t>3</w:t>
      </w:r>
      <w:r w:rsidRPr="007375EB">
        <w:rPr>
          <w:lang w:val="bg-BG" w:eastAsia="ro-RO"/>
        </w:rPr>
        <w:t>) трансформаторни подстанции 33 кВ/110 кВ, които ще заемат обща площ от около 1,70 ха</w:t>
      </w:r>
    </w:p>
    <w:p w14:paraId="14719DA7" w14:textId="570330A7" w:rsidR="007256DF" w:rsidRPr="007375EB" w:rsidRDefault="007256DF" w:rsidP="007256DF">
      <w:pPr>
        <w:pStyle w:val="ListParagraph"/>
        <w:numPr>
          <w:ilvl w:val="0"/>
          <w:numId w:val="18"/>
        </w:numPr>
        <w:spacing w:after="120" w:line="360" w:lineRule="auto"/>
        <w:jc w:val="both"/>
        <w:rPr>
          <w:lang w:val="bg-BG" w:eastAsia="ro-RO"/>
        </w:rPr>
      </w:pPr>
      <w:r w:rsidRPr="007375EB">
        <w:rPr>
          <w:lang w:val="bg-BG" w:eastAsia="ro-RO"/>
        </w:rPr>
        <w:t xml:space="preserve">пътища за достъп до турбините с площ от около 36,65 ха постоянно заети площи (10,65 ха експлоатационни пътища и 26 ха благоустроени пътища). </w:t>
      </w:r>
    </w:p>
    <w:p w14:paraId="2E9973A1" w14:textId="66708A7F" w:rsidR="00D4253A" w:rsidRPr="007375EB" w:rsidRDefault="007256DF" w:rsidP="001F0D04">
      <w:pPr>
        <w:spacing w:after="120" w:line="360" w:lineRule="auto"/>
        <w:jc w:val="both"/>
        <w:rPr>
          <w:lang w:val="bg-BG" w:eastAsia="ro-RO"/>
        </w:rPr>
      </w:pPr>
      <w:r w:rsidRPr="007375EB">
        <w:rPr>
          <w:lang w:val="bg-BG" w:eastAsia="ro-RO"/>
        </w:rPr>
        <w:t>Чрез изпълнението на плана се оползотворява както ветровият потенциал на района чрез използването му като алтернатива за производство на електроенергия, така и инфраструктурата – електрически мрежи и наличието на местната общност и инвеститори</w:t>
      </w:r>
      <w:r w:rsidR="00B66AFD" w:rsidRPr="007375EB">
        <w:rPr>
          <w:lang w:val="bg-BG" w:eastAsia="ro-RO"/>
        </w:rPr>
        <w:t>.</w:t>
      </w:r>
    </w:p>
    <w:p w14:paraId="230B36F9" w14:textId="655D7EE4" w:rsidR="00672DD0" w:rsidRPr="007375EB" w:rsidRDefault="007256DF" w:rsidP="00FF05A1">
      <w:pPr>
        <w:spacing w:after="120" w:line="360" w:lineRule="auto"/>
        <w:jc w:val="both"/>
        <w:rPr>
          <w:lang w:val="bg-BG" w:eastAsia="ro-RO"/>
        </w:rPr>
      </w:pPr>
      <w:r w:rsidRPr="007375EB">
        <w:rPr>
          <w:lang w:val="bg-BG" w:eastAsia="ro-RO"/>
        </w:rPr>
        <w:t>В допълнение към основната цел има и други цели от голямо значение</w:t>
      </w:r>
      <w:r w:rsidR="00B66AFD" w:rsidRPr="007375EB">
        <w:rPr>
          <w:lang w:val="bg-BG" w:eastAsia="ro-RO"/>
        </w:rPr>
        <w:t>:</w:t>
      </w:r>
    </w:p>
    <w:p w14:paraId="6E4C2556" w14:textId="620C68DC" w:rsidR="007256DF" w:rsidRPr="007375EB" w:rsidRDefault="007256DF" w:rsidP="007256DF">
      <w:pPr>
        <w:pStyle w:val="ListParagraph"/>
        <w:numPr>
          <w:ilvl w:val="0"/>
          <w:numId w:val="17"/>
        </w:numPr>
        <w:spacing w:after="120" w:line="360" w:lineRule="auto"/>
        <w:jc w:val="both"/>
        <w:rPr>
          <w:lang w:val="bg-BG" w:eastAsia="ro-RO"/>
        </w:rPr>
      </w:pPr>
      <w:r w:rsidRPr="007375EB">
        <w:rPr>
          <w:lang w:val="bg-BG" w:eastAsia="ro-RO"/>
        </w:rPr>
        <w:t>намаляване на емисиите на парникови газове и вредни вещества във въздуха от сектора на електропроизводството</w:t>
      </w:r>
    </w:p>
    <w:p w14:paraId="4A2521A0" w14:textId="77777777" w:rsidR="007256DF" w:rsidRPr="007375EB" w:rsidRDefault="007256DF" w:rsidP="007256DF">
      <w:pPr>
        <w:pStyle w:val="ListParagraph"/>
        <w:numPr>
          <w:ilvl w:val="0"/>
          <w:numId w:val="17"/>
        </w:numPr>
        <w:spacing w:after="120" w:line="360" w:lineRule="auto"/>
        <w:jc w:val="both"/>
        <w:rPr>
          <w:lang w:val="bg-BG" w:eastAsia="ro-RO"/>
        </w:rPr>
      </w:pPr>
      <w:r w:rsidRPr="007375EB">
        <w:rPr>
          <w:lang w:val="bg-BG" w:eastAsia="ro-RO"/>
        </w:rPr>
        <w:t>намаляване на емисиите на замърсители във въздуха, водата и почвата от енергийния сектор;</w:t>
      </w:r>
    </w:p>
    <w:p w14:paraId="45CEC840" w14:textId="5D380BAF" w:rsidR="001C7040" w:rsidRPr="007375EB" w:rsidRDefault="007256DF" w:rsidP="007256DF">
      <w:pPr>
        <w:pStyle w:val="ListParagraph"/>
        <w:numPr>
          <w:ilvl w:val="0"/>
          <w:numId w:val="17"/>
        </w:numPr>
        <w:spacing w:after="120" w:line="360" w:lineRule="auto"/>
        <w:jc w:val="both"/>
        <w:rPr>
          <w:lang w:val="bg-BG" w:eastAsia="ro-RO"/>
        </w:rPr>
      </w:pPr>
      <w:r w:rsidRPr="007375EB">
        <w:rPr>
          <w:lang w:val="bg-BG" w:eastAsia="ro-RO"/>
        </w:rPr>
        <w:t>изпълнението на ангажиментите на Румъния по Парижкото споразумение и последващата политика, създадена за постигане на целите, съдържащи се в споразумението</w:t>
      </w:r>
      <w:r w:rsidR="001C7040" w:rsidRPr="007375EB">
        <w:rPr>
          <w:lang w:val="bg-BG" w:eastAsia="ro-RO"/>
        </w:rPr>
        <w:t>;</w:t>
      </w:r>
    </w:p>
    <w:p w14:paraId="4AB9C09A" w14:textId="5BEE3C07" w:rsidR="00A7325F" w:rsidRPr="007375EB" w:rsidRDefault="00A7325F" w:rsidP="00A7325F">
      <w:pPr>
        <w:pStyle w:val="ListParagraph"/>
        <w:numPr>
          <w:ilvl w:val="0"/>
          <w:numId w:val="17"/>
        </w:numPr>
        <w:spacing w:after="120" w:line="360" w:lineRule="auto"/>
        <w:jc w:val="both"/>
        <w:rPr>
          <w:lang w:val="bg-BG" w:eastAsia="ro-RO"/>
        </w:rPr>
      </w:pPr>
      <w:r w:rsidRPr="007375EB">
        <w:rPr>
          <w:lang w:val="bg-BG" w:eastAsia="ro-RO"/>
        </w:rPr>
        <w:t>развитие на мощности за производство на електроенергия с ниски емисии на ПГ;</w:t>
      </w:r>
    </w:p>
    <w:p w14:paraId="531EC0D1" w14:textId="5576D652" w:rsidR="00A7325F" w:rsidRPr="007375EB" w:rsidRDefault="00A7325F" w:rsidP="00A7325F">
      <w:pPr>
        <w:pStyle w:val="ListParagraph"/>
        <w:numPr>
          <w:ilvl w:val="0"/>
          <w:numId w:val="17"/>
        </w:numPr>
        <w:spacing w:after="120" w:line="360" w:lineRule="auto"/>
        <w:jc w:val="both"/>
        <w:rPr>
          <w:lang w:val="bg-BG" w:eastAsia="ro-RO"/>
        </w:rPr>
      </w:pPr>
      <w:r w:rsidRPr="007375EB">
        <w:rPr>
          <w:lang w:val="bg-BG" w:eastAsia="ro-RO"/>
        </w:rPr>
        <w:t>нови мощности за производство на електроенергия, при ограничение за постигане на целите за енергийна сигурност, конкурентоспособност и декарбонизация на енергийния сектор;</w:t>
      </w:r>
    </w:p>
    <w:p w14:paraId="75C243CB" w14:textId="3223085D" w:rsidR="00D0359D" w:rsidRPr="007375EB" w:rsidRDefault="00A7325F" w:rsidP="00A7325F">
      <w:pPr>
        <w:pStyle w:val="ListParagraph"/>
        <w:numPr>
          <w:ilvl w:val="0"/>
          <w:numId w:val="17"/>
        </w:numPr>
        <w:spacing w:after="120" w:line="360" w:lineRule="auto"/>
        <w:jc w:val="both"/>
        <w:rPr>
          <w:lang w:val="bg-BG" w:eastAsia="ro-RO"/>
        </w:rPr>
      </w:pPr>
      <w:r w:rsidRPr="007375EB">
        <w:rPr>
          <w:lang w:val="bg-BG" w:eastAsia="ro-RO"/>
        </w:rPr>
        <w:t>диверсификация и гъвкавост на мощностите за производство на електроенергия според националния микс</w:t>
      </w:r>
      <w:r w:rsidR="006804DE" w:rsidRPr="007375EB">
        <w:rPr>
          <w:lang w:val="bg-BG" w:eastAsia="ro-RO"/>
        </w:rPr>
        <w:t>;</w:t>
      </w:r>
    </w:p>
    <w:p w14:paraId="4EF400AC" w14:textId="57B9B4FD" w:rsidR="00A7325F" w:rsidRPr="007375EB" w:rsidRDefault="00A7325F" w:rsidP="00A7325F">
      <w:pPr>
        <w:pStyle w:val="ListParagraph"/>
        <w:numPr>
          <w:ilvl w:val="0"/>
          <w:numId w:val="17"/>
        </w:numPr>
        <w:spacing w:after="120" w:line="360" w:lineRule="auto"/>
        <w:jc w:val="both"/>
        <w:rPr>
          <w:lang w:val="bg-BG" w:eastAsia="ro-RO"/>
        </w:rPr>
      </w:pPr>
      <w:r w:rsidRPr="007375EB">
        <w:rPr>
          <w:lang w:val="bg-BG" w:eastAsia="ro-RO"/>
        </w:rPr>
        <w:t>устойчива експлоатация на всички видове първични енергийни ресурси на страната:</w:t>
      </w:r>
    </w:p>
    <w:p w14:paraId="0648F8B2" w14:textId="4ECE24EF" w:rsidR="00CD7563" w:rsidRPr="007375EB" w:rsidRDefault="00A7325F" w:rsidP="00A7325F">
      <w:pPr>
        <w:pStyle w:val="ListParagraph"/>
        <w:numPr>
          <w:ilvl w:val="0"/>
          <w:numId w:val="17"/>
        </w:numPr>
        <w:spacing w:after="120" w:line="360" w:lineRule="auto"/>
        <w:jc w:val="both"/>
        <w:rPr>
          <w:lang w:val="bg-BG" w:eastAsia="ro-RO"/>
        </w:rPr>
      </w:pPr>
      <w:r w:rsidRPr="007375EB">
        <w:rPr>
          <w:lang w:val="bg-BG" w:eastAsia="ro-RO"/>
        </w:rPr>
        <w:t>насърчаване на прехода към кръгова и ефективна икономика от гледна точка на използването на ресурсите</w:t>
      </w:r>
      <w:r w:rsidR="00CD7563" w:rsidRPr="007375EB">
        <w:rPr>
          <w:lang w:val="bg-BG" w:eastAsia="ro-RO"/>
        </w:rPr>
        <w:t>.</w:t>
      </w:r>
    </w:p>
    <w:p w14:paraId="7FA3A4B7" w14:textId="2928725E" w:rsidR="00FC30B0" w:rsidRPr="007375EB" w:rsidRDefault="00A7325F" w:rsidP="00225A8E">
      <w:pPr>
        <w:spacing w:after="120" w:line="360" w:lineRule="auto"/>
        <w:jc w:val="both"/>
        <w:rPr>
          <w:lang w:val="bg-BG" w:eastAsia="ro-RO"/>
        </w:rPr>
      </w:pPr>
      <w:r w:rsidRPr="007375EB">
        <w:rPr>
          <w:lang w:val="bg-BG" w:eastAsia="ro-RO"/>
        </w:rPr>
        <w:t>Общата цел на зоналния градоустройствен план се състои в</w:t>
      </w:r>
      <w:r w:rsidR="00FC30B0" w:rsidRPr="007375EB">
        <w:rPr>
          <w:lang w:val="bg-BG" w:eastAsia="ro-RO"/>
        </w:rPr>
        <w:t>:</w:t>
      </w:r>
    </w:p>
    <w:p w14:paraId="5C2BEE38" w14:textId="4D6C9EB1" w:rsidR="00FC30B0" w:rsidRPr="007375EB" w:rsidRDefault="00807D4E" w:rsidP="00225A8E">
      <w:pPr>
        <w:pStyle w:val="ListParagraph"/>
        <w:numPr>
          <w:ilvl w:val="0"/>
          <w:numId w:val="17"/>
        </w:numPr>
        <w:spacing w:after="120" w:line="360" w:lineRule="auto"/>
        <w:ind w:left="714" w:hanging="357"/>
        <w:jc w:val="both"/>
        <w:rPr>
          <w:lang w:val="bg-BG" w:eastAsia="ro-RO"/>
        </w:rPr>
      </w:pPr>
      <w:r w:rsidRPr="007375EB">
        <w:rPr>
          <w:lang w:val="bg-BG" w:eastAsia="ro-RO"/>
        </w:rPr>
        <w:t xml:space="preserve">OP1 </w:t>
      </w:r>
      <w:r w:rsidR="00A7325F" w:rsidRPr="007375EB">
        <w:rPr>
          <w:lang w:val="bg-BG" w:eastAsia="ro-RO"/>
        </w:rPr>
        <w:t>проучване на района и насърчаване на алтернатива в използването на определени площи земя в покрайнините на ТАЕ Черкезу с цел изграждане на вятърен парк</w:t>
      </w:r>
      <w:r w:rsidR="00FC30B0" w:rsidRPr="007375EB">
        <w:rPr>
          <w:lang w:val="bg-BG" w:eastAsia="ro-RO"/>
        </w:rPr>
        <w:t>;</w:t>
      </w:r>
    </w:p>
    <w:p w14:paraId="0033D4EA" w14:textId="7DD29F07" w:rsidR="00807D4E" w:rsidRPr="007375EB" w:rsidRDefault="00A7325F" w:rsidP="00807D4E">
      <w:pPr>
        <w:spacing w:after="120" w:line="360" w:lineRule="auto"/>
        <w:jc w:val="both"/>
        <w:rPr>
          <w:lang w:val="bg-BG" w:eastAsia="ro-RO"/>
        </w:rPr>
      </w:pPr>
      <w:r w:rsidRPr="007375EB">
        <w:rPr>
          <w:lang w:val="bg-BG" w:eastAsia="ro-RO"/>
        </w:rPr>
        <w:t>В допълнение към тази цел, при създаването на PUZ бяха взети предвид следните цели за опазване на околната среда</w:t>
      </w:r>
    </w:p>
    <w:p w14:paraId="36A9EEA8" w14:textId="22D9DABE" w:rsidR="00807D4E" w:rsidRPr="007375EB" w:rsidRDefault="00ED7001" w:rsidP="000D1555">
      <w:pPr>
        <w:pStyle w:val="ListParagraph"/>
        <w:numPr>
          <w:ilvl w:val="0"/>
          <w:numId w:val="17"/>
        </w:numPr>
        <w:spacing w:after="120" w:line="360" w:lineRule="auto"/>
        <w:jc w:val="both"/>
        <w:rPr>
          <w:lang w:val="bg-BG" w:eastAsia="ro-RO"/>
        </w:rPr>
      </w:pPr>
      <w:r w:rsidRPr="007375EB">
        <w:rPr>
          <w:lang w:val="bg-BG" w:eastAsia="ro-RO"/>
        </w:rPr>
        <w:t>O</w:t>
      </w:r>
      <w:r w:rsidR="00252BDF" w:rsidRPr="007375EB">
        <w:rPr>
          <w:lang w:val="bg-BG" w:eastAsia="ro-RO"/>
        </w:rPr>
        <w:t>P</w:t>
      </w:r>
      <w:r w:rsidR="00366580" w:rsidRPr="007375EB">
        <w:rPr>
          <w:lang w:val="bg-BG" w:eastAsia="ro-RO"/>
        </w:rPr>
        <w:t>2</w:t>
      </w:r>
      <w:r w:rsidR="00DB12A8" w:rsidRPr="007375EB">
        <w:rPr>
          <w:lang w:val="bg-BG" w:eastAsia="ro-RO"/>
        </w:rPr>
        <w:t xml:space="preserve"> </w:t>
      </w:r>
      <w:r w:rsidR="00A7325F" w:rsidRPr="007375EB">
        <w:rPr>
          <w:lang w:val="bg-BG" w:eastAsia="ro-RO"/>
        </w:rPr>
        <w:t>Намаляване на количеството емисии на парникови газове от енергийния сектор</w:t>
      </w:r>
      <w:r w:rsidR="001A3C05" w:rsidRPr="007375EB">
        <w:rPr>
          <w:lang w:val="bg-BG" w:eastAsia="ro-RO"/>
        </w:rPr>
        <w:t>;</w:t>
      </w:r>
    </w:p>
    <w:p w14:paraId="30357A53" w14:textId="7B3F4B4D" w:rsidR="00807D4E" w:rsidRPr="007375EB" w:rsidRDefault="00DB12A8" w:rsidP="000D1555">
      <w:pPr>
        <w:pStyle w:val="ListParagraph"/>
        <w:numPr>
          <w:ilvl w:val="0"/>
          <w:numId w:val="17"/>
        </w:numPr>
        <w:spacing w:after="120" w:line="360" w:lineRule="auto"/>
        <w:jc w:val="both"/>
        <w:rPr>
          <w:lang w:val="bg-BG" w:eastAsia="ro-RO"/>
        </w:rPr>
      </w:pPr>
      <w:r w:rsidRPr="007375EB">
        <w:rPr>
          <w:lang w:val="bg-BG" w:eastAsia="ro-RO"/>
        </w:rPr>
        <w:t>OP</w:t>
      </w:r>
      <w:r w:rsidR="00366580" w:rsidRPr="007375EB">
        <w:rPr>
          <w:lang w:val="bg-BG" w:eastAsia="ro-RO"/>
        </w:rPr>
        <w:t>3</w:t>
      </w:r>
      <w:r w:rsidR="00ED7001" w:rsidRPr="007375EB">
        <w:rPr>
          <w:lang w:val="bg-BG" w:eastAsia="ro-RO"/>
        </w:rPr>
        <w:t xml:space="preserve"> </w:t>
      </w:r>
      <w:r w:rsidR="00A7325F" w:rsidRPr="007375EB">
        <w:rPr>
          <w:lang w:val="bg-BG" w:eastAsia="ro-RO"/>
        </w:rPr>
        <w:t>Насърчаване на прехода към кръгова и ефективна икономика от гледна точка на използването на ресурсите</w:t>
      </w:r>
      <w:r w:rsidR="001A3C05" w:rsidRPr="007375EB">
        <w:rPr>
          <w:lang w:val="bg-BG" w:eastAsia="ro-RO"/>
        </w:rPr>
        <w:t>;</w:t>
      </w:r>
    </w:p>
    <w:p w14:paraId="0EA28D15" w14:textId="20F3DBE2" w:rsidR="00807D4E" w:rsidRPr="007375EB" w:rsidRDefault="00DB12A8" w:rsidP="000D1555">
      <w:pPr>
        <w:pStyle w:val="ListParagraph"/>
        <w:numPr>
          <w:ilvl w:val="0"/>
          <w:numId w:val="17"/>
        </w:numPr>
        <w:spacing w:after="120" w:line="360" w:lineRule="auto"/>
        <w:jc w:val="both"/>
        <w:rPr>
          <w:lang w:val="bg-BG" w:eastAsia="ro-RO"/>
        </w:rPr>
      </w:pPr>
      <w:r w:rsidRPr="007375EB">
        <w:rPr>
          <w:lang w:val="bg-BG" w:eastAsia="ro-RO"/>
        </w:rPr>
        <w:t>OP</w:t>
      </w:r>
      <w:r w:rsidR="00366580" w:rsidRPr="007375EB">
        <w:rPr>
          <w:lang w:val="bg-BG" w:eastAsia="ro-RO"/>
        </w:rPr>
        <w:t>4</w:t>
      </w:r>
      <w:r w:rsidR="000D1555" w:rsidRPr="007375EB">
        <w:rPr>
          <w:lang w:val="bg-BG" w:eastAsia="ro-RO"/>
        </w:rPr>
        <w:t xml:space="preserve"> </w:t>
      </w:r>
      <w:r w:rsidR="003728E6" w:rsidRPr="007375EB">
        <w:rPr>
          <w:lang w:val="bg-BG" w:eastAsia="ro-RO"/>
        </w:rPr>
        <w:t>Подобряване на естествената среда и хармонизирането ѝ с предложения обект</w:t>
      </w:r>
      <w:r w:rsidR="001A3C05" w:rsidRPr="007375EB">
        <w:rPr>
          <w:lang w:val="bg-BG" w:eastAsia="ro-RO"/>
        </w:rPr>
        <w:t>;</w:t>
      </w:r>
    </w:p>
    <w:p w14:paraId="0D0B2AAF" w14:textId="51A92ACB" w:rsidR="00807D4E" w:rsidRPr="007375EB" w:rsidRDefault="000D1555" w:rsidP="000D1555">
      <w:pPr>
        <w:pStyle w:val="ListParagraph"/>
        <w:numPr>
          <w:ilvl w:val="0"/>
          <w:numId w:val="17"/>
        </w:numPr>
        <w:spacing w:after="120" w:line="360" w:lineRule="auto"/>
        <w:jc w:val="both"/>
        <w:rPr>
          <w:lang w:val="bg-BG" w:eastAsia="ro-RO"/>
        </w:rPr>
      </w:pPr>
      <w:r w:rsidRPr="007375EB">
        <w:rPr>
          <w:lang w:val="bg-BG" w:eastAsia="ro-RO"/>
        </w:rPr>
        <w:t>OP</w:t>
      </w:r>
      <w:r w:rsidR="00366580" w:rsidRPr="007375EB">
        <w:rPr>
          <w:lang w:val="bg-BG" w:eastAsia="ro-RO"/>
        </w:rPr>
        <w:t>5</w:t>
      </w:r>
      <w:r w:rsidRPr="007375EB">
        <w:rPr>
          <w:lang w:val="bg-BG" w:eastAsia="ro-RO"/>
        </w:rPr>
        <w:t xml:space="preserve"> </w:t>
      </w:r>
      <w:r w:rsidR="003728E6" w:rsidRPr="007375EB">
        <w:rPr>
          <w:lang w:val="bg-BG" w:eastAsia="ro-RO"/>
        </w:rPr>
        <w:t>Разработване на вятърния парк, като се вземат предвид въздействията върху околната среда и опазването на човешкото здраве</w:t>
      </w:r>
      <w:r w:rsidR="001A3C05" w:rsidRPr="007375EB">
        <w:rPr>
          <w:lang w:val="bg-BG" w:eastAsia="ro-RO"/>
        </w:rPr>
        <w:t>;</w:t>
      </w:r>
    </w:p>
    <w:p w14:paraId="00713D11" w14:textId="34B4E8A1" w:rsidR="00807D4E" w:rsidRPr="007375EB" w:rsidRDefault="000D1555" w:rsidP="000D1555">
      <w:pPr>
        <w:pStyle w:val="ListParagraph"/>
        <w:numPr>
          <w:ilvl w:val="0"/>
          <w:numId w:val="17"/>
        </w:numPr>
        <w:spacing w:after="120" w:line="360" w:lineRule="auto"/>
        <w:jc w:val="both"/>
        <w:rPr>
          <w:lang w:val="bg-BG" w:eastAsia="ro-RO"/>
        </w:rPr>
      </w:pPr>
      <w:r w:rsidRPr="007375EB">
        <w:rPr>
          <w:lang w:val="bg-BG" w:eastAsia="ro-RO"/>
        </w:rPr>
        <w:t>OP</w:t>
      </w:r>
      <w:r w:rsidR="00366580" w:rsidRPr="007375EB">
        <w:rPr>
          <w:lang w:val="bg-BG" w:eastAsia="ro-RO"/>
        </w:rPr>
        <w:t>6</w:t>
      </w:r>
      <w:r w:rsidRPr="007375EB">
        <w:rPr>
          <w:lang w:val="bg-BG" w:eastAsia="ro-RO"/>
        </w:rPr>
        <w:t xml:space="preserve"> </w:t>
      </w:r>
      <w:r w:rsidR="003728E6" w:rsidRPr="007375EB">
        <w:rPr>
          <w:lang w:val="bg-BG" w:eastAsia="ro-RO"/>
        </w:rPr>
        <w:t>Местен икономически и социален растеж</w:t>
      </w:r>
      <w:r w:rsidR="001A3C05" w:rsidRPr="007375EB">
        <w:rPr>
          <w:lang w:val="bg-BG" w:eastAsia="ro-RO"/>
        </w:rPr>
        <w:t>;</w:t>
      </w:r>
    </w:p>
    <w:p w14:paraId="13405F37" w14:textId="64243789" w:rsidR="00807D4E" w:rsidRPr="007375EB" w:rsidRDefault="000D1555" w:rsidP="000D1555">
      <w:pPr>
        <w:pStyle w:val="ListParagraph"/>
        <w:numPr>
          <w:ilvl w:val="0"/>
          <w:numId w:val="17"/>
        </w:numPr>
        <w:spacing w:after="120" w:line="360" w:lineRule="auto"/>
        <w:jc w:val="both"/>
        <w:rPr>
          <w:lang w:val="bg-BG" w:eastAsia="ro-RO"/>
        </w:rPr>
      </w:pPr>
      <w:r w:rsidRPr="007375EB">
        <w:rPr>
          <w:lang w:val="bg-BG" w:eastAsia="ro-RO"/>
        </w:rPr>
        <w:t>O</w:t>
      </w:r>
      <w:r w:rsidR="00366580" w:rsidRPr="007375EB">
        <w:rPr>
          <w:lang w:val="bg-BG" w:eastAsia="ro-RO"/>
        </w:rPr>
        <w:t xml:space="preserve">P7 </w:t>
      </w:r>
      <w:r w:rsidR="003728E6" w:rsidRPr="007375EB">
        <w:rPr>
          <w:lang w:val="bg-BG" w:eastAsia="ro-RO"/>
        </w:rPr>
        <w:t>Намаляване на въздействията върху биологичното разнообразие чрез осигуряване на мерки за защита и опазване на биологичното разнообразие</w:t>
      </w:r>
      <w:r w:rsidR="001A3C05" w:rsidRPr="007375EB">
        <w:rPr>
          <w:lang w:val="bg-BG" w:eastAsia="ro-RO"/>
        </w:rPr>
        <w:t>.</w:t>
      </w:r>
    </w:p>
    <w:p w14:paraId="7D7031FA" w14:textId="5293F897" w:rsidR="002F79DE" w:rsidRPr="007375EB" w:rsidRDefault="003728E6" w:rsidP="00225A8E">
      <w:pPr>
        <w:autoSpaceDE w:val="0"/>
        <w:autoSpaceDN w:val="0"/>
        <w:adjustRightInd w:val="0"/>
        <w:spacing w:line="360" w:lineRule="auto"/>
        <w:rPr>
          <w:rFonts w:cs="Verdana"/>
          <w:color w:val="000000"/>
          <w:lang w:val="bg-BG"/>
        </w:rPr>
      </w:pPr>
      <w:r w:rsidRPr="007375EB">
        <w:rPr>
          <w:rFonts w:cs="Verdana"/>
          <w:b/>
          <w:bCs/>
          <w:color w:val="00B0F0"/>
          <w:lang w:val="bg-BG"/>
        </w:rPr>
        <w:lastRenderedPageBreak/>
        <w:t xml:space="preserve">Функционалното зониране </w:t>
      </w:r>
      <w:r w:rsidRPr="007375EB">
        <w:rPr>
          <w:rFonts w:cs="Verdana"/>
          <w:lang w:val="bg-BG"/>
        </w:rPr>
        <w:t>на изследваната територия е определило следните правила</w:t>
      </w:r>
      <w:r w:rsidR="002F79DE" w:rsidRPr="007375EB">
        <w:rPr>
          <w:rFonts w:cs="Verdana"/>
          <w:color w:val="000000"/>
          <w:lang w:val="bg-BG"/>
        </w:rPr>
        <w:t xml:space="preserve">: </w:t>
      </w:r>
    </w:p>
    <w:p w14:paraId="10EE5A5A" w14:textId="52CF49C2" w:rsidR="003728E6" w:rsidRPr="007375EB" w:rsidRDefault="003728E6" w:rsidP="00225A8E">
      <w:pPr>
        <w:pStyle w:val="ListParagraph"/>
        <w:numPr>
          <w:ilvl w:val="0"/>
          <w:numId w:val="18"/>
        </w:numPr>
        <w:spacing w:after="120" w:line="360" w:lineRule="auto"/>
        <w:ind w:left="714" w:hanging="357"/>
        <w:jc w:val="both"/>
        <w:rPr>
          <w:lang w:val="bg-BG" w:eastAsia="ro-RO"/>
        </w:rPr>
      </w:pPr>
      <w:r w:rsidRPr="007375EB">
        <w:rPr>
          <w:lang w:val="bg-BG" w:eastAsia="ro-RO"/>
        </w:rPr>
        <w:t xml:space="preserve">спазване на границите на парцелите съгласно одобрените от OCPI планове на парцелите; </w:t>
      </w:r>
    </w:p>
    <w:p w14:paraId="230CF521" w14:textId="73943B42" w:rsidR="003728E6" w:rsidRPr="007375EB" w:rsidRDefault="003728E6" w:rsidP="00225A8E">
      <w:pPr>
        <w:pStyle w:val="ListParagraph"/>
        <w:numPr>
          <w:ilvl w:val="0"/>
          <w:numId w:val="18"/>
        </w:numPr>
        <w:spacing w:after="120" w:line="360" w:lineRule="auto"/>
        <w:ind w:left="714" w:hanging="357"/>
        <w:jc w:val="both"/>
        <w:rPr>
          <w:lang w:val="bg-BG" w:eastAsia="ro-RO"/>
        </w:rPr>
      </w:pPr>
      <w:r w:rsidRPr="007375EB">
        <w:rPr>
          <w:lang w:val="bg-BG" w:eastAsia="ro-RO"/>
        </w:rPr>
        <w:t xml:space="preserve">разполагане на вятърните електроцентрали в съответствие с разпоредбите на местния правилник за градоустройствено планиране, свързан с </w:t>
      </w:r>
      <w:r w:rsidR="0014580E" w:rsidRPr="007375EB">
        <w:rPr>
          <w:lang w:val="bg-BG" w:eastAsia="ro-RO"/>
        </w:rPr>
        <w:t>ЗГП</w:t>
      </w:r>
      <w:r w:rsidRPr="007375EB">
        <w:rPr>
          <w:lang w:val="bg-BG" w:eastAsia="ro-RO"/>
        </w:rPr>
        <w:t xml:space="preserve">; </w:t>
      </w:r>
    </w:p>
    <w:p w14:paraId="0FB71FDF" w14:textId="079484C4" w:rsidR="002F79DE" w:rsidRPr="007375EB" w:rsidRDefault="003728E6" w:rsidP="003728E6">
      <w:pPr>
        <w:pStyle w:val="ListParagraph"/>
        <w:numPr>
          <w:ilvl w:val="0"/>
          <w:numId w:val="18"/>
        </w:numPr>
        <w:spacing w:after="120" w:line="360" w:lineRule="auto"/>
        <w:jc w:val="both"/>
        <w:rPr>
          <w:lang w:val="bg-BG" w:eastAsia="ro-RO"/>
        </w:rPr>
      </w:pPr>
      <w:r w:rsidRPr="007375EB">
        <w:rPr>
          <w:lang w:val="bg-BG" w:eastAsia="ro-RO"/>
        </w:rPr>
        <w:t>стриктно спазване на маршрутите на съществуващите експлоатационни пътища и модернизиране на пътищата за достъп до обекта</w:t>
      </w:r>
    </w:p>
    <w:p w14:paraId="20ABFC18" w14:textId="77777777" w:rsidR="003728E6" w:rsidRPr="007375EB" w:rsidRDefault="003728E6" w:rsidP="003728E6">
      <w:pPr>
        <w:autoSpaceDE w:val="0"/>
        <w:autoSpaceDN w:val="0"/>
        <w:adjustRightInd w:val="0"/>
        <w:spacing w:after="120" w:line="360" w:lineRule="auto"/>
        <w:rPr>
          <w:rFonts w:cs="Verdana"/>
          <w:color w:val="000000"/>
          <w:lang w:val="bg-BG"/>
        </w:rPr>
      </w:pPr>
      <w:r w:rsidRPr="007375EB">
        <w:rPr>
          <w:rFonts w:cs="Verdana"/>
          <w:color w:val="000000"/>
          <w:lang w:val="bg-BG"/>
        </w:rPr>
        <w:t xml:space="preserve">Въз основа на предложенията, направени от PUZ, е създадена функционалната единица ZA. </w:t>
      </w:r>
    </w:p>
    <w:p w14:paraId="537642BD" w14:textId="00F2D5CD" w:rsidR="002F79DE" w:rsidRPr="007375EB" w:rsidRDefault="003728E6" w:rsidP="003728E6">
      <w:pPr>
        <w:autoSpaceDE w:val="0"/>
        <w:autoSpaceDN w:val="0"/>
        <w:adjustRightInd w:val="0"/>
        <w:spacing w:after="120" w:line="360" w:lineRule="auto"/>
        <w:rPr>
          <w:rFonts w:cs="Verdana"/>
          <w:color w:val="000000"/>
          <w:lang w:val="bg-BG"/>
        </w:rPr>
      </w:pPr>
      <w:r w:rsidRPr="007375EB">
        <w:rPr>
          <w:rFonts w:cs="Verdana"/>
          <w:color w:val="000000"/>
          <w:lang w:val="bg-BG"/>
        </w:rPr>
        <w:t>Функционалните подзони са създадени, като са взети предвид следните критерии</w:t>
      </w:r>
      <w:r w:rsidR="002F79DE" w:rsidRPr="007375EB">
        <w:rPr>
          <w:rFonts w:cs="Verdana"/>
          <w:color w:val="000000"/>
          <w:lang w:val="bg-BG"/>
        </w:rPr>
        <w:t xml:space="preserve">: </w:t>
      </w:r>
    </w:p>
    <w:p w14:paraId="3CAF3DB4" w14:textId="2DA19AA1" w:rsidR="003728E6" w:rsidRPr="007375EB" w:rsidRDefault="003728E6" w:rsidP="003728E6">
      <w:pPr>
        <w:pStyle w:val="ListParagraph"/>
        <w:numPr>
          <w:ilvl w:val="0"/>
          <w:numId w:val="18"/>
        </w:numPr>
        <w:spacing w:after="120" w:line="360" w:lineRule="auto"/>
        <w:jc w:val="both"/>
        <w:rPr>
          <w:lang w:val="bg-BG" w:eastAsia="ro-RO"/>
        </w:rPr>
      </w:pPr>
      <w:r w:rsidRPr="007375EB">
        <w:rPr>
          <w:lang w:val="bg-BG" w:eastAsia="ro-RO"/>
        </w:rPr>
        <w:t xml:space="preserve">доминираща функция; </w:t>
      </w:r>
    </w:p>
    <w:p w14:paraId="2DBD254E" w14:textId="78613BEC" w:rsidR="002F79DE" w:rsidRPr="007375EB" w:rsidRDefault="003728E6" w:rsidP="003728E6">
      <w:pPr>
        <w:pStyle w:val="ListParagraph"/>
        <w:numPr>
          <w:ilvl w:val="0"/>
          <w:numId w:val="18"/>
        </w:numPr>
        <w:spacing w:after="120" w:line="360" w:lineRule="auto"/>
        <w:jc w:val="both"/>
        <w:rPr>
          <w:lang w:val="bg-BG" w:eastAsia="ro-RO"/>
        </w:rPr>
      </w:pPr>
      <w:r w:rsidRPr="007375EB">
        <w:rPr>
          <w:lang w:val="bg-BG" w:eastAsia="ro-RO"/>
        </w:rPr>
        <w:t>кадастралните граници на свързаните земи</w:t>
      </w:r>
      <w:r w:rsidR="002F79DE" w:rsidRPr="007375EB">
        <w:rPr>
          <w:lang w:val="bg-BG" w:eastAsia="ro-RO"/>
        </w:rPr>
        <w:t xml:space="preserve">. </w:t>
      </w:r>
    </w:p>
    <w:p w14:paraId="4091BBEA" w14:textId="56CE191A" w:rsidR="002F79DE" w:rsidRPr="007375EB" w:rsidRDefault="003728E6" w:rsidP="00A90638">
      <w:pPr>
        <w:autoSpaceDE w:val="0"/>
        <w:autoSpaceDN w:val="0"/>
        <w:adjustRightInd w:val="0"/>
        <w:spacing w:after="120" w:line="360" w:lineRule="auto"/>
        <w:rPr>
          <w:rFonts w:cs="Verdana"/>
          <w:color w:val="000000"/>
          <w:lang w:val="bg-BG"/>
        </w:rPr>
      </w:pPr>
      <w:r w:rsidRPr="007375EB">
        <w:rPr>
          <w:rFonts w:cs="Verdana"/>
          <w:color w:val="000000"/>
          <w:lang w:val="bg-BG"/>
        </w:rPr>
        <w:t>Получените функционални подзони са</w:t>
      </w:r>
      <w:r w:rsidR="002F79DE" w:rsidRPr="007375EB">
        <w:rPr>
          <w:rFonts w:cs="Verdana"/>
          <w:color w:val="000000"/>
          <w:lang w:val="bg-BG"/>
        </w:rPr>
        <w:t xml:space="preserve">: </w:t>
      </w:r>
    </w:p>
    <w:p w14:paraId="31E2E995" w14:textId="63F08D30" w:rsidR="002F79DE" w:rsidRPr="007375EB" w:rsidRDefault="002F79DE" w:rsidP="00A90638">
      <w:pPr>
        <w:pStyle w:val="ListParagraph"/>
        <w:numPr>
          <w:ilvl w:val="0"/>
          <w:numId w:val="18"/>
        </w:numPr>
        <w:spacing w:after="120" w:line="360" w:lineRule="auto"/>
        <w:jc w:val="both"/>
        <w:rPr>
          <w:lang w:val="bg-BG" w:eastAsia="ro-RO"/>
        </w:rPr>
      </w:pPr>
      <w:r w:rsidRPr="007375EB">
        <w:rPr>
          <w:lang w:val="bg-BG" w:eastAsia="ro-RO"/>
        </w:rPr>
        <w:t xml:space="preserve">ce - </w:t>
      </w:r>
      <w:r w:rsidR="003728E6" w:rsidRPr="007375EB">
        <w:rPr>
          <w:lang w:val="bg-BG" w:eastAsia="ro-RO"/>
        </w:rPr>
        <w:t>подзоната за вятърни турбини + допълващи конструкции</w:t>
      </w:r>
      <w:r w:rsidRPr="007375EB">
        <w:rPr>
          <w:lang w:val="bg-BG" w:eastAsia="ro-RO"/>
        </w:rPr>
        <w:t xml:space="preserve">; </w:t>
      </w:r>
    </w:p>
    <w:p w14:paraId="6927D058" w14:textId="30912B98" w:rsidR="002F79DE" w:rsidRPr="007375EB" w:rsidRDefault="002F79DE" w:rsidP="00A90638">
      <w:pPr>
        <w:pStyle w:val="ListParagraph"/>
        <w:numPr>
          <w:ilvl w:val="0"/>
          <w:numId w:val="18"/>
        </w:numPr>
        <w:spacing w:after="120" w:line="360" w:lineRule="auto"/>
        <w:jc w:val="both"/>
        <w:rPr>
          <w:lang w:val="bg-BG" w:eastAsia="ro-RO"/>
        </w:rPr>
      </w:pPr>
      <w:r w:rsidRPr="007375EB">
        <w:rPr>
          <w:lang w:val="bg-BG" w:eastAsia="ro-RO"/>
        </w:rPr>
        <w:t xml:space="preserve">a - </w:t>
      </w:r>
      <w:r w:rsidR="003728E6" w:rsidRPr="007375EB">
        <w:rPr>
          <w:lang w:val="bg-BG" w:eastAsia="ro-RO"/>
        </w:rPr>
        <w:t>подзоната, свързана със земеделска земя - обработваема</w:t>
      </w:r>
      <w:r w:rsidRPr="007375EB">
        <w:rPr>
          <w:lang w:val="bg-BG" w:eastAsia="ro-RO"/>
        </w:rPr>
        <w:t xml:space="preserve">; </w:t>
      </w:r>
    </w:p>
    <w:p w14:paraId="3770AA4B" w14:textId="1FE067D4" w:rsidR="002F79DE" w:rsidRPr="007375EB" w:rsidRDefault="002F79DE" w:rsidP="00A90638">
      <w:pPr>
        <w:pStyle w:val="ListParagraph"/>
        <w:numPr>
          <w:ilvl w:val="0"/>
          <w:numId w:val="18"/>
        </w:numPr>
        <w:spacing w:after="120" w:line="360" w:lineRule="auto"/>
        <w:jc w:val="both"/>
        <w:rPr>
          <w:lang w:val="bg-BG" w:eastAsia="ro-RO"/>
        </w:rPr>
      </w:pPr>
      <w:r w:rsidRPr="007375EB">
        <w:rPr>
          <w:lang w:val="bg-BG" w:eastAsia="ro-RO"/>
        </w:rPr>
        <w:t xml:space="preserve">st - </w:t>
      </w:r>
      <w:r w:rsidR="003728E6" w:rsidRPr="007375EB">
        <w:rPr>
          <w:lang w:val="bg-BG" w:eastAsia="ro-RO"/>
        </w:rPr>
        <w:t>подзоната, свързана с трансформаторната станция</w:t>
      </w:r>
      <w:r w:rsidRPr="007375EB">
        <w:rPr>
          <w:lang w:val="bg-BG" w:eastAsia="ro-RO"/>
        </w:rPr>
        <w:t xml:space="preserve">; </w:t>
      </w:r>
    </w:p>
    <w:p w14:paraId="7841CF6B" w14:textId="22C8AE20" w:rsidR="002F79DE" w:rsidRPr="007375EB" w:rsidRDefault="002F79DE" w:rsidP="00A90638">
      <w:pPr>
        <w:pStyle w:val="ListParagraph"/>
        <w:numPr>
          <w:ilvl w:val="0"/>
          <w:numId w:val="18"/>
        </w:numPr>
        <w:spacing w:after="120" w:line="360" w:lineRule="auto"/>
        <w:jc w:val="both"/>
        <w:rPr>
          <w:lang w:val="bg-BG" w:eastAsia="ro-RO"/>
        </w:rPr>
      </w:pPr>
      <w:r w:rsidRPr="007375EB">
        <w:rPr>
          <w:lang w:val="bg-BG" w:eastAsia="ro-RO"/>
        </w:rPr>
        <w:t xml:space="preserve">cn - </w:t>
      </w:r>
      <w:r w:rsidR="003728E6" w:rsidRPr="007375EB">
        <w:rPr>
          <w:lang w:val="bg-BG" w:eastAsia="ro-RO"/>
        </w:rPr>
        <w:t>подзоната, свързана с напоителния канал</w:t>
      </w:r>
      <w:r w:rsidRPr="007375EB">
        <w:rPr>
          <w:lang w:val="bg-BG" w:eastAsia="ro-RO"/>
        </w:rPr>
        <w:t xml:space="preserve">; </w:t>
      </w:r>
    </w:p>
    <w:p w14:paraId="0FBF235A" w14:textId="55F89956" w:rsidR="002F79DE" w:rsidRPr="007375EB" w:rsidRDefault="002F79DE" w:rsidP="00A90638">
      <w:pPr>
        <w:pStyle w:val="ListParagraph"/>
        <w:numPr>
          <w:ilvl w:val="0"/>
          <w:numId w:val="18"/>
        </w:numPr>
        <w:spacing w:after="120" w:line="360" w:lineRule="auto"/>
        <w:jc w:val="both"/>
        <w:rPr>
          <w:lang w:val="bg-BG" w:eastAsia="ro-RO"/>
        </w:rPr>
      </w:pPr>
      <w:r w:rsidRPr="007375EB">
        <w:rPr>
          <w:lang w:val="bg-BG" w:eastAsia="ro-RO"/>
        </w:rPr>
        <w:t xml:space="preserve">ps - </w:t>
      </w:r>
      <w:r w:rsidR="003728E6" w:rsidRPr="007375EB">
        <w:rPr>
          <w:lang w:val="bg-BG" w:eastAsia="ro-RO"/>
        </w:rPr>
        <w:t>подзоната, свързана с пасища</w:t>
      </w:r>
      <w:r w:rsidRPr="007375EB">
        <w:rPr>
          <w:lang w:val="bg-BG" w:eastAsia="ro-RO"/>
        </w:rPr>
        <w:t xml:space="preserve">; </w:t>
      </w:r>
    </w:p>
    <w:p w14:paraId="32BBE154" w14:textId="4BB4FFAB" w:rsidR="002F79DE" w:rsidRPr="007375EB" w:rsidRDefault="002F79DE" w:rsidP="00A90638">
      <w:pPr>
        <w:pStyle w:val="ListParagraph"/>
        <w:numPr>
          <w:ilvl w:val="0"/>
          <w:numId w:val="18"/>
        </w:numPr>
        <w:spacing w:after="120" w:line="360" w:lineRule="auto"/>
        <w:jc w:val="both"/>
        <w:rPr>
          <w:lang w:val="bg-BG" w:eastAsia="ro-RO"/>
        </w:rPr>
      </w:pPr>
      <w:r w:rsidRPr="007375EB">
        <w:rPr>
          <w:lang w:val="bg-BG" w:eastAsia="ro-RO"/>
        </w:rPr>
        <w:t xml:space="preserve">np – </w:t>
      </w:r>
      <w:r w:rsidR="003728E6" w:rsidRPr="007375EB">
        <w:rPr>
          <w:lang w:val="bg-BG" w:eastAsia="ro-RO"/>
        </w:rPr>
        <w:t>подзоната, свързана с нередукционна земя</w:t>
      </w:r>
    </w:p>
    <w:p w14:paraId="6CC01EBE" w14:textId="3C76E883" w:rsidR="002F79DE" w:rsidRPr="007375EB" w:rsidRDefault="002F79DE" w:rsidP="00A90638">
      <w:pPr>
        <w:pStyle w:val="ListParagraph"/>
        <w:numPr>
          <w:ilvl w:val="0"/>
          <w:numId w:val="18"/>
        </w:numPr>
        <w:spacing w:after="120" w:line="360" w:lineRule="auto"/>
        <w:jc w:val="both"/>
        <w:rPr>
          <w:lang w:val="bg-BG" w:eastAsia="ro-RO"/>
        </w:rPr>
      </w:pPr>
      <w:r w:rsidRPr="007375EB">
        <w:rPr>
          <w:lang w:val="bg-BG" w:eastAsia="ro-RO"/>
        </w:rPr>
        <w:t xml:space="preserve">da - </w:t>
      </w:r>
      <w:r w:rsidR="003728E6" w:rsidRPr="007375EB">
        <w:rPr>
          <w:lang w:val="bg-BG" w:eastAsia="ro-RO"/>
        </w:rPr>
        <w:t>подзоната, свързана с изградените работните пътища</w:t>
      </w:r>
      <w:r w:rsidRPr="007375EB">
        <w:rPr>
          <w:lang w:val="bg-BG" w:eastAsia="ro-RO"/>
        </w:rPr>
        <w:t xml:space="preserve">; </w:t>
      </w:r>
    </w:p>
    <w:p w14:paraId="216846F4" w14:textId="544A8DF0" w:rsidR="002F79DE" w:rsidRPr="007375EB" w:rsidRDefault="002F79DE" w:rsidP="00A90638">
      <w:pPr>
        <w:pStyle w:val="ListParagraph"/>
        <w:numPr>
          <w:ilvl w:val="0"/>
          <w:numId w:val="18"/>
        </w:numPr>
        <w:spacing w:after="120" w:line="360" w:lineRule="auto"/>
        <w:jc w:val="both"/>
        <w:rPr>
          <w:lang w:val="bg-BG" w:eastAsia="ro-RO"/>
        </w:rPr>
      </w:pPr>
      <w:r w:rsidRPr="007375EB">
        <w:rPr>
          <w:lang w:val="bg-BG" w:eastAsia="ro-RO"/>
        </w:rPr>
        <w:t xml:space="preserve">cm – </w:t>
      </w:r>
      <w:r w:rsidR="003728E6" w:rsidRPr="007375EB">
        <w:rPr>
          <w:lang w:val="bg-BG" w:eastAsia="ro-RO"/>
        </w:rPr>
        <w:t xml:space="preserve">основна подзона на движение </w:t>
      </w:r>
      <w:r w:rsidRPr="007375EB">
        <w:rPr>
          <w:lang w:val="bg-BG" w:eastAsia="ro-RO"/>
        </w:rPr>
        <w:t xml:space="preserve">Dj+Dc; </w:t>
      </w:r>
    </w:p>
    <w:p w14:paraId="3876AFB8" w14:textId="18E978B7" w:rsidR="002F79DE" w:rsidRPr="007375EB" w:rsidRDefault="002F79DE" w:rsidP="00A90638">
      <w:pPr>
        <w:pStyle w:val="ListParagraph"/>
        <w:numPr>
          <w:ilvl w:val="0"/>
          <w:numId w:val="18"/>
        </w:numPr>
        <w:spacing w:after="120" w:line="360" w:lineRule="auto"/>
        <w:jc w:val="both"/>
        <w:rPr>
          <w:lang w:val="bg-BG" w:eastAsia="ro-RO"/>
        </w:rPr>
      </w:pPr>
      <w:r w:rsidRPr="007375EB">
        <w:rPr>
          <w:lang w:val="bg-BG" w:eastAsia="ro-RO"/>
        </w:rPr>
        <w:t xml:space="preserve">de - </w:t>
      </w:r>
      <w:r w:rsidR="003728E6" w:rsidRPr="007375EB">
        <w:rPr>
          <w:lang w:val="bg-BG" w:eastAsia="ro-RO"/>
        </w:rPr>
        <w:t>подзоната, свързана с работните пътища</w:t>
      </w:r>
      <w:r w:rsidRPr="007375EB">
        <w:rPr>
          <w:lang w:val="bg-BG" w:eastAsia="ro-RO"/>
        </w:rPr>
        <w:t xml:space="preserve">. </w:t>
      </w:r>
    </w:p>
    <w:p w14:paraId="1F90E0CB" w14:textId="0A4DD2FC" w:rsidR="0034666C" w:rsidRPr="007375EB" w:rsidRDefault="003728E6" w:rsidP="00672D87">
      <w:pPr>
        <w:pStyle w:val="Caption"/>
        <w:rPr>
          <w:sz w:val="16"/>
          <w:szCs w:val="16"/>
          <w:lang w:val="bg-BG" w:eastAsia="ro-RO"/>
        </w:rPr>
      </w:pPr>
      <w:r w:rsidRPr="007375EB">
        <w:rPr>
          <w:sz w:val="16"/>
          <w:szCs w:val="16"/>
          <w:lang w:val="bg-BG"/>
        </w:rPr>
        <w:t xml:space="preserve">Таблица 1- 1 Териториален баланс на </w:t>
      </w:r>
      <w:r w:rsidR="0014580E" w:rsidRPr="007375EB">
        <w:rPr>
          <w:sz w:val="16"/>
          <w:szCs w:val="16"/>
          <w:lang w:val="bg-BG"/>
        </w:rPr>
        <w:t>ЗГП</w:t>
      </w:r>
    </w:p>
    <w:tbl>
      <w:tblPr>
        <w:tblStyle w:val="TableGrid"/>
        <w:tblW w:w="0" w:type="auto"/>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4106"/>
        <w:gridCol w:w="943"/>
        <w:gridCol w:w="1134"/>
        <w:gridCol w:w="1418"/>
        <w:gridCol w:w="1072"/>
      </w:tblGrid>
      <w:tr w:rsidR="007D5B64" w:rsidRPr="007375EB" w14:paraId="44EDFFD8" w14:textId="77777777" w:rsidTr="00225A8E">
        <w:tc>
          <w:tcPr>
            <w:tcW w:w="4106" w:type="dxa"/>
            <w:vMerge w:val="restart"/>
            <w:shd w:val="clear" w:color="auto" w:fill="00B0F0"/>
          </w:tcPr>
          <w:p w14:paraId="55AEE9BC" w14:textId="59398C0C" w:rsidR="007D5B64" w:rsidRPr="007375EB" w:rsidRDefault="003728E6" w:rsidP="00B36D73">
            <w:pPr>
              <w:spacing w:line="240" w:lineRule="auto"/>
              <w:rPr>
                <w:b/>
                <w:bCs/>
                <w:color w:val="FFFFFF" w:themeColor="background1"/>
                <w:sz w:val="16"/>
                <w:szCs w:val="16"/>
                <w:lang w:val="bg-BG"/>
              </w:rPr>
            </w:pPr>
            <w:r w:rsidRPr="007375EB">
              <w:rPr>
                <w:b/>
                <w:bCs/>
                <w:color w:val="FFFFFF" w:themeColor="background1"/>
                <w:sz w:val="16"/>
                <w:szCs w:val="16"/>
                <w:lang w:val="bg-BG"/>
              </w:rPr>
              <w:t xml:space="preserve">Функционална зона </w:t>
            </w:r>
            <w:r w:rsidR="007D5B64" w:rsidRPr="007375EB">
              <w:rPr>
                <w:b/>
                <w:bCs/>
                <w:color w:val="FFFFFF" w:themeColor="background1"/>
                <w:sz w:val="16"/>
                <w:szCs w:val="16"/>
                <w:lang w:val="bg-BG"/>
              </w:rPr>
              <w:t>ZA</w:t>
            </w:r>
          </w:p>
        </w:tc>
        <w:tc>
          <w:tcPr>
            <w:tcW w:w="1564" w:type="dxa"/>
            <w:gridSpan w:val="2"/>
            <w:shd w:val="clear" w:color="auto" w:fill="00B0F0"/>
          </w:tcPr>
          <w:p w14:paraId="521FADE4" w14:textId="12B09AD1" w:rsidR="007D5B64" w:rsidRPr="007375EB" w:rsidRDefault="003728E6" w:rsidP="00B36D73">
            <w:pPr>
              <w:spacing w:line="240" w:lineRule="auto"/>
              <w:jc w:val="center"/>
              <w:rPr>
                <w:b/>
                <w:bCs/>
                <w:color w:val="FFFFFF" w:themeColor="background1"/>
                <w:sz w:val="16"/>
                <w:szCs w:val="16"/>
                <w:lang w:val="bg-BG"/>
              </w:rPr>
            </w:pPr>
            <w:r w:rsidRPr="007375EB">
              <w:rPr>
                <w:b/>
                <w:bCs/>
                <w:color w:val="FFFFFF" w:themeColor="background1"/>
                <w:sz w:val="16"/>
                <w:szCs w:val="16"/>
                <w:lang w:val="bg-BG"/>
              </w:rPr>
              <w:t xml:space="preserve">Съществуващ </w:t>
            </w:r>
          </w:p>
        </w:tc>
        <w:tc>
          <w:tcPr>
            <w:tcW w:w="2490" w:type="dxa"/>
            <w:gridSpan w:val="2"/>
            <w:shd w:val="clear" w:color="auto" w:fill="00B0F0"/>
          </w:tcPr>
          <w:p w14:paraId="675F0FCC" w14:textId="0D4253F6" w:rsidR="007D5B64" w:rsidRPr="007375EB" w:rsidRDefault="003728E6" w:rsidP="00B36D73">
            <w:pPr>
              <w:spacing w:line="240" w:lineRule="auto"/>
              <w:jc w:val="center"/>
              <w:rPr>
                <w:b/>
                <w:bCs/>
                <w:color w:val="FFFFFF" w:themeColor="background1"/>
                <w:sz w:val="16"/>
                <w:szCs w:val="16"/>
                <w:lang w:val="bg-BG"/>
              </w:rPr>
            </w:pPr>
            <w:r w:rsidRPr="007375EB">
              <w:rPr>
                <w:b/>
                <w:bCs/>
                <w:color w:val="FFFFFF" w:themeColor="background1"/>
                <w:sz w:val="16"/>
                <w:szCs w:val="16"/>
                <w:lang w:val="bg-BG"/>
              </w:rPr>
              <w:t>Предложен</w:t>
            </w:r>
          </w:p>
        </w:tc>
      </w:tr>
      <w:tr w:rsidR="007D5B64" w:rsidRPr="007375EB" w14:paraId="3507C1C9" w14:textId="77777777" w:rsidTr="00225A8E">
        <w:tc>
          <w:tcPr>
            <w:tcW w:w="4106" w:type="dxa"/>
            <w:vMerge/>
            <w:shd w:val="clear" w:color="auto" w:fill="00B0F0"/>
          </w:tcPr>
          <w:p w14:paraId="797CC92C" w14:textId="77777777" w:rsidR="007D5B64" w:rsidRPr="007375EB" w:rsidRDefault="007D5B64" w:rsidP="00B36D73">
            <w:pPr>
              <w:spacing w:line="240" w:lineRule="auto"/>
              <w:rPr>
                <w:b/>
                <w:bCs/>
                <w:color w:val="FFFFFF" w:themeColor="background1"/>
                <w:sz w:val="16"/>
                <w:szCs w:val="16"/>
                <w:lang w:val="bg-BG"/>
              </w:rPr>
            </w:pPr>
          </w:p>
        </w:tc>
        <w:tc>
          <w:tcPr>
            <w:tcW w:w="430" w:type="dxa"/>
            <w:shd w:val="clear" w:color="auto" w:fill="00B0F0"/>
            <w:vAlign w:val="center"/>
          </w:tcPr>
          <w:p w14:paraId="433E96AB" w14:textId="7328C2AC" w:rsidR="007D5B64" w:rsidRPr="007375EB" w:rsidRDefault="003728E6" w:rsidP="0008502C">
            <w:pPr>
              <w:spacing w:line="240" w:lineRule="auto"/>
              <w:jc w:val="center"/>
              <w:rPr>
                <w:b/>
                <w:bCs/>
                <w:color w:val="FFFFFF" w:themeColor="background1"/>
                <w:sz w:val="16"/>
                <w:szCs w:val="16"/>
                <w:lang w:val="bg-BG"/>
              </w:rPr>
            </w:pPr>
            <w:r w:rsidRPr="007375EB">
              <w:rPr>
                <w:b/>
                <w:bCs/>
                <w:color w:val="FFFFFF" w:themeColor="background1"/>
                <w:sz w:val="16"/>
                <w:szCs w:val="16"/>
                <w:lang w:val="bg-BG"/>
              </w:rPr>
              <w:t>ха</w:t>
            </w:r>
          </w:p>
        </w:tc>
        <w:tc>
          <w:tcPr>
            <w:tcW w:w="1134" w:type="dxa"/>
            <w:shd w:val="clear" w:color="auto" w:fill="00B0F0"/>
            <w:vAlign w:val="center"/>
          </w:tcPr>
          <w:p w14:paraId="5326F75C" w14:textId="0CB90FEF" w:rsidR="007D5B64" w:rsidRPr="007375EB" w:rsidRDefault="007D5B64" w:rsidP="0008502C">
            <w:pPr>
              <w:spacing w:line="240" w:lineRule="auto"/>
              <w:jc w:val="center"/>
              <w:rPr>
                <w:b/>
                <w:bCs/>
                <w:color w:val="FFFFFF" w:themeColor="background1"/>
                <w:sz w:val="16"/>
                <w:szCs w:val="16"/>
                <w:lang w:val="bg-BG"/>
              </w:rPr>
            </w:pPr>
            <w:r w:rsidRPr="007375EB">
              <w:rPr>
                <w:b/>
                <w:bCs/>
                <w:color w:val="FFFFFF" w:themeColor="background1"/>
                <w:sz w:val="16"/>
                <w:szCs w:val="16"/>
                <w:lang w:val="bg-BG"/>
              </w:rPr>
              <w:t>%</w:t>
            </w:r>
          </w:p>
        </w:tc>
        <w:tc>
          <w:tcPr>
            <w:tcW w:w="1418" w:type="dxa"/>
            <w:shd w:val="clear" w:color="auto" w:fill="00B0F0"/>
          </w:tcPr>
          <w:p w14:paraId="18EC6B14" w14:textId="20173BFA" w:rsidR="007D5B64" w:rsidRPr="007375EB" w:rsidRDefault="003728E6" w:rsidP="00B36D73">
            <w:pPr>
              <w:spacing w:line="240" w:lineRule="auto"/>
              <w:jc w:val="center"/>
              <w:rPr>
                <w:b/>
                <w:bCs/>
                <w:color w:val="FFFFFF" w:themeColor="background1"/>
                <w:sz w:val="16"/>
                <w:szCs w:val="16"/>
                <w:lang w:val="bg-BG"/>
              </w:rPr>
            </w:pPr>
            <w:r w:rsidRPr="007375EB">
              <w:rPr>
                <w:b/>
                <w:bCs/>
                <w:color w:val="FFFFFF" w:themeColor="background1"/>
                <w:sz w:val="16"/>
                <w:szCs w:val="16"/>
                <w:lang w:val="bg-BG"/>
              </w:rPr>
              <w:t>ха</w:t>
            </w:r>
          </w:p>
        </w:tc>
        <w:tc>
          <w:tcPr>
            <w:tcW w:w="1072" w:type="dxa"/>
            <w:shd w:val="clear" w:color="auto" w:fill="00B0F0"/>
          </w:tcPr>
          <w:p w14:paraId="40D48BE6" w14:textId="7EB2EAD9" w:rsidR="007D5B64" w:rsidRPr="007375EB" w:rsidRDefault="007D5B64" w:rsidP="00B36D73">
            <w:pPr>
              <w:spacing w:line="240" w:lineRule="auto"/>
              <w:jc w:val="center"/>
              <w:rPr>
                <w:b/>
                <w:bCs/>
                <w:color w:val="FFFFFF" w:themeColor="background1"/>
                <w:sz w:val="16"/>
                <w:szCs w:val="16"/>
                <w:lang w:val="bg-BG"/>
              </w:rPr>
            </w:pPr>
            <w:r w:rsidRPr="007375EB">
              <w:rPr>
                <w:b/>
                <w:bCs/>
                <w:color w:val="FFFFFF" w:themeColor="background1"/>
                <w:sz w:val="16"/>
                <w:szCs w:val="16"/>
                <w:lang w:val="bg-BG"/>
              </w:rPr>
              <w:t>%</w:t>
            </w:r>
          </w:p>
        </w:tc>
      </w:tr>
      <w:tr w:rsidR="003728E6" w:rsidRPr="007375EB" w14:paraId="329313FE" w14:textId="77777777" w:rsidTr="00225A8E">
        <w:tc>
          <w:tcPr>
            <w:tcW w:w="4106" w:type="dxa"/>
          </w:tcPr>
          <w:p w14:paraId="05A1FD96" w14:textId="282F789F" w:rsidR="003728E6" w:rsidRPr="007375EB" w:rsidRDefault="003728E6" w:rsidP="003728E6">
            <w:pPr>
              <w:spacing w:line="240" w:lineRule="auto"/>
              <w:rPr>
                <w:sz w:val="16"/>
                <w:szCs w:val="16"/>
                <w:lang w:val="bg-BG"/>
              </w:rPr>
            </w:pPr>
            <w:r w:rsidRPr="007375EB">
              <w:rPr>
                <w:lang w:val="bg-BG"/>
              </w:rPr>
              <w:t>Зона на вятърните паркове</w:t>
            </w:r>
          </w:p>
        </w:tc>
        <w:tc>
          <w:tcPr>
            <w:tcW w:w="430" w:type="dxa"/>
          </w:tcPr>
          <w:p w14:paraId="328A147F" w14:textId="0CAA9512" w:rsidR="003728E6" w:rsidRPr="007375EB" w:rsidRDefault="003728E6" w:rsidP="003728E6">
            <w:pPr>
              <w:spacing w:line="240" w:lineRule="auto"/>
              <w:rPr>
                <w:sz w:val="16"/>
                <w:szCs w:val="16"/>
                <w:lang w:val="bg-BG"/>
              </w:rPr>
            </w:pPr>
            <w:r w:rsidRPr="007375EB">
              <w:rPr>
                <w:sz w:val="16"/>
                <w:szCs w:val="16"/>
                <w:lang w:val="bg-BG"/>
              </w:rPr>
              <w:t>-</w:t>
            </w:r>
          </w:p>
        </w:tc>
        <w:tc>
          <w:tcPr>
            <w:tcW w:w="1134" w:type="dxa"/>
          </w:tcPr>
          <w:p w14:paraId="76411E08" w14:textId="07258E23" w:rsidR="003728E6" w:rsidRPr="007375EB" w:rsidRDefault="003728E6" w:rsidP="003728E6">
            <w:pPr>
              <w:spacing w:line="240" w:lineRule="auto"/>
              <w:rPr>
                <w:sz w:val="16"/>
                <w:szCs w:val="16"/>
                <w:lang w:val="bg-BG"/>
              </w:rPr>
            </w:pPr>
            <w:r w:rsidRPr="007375EB">
              <w:rPr>
                <w:sz w:val="16"/>
                <w:szCs w:val="16"/>
                <w:lang w:val="bg-BG"/>
              </w:rPr>
              <w:t>-</w:t>
            </w:r>
          </w:p>
        </w:tc>
        <w:tc>
          <w:tcPr>
            <w:tcW w:w="1418" w:type="dxa"/>
          </w:tcPr>
          <w:p w14:paraId="3B2A0734" w14:textId="5DFD860D" w:rsidR="003728E6" w:rsidRPr="007375EB" w:rsidRDefault="003728E6" w:rsidP="003728E6">
            <w:pPr>
              <w:spacing w:line="240" w:lineRule="auto"/>
              <w:rPr>
                <w:sz w:val="16"/>
                <w:szCs w:val="16"/>
                <w:lang w:val="bg-BG"/>
              </w:rPr>
            </w:pPr>
            <w:r w:rsidRPr="007375EB">
              <w:rPr>
                <w:sz w:val="16"/>
                <w:szCs w:val="16"/>
                <w:lang w:val="bg-BG"/>
              </w:rPr>
              <w:t>254,17</w:t>
            </w:r>
          </w:p>
        </w:tc>
        <w:tc>
          <w:tcPr>
            <w:tcW w:w="1072" w:type="dxa"/>
          </w:tcPr>
          <w:p w14:paraId="566317C0" w14:textId="0D6B04E0" w:rsidR="003728E6" w:rsidRPr="007375EB" w:rsidRDefault="003728E6" w:rsidP="003728E6">
            <w:pPr>
              <w:spacing w:line="240" w:lineRule="auto"/>
              <w:rPr>
                <w:sz w:val="16"/>
                <w:szCs w:val="16"/>
                <w:lang w:val="bg-BG"/>
              </w:rPr>
            </w:pPr>
            <w:r w:rsidRPr="007375EB">
              <w:rPr>
                <w:sz w:val="16"/>
                <w:szCs w:val="16"/>
                <w:lang w:val="bg-BG"/>
              </w:rPr>
              <w:t>8,40</w:t>
            </w:r>
          </w:p>
        </w:tc>
      </w:tr>
      <w:tr w:rsidR="003728E6" w:rsidRPr="007375EB" w14:paraId="76FC0F3E" w14:textId="77777777" w:rsidTr="00225A8E">
        <w:tc>
          <w:tcPr>
            <w:tcW w:w="4106" w:type="dxa"/>
          </w:tcPr>
          <w:p w14:paraId="4F72B8AF" w14:textId="62449A05" w:rsidR="003728E6" w:rsidRPr="007375EB" w:rsidRDefault="003728E6" w:rsidP="003728E6">
            <w:pPr>
              <w:spacing w:line="240" w:lineRule="auto"/>
              <w:rPr>
                <w:sz w:val="16"/>
                <w:szCs w:val="16"/>
                <w:lang w:val="bg-BG"/>
              </w:rPr>
            </w:pPr>
            <w:r w:rsidRPr="007375EB">
              <w:rPr>
                <w:lang w:val="bg-BG"/>
              </w:rPr>
              <w:t>Земеделска земя</w:t>
            </w:r>
          </w:p>
        </w:tc>
        <w:tc>
          <w:tcPr>
            <w:tcW w:w="430" w:type="dxa"/>
          </w:tcPr>
          <w:p w14:paraId="7F24015D" w14:textId="5FF01BAD" w:rsidR="003728E6" w:rsidRPr="007375EB" w:rsidRDefault="003728E6" w:rsidP="003728E6">
            <w:pPr>
              <w:spacing w:line="240" w:lineRule="auto"/>
              <w:rPr>
                <w:sz w:val="16"/>
                <w:szCs w:val="16"/>
                <w:lang w:val="bg-BG"/>
              </w:rPr>
            </w:pPr>
            <w:r w:rsidRPr="007375EB">
              <w:rPr>
                <w:sz w:val="16"/>
                <w:szCs w:val="16"/>
                <w:lang w:val="bg-BG"/>
              </w:rPr>
              <w:t>2.908,24</w:t>
            </w:r>
          </w:p>
        </w:tc>
        <w:tc>
          <w:tcPr>
            <w:tcW w:w="1134" w:type="dxa"/>
          </w:tcPr>
          <w:p w14:paraId="23554D4A" w14:textId="6E682F05" w:rsidR="003728E6" w:rsidRPr="007375EB" w:rsidRDefault="003728E6" w:rsidP="003728E6">
            <w:pPr>
              <w:spacing w:line="240" w:lineRule="auto"/>
              <w:rPr>
                <w:sz w:val="16"/>
                <w:szCs w:val="16"/>
                <w:lang w:val="bg-BG"/>
              </w:rPr>
            </w:pPr>
            <w:r w:rsidRPr="007375EB">
              <w:rPr>
                <w:sz w:val="16"/>
                <w:szCs w:val="16"/>
                <w:lang w:val="bg-BG"/>
              </w:rPr>
              <w:t>96,05</w:t>
            </w:r>
          </w:p>
        </w:tc>
        <w:tc>
          <w:tcPr>
            <w:tcW w:w="1418" w:type="dxa"/>
          </w:tcPr>
          <w:p w14:paraId="1A82D724" w14:textId="79C8AC8C" w:rsidR="003728E6" w:rsidRPr="007375EB" w:rsidRDefault="003728E6" w:rsidP="003728E6">
            <w:pPr>
              <w:spacing w:line="240" w:lineRule="auto"/>
              <w:rPr>
                <w:sz w:val="16"/>
                <w:szCs w:val="16"/>
                <w:lang w:val="bg-BG"/>
              </w:rPr>
            </w:pPr>
            <w:r w:rsidRPr="007375EB">
              <w:rPr>
                <w:sz w:val="16"/>
                <w:szCs w:val="16"/>
                <w:lang w:val="bg-BG"/>
              </w:rPr>
              <w:t>2652,37</w:t>
            </w:r>
          </w:p>
        </w:tc>
        <w:tc>
          <w:tcPr>
            <w:tcW w:w="1072" w:type="dxa"/>
          </w:tcPr>
          <w:p w14:paraId="28844FF4" w14:textId="3FA045B8" w:rsidR="003728E6" w:rsidRPr="007375EB" w:rsidRDefault="003728E6" w:rsidP="003728E6">
            <w:pPr>
              <w:spacing w:line="240" w:lineRule="auto"/>
              <w:rPr>
                <w:sz w:val="16"/>
                <w:szCs w:val="16"/>
                <w:lang w:val="bg-BG"/>
              </w:rPr>
            </w:pPr>
            <w:r w:rsidRPr="007375EB">
              <w:rPr>
                <w:sz w:val="16"/>
                <w:szCs w:val="16"/>
                <w:lang w:val="bg-BG"/>
              </w:rPr>
              <w:t>87,60</w:t>
            </w:r>
          </w:p>
        </w:tc>
      </w:tr>
      <w:tr w:rsidR="003728E6" w:rsidRPr="007375EB" w14:paraId="7A730FB0" w14:textId="77777777" w:rsidTr="00225A8E">
        <w:tc>
          <w:tcPr>
            <w:tcW w:w="4106" w:type="dxa"/>
          </w:tcPr>
          <w:p w14:paraId="3EE1A1EE" w14:textId="209B9792" w:rsidR="003728E6" w:rsidRPr="007375EB" w:rsidRDefault="003728E6" w:rsidP="003728E6">
            <w:pPr>
              <w:spacing w:line="240" w:lineRule="auto"/>
              <w:rPr>
                <w:sz w:val="16"/>
                <w:szCs w:val="16"/>
                <w:lang w:val="bg-BG"/>
              </w:rPr>
            </w:pPr>
            <w:r w:rsidRPr="007375EB">
              <w:rPr>
                <w:lang w:val="bg-BG"/>
              </w:rPr>
              <w:t>Зона на трансформаторна станция</w:t>
            </w:r>
          </w:p>
        </w:tc>
        <w:tc>
          <w:tcPr>
            <w:tcW w:w="430" w:type="dxa"/>
          </w:tcPr>
          <w:p w14:paraId="710DEA38" w14:textId="029F7B70" w:rsidR="003728E6" w:rsidRPr="007375EB" w:rsidRDefault="003728E6" w:rsidP="003728E6">
            <w:pPr>
              <w:spacing w:line="240" w:lineRule="auto"/>
              <w:rPr>
                <w:sz w:val="16"/>
                <w:szCs w:val="16"/>
                <w:lang w:val="bg-BG"/>
              </w:rPr>
            </w:pPr>
            <w:r w:rsidRPr="007375EB">
              <w:rPr>
                <w:sz w:val="16"/>
                <w:szCs w:val="16"/>
                <w:lang w:val="bg-BG"/>
              </w:rPr>
              <w:t>-</w:t>
            </w:r>
          </w:p>
        </w:tc>
        <w:tc>
          <w:tcPr>
            <w:tcW w:w="1134" w:type="dxa"/>
          </w:tcPr>
          <w:p w14:paraId="3DDF607A" w14:textId="3B4F3820" w:rsidR="003728E6" w:rsidRPr="007375EB" w:rsidRDefault="003728E6" w:rsidP="003728E6">
            <w:pPr>
              <w:spacing w:line="240" w:lineRule="auto"/>
              <w:rPr>
                <w:sz w:val="16"/>
                <w:szCs w:val="16"/>
                <w:lang w:val="bg-BG"/>
              </w:rPr>
            </w:pPr>
            <w:r w:rsidRPr="007375EB">
              <w:rPr>
                <w:sz w:val="16"/>
                <w:szCs w:val="16"/>
                <w:lang w:val="bg-BG"/>
              </w:rPr>
              <w:t>-</w:t>
            </w:r>
          </w:p>
        </w:tc>
        <w:tc>
          <w:tcPr>
            <w:tcW w:w="1418" w:type="dxa"/>
          </w:tcPr>
          <w:p w14:paraId="3D850528" w14:textId="09B6F943" w:rsidR="003728E6" w:rsidRPr="007375EB" w:rsidRDefault="003728E6" w:rsidP="003728E6">
            <w:pPr>
              <w:spacing w:line="240" w:lineRule="auto"/>
              <w:rPr>
                <w:sz w:val="16"/>
                <w:szCs w:val="16"/>
                <w:lang w:val="bg-BG"/>
              </w:rPr>
            </w:pPr>
            <w:r w:rsidRPr="007375EB">
              <w:rPr>
                <w:sz w:val="16"/>
                <w:szCs w:val="16"/>
                <w:lang w:val="bg-BG"/>
              </w:rPr>
              <w:t>1,70</w:t>
            </w:r>
          </w:p>
        </w:tc>
        <w:tc>
          <w:tcPr>
            <w:tcW w:w="1072" w:type="dxa"/>
          </w:tcPr>
          <w:p w14:paraId="3323AB65" w14:textId="2F841448" w:rsidR="003728E6" w:rsidRPr="007375EB" w:rsidRDefault="003728E6" w:rsidP="003728E6">
            <w:pPr>
              <w:spacing w:line="240" w:lineRule="auto"/>
              <w:rPr>
                <w:sz w:val="16"/>
                <w:szCs w:val="16"/>
                <w:lang w:val="bg-BG"/>
              </w:rPr>
            </w:pPr>
            <w:r w:rsidRPr="007375EB">
              <w:rPr>
                <w:sz w:val="16"/>
                <w:szCs w:val="16"/>
                <w:lang w:val="bg-BG"/>
              </w:rPr>
              <w:t>0,05</w:t>
            </w:r>
          </w:p>
        </w:tc>
      </w:tr>
      <w:tr w:rsidR="003728E6" w:rsidRPr="007375EB" w14:paraId="5E48A01F" w14:textId="77777777" w:rsidTr="00225A8E">
        <w:tc>
          <w:tcPr>
            <w:tcW w:w="4106" w:type="dxa"/>
          </w:tcPr>
          <w:p w14:paraId="2B2DD683" w14:textId="27D1A5D4" w:rsidR="003728E6" w:rsidRPr="007375EB" w:rsidRDefault="003728E6" w:rsidP="003728E6">
            <w:pPr>
              <w:spacing w:line="240" w:lineRule="auto"/>
              <w:rPr>
                <w:sz w:val="16"/>
                <w:szCs w:val="16"/>
                <w:lang w:val="bg-BG"/>
              </w:rPr>
            </w:pPr>
            <w:r w:rsidRPr="007375EB">
              <w:rPr>
                <w:lang w:val="bg-BG"/>
              </w:rPr>
              <w:t>Пасищна зона</w:t>
            </w:r>
          </w:p>
        </w:tc>
        <w:tc>
          <w:tcPr>
            <w:tcW w:w="430" w:type="dxa"/>
          </w:tcPr>
          <w:p w14:paraId="188B37EF" w14:textId="5C669F24" w:rsidR="003728E6" w:rsidRPr="007375EB" w:rsidRDefault="003728E6" w:rsidP="003728E6">
            <w:pPr>
              <w:spacing w:line="240" w:lineRule="auto"/>
              <w:rPr>
                <w:sz w:val="16"/>
                <w:szCs w:val="16"/>
                <w:lang w:val="bg-BG"/>
              </w:rPr>
            </w:pPr>
            <w:r w:rsidRPr="007375EB">
              <w:rPr>
                <w:sz w:val="16"/>
                <w:szCs w:val="16"/>
                <w:lang w:val="bg-BG"/>
              </w:rPr>
              <w:t>64,00</w:t>
            </w:r>
          </w:p>
        </w:tc>
        <w:tc>
          <w:tcPr>
            <w:tcW w:w="1134" w:type="dxa"/>
          </w:tcPr>
          <w:p w14:paraId="2FED8538" w14:textId="76D049D5" w:rsidR="003728E6" w:rsidRPr="007375EB" w:rsidRDefault="003728E6" w:rsidP="003728E6">
            <w:pPr>
              <w:spacing w:line="240" w:lineRule="auto"/>
              <w:rPr>
                <w:sz w:val="16"/>
                <w:szCs w:val="16"/>
                <w:lang w:val="bg-BG"/>
              </w:rPr>
            </w:pPr>
            <w:r w:rsidRPr="007375EB">
              <w:rPr>
                <w:sz w:val="16"/>
                <w:szCs w:val="16"/>
                <w:lang w:val="bg-BG"/>
              </w:rPr>
              <w:t>2,11</w:t>
            </w:r>
          </w:p>
        </w:tc>
        <w:tc>
          <w:tcPr>
            <w:tcW w:w="1418" w:type="dxa"/>
          </w:tcPr>
          <w:p w14:paraId="461C946D" w14:textId="598A8FD0" w:rsidR="003728E6" w:rsidRPr="007375EB" w:rsidRDefault="003728E6" w:rsidP="003728E6">
            <w:pPr>
              <w:spacing w:line="240" w:lineRule="auto"/>
              <w:rPr>
                <w:sz w:val="16"/>
                <w:szCs w:val="16"/>
                <w:lang w:val="bg-BG"/>
              </w:rPr>
            </w:pPr>
            <w:r w:rsidRPr="007375EB">
              <w:rPr>
                <w:sz w:val="16"/>
                <w:szCs w:val="16"/>
                <w:lang w:val="bg-BG"/>
              </w:rPr>
              <w:t>64,00</w:t>
            </w:r>
          </w:p>
        </w:tc>
        <w:tc>
          <w:tcPr>
            <w:tcW w:w="1072" w:type="dxa"/>
          </w:tcPr>
          <w:p w14:paraId="517706B1" w14:textId="35FD14E5" w:rsidR="003728E6" w:rsidRPr="007375EB" w:rsidRDefault="003728E6" w:rsidP="003728E6">
            <w:pPr>
              <w:spacing w:line="240" w:lineRule="auto"/>
              <w:rPr>
                <w:sz w:val="16"/>
                <w:szCs w:val="16"/>
                <w:lang w:val="bg-BG"/>
              </w:rPr>
            </w:pPr>
            <w:r w:rsidRPr="007375EB">
              <w:rPr>
                <w:sz w:val="16"/>
                <w:szCs w:val="16"/>
                <w:lang w:val="bg-BG"/>
              </w:rPr>
              <w:t>2,11</w:t>
            </w:r>
          </w:p>
        </w:tc>
      </w:tr>
      <w:tr w:rsidR="003728E6" w:rsidRPr="007375EB" w14:paraId="408E4ED5" w14:textId="77777777" w:rsidTr="00225A8E">
        <w:tc>
          <w:tcPr>
            <w:tcW w:w="4106" w:type="dxa"/>
          </w:tcPr>
          <w:p w14:paraId="2333ADB7" w14:textId="12E75970" w:rsidR="003728E6" w:rsidRPr="007375EB" w:rsidRDefault="003728E6" w:rsidP="003728E6">
            <w:pPr>
              <w:spacing w:line="240" w:lineRule="auto"/>
              <w:rPr>
                <w:sz w:val="16"/>
                <w:szCs w:val="16"/>
                <w:lang w:val="bg-BG"/>
              </w:rPr>
            </w:pPr>
            <w:r w:rsidRPr="007375EB">
              <w:rPr>
                <w:lang w:val="bg-BG"/>
              </w:rPr>
              <w:t>Непродуктивна земя</w:t>
            </w:r>
          </w:p>
        </w:tc>
        <w:tc>
          <w:tcPr>
            <w:tcW w:w="430" w:type="dxa"/>
          </w:tcPr>
          <w:p w14:paraId="109C00E7" w14:textId="51C236ED" w:rsidR="003728E6" w:rsidRPr="007375EB" w:rsidRDefault="003728E6" w:rsidP="003728E6">
            <w:pPr>
              <w:spacing w:line="240" w:lineRule="auto"/>
              <w:rPr>
                <w:sz w:val="16"/>
                <w:szCs w:val="16"/>
                <w:lang w:val="bg-BG"/>
              </w:rPr>
            </w:pPr>
            <w:r w:rsidRPr="007375EB">
              <w:rPr>
                <w:sz w:val="16"/>
                <w:szCs w:val="16"/>
                <w:lang w:val="bg-BG"/>
              </w:rPr>
              <w:t>1,87</w:t>
            </w:r>
          </w:p>
        </w:tc>
        <w:tc>
          <w:tcPr>
            <w:tcW w:w="1134" w:type="dxa"/>
          </w:tcPr>
          <w:p w14:paraId="4BDB52F8" w14:textId="29135A55" w:rsidR="003728E6" w:rsidRPr="007375EB" w:rsidRDefault="003728E6" w:rsidP="003728E6">
            <w:pPr>
              <w:spacing w:line="240" w:lineRule="auto"/>
              <w:rPr>
                <w:sz w:val="16"/>
                <w:szCs w:val="16"/>
                <w:lang w:val="bg-BG"/>
              </w:rPr>
            </w:pPr>
            <w:r w:rsidRPr="007375EB">
              <w:rPr>
                <w:sz w:val="16"/>
                <w:szCs w:val="16"/>
                <w:lang w:val="bg-BG"/>
              </w:rPr>
              <w:t>0,06</w:t>
            </w:r>
          </w:p>
        </w:tc>
        <w:tc>
          <w:tcPr>
            <w:tcW w:w="1418" w:type="dxa"/>
          </w:tcPr>
          <w:p w14:paraId="380ABEA6" w14:textId="4D4ABF3E" w:rsidR="003728E6" w:rsidRPr="007375EB" w:rsidRDefault="003728E6" w:rsidP="003728E6">
            <w:pPr>
              <w:spacing w:line="240" w:lineRule="auto"/>
              <w:rPr>
                <w:sz w:val="16"/>
                <w:szCs w:val="16"/>
                <w:lang w:val="bg-BG"/>
              </w:rPr>
            </w:pPr>
            <w:r w:rsidRPr="007375EB">
              <w:rPr>
                <w:sz w:val="16"/>
                <w:szCs w:val="16"/>
                <w:lang w:val="bg-BG"/>
              </w:rPr>
              <w:t>1,87</w:t>
            </w:r>
          </w:p>
        </w:tc>
        <w:tc>
          <w:tcPr>
            <w:tcW w:w="1072" w:type="dxa"/>
          </w:tcPr>
          <w:p w14:paraId="0F40B5E2" w14:textId="479794ED" w:rsidR="003728E6" w:rsidRPr="007375EB" w:rsidRDefault="003728E6" w:rsidP="003728E6">
            <w:pPr>
              <w:spacing w:line="240" w:lineRule="auto"/>
              <w:rPr>
                <w:sz w:val="16"/>
                <w:szCs w:val="16"/>
                <w:lang w:val="bg-BG"/>
              </w:rPr>
            </w:pPr>
            <w:r w:rsidRPr="007375EB">
              <w:rPr>
                <w:sz w:val="16"/>
                <w:szCs w:val="16"/>
                <w:lang w:val="bg-BG"/>
              </w:rPr>
              <w:t>0,06</w:t>
            </w:r>
          </w:p>
        </w:tc>
      </w:tr>
      <w:tr w:rsidR="003728E6" w:rsidRPr="007375EB" w14:paraId="69A7D0F9" w14:textId="77777777" w:rsidTr="00225A8E">
        <w:tc>
          <w:tcPr>
            <w:tcW w:w="4106" w:type="dxa"/>
          </w:tcPr>
          <w:p w14:paraId="2E730FE8" w14:textId="075B7350" w:rsidR="003728E6" w:rsidRPr="007375EB" w:rsidRDefault="003728E6" w:rsidP="003728E6">
            <w:pPr>
              <w:spacing w:line="240" w:lineRule="auto"/>
              <w:rPr>
                <w:sz w:val="16"/>
                <w:szCs w:val="16"/>
                <w:lang w:val="bg-BG"/>
              </w:rPr>
            </w:pPr>
            <w:r w:rsidRPr="007375EB">
              <w:rPr>
                <w:lang w:val="bg-BG"/>
              </w:rPr>
              <w:t>Зона на напоителен канал</w:t>
            </w:r>
          </w:p>
        </w:tc>
        <w:tc>
          <w:tcPr>
            <w:tcW w:w="430" w:type="dxa"/>
          </w:tcPr>
          <w:p w14:paraId="0F35F88C" w14:textId="0B289981" w:rsidR="003728E6" w:rsidRPr="007375EB" w:rsidRDefault="003728E6" w:rsidP="003728E6">
            <w:pPr>
              <w:spacing w:line="240" w:lineRule="auto"/>
              <w:rPr>
                <w:sz w:val="16"/>
                <w:szCs w:val="16"/>
                <w:lang w:val="bg-BG"/>
              </w:rPr>
            </w:pPr>
            <w:r w:rsidRPr="007375EB">
              <w:rPr>
                <w:sz w:val="16"/>
                <w:szCs w:val="16"/>
                <w:lang w:val="bg-BG"/>
              </w:rPr>
              <w:t>11,77</w:t>
            </w:r>
          </w:p>
        </w:tc>
        <w:tc>
          <w:tcPr>
            <w:tcW w:w="1134" w:type="dxa"/>
          </w:tcPr>
          <w:p w14:paraId="248CCE5B" w14:textId="10ADD0D4" w:rsidR="003728E6" w:rsidRPr="007375EB" w:rsidRDefault="003728E6" w:rsidP="003728E6">
            <w:pPr>
              <w:spacing w:line="240" w:lineRule="auto"/>
              <w:rPr>
                <w:sz w:val="16"/>
                <w:szCs w:val="16"/>
                <w:lang w:val="bg-BG"/>
              </w:rPr>
            </w:pPr>
            <w:r w:rsidRPr="007375EB">
              <w:rPr>
                <w:sz w:val="16"/>
                <w:szCs w:val="16"/>
                <w:lang w:val="bg-BG"/>
              </w:rPr>
              <w:t>0,40</w:t>
            </w:r>
          </w:p>
        </w:tc>
        <w:tc>
          <w:tcPr>
            <w:tcW w:w="1418" w:type="dxa"/>
          </w:tcPr>
          <w:p w14:paraId="48D53513" w14:textId="6DDF0508" w:rsidR="003728E6" w:rsidRPr="007375EB" w:rsidRDefault="003728E6" w:rsidP="003728E6">
            <w:pPr>
              <w:spacing w:line="240" w:lineRule="auto"/>
              <w:rPr>
                <w:sz w:val="16"/>
                <w:szCs w:val="16"/>
                <w:lang w:val="bg-BG"/>
              </w:rPr>
            </w:pPr>
            <w:r w:rsidRPr="007375EB">
              <w:rPr>
                <w:sz w:val="16"/>
                <w:szCs w:val="16"/>
                <w:lang w:val="bg-BG"/>
              </w:rPr>
              <w:t>11,77</w:t>
            </w:r>
          </w:p>
        </w:tc>
        <w:tc>
          <w:tcPr>
            <w:tcW w:w="1072" w:type="dxa"/>
          </w:tcPr>
          <w:p w14:paraId="366206B3" w14:textId="1FD10409" w:rsidR="003728E6" w:rsidRPr="007375EB" w:rsidRDefault="003728E6" w:rsidP="003728E6">
            <w:pPr>
              <w:spacing w:line="240" w:lineRule="auto"/>
              <w:rPr>
                <w:sz w:val="16"/>
                <w:szCs w:val="16"/>
                <w:lang w:val="bg-BG"/>
              </w:rPr>
            </w:pPr>
            <w:r w:rsidRPr="007375EB">
              <w:rPr>
                <w:sz w:val="16"/>
                <w:szCs w:val="16"/>
                <w:lang w:val="bg-BG"/>
              </w:rPr>
              <w:t>0,40</w:t>
            </w:r>
          </w:p>
        </w:tc>
      </w:tr>
      <w:tr w:rsidR="003728E6" w:rsidRPr="007375EB" w14:paraId="05AEB38A" w14:textId="77777777" w:rsidTr="00225A8E">
        <w:tc>
          <w:tcPr>
            <w:tcW w:w="4106" w:type="dxa"/>
          </w:tcPr>
          <w:p w14:paraId="6608D964" w14:textId="639A3E8B" w:rsidR="003728E6" w:rsidRPr="007375EB" w:rsidRDefault="00225A8E" w:rsidP="003728E6">
            <w:pPr>
              <w:spacing w:line="240" w:lineRule="auto"/>
              <w:rPr>
                <w:sz w:val="16"/>
                <w:szCs w:val="16"/>
                <w:lang w:val="bg-BG"/>
              </w:rPr>
            </w:pPr>
            <w:r w:rsidRPr="007375EB">
              <w:rPr>
                <w:lang w:val="bg-BG"/>
              </w:rPr>
              <w:t xml:space="preserve">Зона с </w:t>
            </w:r>
            <w:r w:rsidRPr="007375EB">
              <w:rPr>
                <w:lang w:val="bg-BG" w:eastAsia="ro-RO"/>
              </w:rPr>
              <w:t>работните пътища</w:t>
            </w:r>
          </w:p>
        </w:tc>
        <w:tc>
          <w:tcPr>
            <w:tcW w:w="430" w:type="dxa"/>
          </w:tcPr>
          <w:p w14:paraId="7C88B19C" w14:textId="38EB5DD9" w:rsidR="003728E6" w:rsidRPr="007375EB" w:rsidRDefault="003728E6" w:rsidP="003728E6">
            <w:pPr>
              <w:spacing w:line="240" w:lineRule="auto"/>
              <w:rPr>
                <w:sz w:val="16"/>
                <w:szCs w:val="16"/>
                <w:lang w:val="bg-BG"/>
              </w:rPr>
            </w:pPr>
            <w:r w:rsidRPr="007375EB">
              <w:rPr>
                <w:sz w:val="16"/>
                <w:szCs w:val="16"/>
                <w:lang w:val="bg-BG"/>
              </w:rPr>
              <w:t>-</w:t>
            </w:r>
          </w:p>
        </w:tc>
        <w:tc>
          <w:tcPr>
            <w:tcW w:w="1134" w:type="dxa"/>
          </w:tcPr>
          <w:p w14:paraId="2312972C" w14:textId="387C18D6" w:rsidR="003728E6" w:rsidRPr="007375EB" w:rsidRDefault="003728E6" w:rsidP="003728E6">
            <w:pPr>
              <w:spacing w:line="240" w:lineRule="auto"/>
              <w:rPr>
                <w:sz w:val="16"/>
                <w:szCs w:val="16"/>
                <w:lang w:val="bg-BG"/>
              </w:rPr>
            </w:pPr>
            <w:r w:rsidRPr="007375EB">
              <w:rPr>
                <w:sz w:val="16"/>
                <w:szCs w:val="16"/>
                <w:lang w:val="bg-BG"/>
              </w:rPr>
              <w:t>-</w:t>
            </w:r>
          </w:p>
        </w:tc>
        <w:tc>
          <w:tcPr>
            <w:tcW w:w="1418" w:type="dxa"/>
          </w:tcPr>
          <w:p w14:paraId="1B3E433C" w14:textId="793F3FC3" w:rsidR="003728E6" w:rsidRPr="007375EB" w:rsidRDefault="003728E6" w:rsidP="003728E6">
            <w:pPr>
              <w:spacing w:line="240" w:lineRule="auto"/>
              <w:rPr>
                <w:sz w:val="16"/>
                <w:szCs w:val="16"/>
                <w:lang w:val="bg-BG"/>
              </w:rPr>
            </w:pPr>
            <w:r w:rsidRPr="007375EB">
              <w:rPr>
                <w:sz w:val="16"/>
                <w:szCs w:val="16"/>
                <w:lang w:val="bg-BG"/>
              </w:rPr>
              <w:t>26,00</w:t>
            </w:r>
          </w:p>
        </w:tc>
        <w:tc>
          <w:tcPr>
            <w:tcW w:w="1072" w:type="dxa"/>
          </w:tcPr>
          <w:p w14:paraId="3EA61CE1" w14:textId="6DF6176B" w:rsidR="003728E6" w:rsidRPr="007375EB" w:rsidRDefault="003728E6" w:rsidP="003728E6">
            <w:pPr>
              <w:spacing w:line="240" w:lineRule="auto"/>
              <w:rPr>
                <w:sz w:val="16"/>
                <w:szCs w:val="16"/>
                <w:lang w:val="bg-BG"/>
              </w:rPr>
            </w:pPr>
            <w:r w:rsidRPr="007375EB">
              <w:rPr>
                <w:sz w:val="16"/>
                <w:szCs w:val="16"/>
                <w:lang w:val="bg-BG"/>
              </w:rPr>
              <w:t>0,86</w:t>
            </w:r>
          </w:p>
        </w:tc>
      </w:tr>
      <w:tr w:rsidR="00800A57" w:rsidRPr="007375EB" w14:paraId="34F616F3" w14:textId="77777777" w:rsidTr="00225A8E">
        <w:tc>
          <w:tcPr>
            <w:tcW w:w="4106" w:type="dxa"/>
          </w:tcPr>
          <w:p w14:paraId="1A2A79C5" w14:textId="2C9E76A7" w:rsidR="00800A57" w:rsidRPr="007375EB" w:rsidRDefault="00225A8E" w:rsidP="00225A8E">
            <w:pPr>
              <w:spacing w:line="240" w:lineRule="auto"/>
              <w:rPr>
                <w:sz w:val="16"/>
                <w:szCs w:val="16"/>
                <w:lang w:val="bg-BG"/>
              </w:rPr>
            </w:pPr>
            <w:r w:rsidRPr="007375EB">
              <w:rPr>
                <w:sz w:val="16"/>
                <w:szCs w:val="16"/>
                <w:lang w:val="bg-BG"/>
              </w:rPr>
              <w:t xml:space="preserve">Натоварена зона на движение </w:t>
            </w:r>
            <w:r w:rsidR="00B36D73" w:rsidRPr="007375EB">
              <w:rPr>
                <w:sz w:val="16"/>
                <w:szCs w:val="16"/>
                <w:lang w:val="bg-BG"/>
              </w:rPr>
              <w:t>DJ+DC</w:t>
            </w:r>
          </w:p>
        </w:tc>
        <w:tc>
          <w:tcPr>
            <w:tcW w:w="430" w:type="dxa"/>
          </w:tcPr>
          <w:p w14:paraId="6A8E3CBA" w14:textId="1EE7D4A1" w:rsidR="00800A57" w:rsidRPr="007375EB" w:rsidRDefault="003077B9" w:rsidP="00B36D73">
            <w:pPr>
              <w:spacing w:line="240" w:lineRule="auto"/>
              <w:rPr>
                <w:sz w:val="16"/>
                <w:szCs w:val="16"/>
                <w:lang w:val="bg-BG"/>
              </w:rPr>
            </w:pPr>
            <w:r w:rsidRPr="007375EB">
              <w:rPr>
                <w:sz w:val="16"/>
                <w:szCs w:val="16"/>
                <w:lang w:val="bg-BG"/>
              </w:rPr>
              <w:t>5,24</w:t>
            </w:r>
          </w:p>
        </w:tc>
        <w:tc>
          <w:tcPr>
            <w:tcW w:w="1134" w:type="dxa"/>
          </w:tcPr>
          <w:p w14:paraId="6DBC9451" w14:textId="59AE518B" w:rsidR="00800A57" w:rsidRPr="007375EB" w:rsidRDefault="003077B9" w:rsidP="00B36D73">
            <w:pPr>
              <w:spacing w:line="240" w:lineRule="auto"/>
              <w:rPr>
                <w:sz w:val="16"/>
                <w:szCs w:val="16"/>
                <w:lang w:val="bg-BG"/>
              </w:rPr>
            </w:pPr>
            <w:r w:rsidRPr="007375EB">
              <w:rPr>
                <w:sz w:val="16"/>
                <w:szCs w:val="16"/>
                <w:lang w:val="bg-BG"/>
              </w:rPr>
              <w:t>0,17</w:t>
            </w:r>
          </w:p>
        </w:tc>
        <w:tc>
          <w:tcPr>
            <w:tcW w:w="1418" w:type="dxa"/>
          </w:tcPr>
          <w:p w14:paraId="7692E514" w14:textId="5A0E1B36" w:rsidR="00800A57" w:rsidRPr="007375EB" w:rsidRDefault="003077B9" w:rsidP="00B36D73">
            <w:pPr>
              <w:spacing w:line="240" w:lineRule="auto"/>
              <w:rPr>
                <w:sz w:val="16"/>
                <w:szCs w:val="16"/>
                <w:lang w:val="bg-BG"/>
              </w:rPr>
            </w:pPr>
            <w:r w:rsidRPr="007375EB">
              <w:rPr>
                <w:sz w:val="16"/>
                <w:szCs w:val="16"/>
                <w:lang w:val="bg-BG"/>
              </w:rPr>
              <w:t>5,24</w:t>
            </w:r>
          </w:p>
        </w:tc>
        <w:tc>
          <w:tcPr>
            <w:tcW w:w="1072" w:type="dxa"/>
          </w:tcPr>
          <w:p w14:paraId="7C6B21A1" w14:textId="4DBED4F2" w:rsidR="00800A57" w:rsidRPr="007375EB" w:rsidRDefault="003077B9" w:rsidP="00B36D73">
            <w:pPr>
              <w:spacing w:line="240" w:lineRule="auto"/>
              <w:rPr>
                <w:sz w:val="16"/>
                <w:szCs w:val="16"/>
                <w:lang w:val="bg-BG"/>
              </w:rPr>
            </w:pPr>
            <w:r w:rsidRPr="007375EB">
              <w:rPr>
                <w:sz w:val="16"/>
                <w:szCs w:val="16"/>
                <w:lang w:val="bg-BG"/>
              </w:rPr>
              <w:t>0,17</w:t>
            </w:r>
          </w:p>
        </w:tc>
      </w:tr>
      <w:tr w:rsidR="00800A57" w:rsidRPr="007375EB" w14:paraId="3A51DD6D" w14:textId="77777777" w:rsidTr="00225A8E">
        <w:tc>
          <w:tcPr>
            <w:tcW w:w="4106" w:type="dxa"/>
          </w:tcPr>
          <w:p w14:paraId="5FDB2CAF" w14:textId="2CC80D27" w:rsidR="00800A57" w:rsidRPr="007375EB" w:rsidRDefault="00225A8E" w:rsidP="00225A8E">
            <w:pPr>
              <w:spacing w:line="240" w:lineRule="auto"/>
              <w:rPr>
                <w:sz w:val="16"/>
                <w:szCs w:val="16"/>
                <w:lang w:val="bg-BG"/>
              </w:rPr>
            </w:pPr>
            <w:r w:rsidRPr="007375EB">
              <w:rPr>
                <w:sz w:val="16"/>
                <w:szCs w:val="16"/>
                <w:lang w:val="bg-BG"/>
              </w:rPr>
              <w:t xml:space="preserve">Зона на експлоатационните пътища  </w:t>
            </w:r>
          </w:p>
        </w:tc>
        <w:tc>
          <w:tcPr>
            <w:tcW w:w="430" w:type="dxa"/>
          </w:tcPr>
          <w:p w14:paraId="764E2F8E" w14:textId="20058881" w:rsidR="00800A57" w:rsidRPr="007375EB" w:rsidRDefault="003077B9" w:rsidP="00B36D73">
            <w:pPr>
              <w:spacing w:line="240" w:lineRule="auto"/>
              <w:rPr>
                <w:sz w:val="16"/>
                <w:szCs w:val="16"/>
                <w:lang w:val="bg-BG"/>
              </w:rPr>
            </w:pPr>
            <w:r w:rsidRPr="007375EB">
              <w:rPr>
                <w:sz w:val="16"/>
                <w:szCs w:val="16"/>
                <w:lang w:val="bg-BG"/>
              </w:rPr>
              <w:t>36,65</w:t>
            </w:r>
          </w:p>
        </w:tc>
        <w:tc>
          <w:tcPr>
            <w:tcW w:w="1134" w:type="dxa"/>
          </w:tcPr>
          <w:p w14:paraId="30834FB3" w14:textId="6282A244" w:rsidR="00800A57" w:rsidRPr="007375EB" w:rsidRDefault="003077B9" w:rsidP="00B36D73">
            <w:pPr>
              <w:spacing w:line="240" w:lineRule="auto"/>
              <w:rPr>
                <w:sz w:val="16"/>
                <w:szCs w:val="16"/>
                <w:lang w:val="bg-BG"/>
              </w:rPr>
            </w:pPr>
            <w:r w:rsidRPr="007375EB">
              <w:rPr>
                <w:sz w:val="16"/>
                <w:szCs w:val="16"/>
                <w:lang w:val="bg-BG"/>
              </w:rPr>
              <w:t>1,21</w:t>
            </w:r>
          </w:p>
        </w:tc>
        <w:tc>
          <w:tcPr>
            <w:tcW w:w="1418" w:type="dxa"/>
          </w:tcPr>
          <w:p w14:paraId="38955C45" w14:textId="4057FE8A" w:rsidR="00800A57" w:rsidRPr="007375EB" w:rsidRDefault="003077B9" w:rsidP="00B36D73">
            <w:pPr>
              <w:spacing w:line="240" w:lineRule="auto"/>
              <w:rPr>
                <w:sz w:val="16"/>
                <w:szCs w:val="16"/>
                <w:lang w:val="bg-BG"/>
              </w:rPr>
            </w:pPr>
            <w:r w:rsidRPr="007375EB">
              <w:rPr>
                <w:sz w:val="16"/>
                <w:szCs w:val="16"/>
                <w:lang w:val="bg-BG"/>
              </w:rPr>
              <w:t>10,65</w:t>
            </w:r>
          </w:p>
        </w:tc>
        <w:tc>
          <w:tcPr>
            <w:tcW w:w="1072" w:type="dxa"/>
          </w:tcPr>
          <w:p w14:paraId="55019F87" w14:textId="027FC178" w:rsidR="00800A57" w:rsidRPr="007375EB" w:rsidRDefault="003077B9" w:rsidP="00B36D73">
            <w:pPr>
              <w:spacing w:line="240" w:lineRule="auto"/>
              <w:rPr>
                <w:sz w:val="16"/>
                <w:szCs w:val="16"/>
                <w:lang w:val="bg-BG"/>
              </w:rPr>
            </w:pPr>
            <w:r w:rsidRPr="007375EB">
              <w:rPr>
                <w:sz w:val="16"/>
                <w:szCs w:val="16"/>
                <w:lang w:val="bg-BG"/>
              </w:rPr>
              <w:t>0,35</w:t>
            </w:r>
          </w:p>
        </w:tc>
      </w:tr>
      <w:tr w:rsidR="003077B9" w:rsidRPr="007375EB" w14:paraId="34EE98F3" w14:textId="77777777" w:rsidTr="00225A8E">
        <w:tc>
          <w:tcPr>
            <w:tcW w:w="4106" w:type="dxa"/>
          </w:tcPr>
          <w:p w14:paraId="71A88133" w14:textId="50F7D940" w:rsidR="003077B9" w:rsidRPr="007375EB" w:rsidRDefault="00225A8E" w:rsidP="00225A8E">
            <w:pPr>
              <w:spacing w:line="240" w:lineRule="auto"/>
              <w:rPr>
                <w:sz w:val="16"/>
                <w:szCs w:val="16"/>
                <w:lang w:val="bg-BG"/>
              </w:rPr>
            </w:pPr>
            <w:r w:rsidRPr="007375EB">
              <w:rPr>
                <w:sz w:val="16"/>
                <w:szCs w:val="16"/>
                <w:lang w:val="bg-BG"/>
              </w:rPr>
              <w:t>Общ район на изследване</w:t>
            </w:r>
          </w:p>
        </w:tc>
        <w:tc>
          <w:tcPr>
            <w:tcW w:w="430" w:type="dxa"/>
          </w:tcPr>
          <w:p w14:paraId="6871833A" w14:textId="239EAFF3" w:rsidR="003077B9" w:rsidRPr="007375EB" w:rsidRDefault="003077B9" w:rsidP="00B36D73">
            <w:pPr>
              <w:spacing w:line="240" w:lineRule="auto"/>
              <w:rPr>
                <w:sz w:val="16"/>
                <w:szCs w:val="16"/>
                <w:lang w:val="bg-BG"/>
              </w:rPr>
            </w:pPr>
            <w:r w:rsidRPr="007375EB">
              <w:rPr>
                <w:sz w:val="16"/>
                <w:szCs w:val="16"/>
                <w:lang w:val="bg-BG"/>
              </w:rPr>
              <w:t>3.027,77</w:t>
            </w:r>
          </w:p>
        </w:tc>
        <w:tc>
          <w:tcPr>
            <w:tcW w:w="1134" w:type="dxa"/>
          </w:tcPr>
          <w:p w14:paraId="65C43218" w14:textId="54B91AE0" w:rsidR="003077B9" w:rsidRPr="007375EB" w:rsidRDefault="003077B9" w:rsidP="00B36D73">
            <w:pPr>
              <w:spacing w:line="240" w:lineRule="auto"/>
              <w:rPr>
                <w:sz w:val="16"/>
                <w:szCs w:val="16"/>
                <w:lang w:val="bg-BG"/>
              </w:rPr>
            </w:pPr>
            <w:r w:rsidRPr="007375EB">
              <w:rPr>
                <w:sz w:val="16"/>
                <w:szCs w:val="16"/>
                <w:lang w:val="bg-BG"/>
              </w:rPr>
              <w:t>100,00</w:t>
            </w:r>
          </w:p>
        </w:tc>
        <w:tc>
          <w:tcPr>
            <w:tcW w:w="1418" w:type="dxa"/>
          </w:tcPr>
          <w:p w14:paraId="32C29D62" w14:textId="02C17CF3" w:rsidR="003077B9" w:rsidRPr="007375EB" w:rsidRDefault="003077B9" w:rsidP="00B36D73">
            <w:pPr>
              <w:spacing w:line="240" w:lineRule="auto"/>
              <w:rPr>
                <w:sz w:val="16"/>
                <w:szCs w:val="16"/>
                <w:lang w:val="bg-BG"/>
              </w:rPr>
            </w:pPr>
            <w:r w:rsidRPr="007375EB">
              <w:rPr>
                <w:sz w:val="16"/>
                <w:szCs w:val="16"/>
                <w:lang w:val="bg-BG"/>
              </w:rPr>
              <w:t>3.027,77</w:t>
            </w:r>
          </w:p>
        </w:tc>
        <w:tc>
          <w:tcPr>
            <w:tcW w:w="1072" w:type="dxa"/>
          </w:tcPr>
          <w:p w14:paraId="6F1C8A32" w14:textId="53E32362" w:rsidR="003077B9" w:rsidRPr="007375EB" w:rsidRDefault="003077B9" w:rsidP="00B36D73">
            <w:pPr>
              <w:spacing w:line="240" w:lineRule="auto"/>
              <w:rPr>
                <w:sz w:val="16"/>
                <w:szCs w:val="16"/>
                <w:lang w:val="bg-BG"/>
              </w:rPr>
            </w:pPr>
            <w:r w:rsidRPr="007375EB">
              <w:rPr>
                <w:sz w:val="16"/>
                <w:szCs w:val="16"/>
                <w:lang w:val="bg-BG"/>
              </w:rPr>
              <w:t>100,00</w:t>
            </w:r>
          </w:p>
        </w:tc>
      </w:tr>
    </w:tbl>
    <w:p w14:paraId="209297E2" w14:textId="0170CDEB" w:rsidR="00C85789" w:rsidRPr="007375EB" w:rsidRDefault="00225A8E" w:rsidP="00FF05A1">
      <w:pPr>
        <w:spacing w:after="120" w:line="360" w:lineRule="auto"/>
        <w:rPr>
          <w:lang w:val="bg-BG" w:eastAsia="ro-RO"/>
        </w:rPr>
      </w:pPr>
      <w:r w:rsidRPr="007375EB">
        <w:rPr>
          <w:b/>
          <w:bCs/>
          <w:color w:val="00B0F0"/>
          <w:lang w:val="bg-BG"/>
        </w:rPr>
        <w:t>Физическите промени, произтичащи от прилагането на зоналния градоустройствен план</w:t>
      </w:r>
      <w:r w:rsidR="00BA6A8F" w:rsidRPr="007375EB">
        <w:rPr>
          <w:lang w:val="bg-BG"/>
        </w:rPr>
        <w:t>:</w:t>
      </w:r>
    </w:p>
    <w:p w14:paraId="08292D80" w14:textId="1DAAFC0E" w:rsidR="007C3246" w:rsidRPr="007375EB" w:rsidRDefault="00225A8E" w:rsidP="003728E6">
      <w:pPr>
        <w:spacing w:after="120" w:line="360" w:lineRule="auto"/>
        <w:ind w:left="-5" w:hanging="10"/>
        <w:jc w:val="both"/>
        <w:rPr>
          <w:lang w:val="bg-BG"/>
        </w:rPr>
      </w:pPr>
      <w:r w:rsidRPr="007375EB">
        <w:rPr>
          <w:rFonts w:eastAsia="Verdana" w:cs="Verdana"/>
          <w:lang w:val="bg-BG"/>
        </w:rPr>
        <w:t>Изграждането на енергийния парк ще доведе до трайно заемане на някои земни площи</w:t>
      </w:r>
      <w:r w:rsidR="007C3246" w:rsidRPr="007375EB">
        <w:rPr>
          <w:rFonts w:eastAsia="Verdana" w:cs="Verdana"/>
          <w:lang w:val="bg-BG"/>
        </w:rPr>
        <w:t xml:space="preserve">: </w:t>
      </w:r>
    </w:p>
    <w:p w14:paraId="2EC33116" w14:textId="72ECF19C" w:rsidR="007C3246" w:rsidRPr="007375EB" w:rsidRDefault="004159DE" w:rsidP="00C24EDF">
      <w:pPr>
        <w:pStyle w:val="ListParagraph"/>
        <w:numPr>
          <w:ilvl w:val="0"/>
          <w:numId w:val="18"/>
        </w:numPr>
        <w:spacing w:after="120" w:line="360" w:lineRule="auto"/>
        <w:ind w:left="714" w:hanging="357"/>
        <w:jc w:val="both"/>
        <w:rPr>
          <w:lang w:val="bg-BG"/>
        </w:rPr>
      </w:pPr>
      <w:r w:rsidRPr="007375EB">
        <w:rPr>
          <w:rFonts w:eastAsia="Verdana" w:cs="Verdana"/>
          <w:b/>
          <w:lang w:val="bg-BG"/>
        </w:rPr>
        <w:t>255,87</w:t>
      </w:r>
      <w:r w:rsidR="007C3246" w:rsidRPr="007375EB">
        <w:rPr>
          <w:rFonts w:eastAsia="Verdana" w:cs="Verdana"/>
          <w:b/>
          <w:lang w:val="bg-BG"/>
        </w:rPr>
        <w:t xml:space="preserve"> </w:t>
      </w:r>
      <w:r w:rsidR="00225A8E" w:rsidRPr="007375EB">
        <w:rPr>
          <w:rFonts w:eastAsia="Verdana" w:cs="Verdana"/>
          <w:b/>
          <w:lang w:val="bg-BG"/>
        </w:rPr>
        <w:t>ха</w:t>
      </w:r>
      <w:r w:rsidR="007C3246" w:rsidRPr="007375EB">
        <w:rPr>
          <w:rFonts w:eastAsia="Verdana" w:cs="Verdana"/>
          <w:lang w:val="bg-BG"/>
        </w:rPr>
        <w:t xml:space="preserve"> </w:t>
      </w:r>
      <w:r w:rsidR="00225A8E" w:rsidRPr="007375EB">
        <w:rPr>
          <w:rFonts w:eastAsia="Verdana" w:cs="Verdana"/>
          <w:lang w:val="bg-BG"/>
        </w:rPr>
        <w:t>за разполагане на вятърни електроцентрали и спомагателни съоръжения и трансформаторни станции</w:t>
      </w:r>
      <w:r w:rsidR="007C3246" w:rsidRPr="007375EB">
        <w:rPr>
          <w:rFonts w:eastAsia="Verdana" w:cs="Verdana"/>
          <w:lang w:val="bg-BG"/>
        </w:rPr>
        <w:t xml:space="preserve"> </w:t>
      </w:r>
    </w:p>
    <w:p w14:paraId="113EEB91" w14:textId="7C10CAAA" w:rsidR="007C3246" w:rsidRPr="007375EB" w:rsidRDefault="00A91A07" w:rsidP="00C24EDF">
      <w:pPr>
        <w:pStyle w:val="ListParagraph"/>
        <w:numPr>
          <w:ilvl w:val="0"/>
          <w:numId w:val="18"/>
        </w:numPr>
        <w:spacing w:after="120" w:line="360" w:lineRule="auto"/>
        <w:ind w:left="714" w:hanging="357"/>
        <w:jc w:val="both"/>
        <w:rPr>
          <w:lang w:val="bg-BG"/>
        </w:rPr>
      </w:pPr>
      <w:r w:rsidRPr="007375EB">
        <w:rPr>
          <w:rFonts w:eastAsia="Verdana" w:cs="Verdana"/>
          <w:b/>
          <w:lang w:val="bg-BG"/>
        </w:rPr>
        <w:t>36,65</w:t>
      </w:r>
      <w:r w:rsidR="007C3246" w:rsidRPr="007375EB">
        <w:rPr>
          <w:rFonts w:eastAsia="Verdana" w:cs="Verdana"/>
          <w:b/>
          <w:lang w:val="bg-BG"/>
        </w:rPr>
        <w:t xml:space="preserve"> </w:t>
      </w:r>
      <w:r w:rsidR="00225A8E" w:rsidRPr="007375EB">
        <w:rPr>
          <w:rFonts w:eastAsia="Verdana" w:cs="Verdana"/>
          <w:b/>
          <w:lang w:val="bg-BG"/>
        </w:rPr>
        <w:t>ха</w:t>
      </w:r>
      <w:r w:rsidR="007C3246" w:rsidRPr="007375EB">
        <w:rPr>
          <w:rFonts w:eastAsia="Verdana" w:cs="Verdana"/>
          <w:lang w:val="bg-BG"/>
        </w:rPr>
        <w:t xml:space="preserve"> </w:t>
      </w:r>
      <w:r w:rsidR="00225A8E" w:rsidRPr="007375EB">
        <w:rPr>
          <w:rFonts w:eastAsia="Verdana" w:cs="Verdana"/>
          <w:lang w:val="bg-BG"/>
        </w:rPr>
        <w:t>постоянно заета от земеделски пътища (10,65 ха) и благоустроени пътища (26 ха).</w:t>
      </w:r>
    </w:p>
    <w:p w14:paraId="66C557B7" w14:textId="1CBA5C4D" w:rsidR="007C3246" w:rsidRPr="007375EB" w:rsidRDefault="00225A8E" w:rsidP="00C24EDF">
      <w:pPr>
        <w:spacing w:after="120" w:line="360" w:lineRule="auto"/>
        <w:jc w:val="both"/>
        <w:rPr>
          <w:lang w:val="bg-BG"/>
        </w:rPr>
      </w:pPr>
      <w:r w:rsidRPr="007375EB">
        <w:rPr>
          <w:rFonts w:eastAsia="Verdana" w:cs="Verdana"/>
          <w:lang w:val="bg-BG"/>
        </w:rPr>
        <w:t xml:space="preserve">За всеки парцел, на който ще бъдат инсталирани вятърните електроцентрали, ще бъде поискано във фазата на DTAC, окончателното отстраняване от селскостопанската верига на площите, заети </w:t>
      </w:r>
      <w:r w:rsidRPr="007375EB">
        <w:rPr>
          <w:rFonts w:eastAsia="Verdana" w:cs="Verdana"/>
          <w:lang w:val="bg-BG"/>
        </w:rPr>
        <w:lastRenderedPageBreak/>
        <w:t>от основата на стълба, от пътищата за достъп до електроцентралите и от платформите за поддръжка. Енергийният парк ще доведе до трайно премахване от селскостопанската верига на площ от ок. 30 ха и временно отстраняване от селскостопанския кръг на площ от ок. 70 ха</w:t>
      </w:r>
      <w:r w:rsidR="002C207A" w:rsidRPr="007375EB">
        <w:rPr>
          <w:rFonts w:eastAsia="Verdana" w:cs="Verdana"/>
          <w:lang w:val="bg-BG"/>
        </w:rPr>
        <w:t>.</w:t>
      </w:r>
      <w:r w:rsidR="002C5E24" w:rsidRPr="007375EB">
        <w:rPr>
          <w:rFonts w:eastAsia="Verdana" w:cs="Verdana"/>
          <w:lang w:val="bg-BG"/>
        </w:rPr>
        <w:t xml:space="preserve"> </w:t>
      </w:r>
      <w:r w:rsidR="00AA5E9E" w:rsidRPr="007375EB">
        <w:rPr>
          <w:rFonts w:eastAsia="Verdana" w:cs="Verdana"/>
          <w:lang w:val="bg-BG"/>
        </w:rPr>
        <w:t>Всеки вятърена станция работи независимо един от друг, в зависимост от диапазона на скоростта на вятъра, за който е проектирана. Вятърните електроцентрали са проектирани да работят при скорост на вятъра от 3-4 м/с, за номинална скорост на вятъра от 15 м/с, и се изключват при скорост на вятъра над 25 м/с</w:t>
      </w:r>
      <w:r w:rsidR="007C3246" w:rsidRPr="007375EB">
        <w:rPr>
          <w:rFonts w:eastAsia="Verdana" w:cs="Verdana"/>
          <w:lang w:val="bg-BG"/>
        </w:rPr>
        <w:t xml:space="preserve">. </w:t>
      </w:r>
    </w:p>
    <w:p w14:paraId="3BC2FE18" w14:textId="74850920" w:rsidR="007C3246" w:rsidRPr="007375EB" w:rsidRDefault="00AA5E9E" w:rsidP="003A66A1">
      <w:pPr>
        <w:spacing w:after="120" w:line="360" w:lineRule="auto"/>
        <w:ind w:left="-5" w:hanging="10"/>
        <w:jc w:val="both"/>
        <w:rPr>
          <w:lang w:val="bg-BG"/>
        </w:rPr>
      </w:pPr>
      <w:r w:rsidRPr="007375EB">
        <w:rPr>
          <w:rFonts w:eastAsia="Verdana" w:cs="Verdana"/>
          <w:lang w:val="bg-BG"/>
        </w:rPr>
        <w:t>За парка за вятърна енергия се предвиждат три етапа на изпълнение</w:t>
      </w:r>
      <w:r w:rsidR="007C3246" w:rsidRPr="007375EB">
        <w:rPr>
          <w:rFonts w:eastAsia="Verdana" w:cs="Verdana"/>
          <w:lang w:val="bg-BG"/>
        </w:rPr>
        <w:t xml:space="preserve">: </w:t>
      </w:r>
    </w:p>
    <w:p w14:paraId="429AA6CD" w14:textId="45C87099" w:rsidR="007C3246" w:rsidRPr="007375EB" w:rsidRDefault="00AA5E9E" w:rsidP="00C24EDF">
      <w:pPr>
        <w:pStyle w:val="ListParagraph"/>
        <w:numPr>
          <w:ilvl w:val="0"/>
          <w:numId w:val="18"/>
        </w:numPr>
        <w:spacing w:after="120" w:line="360" w:lineRule="auto"/>
        <w:ind w:left="714" w:hanging="357"/>
        <w:jc w:val="both"/>
        <w:rPr>
          <w:rFonts w:eastAsia="Verdana" w:cs="Verdana"/>
          <w:bCs/>
          <w:lang w:val="bg-BG"/>
        </w:rPr>
      </w:pPr>
      <w:r w:rsidRPr="007375EB">
        <w:rPr>
          <w:rFonts w:eastAsia="Verdana" w:cs="Verdana"/>
          <w:bCs/>
          <w:lang w:val="bg-BG"/>
        </w:rPr>
        <w:t>етап на изпълнение</w:t>
      </w:r>
      <w:r w:rsidR="007C3246" w:rsidRPr="007375EB">
        <w:rPr>
          <w:rFonts w:eastAsia="Verdana" w:cs="Verdana"/>
          <w:bCs/>
          <w:lang w:val="bg-BG"/>
        </w:rPr>
        <w:t xml:space="preserve">; </w:t>
      </w:r>
    </w:p>
    <w:p w14:paraId="6D1C3710" w14:textId="07DC2479" w:rsidR="00C24EDF" w:rsidRPr="007375EB" w:rsidRDefault="00AA5E9E" w:rsidP="00C24EDF">
      <w:pPr>
        <w:pStyle w:val="ListParagraph"/>
        <w:numPr>
          <w:ilvl w:val="0"/>
          <w:numId w:val="18"/>
        </w:numPr>
        <w:spacing w:after="120" w:line="360" w:lineRule="auto"/>
        <w:ind w:left="714" w:hanging="357"/>
        <w:jc w:val="both"/>
        <w:rPr>
          <w:rFonts w:eastAsia="Verdana" w:cs="Verdana"/>
          <w:bCs/>
          <w:lang w:val="bg-BG"/>
        </w:rPr>
      </w:pPr>
      <w:r w:rsidRPr="007375EB">
        <w:rPr>
          <w:rFonts w:eastAsia="Verdana" w:cs="Verdana"/>
          <w:bCs/>
          <w:lang w:val="bg-BG"/>
        </w:rPr>
        <w:t>етап на експлоатация</w:t>
      </w:r>
      <w:r w:rsidR="007C3246" w:rsidRPr="007375EB">
        <w:rPr>
          <w:rFonts w:eastAsia="Verdana" w:cs="Verdana"/>
          <w:bCs/>
          <w:lang w:val="bg-BG"/>
        </w:rPr>
        <w:t xml:space="preserve">; </w:t>
      </w:r>
    </w:p>
    <w:p w14:paraId="6F96352A" w14:textId="09940940" w:rsidR="002D49E7" w:rsidRPr="007375EB" w:rsidRDefault="00AA5E9E" w:rsidP="00C24EDF">
      <w:pPr>
        <w:pStyle w:val="ListParagraph"/>
        <w:numPr>
          <w:ilvl w:val="0"/>
          <w:numId w:val="18"/>
        </w:numPr>
        <w:spacing w:after="120" w:line="360" w:lineRule="auto"/>
        <w:ind w:left="714" w:hanging="357"/>
        <w:jc w:val="both"/>
        <w:rPr>
          <w:rFonts w:eastAsia="Verdana" w:cs="Verdana"/>
          <w:bCs/>
          <w:lang w:val="bg-BG"/>
        </w:rPr>
      </w:pPr>
      <w:r w:rsidRPr="007375EB">
        <w:rPr>
          <w:rFonts w:eastAsia="Verdana" w:cs="Verdana"/>
          <w:bCs/>
          <w:lang w:val="bg-BG"/>
        </w:rPr>
        <w:t>етап на извеждане от експлоатация (закриване, събаряне</w:t>
      </w:r>
      <w:r w:rsidR="007C3246" w:rsidRPr="007375EB">
        <w:rPr>
          <w:rFonts w:eastAsia="Verdana" w:cs="Verdana"/>
          <w:bCs/>
          <w:lang w:val="bg-BG"/>
        </w:rPr>
        <w:t>)</w:t>
      </w:r>
      <w:r w:rsidR="00846035" w:rsidRPr="007375EB">
        <w:rPr>
          <w:rFonts w:eastAsia="Verdana" w:cs="Verdana"/>
          <w:bCs/>
          <w:lang w:val="bg-BG"/>
        </w:rPr>
        <w:t>.</w:t>
      </w:r>
    </w:p>
    <w:p w14:paraId="23B269EF" w14:textId="6FAA594A" w:rsidR="002D49E7" w:rsidRPr="007375EB" w:rsidRDefault="00AA5E9E" w:rsidP="00225A8E">
      <w:pPr>
        <w:spacing w:line="240" w:lineRule="auto"/>
        <w:rPr>
          <w:rFonts w:eastAsia="Verdana" w:cs="Verdana"/>
          <w:lang w:val="bg-BG"/>
        </w:rPr>
      </w:pPr>
      <w:r w:rsidRPr="007375EB">
        <w:rPr>
          <w:rFonts w:eastAsia="Verdana" w:cs="Verdana"/>
          <w:lang w:val="bg-BG"/>
        </w:rPr>
        <w:t>Основни действия, които ще произтекат от реализацията на вятърния парк</w:t>
      </w:r>
      <w:r w:rsidR="009C0F0D" w:rsidRPr="007375EB">
        <w:rPr>
          <w:rFonts w:eastAsia="Verdana" w:cs="Verdana"/>
          <w:lang w:val="bg-BG"/>
        </w:rPr>
        <w:t>:</w:t>
      </w:r>
    </w:p>
    <w:tbl>
      <w:tblPr>
        <w:tblStyle w:val="TableGrid0"/>
        <w:tblW w:w="10054" w:type="dxa"/>
        <w:tblInd w:w="6" w:type="dxa"/>
        <w:tblCellMar>
          <w:top w:w="41" w:type="dxa"/>
          <w:left w:w="107" w:type="dxa"/>
          <w:right w:w="52" w:type="dxa"/>
        </w:tblCellMar>
        <w:tblLook w:val="04A0" w:firstRow="1" w:lastRow="0" w:firstColumn="1" w:lastColumn="0" w:noHBand="0" w:noVBand="1"/>
      </w:tblPr>
      <w:tblGrid>
        <w:gridCol w:w="2116"/>
        <w:gridCol w:w="7938"/>
      </w:tblGrid>
      <w:tr w:rsidR="0092068A" w:rsidRPr="007375EB" w14:paraId="42B5A4E7" w14:textId="77777777" w:rsidTr="00FD0457">
        <w:trPr>
          <w:trHeight w:val="203"/>
          <w:tblHeader/>
        </w:trPr>
        <w:tc>
          <w:tcPr>
            <w:tcW w:w="2116" w:type="dxa"/>
            <w:tcBorders>
              <w:top w:val="single" w:sz="4" w:space="0" w:color="BFBFBF"/>
              <w:left w:val="single" w:sz="4" w:space="0" w:color="BFBFBF"/>
              <w:bottom w:val="single" w:sz="4" w:space="0" w:color="BFBFBF"/>
              <w:right w:val="single" w:sz="4" w:space="0" w:color="BFBFBF"/>
            </w:tcBorders>
            <w:shd w:val="clear" w:color="auto" w:fill="00B0F0"/>
          </w:tcPr>
          <w:p w14:paraId="1F3875B2" w14:textId="1DB9DD03" w:rsidR="0092068A" w:rsidRPr="007375EB" w:rsidRDefault="00AA5E9E" w:rsidP="00225A8E">
            <w:pPr>
              <w:rPr>
                <w:lang w:val="bg-BG"/>
              </w:rPr>
            </w:pPr>
            <w:r w:rsidRPr="007375EB">
              <w:rPr>
                <w:rFonts w:eastAsia="Verdana" w:cs="Verdana"/>
                <w:b/>
                <w:color w:val="FFFFFF"/>
                <w:sz w:val="16"/>
                <w:lang w:val="bg-BG"/>
              </w:rPr>
              <w:t>Етап</w:t>
            </w:r>
            <w:r w:rsidR="0092068A" w:rsidRPr="007375EB">
              <w:rPr>
                <w:rFonts w:eastAsia="Verdana" w:cs="Verdana"/>
                <w:b/>
                <w:color w:val="FFFFFF"/>
                <w:sz w:val="16"/>
                <w:lang w:val="bg-BG"/>
              </w:rPr>
              <w:t xml:space="preserve">  </w:t>
            </w:r>
          </w:p>
        </w:tc>
        <w:tc>
          <w:tcPr>
            <w:tcW w:w="7938" w:type="dxa"/>
            <w:tcBorders>
              <w:top w:val="single" w:sz="4" w:space="0" w:color="BFBFBF"/>
              <w:left w:val="single" w:sz="4" w:space="0" w:color="BFBFBF"/>
              <w:bottom w:val="single" w:sz="4" w:space="0" w:color="BFBFBF"/>
              <w:right w:val="single" w:sz="4" w:space="0" w:color="BFBFBF"/>
            </w:tcBorders>
            <w:shd w:val="clear" w:color="auto" w:fill="00B0F0"/>
          </w:tcPr>
          <w:p w14:paraId="5407F7EB" w14:textId="6A12DF97" w:rsidR="0092068A" w:rsidRPr="007375EB" w:rsidRDefault="002C5E24" w:rsidP="00225A8E">
            <w:pPr>
              <w:rPr>
                <w:lang w:val="bg-BG"/>
              </w:rPr>
            </w:pPr>
            <w:r w:rsidRPr="007375EB">
              <w:rPr>
                <w:rFonts w:eastAsia="Verdana" w:cs="Verdana"/>
                <w:b/>
                <w:color w:val="FFFFFF"/>
                <w:sz w:val="16"/>
                <w:lang w:val="bg-BG"/>
              </w:rPr>
              <w:t>Вид на дейността</w:t>
            </w:r>
          </w:p>
        </w:tc>
      </w:tr>
      <w:tr w:rsidR="002C5E24" w:rsidRPr="007375EB" w14:paraId="666C19BE" w14:textId="77777777" w:rsidTr="00FD0457">
        <w:trPr>
          <w:trHeight w:val="112"/>
        </w:trPr>
        <w:tc>
          <w:tcPr>
            <w:tcW w:w="2116" w:type="dxa"/>
            <w:vMerge w:val="restart"/>
            <w:tcBorders>
              <w:top w:val="single" w:sz="4" w:space="0" w:color="BFBFBF"/>
              <w:left w:val="single" w:sz="4" w:space="0" w:color="BFBFBF"/>
              <w:bottom w:val="single" w:sz="4" w:space="0" w:color="BFBFBF"/>
              <w:right w:val="single" w:sz="4" w:space="0" w:color="BFBFBF"/>
            </w:tcBorders>
            <w:shd w:val="clear" w:color="auto" w:fill="F2F2F2"/>
          </w:tcPr>
          <w:p w14:paraId="4D83FEF2" w14:textId="3D92F9AA" w:rsidR="002C5E24" w:rsidRPr="007375EB" w:rsidRDefault="002C5E24" w:rsidP="002C5E24">
            <w:pPr>
              <w:rPr>
                <w:sz w:val="16"/>
                <w:szCs w:val="16"/>
                <w:lang w:val="bg-BG"/>
              </w:rPr>
            </w:pPr>
            <w:r w:rsidRPr="007375EB">
              <w:rPr>
                <w:rFonts w:eastAsia="Verdana" w:cs="Verdana"/>
                <w:b/>
                <w:sz w:val="16"/>
                <w:szCs w:val="16"/>
                <w:lang w:val="bg-BG"/>
              </w:rPr>
              <w:t>Строителство</w:t>
            </w:r>
          </w:p>
        </w:tc>
        <w:tc>
          <w:tcPr>
            <w:tcW w:w="7938" w:type="dxa"/>
            <w:tcBorders>
              <w:top w:val="single" w:sz="4" w:space="0" w:color="BFBFBF"/>
              <w:left w:val="single" w:sz="4" w:space="0" w:color="BFBFBF"/>
              <w:bottom w:val="single" w:sz="4" w:space="0" w:color="BFBFBF"/>
              <w:right w:val="single" w:sz="4" w:space="0" w:color="BFBFBF"/>
            </w:tcBorders>
          </w:tcPr>
          <w:p w14:paraId="5BD85943" w14:textId="472D76C6" w:rsidR="002C5E24" w:rsidRPr="007375EB" w:rsidRDefault="002C5E24" w:rsidP="002C5E24">
            <w:pPr>
              <w:ind w:left="1"/>
              <w:rPr>
                <w:bCs/>
                <w:sz w:val="16"/>
                <w:szCs w:val="16"/>
                <w:lang w:val="bg-BG"/>
              </w:rPr>
            </w:pPr>
            <w:r w:rsidRPr="007375EB">
              <w:rPr>
                <w:sz w:val="16"/>
                <w:szCs w:val="16"/>
                <w:lang w:val="bg-BG"/>
              </w:rPr>
              <w:t xml:space="preserve">Изграждане на пътища за достъп  </w:t>
            </w:r>
          </w:p>
        </w:tc>
      </w:tr>
      <w:tr w:rsidR="002C5E24" w:rsidRPr="007375EB" w14:paraId="0901B02F" w14:textId="77777777" w:rsidTr="00FD0457">
        <w:trPr>
          <w:trHeight w:val="143"/>
        </w:trPr>
        <w:tc>
          <w:tcPr>
            <w:tcW w:w="2116" w:type="dxa"/>
            <w:vMerge/>
            <w:tcBorders>
              <w:top w:val="nil"/>
              <w:left w:val="single" w:sz="4" w:space="0" w:color="BFBFBF"/>
              <w:bottom w:val="nil"/>
              <w:right w:val="single" w:sz="4" w:space="0" w:color="BFBFBF"/>
            </w:tcBorders>
          </w:tcPr>
          <w:p w14:paraId="5C2480E3" w14:textId="77777777" w:rsidR="002C5E24" w:rsidRPr="007375EB" w:rsidRDefault="002C5E24" w:rsidP="002C5E24">
            <w:pPr>
              <w:rPr>
                <w:sz w:val="16"/>
                <w:szCs w:val="16"/>
                <w:lang w:val="bg-BG"/>
              </w:rPr>
            </w:pPr>
          </w:p>
        </w:tc>
        <w:tc>
          <w:tcPr>
            <w:tcW w:w="7938" w:type="dxa"/>
            <w:tcBorders>
              <w:top w:val="single" w:sz="4" w:space="0" w:color="BFBFBF"/>
              <w:left w:val="single" w:sz="4" w:space="0" w:color="BFBFBF"/>
              <w:bottom w:val="single" w:sz="4" w:space="0" w:color="BFBFBF"/>
              <w:right w:val="single" w:sz="4" w:space="0" w:color="BFBFBF"/>
            </w:tcBorders>
          </w:tcPr>
          <w:p w14:paraId="7F716FC2" w14:textId="45445896" w:rsidR="002C5E24" w:rsidRPr="007375EB" w:rsidRDefault="002C5E24" w:rsidP="002C5E24">
            <w:pPr>
              <w:ind w:left="1"/>
              <w:rPr>
                <w:bCs/>
                <w:sz w:val="16"/>
                <w:szCs w:val="16"/>
                <w:lang w:val="bg-BG"/>
              </w:rPr>
            </w:pPr>
            <w:r w:rsidRPr="007375EB">
              <w:rPr>
                <w:sz w:val="16"/>
                <w:szCs w:val="16"/>
                <w:lang w:val="bg-BG"/>
              </w:rPr>
              <w:t xml:space="preserve">Реализация на технологични платформи и основи </w:t>
            </w:r>
          </w:p>
        </w:tc>
      </w:tr>
      <w:tr w:rsidR="002C5E24" w:rsidRPr="007375EB" w14:paraId="54B29A8C" w14:textId="77777777" w:rsidTr="00FD0457">
        <w:trPr>
          <w:trHeight w:val="48"/>
        </w:trPr>
        <w:tc>
          <w:tcPr>
            <w:tcW w:w="2116" w:type="dxa"/>
            <w:vMerge/>
            <w:tcBorders>
              <w:top w:val="nil"/>
              <w:left w:val="single" w:sz="4" w:space="0" w:color="BFBFBF"/>
              <w:bottom w:val="nil"/>
              <w:right w:val="single" w:sz="4" w:space="0" w:color="BFBFBF"/>
            </w:tcBorders>
          </w:tcPr>
          <w:p w14:paraId="20D0B1D9" w14:textId="77777777" w:rsidR="002C5E24" w:rsidRPr="007375EB" w:rsidRDefault="002C5E24" w:rsidP="002C5E24">
            <w:pPr>
              <w:rPr>
                <w:sz w:val="16"/>
                <w:szCs w:val="16"/>
                <w:lang w:val="bg-BG"/>
              </w:rPr>
            </w:pPr>
          </w:p>
        </w:tc>
        <w:tc>
          <w:tcPr>
            <w:tcW w:w="7938" w:type="dxa"/>
            <w:tcBorders>
              <w:top w:val="single" w:sz="4" w:space="0" w:color="BFBFBF"/>
              <w:left w:val="single" w:sz="4" w:space="0" w:color="BFBFBF"/>
              <w:bottom w:val="single" w:sz="4" w:space="0" w:color="BFBFBF"/>
              <w:right w:val="single" w:sz="4" w:space="0" w:color="BFBFBF"/>
            </w:tcBorders>
          </w:tcPr>
          <w:p w14:paraId="0143A335" w14:textId="32A1063A" w:rsidR="002C5E24" w:rsidRPr="007375EB" w:rsidRDefault="002C5E24" w:rsidP="002C5E24">
            <w:pPr>
              <w:ind w:left="1"/>
              <w:rPr>
                <w:bCs/>
                <w:sz w:val="16"/>
                <w:szCs w:val="16"/>
                <w:lang w:val="bg-BG"/>
              </w:rPr>
            </w:pPr>
            <w:r w:rsidRPr="007375EB">
              <w:rPr>
                <w:sz w:val="16"/>
                <w:szCs w:val="16"/>
                <w:lang w:val="bg-BG"/>
              </w:rPr>
              <w:t>Монтаж на вятърни електроцентрали</w:t>
            </w:r>
          </w:p>
        </w:tc>
      </w:tr>
      <w:tr w:rsidR="002C5E24" w:rsidRPr="007375EB" w14:paraId="56B250BC" w14:textId="77777777" w:rsidTr="00FD0457">
        <w:trPr>
          <w:trHeight w:val="223"/>
        </w:trPr>
        <w:tc>
          <w:tcPr>
            <w:tcW w:w="2116" w:type="dxa"/>
            <w:vMerge/>
            <w:tcBorders>
              <w:top w:val="nil"/>
              <w:left w:val="single" w:sz="4" w:space="0" w:color="BFBFBF"/>
              <w:bottom w:val="nil"/>
              <w:right w:val="single" w:sz="4" w:space="0" w:color="BFBFBF"/>
            </w:tcBorders>
          </w:tcPr>
          <w:p w14:paraId="62DFD592" w14:textId="77777777" w:rsidR="002C5E24" w:rsidRPr="007375EB" w:rsidRDefault="002C5E24" w:rsidP="002C5E24">
            <w:pPr>
              <w:rPr>
                <w:sz w:val="16"/>
                <w:szCs w:val="16"/>
                <w:lang w:val="bg-BG"/>
              </w:rPr>
            </w:pPr>
          </w:p>
        </w:tc>
        <w:tc>
          <w:tcPr>
            <w:tcW w:w="7938" w:type="dxa"/>
            <w:tcBorders>
              <w:top w:val="single" w:sz="4" w:space="0" w:color="BFBFBF"/>
              <w:left w:val="single" w:sz="4" w:space="0" w:color="BFBFBF"/>
              <w:bottom w:val="single" w:sz="4" w:space="0" w:color="BFBFBF"/>
              <w:right w:val="single" w:sz="4" w:space="0" w:color="BFBFBF"/>
            </w:tcBorders>
          </w:tcPr>
          <w:p w14:paraId="401128FE" w14:textId="3A461A48" w:rsidR="002C5E24" w:rsidRPr="007375EB" w:rsidRDefault="002C5E24" w:rsidP="002C5E24">
            <w:pPr>
              <w:ind w:left="1" w:right="55"/>
              <w:jc w:val="both"/>
              <w:rPr>
                <w:bCs/>
                <w:sz w:val="16"/>
                <w:szCs w:val="16"/>
                <w:lang w:val="bg-BG"/>
              </w:rPr>
            </w:pPr>
            <w:r w:rsidRPr="007375EB">
              <w:rPr>
                <w:sz w:val="16"/>
                <w:szCs w:val="16"/>
                <w:lang w:val="bg-BG"/>
              </w:rPr>
              <w:t xml:space="preserve">Извършване на електрически връзки и полагане на подземни кабели между ветрогенераторните групи </w:t>
            </w:r>
          </w:p>
        </w:tc>
      </w:tr>
      <w:tr w:rsidR="002C5E24" w:rsidRPr="007375EB" w14:paraId="645BF7A1" w14:textId="77777777" w:rsidTr="00FD0457">
        <w:trPr>
          <w:trHeight w:val="72"/>
        </w:trPr>
        <w:tc>
          <w:tcPr>
            <w:tcW w:w="2116" w:type="dxa"/>
            <w:vMerge/>
            <w:tcBorders>
              <w:top w:val="nil"/>
              <w:left w:val="single" w:sz="4" w:space="0" w:color="BFBFBF"/>
              <w:bottom w:val="nil"/>
              <w:right w:val="single" w:sz="4" w:space="0" w:color="BFBFBF"/>
            </w:tcBorders>
          </w:tcPr>
          <w:p w14:paraId="11D02533" w14:textId="77777777" w:rsidR="002C5E24" w:rsidRPr="007375EB" w:rsidRDefault="002C5E24" w:rsidP="002C5E24">
            <w:pPr>
              <w:rPr>
                <w:sz w:val="16"/>
                <w:szCs w:val="16"/>
                <w:lang w:val="bg-BG"/>
              </w:rPr>
            </w:pPr>
          </w:p>
        </w:tc>
        <w:tc>
          <w:tcPr>
            <w:tcW w:w="7938" w:type="dxa"/>
            <w:tcBorders>
              <w:top w:val="single" w:sz="4" w:space="0" w:color="BFBFBF"/>
              <w:left w:val="single" w:sz="4" w:space="0" w:color="BFBFBF"/>
              <w:bottom w:val="single" w:sz="4" w:space="0" w:color="BFBFBF"/>
              <w:right w:val="single" w:sz="4" w:space="0" w:color="BFBFBF"/>
            </w:tcBorders>
          </w:tcPr>
          <w:p w14:paraId="792FD464" w14:textId="514D4183" w:rsidR="002C5E24" w:rsidRPr="007375EB" w:rsidRDefault="002C5E24" w:rsidP="002C5E24">
            <w:pPr>
              <w:ind w:left="1"/>
              <w:rPr>
                <w:bCs/>
                <w:sz w:val="16"/>
                <w:szCs w:val="16"/>
                <w:lang w:val="bg-BG"/>
              </w:rPr>
            </w:pPr>
            <w:r w:rsidRPr="007375EB">
              <w:rPr>
                <w:sz w:val="16"/>
                <w:szCs w:val="16"/>
                <w:lang w:val="bg-BG"/>
              </w:rPr>
              <w:t>Изграждане на трансформаторни станции</w:t>
            </w:r>
          </w:p>
        </w:tc>
      </w:tr>
      <w:tr w:rsidR="002C5E24" w:rsidRPr="007375EB" w14:paraId="3DF1EE92" w14:textId="77777777" w:rsidTr="00FD0457">
        <w:trPr>
          <w:trHeight w:val="220"/>
        </w:trPr>
        <w:tc>
          <w:tcPr>
            <w:tcW w:w="2116" w:type="dxa"/>
            <w:vMerge/>
            <w:tcBorders>
              <w:top w:val="nil"/>
              <w:left w:val="single" w:sz="4" w:space="0" w:color="BFBFBF"/>
              <w:bottom w:val="nil"/>
              <w:right w:val="single" w:sz="4" w:space="0" w:color="BFBFBF"/>
            </w:tcBorders>
          </w:tcPr>
          <w:p w14:paraId="3737D446" w14:textId="77777777" w:rsidR="002C5E24" w:rsidRPr="007375EB" w:rsidRDefault="002C5E24" w:rsidP="002C5E24">
            <w:pPr>
              <w:rPr>
                <w:sz w:val="16"/>
                <w:szCs w:val="16"/>
                <w:lang w:val="bg-BG"/>
              </w:rPr>
            </w:pPr>
          </w:p>
        </w:tc>
        <w:tc>
          <w:tcPr>
            <w:tcW w:w="7938" w:type="dxa"/>
            <w:tcBorders>
              <w:top w:val="single" w:sz="4" w:space="0" w:color="BFBFBF"/>
              <w:left w:val="single" w:sz="4" w:space="0" w:color="BFBFBF"/>
              <w:bottom w:val="single" w:sz="4" w:space="0" w:color="BFBFBF"/>
              <w:right w:val="single" w:sz="4" w:space="0" w:color="BFBFBF"/>
            </w:tcBorders>
          </w:tcPr>
          <w:p w14:paraId="73D753C6" w14:textId="76729EFE" w:rsidR="002C5E24" w:rsidRPr="007375EB" w:rsidRDefault="002C5E24" w:rsidP="002C5E24">
            <w:pPr>
              <w:ind w:left="1"/>
              <w:rPr>
                <w:bCs/>
                <w:sz w:val="16"/>
                <w:szCs w:val="16"/>
                <w:lang w:val="bg-BG"/>
              </w:rPr>
            </w:pPr>
            <w:r w:rsidRPr="007375EB">
              <w:rPr>
                <w:sz w:val="16"/>
                <w:szCs w:val="16"/>
                <w:lang w:val="bg-BG"/>
              </w:rPr>
              <w:t xml:space="preserve">Настройка на организацията на обекта </w:t>
            </w:r>
          </w:p>
        </w:tc>
      </w:tr>
      <w:tr w:rsidR="002C5E24" w:rsidRPr="007375EB" w14:paraId="287BB317" w14:textId="77777777" w:rsidTr="00FD0457">
        <w:trPr>
          <w:trHeight w:val="36"/>
        </w:trPr>
        <w:tc>
          <w:tcPr>
            <w:tcW w:w="2116" w:type="dxa"/>
            <w:vMerge/>
            <w:tcBorders>
              <w:top w:val="nil"/>
              <w:left w:val="single" w:sz="4" w:space="0" w:color="BFBFBF"/>
              <w:bottom w:val="single" w:sz="4" w:space="0" w:color="BFBFBF"/>
              <w:right w:val="single" w:sz="4" w:space="0" w:color="BFBFBF"/>
            </w:tcBorders>
          </w:tcPr>
          <w:p w14:paraId="055A1F59" w14:textId="77777777" w:rsidR="002C5E24" w:rsidRPr="007375EB" w:rsidRDefault="002C5E24" w:rsidP="002C5E24">
            <w:pPr>
              <w:rPr>
                <w:sz w:val="16"/>
                <w:szCs w:val="16"/>
                <w:lang w:val="bg-BG"/>
              </w:rPr>
            </w:pPr>
          </w:p>
        </w:tc>
        <w:tc>
          <w:tcPr>
            <w:tcW w:w="7938" w:type="dxa"/>
            <w:tcBorders>
              <w:top w:val="single" w:sz="4" w:space="0" w:color="BFBFBF"/>
              <w:left w:val="single" w:sz="4" w:space="0" w:color="BFBFBF"/>
              <w:bottom w:val="single" w:sz="4" w:space="0" w:color="BFBFBF"/>
              <w:right w:val="single" w:sz="4" w:space="0" w:color="BFBFBF"/>
            </w:tcBorders>
          </w:tcPr>
          <w:p w14:paraId="6D7157AC" w14:textId="4E71E482" w:rsidR="002C5E24" w:rsidRPr="007375EB" w:rsidRDefault="002C5E24" w:rsidP="002C5E24">
            <w:pPr>
              <w:ind w:left="1"/>
              <w:jc w:val="both"/>
              <w:rPr>
                <w:bCs/>
                <w:sz w:val="16"/>
                <w:szCs w:val="16"/>
                <w:lang w:val="bg-BG"/>
              </w:rPr>
            </w:pPr>
            <w:r w:rsidRPr="007375EB">
              <w:rPr>
                <w:sz w:val="16"/>
                <w:szCs w:val="16"/>
                <w:lang w:val="bg-BG"/>
              </w:rPr>
              <w:t>Рекултивация на земята в края на строителството</w:t>
            </w:r>
          </w:p>
        </w:tc>
      </w:tr>
      <w:tr w:rsidR="0092068A" w:rsidRPr="007375EB" w14:paraId="62E58EFE" w14:textId="77777777" w:rsidTr="00FD0457">
        <w:trPr>
          <w:trHeight w:val="216"/>
        </w:trPr>
        <w:tc>
          <w:tcPr>
            <w:tcW w:w="2116" w:type="dxa"/>
            <w:tcBorders>
              <w:top w:val="single" w:sz="4" w:space="0" w:color="BFBFBF"/>
              <w:left w:val="single" w:sz="4" w:space="0" w:color="BFBFBF"/>
              <w:bottom w:val="single" w:sz="4" w:space="0" w:color="BFBFBF"/>
              <w:right w:val="single" w:sz="4" w:space="0" w:color="BFBFBF"/>
            </w:tcBorders>
            <w:shd w:val="clear" w:color="auto" w:fill="F2F2F2"/>
          </w:tcPr>
          <w:p w14:paraId="2C924A48" w14:textId="019B0EF7" w:rsidR="0092068A" w:rsidRPr="007375EB" w:rsidRDefault="002C5E24" w:rsidP="00332B91">
            <w:pPr>
              <w:rPr>
                <w:lang w:val="bg-BG"/>
              </w:rPr>
            </w:pPr>
            <w:r w:rsidRPr="007375EB">
              <w:rPr>
                <w:rFonts w:eastAsia="Verdana" w:cs="Verdana"/>
                <w:b/>
                <w:sz w:val="16"/>
                <w:lang w:val="bg-BG"/>
              </w:rPr>
              <w:t>ЕКСПЛОАТАЦИЯ</w:t>
            </w:r>
          </w:p>
        </w:tc>
        <w:tc>
          <w:tcPr>
            <w:tcW w:w="7938" w:type="dxa"/>
            <w:tcBorders>
              <w:top w:val="single" w:sz="4" w:space="0" w:color="BFBFBF"/>
              <w:left w:val="single" w:sz="4" w:space="0" w:color="BFBFBF"/>
              <w:bottom w:val="single" w:sz="4" w:space="0" w:color="BFBFBF"/>
              <w:right w:val="single" w:sz="4" w:space="0" w:color="BFBFBF"/>
            </w:tcBorders>
          </w:tcPr>
          <w:p w14:paraId="0338663B" w14:textId="66019C89" w:rsidR="0092068A" w:rsidRPr="007375EB" w:rsidRDefault="00FD0457" w:rsidP="00332B91">
            <w:pPr>
              <w:ind w:left="1"/>
              <w:rPr>
                <w:bCs/>
                <w:lang w:val="bg-BG"/>
              </w:rPr>
            </w:pPr>
            <w:r w:rsidRPr="007375EB">
              <w:rPr>
                <w:rFonts w:eastAsia="Verdana" w:cs="Verdana"/>
                <w:bCs/>
                <w:sz w:val="16"/>
                <w:lang w:val="bg-BG"/>
              </w:rPr>
              <w:t>Поддръжка и ремонти</w:t>
            </w:r>
          </w:p>
        </w:tc>
      </w:tr>
      <w:tr w:rsidR="00FD0457" w:rsidRPr="007375EB" w14:paraId="0CD9A3E8" w14:textId="77777777" w:rsidTr="00FD0457">
        <w:trPr>
          <w:trHeight w:val="36"/>
        </w:trPr>
        <w:tc>
          <w:tcPr>
            <w:tcW w:w="2116" w:type="dxa"/>
            <w:vMerge w:val="restart"/>
            <w:tcBorders>
              <w:top w:val="single" w:sz="4" w:space="0" w:color="BFBFBF"/>
              <w:left w:val="single" w:sz="4" w:space="0" w:color="BFBFBF"/>
              <w:bottom w:val="single" w:sz="4" w:space="0" w:color="BFBFBF"/>
              <w:right w:val="single" w:sz="4" w:space="0" w:color="BFBFBF"/>
            </w:tcBorders>
            <w:shd w:val="clear" w:color="auto" w:fill="F2F2F2"/>
          </w:tcPr>
          <w:p w14:paraId="3A79D8FB" w14:textId="77777777" w:rsidR="00FD0457" w:rsidRPr="007375EB" w:rsidRDefault="00FD0457" w:rsidP="00FD0457">
            <w:pPr>
              <w:ind w:right="54"/>
              <w:jc w:val="both"/>
              <w:rPr>
                <w:rFonts w:eastAsia="Verdana" w:cs="Verdana"/>
                <w:b/>
                <w:sz w:val="16"/>
                <w:lang w:val="bg-BG"/>
              </w:rPr>
            </w:pPr>
            <w:r w:rsidRPr="007375EB">
              <w:rPr>
                <w:rFonts w:eastAsia="Verdana" w:cs="Verdana"/>
                <w:b/>
                <w:sz w:val="16"/>
                <w:lang w:val="bg-BG"/>
              </w:rPr>
              <w:t>ИЗВЕЖДАНЕ ОТ ЕКСПЛОАТАЦИЯ</w:t>
            </w:r>
          </w:p>
          <w:p w14:paraId="0ABA31F1" w14:textId="4769022B" w:rsidR="00FD0457" w:rsidRPr="007375EB" w:rsidRDefault="00FD0457" w:rsidP="00FD0457">
            <w:pPr>
              <w:ind w:right="54"/>
              <w:jc w:val="both"/>
              <w:rPr>
                <w:lang w:val="bg-BG"/>
              </w:rPr>
            </w:pPr>
            <w:r w:rsidRPr="007375EB">
              <w:rPr>
                <w:rFonts w:eastAsia="Verdana" w:cs="Verdana"/>
                <w:i/>
                <w:sz w:val="16"/>
                <w:lang w:val="bg-BG"/>
              </w:rPr>
              <w:t>Мерките и дейностите са сходни с тези на етапа на строителство</w:t>
            </w:r>
          </w:p>
        </w:tc>
        <w:tc>
          <w:tcPr>
            <w:tcW w:w="7938" w:type="dxa"/>
            <w:tcBorders>
              <w:top w:val="single" w:sz="4" w:space="0" w:color="BFBFBF"/>
              <w:left w:val="single" w:sz="4" w:space="0" w:color="BFBFBF"/>
              <w:bottom w:val="single" w:sz="4" w:space="0" w:color="BFBFBF"/>
              <w:right w:val="single" w:sz="4" w:space="0" w:color="BFBFBF"/>
            </w:tcBorders>
          </w:tcPr>
          <w:p w14:paraId="241A9B68" w14:textId="5741121D" w:rsidR="00FD0457" w:rsidRPr="007375EB" w:rsidRDefault="00FD0457" w:rsidP="00FD0457">
            <w:pPr>
              <w:ind w:left="1"/>
              <w:rPr>
                <w:bCs/>
                <w:sz w:val="16"/>
                <w:szCs w:val="16"/>
                <w:lang w:val="bg-BG"/>
              </w:rPr>
            </w:pPr>
            <w:r w:rsidRPr="007375EB">
              <w:rPr>
                <w:sz w:val="16"/>
                <w:szCs w:val="16"/>
                <w:lang w:val="bg-BG"/>
              </w:rPr>
              <w:t xml:space="preserve">Организация на строителната площадка </w:t>
            </w:r>
          </w:p>
        </w:tc>
      </w:tr>
      <w:tr w:rsidR="00FD0457" w:rsidRPr="007375EB" w14:paraId="6652525D" w14:textId="77777777" w:rsidTr="00FD0457">
        <w:trPr>
          <w:trHeight w:val="48"/>
        </w:trPr>
        <w:tc>
          <w:tcPr>
            <w:tcW w:w="2116" w:type="dxa"/>
            <w:vMerge/>
            <w:tcBorders>
              <w:top w:val="nil"/>
              <w:left w:val="single" w:sz="4" w:space="0" w:color="BFBFBF"/>
              <w:bottom w:val="nil"/>
              <w:right w:val="single" w:sz="4" w:space="0" w:color="BFBFBF"/>
            </w:tcBorders>
          </w:tcPr>
          <w:p w14:paraId="1471B175" w14:textId="77777777" w:rsidR="00FD0457" w:rsidRPr="007375EB" w:rsidRDefault="00FD0457" w:rsidP="00FD0457">
            <w:pPr>
              <w:rPr>
                <w:lang w:val="bg-BG"/>
              </w:rPr>
            </w:pPr>
          </w:p>
        </w:tc>
        <w:tc>
          <w:tcPr>
            <w:tcW w:w="7938" w:type="dxa"/>
            <w:tcBorders>
              <w:top w:val="single" w:sz="4" w:space="0" w:color="BFBFBF"/>
              <w:left w:val="single" w:sz="4" w:space="0" w:color="BFBFBF"/>
              <w:bottom w:val="single" w:sz="4" w:space="0" w:color="BFBFBF"/>
              <w:right w:val="single" w:sz="4" w:space="0" w:color="BFBFBF"/>
            </w:tcBorders>
          </w:tcPr>
          <w:p w14:paraId="68B1957E" w14:textId="791615CF" w:rsidR="00FD0457" w:rsidRPr="007375EB" w:rsidRDefault="00FD0457" w:rsidP="00FD0457">
            <w:pPr>
              <w:ind w:left="1"/>
              <w:rPr>
                <w:bCs/>
                <w:sz w:val="16"/>
                <w:szCs w:val="16"/>
                <w:lang w:val="bg-BG"/>
              </w:rPr>
            </w:pPr>
            <w:r w:rsidRPr="007375EB">
              <w:rPr>
                <w:sz w:val="16"/>
                <w:szCs w:val="16"/>
                <w:lang w:val="bg-BG"/>
              </w:rPr>
              <w:t xml:space="preserve">Демонтаж на вятърни електроцентрали </w:t>
            </w:r>
          </w:p>
        </w:tc>
      </w:tr>
      <w:tr w:rsidR="00FD0457" w:rsidRPr="007375EB" w14:paraId="2AF9995C" w14:textId="77777777" w:rsidTr="00FD0457">
        <w:trPr>
          <w:trHeight w:val="98"/>
        </w:trPr>
        <w:tc>
          <w:tcPr>
            <w:tcW w:w="2116" w:type="dxa"/>
            <w:vMerge/>
            <w:tcBorders>
              <w:top w:val="nil"/>
              <w:left w:val="single" w:sz="4" w:space="0" w:color="BFBFBF"/>
              <w:bottom w:val="nil"/>
              <w:right w:val="single" w:sz="4" w:space="0" w:color="BFBFBF"/>
            </w:tcBorders>
          </w:tcPr>
          <w:p w14:paraId="254378D3" w14:textId="77777777" w:rsidR="00FD0457" w:rsidRPr="007375EB" w:rsidRDefault="00FD0457" w:rsidP="00FD0457">
            <w:pPr>
              <w:rPr>
                <w:lang w:val="bg-BG"/>
              </w:rPr>
            </w:pPr>
          </w:p>
        </w:tc>
        <w:tc>
          <w:tcPr>
            <w:tcW w:w="7938" w:type="dxa"/>
            <w:tcBorders>
              <w:top w:val="single" w:sz="4" w:space="0" w:color="BFBFBF"/>
              <w:left w:val="single" w:sz="4" w:space="0" w:color="BFBFBF"/>
              <w:bottom w:val="single" w:sz="4" w:space="0" w:color="BFBFBF"/>
              <w:right w:val="single" w:sz="4" w:space="0" w:color="BFBFBF"/>
            </w:tcBorders>
          </w:tcPr>
          <w:p w14:paraId="287EFE96" w14:textId="0E1CCA41" w:rsidR="00FD0457" w:rsidRPr="007375EB" w:rsidRDefault="00FD0457" w:rsidP="00FD0457">
            <w:pPr>
              <w:ind w:left="1"/>
              <w:rPr>
                <w:rFonts w:eastAsia="Verdana" w:cs="Verdana"/>
                <w:bCs/>
                <w:sz w:val="16"/>
                <w:szCs w:val="16"/>
                <w:lang w:val="bg-BG"/>
              </w:rPr>
            </w:pPr>
            <w:r w:rsidRPr="007375EB">
              <w:rPr>
                <w:sz w:val="16"/>
                <w:szCs w:val="16"/>
                <w:lang w:val="bg-BG"/>
              </w:rPr>
              <w:t>Извеждане от експлоатация на технологични платформи и фундаменти</w:t>
            </w:r>
          </w:p>
        </w:tc>
      </w:tr>
      <w:tr w:rsidR="00FD0457" w:rsidRPr="007375EB" w14:paraId="415ADBEA" w14:textId="77777777" w:rsidTr="00FD0457">
        <w:trPr>
          <w:trHeight w:val="36"/>
        </w:trPr>
        <w:tc>
          <w:tcPr>
            <w:tcW w:w="2116" w:type="dxa"/>
            <w:vMerge/>
            <w:tcBorders>
              <w:top w:val="nil"/>
              <w:left w:val="single" w:sz="4" w:space="0" w:color="BFBFBF"/>
              <w:bottom w:val="nil"/>
              <w:right w:val="single" w:sz="4" w:space="0" w:color="BFBFBF"/>
            </w:tcBorders>
          </w:tcPr>
          <w:p w14:paraId="32CE94A0" w14:textId="77777777" w:rsidR="00FD0457" w:rsidRPr="007375EB" w:rsidRDefault="00FD0457" w:rsidP="00FD0457">
            <w:pPr>
              <w:rPr>
                <w:lang w:val="bg-BG"/>
              </w:rPr>
            </w:pPr>
          </w:p>
        </w:tc>
        <w:tc>
          <w:tcPr>
            <w:tcW w:w="7938" w:type="dxa"/>
            <w:tcBorders>
              <w:top w:val="single" w:sz="4" w:space="0" w:color="BFBFBF"/>
              <w:left w:val="single" w:sz="4" w:space="0" w:color="BFBFBF"/>
              <w:bottom w:val="single" w:sz="4" w:space="0" w:color="BFBFBF"/>
              <w:right w:val="single" w:sz="4" w:space="0" w:color="BFBFBF"/>
            </w:tcBorders>
          </w:tcPr>
          <w:p w14:paraId="3A28914C" w14:textId="533B4535" w:rsidR="00FD0457" w:rsidRPr="007375EB" w:rsidRDefault="00FD0457" w:rsidP="00FD0457">
            <w:pPr>
              <w:ind w:left="1"/>
              <w:rPr>
                <w:rFonts w:eastAsia="Verdana" w:cs="Verdana"/>
                <w:bCs/>
                <w:sz w:val="16"/>
                <w:szCs w:val="16"/>
                <w:lang w:val="bg-BG"/>
              </w:rPr>
            </w:pPr>
            <w:r w:rsidRPr="007375EB">
              <w:rPr>
                <w:sz w:val="16"/>
                <w:szCs w:val="16"/>
                <w:lang w:val="bg-BG"/>
              </w:rPr>
              <w:t xml:space="preserve">Извеждане от експлоатация на електрически връзки и премахване на подземни кабели  </w:t>
            </w:r>
          </w:p>
        </w:tc>
      </w:tr>
      <w:tr w:rsidR="00FD0457" w:rsidRPr="007375EB" w14:paraId="525EC19F" w14:textId="77777777" w:rsidTr="00FD0457">
        <w:trPr>
          <w:trHeight w:val="115"/>
        </w:trPr>
        <w:tc>
          <w:tcPr>
            <w:tcW w:w="2116" w:type="dxa"/>
            <w:vMerge/>
            <w:tcBorders>
              <w:top w:val="nil"/>
              <w:left w:val="single" w:sz="4" w:space="0" w:color="BFBFBF"/>
              <w:bottom w:val="nil"/>
              <w:right w:val="single" w:sz="4" w:space="0" w:color="BFBFBF"/>
            </w:tcBorders>
          </w:tcPr>
          <w:p w14:paraId="4511E082" w14:textId="77777777" w:rsidR="00FD0457" w:rsidRPr="007375EB" w:rsidRDefault="00FD0457" w:rsidP="00FD0457">
            <w:pPr>
              <w:rPr>
                <w:lang w:val="bg-BG"/>
              </w:rPr>
            </w:pPr>
          </w:p>
        </w:tc>
        <w:tc>
          <w:tcPr>
            <w:tcW w:w="7938" w:type="dxa"/>
            <w:tcBorders>
              <w:top w:val="single" w:sz="4" w:space="0" w:color="BFBFBF"/>
              <w:left w:val="single" w:sz="4" w:space="0" w:color="BFBFBF"/>
              <w:bottom w:val="single" w:sz="4" w:space="0" w:color="BFBFBF"/>
              <w:right w:val="single" w:sz="4" w:space="0" w:color="BFBFBF"/>
            </w:tcBorders>
          </w:tcPr>
          <w:p w14:paraId="59DEC600" w14:textId="3FD9D8FE" w:rsidR="00FD0457" w:rsidRPr="007375EB" w:rsidRDefault="00FD0457" w:rsidP="00FD0457">
            <w:pPr>
              <w:ind w:left="1"/>
              <w:rPr>
                <w:rFonts w:eastAsia="Verdana" w:cs="Verdana"/>
                <w:bCs/>
                <w:sz w:val="16"/>
                <w:szCs w:val="16"/>
                <w:lang w:val="bg-BG"/>
              </w:rPr>
            </w:pPr>
            <w:r w:rsidRPr="007375EB">
              <w:rPr>
                <w:sz w:val="16"/>
                <w:szCs w:val="16"/>
                <w:lang w:val="bg-BG"/>
              </w:rPr>
              <w:t>Извеждане от експлоатация на трансформаторни подстанции</w:t>
            </w:r>
          </w:p>
        </w:tc>
      </w:tr>
      <w:tr w:rsidR="00FD0457" w:rsidRPr="007375EB" w14:paraId="26D78DA3" w14:textId="77777777" w:rsidTr="00FD0457">
        <w:trPr>
          <w:trHeight w:val="166"/>
        </w:trPr>
        <w:tc>
          <w:tcPr>
            <w:tcW w:w="2116" w:type="dxa"/>
            <w:vMerge/>
            <w:tcBorders>
              <w:top w:val="nil"/>
              <w:left w:val="single" w:sz="4" w:space="0" w:color="BFBFBF"/>
              <w:bottom w:val="nil"/>
              <w:right w:val="single" w:sz="4" w:space="0" w:color="BFBFBF"/>
            </w:tcBorders>
          </w:tcPr>
          <w:p w14:paraId="1D387F45" w14:textId="77777777" w:rsidR="00FD0457" w:rsidRPr="007375EB" w:rsidRDefault="00FD0457" w:rsidP="00FD0457">
            <w:pPr>
              <w:rPr>
                <w:lang w:val="bg-BG"/>
              </w:rPr>
            </w:pPr>
          </w:p>
        </w:tc>
        <w:tc>
          <w:tcPr>
            <w:tcW w:w="7938" w:type="dxa"/>
            <w:tcBorders>
              <w:top w:val="single" w:sz="4" w:space="0" w:color="BFBFBF"/>
              <w:left w:val="single" w:sz="4" w:space="0" w:color="BFBFBF"/>
              <w:bottom w:val="single" w:sz="4" w:space="0" w:color="BFBFBF"/>
              <w:right w:val="single" w:sz="4" w:space="0" w:color="BFBFBF"/>
            </w:tcBorders>
          </w:tcPr>
          <w:p w14:paraId="1B77333D" w14:textId="7231F05D" w:rsidR="00FD0457" w:rsidRPr="007375EB" w:rsidRDefault="00FD0457" w:rsidP="00FD0457">
            <w:pPr>
              <w:ind w:left="1"/>
              <w:rPr>
                <w:bCs/>
                <w:sz w:val="16"/>
                <w:szCs w:val="16"/>
                <w:lang w:val="bg-BG"/>
              </w:rPr>
            </w:pPr>
            <w:r w:rsidRPr="007375EB">
              <w:rPr>
                <w:sz w:val="16"/>
                <w:szCs w:val="16"/>
                <w:lang w:val="bg-BG"/>
              </w:rPr>
              <w:t xml:space="preserve">Извеждане от експлоатация на селскостопански пътища </w:t>
            </w:r>
          </w:p>
        </w:tc>
      </w:tr>
      <w:tr w:rsidR="00FD0457" w:rsidRPr="007375EB" w14:paraId="5F99989D" w14:textId="77777777" w:rsidTr="00FD0457">
        <w:trPr>
          <w:trHeight w:val="104"/>
        </w:trPr>
        <w:tc>
          <w:tcPr>
            <w:tcW w:w="2116" w:type="dxa"/>
            <w:vMerge/>
            <w:tcBorders>
              <w:top w:val="nil"/>
              <w:left w:val="single" w:sz="4" w:space="0" w:color="BFBFBF"/>
              <w:bottom w:val="single" w:sz="4" w:space="0" w:color="BFBFBF"/>
              <w:right w:val="single" w:sz="4" w:space="0" w:color="BFBFBF"/>
            </w:tcBorders>
          </w:tcPr>
          <w:p w14:paraId="36617D22" w14:textId="77777777" w:rsidR="00FD0457" w:rsidRPr="007375EB" w:rsidRDefault="00FD0457" w:rsidP="00FD0457">
            <w:pPr>
              <w:rPr>
                <w:lang w:val="bg-BG"/>
              </w:rPr>
            </w:pPr>
          </w:p>
        </w:tc>
        <w:tc>
          <w:tcPr>
            <w:tcW w:w="7938" w:type="dxa"/>
            <w:tcBorders>
              <w:top w:val="single" w:sz="4" w:space="0" w:color="BFBFBF"/>
              <w:left w:val="single" w:sz="4" w:space="0" w:color="BFBFBF"/>
              <w:bottom w:val="single" w:sz="4" w:space="0" w:color="BFBFBF"/>
              <w:right w:val="single" w:sz="4" w:space="0" w:color="BFBFBF"/>
            </w:tcBorders>
          </w:tcPr>
          <w:p w14:paraId="550A4FCD" w14:textId="24EDF903" w:rsidR="00FD0457" w:rsidRPr="007375EB" w:rsidRDefault="00FD0457" w:rsidP="00FD0457">
            <w:pPr>
              <w:ind w:left="1"/>
              <w:jc w:val="both"/>
              <w:rPr>
                <w:bCs/>
                <w:sz w:val="16"/>
                <w:szCs w:val="16"/>
                <w:lang w:val="bg-BG"/>
              </w:rPr>
            </w:pPr>
            <w:r w:rsidRPr="007375EB">
              <w:rPr>
                <w:sz w:val="16"/>
                <w:szCs w:val="16"/>
                <w:lang w:val="bg-BG"/>
              </w:rPr>
              <w:t>Възстановяване на обекта в края на строителството</w:t>
            </w:r>
          </w:p>
        </w:tc>
      </w:tr>
    </w:tbl>
    <w:bookmarkEnd w:id="11"/>
    <w:p w14:paraId="7326D811" w14:textId="085235DE" w:rsidR="006B59ED" w:rsidRPr="007375EB" w:rsidRDefault="002C5E24" w:rsidP="00125F99">
      <w:pPr>
        <w:pStyle w:val="ListParagraph"/>
        <w:numPr>
          <w:ilvl w:val="1"/>
          <w:numId w:val="20"/>
        </w:numPr>
        <w:spacing w:after="120" w:line="360" w:lineRule="auto"/>
        <w:outlineLvl w:val="1"/>
        <w:rPr>
          <w:b/>
          <w:bCs/>
          <w:i/>
          <w:iCs/>
          <w:color w:val="009DF0"/>
          <w:lang w:val="bg-BG" w:eastAsia="ro-RO"/>
        </w:rPr>
      </w:pPr>
      <w:r w:rsidRPr="007375EB">
        <w:rPr>
          <w:b/>
          <w:bCs/>
          <w:i/>
          <w:iCs/>
          <w:color w:val="009DF0"/>
          <w:lang w:val="bg-BG" w:eastAsia="ro-RO"/>
        </w:rPr>
        <w:t>Връзката с други съответни планове и програми</w:t>
      </w:r>
    </w:p>
    <w:p w14:paraId="5BCFDC59" w14:textId="77777777" w:rsidR="002C5E24" w:rsidRPr="007375EB" w:rsidRDefault="002C5E24" w:rsidP="002C5E24">
      <w:pPr>
        <w:spacing w:after="120" w:line="360" w:lineRule="auto"/>
        <w:jc w:val="both"/>
        <w:rPr>
          <w:lang w:val="bg-BG" w:eastAsia="ro-RO"/>
        </w:rPr>
      </w:pPr>
      <w:r w:rsidRPr="007375EB">
        <w:rPr>
          <w:lang w:val="bg-BG" w:eastAsia="ro-RO"/>
        </w:rPr>
        <w:t>Специфичната цел на този PUZ е да произвежда енергия от незамърсяващи източници, като по този начин повишава глобалното качество на въздуха чрез намаляване на замърсяването, произведено от електроцентралите.</w:t>
      </w:r>
    </w:p>
    <w:p w14:paraId="0D0CD759" w14:textId="0836746B" w:rsidR="007A18CE" w:rsidRPr="007375EB" w:rsidRDefault="002C5E24" w:rsidP="002C5E24">
      <w:pPr>
        <w:spacing w:after="120" w:line="360" w:lineRule="auto"/>
        <w:jc w:val="both"/>
        <w:rPr>
          <w:lang w:val="bg-BG"/>
        </w:rPr>
      </w:pPr>
      <w:r w:rsidRPr="007375EB">
        <w:rPr>
          <w:lang w:val="bg-BG" w:eastAsia="ro-RO"/>
        </w:rPr>
        <w:t xml:space="preserve">От множеството национални/европейски планове, стратегии и програми, които са свързани със сектора на енергетиката и климата, бяха анализирани най-важните планове, програми, стратегии, политики, конвенции, съществуващи както на национално, така и на европейско ниво, за да се идентифицират общи аспекти и теми с тези на </w:t>
      </w:r>
      <w:r w:rsidR="0014580E" w:rsidRPr="007375EB">
        <w:rPr>
          <w:lang w:val="bg-BG" w:eastAsia="ro-RO"/>
        </w:rPr>
        <w:t>ЗГП</w:t>
      </w:r>
      <w:r w:rsidRPr="007375EB">
        <w:rPr>
          <w:lang w:val="bg-BG" w:eastAsia="ro-RO"/>
        </w:rPr>
        <w:t xml:space="preserve"> предмет на стратегическа екологична оценка</w:t>
      </w:r>
      <w:r w:rsidR="007A18CE" w:rsidRPr="007375EB">
        <w:rPr>
          <w:rFonts w:eastAsia="Times New Roman" w:cs="Times New Roman"/>
          <w:lang w:val="bg-BG"/>
        </w:rPr>
        <w:t>.</w:t>
      </w:r>
    </w:p>
    <w:p w14:paraId="12688F92" w14:textId="0EB1B32D" w:rsidR="003E36AA" w:rsidRPr="007375EB" w:rsidRDefault="002C5E24" w:rsidP="003015DA">
      <w:pPr>
        <w:spacing w:after="120" w:line="360" w:lineRule="auto"/>
        <w:jc w:val="both"/>
        <w:rPr>
          <w:lang w:val="bg-BG" w:eastAsia="ro-RO"/>
        </w:rPr>
      </w:pPr>
      <w:r w:rsidRPr="007375EB">
        <w:rPr>
          <w:rFonts w:eastAsia="Times New Roman" w:cs="Times New Roman"/>
          <w:lang w:val="bg-BG"/>
        </w:rPr>
        <w:t>Най-важните документи, които са анализирани, са представени в следната таблица</w:t>
      </w:r>
      <w:r w:rsidR="007A18CE" w:rsidRPr="007375EB">
        <w:rPr>
          <w:rFonts w:eastAsia="Times New Roman" w:cs="Times New Roman"/>
          <w:lang w:val="bg-BG"/>
        </w:rPr>
        <w:t>:</w:t>
      </w:r>
    </w:p>
    <w:p w14:paraId="6137DE25" w14:textId="77777777" w:rsidR="00FA6BCD" w:rsidRPr="007375EB" w:rsidRDefault="00FA6BCD" w:rsidP="00B3554F">
      <w:pPr>
        <w:jc w:val="both"/>
        <w:rPr>
          <w:lang w:val="bg-BG" w:eastAsia="ro-RO"/>
        </w:rPr>
        <w:sectPr w:rsidR="00FA6BCD" w:rsidRPr="007375EB" w:rsidSect="00BD75F4">
          <w:pgSz w:w="11906" w:h="16838" w:code="9"/>
          <w:pgMar w:top="1702" w:right="1416" w:bottom="1418" w:left="1191" w:header="839" w:footer="680" w:gutter="0"/>
          <w:cols w:space="708"/>
          <w:docGrid w:linePitch="360"/>
        </w:sectPr>
      </w:pPr>
    </w:p>
    <w:p w14:paraId="2B4D7DD4" w14:textId="3C9E5BA9" w:rsidR="00174E45" w:rsidRPr="007375EB" w:rsidRDefault="00270417" w:rsidP="009F5968">
      <w:pPr>
        <w:spacing w:line="360" w:lineRule="auto"/>
        <w:jc w:val="both"/>
        <w:rPr>
          <w:lang w:val="bg-BG"/>
        </w:rPr>
      </w:pPr>
      <w:r w:rsidRPr="007375EB">
        <w:rPr>
          <w:rFonts w:eastAsia="Times New Roman" w:cs="Times New Roman"/>
          <w:b/>
          <w:color w:val="009DF0" w:themeColor="text2"/>
          <w:sz w:val="16"/>
          <w:szCs w:val="16"/>
          <w:lang w:val="bg-BG"/>
        </w:rPr>
        <w:lastRenderedPageBreak/>
        <w:t>Таблица 1-2: Връзка на зоналния градоустройствен план с други планове и програми</w:t>
      </w:r>
    </w:p>
    <w:tbl>
      <w:tblPr>
        <w:tblStyle w:val="TableGrid"/>
        <w:tblW w:w="14962" w:type="dxa"/>
        <w:tblLayout w:type="fixed"/>
        <w:tblLook w:val="0480" w:firstRow="0" w:lastRow="0" w:firstColumn="1" w:lastColumn="0" w:noHBand="0" w:noVBand="1"/>
      </w:tblPr>
      <w:tblGrid>
        <w:gridCol w:w="2051"/>
        <w:gridCol w:w="3751"/>
        <w:gridCol w:w="3260"/>
        <w:gridCol w:w="5900"/>
      </w:tblGrid>
      <w:tr w:rsidR="006205CA" w:rsidRPr="007375EB" w14:paraId="77C4A4CF" w14:textId="77777777">
        <w:trPr>
          <w:trHeight w:val="315"/>
          <w:tblHeader/>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00B0F0"/>
            <w:tcMar>
              <w:left w:w="108" w:type="dxa"/>
              <w:right w:w="108" w:type="dxa"/>
            </w:tcMar>
            <w:vAlign w:val="center"/>
          </w:tcPr>
          <w:p w14:paraId="561DBFC5" w14:textId="6A1130ED" w:rsidR="006205CA" w:rsidRPr="007375EB" w:rsidRDefault="00270417" w:rsidP="00585B32">
            <w:pPr>
              <w:spacing w:line="240" w:lineRule="auto"/>
              <w:rPr>
                <w:sz w:val="16"/>
                <w:szCs w:val="16"/>
                <w:lang w:val="bg-BG"/>
              </w:rPr>
            </w:pPr>
            <w:r w:rsidRPr="007375EB">
              <w:rPr>
                <w:rFonts w:eastAsia="Verdana" w:cs="Verdana"/>
                <w:b/>
                <w:bCs/>
                <w:color w:val="FFFFFF" w:themeColor="background1"/>
                <w:sz w:val="16"/>
                <w:szCs w:val="16"/>
                <w:lang w:val="bg-BG"/>
              </w:rPr>
              <w:t xml:space="preserve">Стратегия/план/програма, свързана с </w:t>
            </w:r>
            <w:r w:rsidR="0014580E" w:rsidRPr="007375EB">
              <w:rPr>
                <w:rFonts w:eastAsia="Verdana" w:cs="Verdana"/>
                <w:b/>
                <w:bCs/>
                <w:color w:val="FFFFFF" w:themeColor="background1"/>
                <w:sz w:val="16"/>
                <w:szCs w:val="16"/>
                <w:lang w:val="bg-BG"/>
              </w:rPr>
              <w:t>ЗГП</w:t>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00B0F0"/>
            <w:tcMar>
              <w:left w:w="108" w:type="dxa"/>
              <w:right w:w="108" w:type="dxa"/>
            </w:tcMar>
            <w:vAlign w:val="center"/>
          </w:tcPr>
          <w:p w14:paraId="4E52C746" w14:textId="7F466360" w:rsidR="006205CA" w:rsidRPr="007375EB" w:rsidRDefault="00270417" w:rsidP="00585B32">
            <w:pPr>
              <w:spacing w:line="240" w:lineRule="auto"/>
              <w:rPr>
                <w:sz w:val="16"/>
                <w:szCs w:val="16"/>
                <w:lang w:val="bg-BG"/>
              </w:rPr>
            </w:pPr>
            <w:r w:rsidRPr="007375EB">
              <w:rPr>
                <w:rFonts w:eastAsia="Verdana" w:cs="Verdana"/>
                <w:b/>
                <w:bCs/>
                <w:color w:val="FFFFFF" w:themeColor="background1"/>
                <w:sz w:val="16"/>
                <w:szCs w:val="16"/>
                <w:lang w:val="bg-BG"/>
              </w:rPr>
              <w:t>Кратко представяне на документа</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00B0F0"/>
            <w:tcMar>
              <w:left w:w="108" w:type="dxa"/>
              <w:right w:w="108" w:type="dxa"/>
            </w:tcMar>
            <w:vAlign w:val="center"/>
          </w:tcPr>
          <w:p w14:paraId="58B3B90C" w14:textId="5B9826A4" w:rsidR="006205CA" w:rsidRPr="007375EB" w:rsidRDefault="00270417" w:rsidP="00585B32">
            <w:pPr>
              <w:spacing w:line="240" w:lineRule="auto"/>
              <w:rPr>
                <w:sz w:val="16"/>
                <w:szCs w:val="16"/>
                <w:lang w:val="bg-BG"/>
              </w:rPr>
            </w:pPr>
            <w:r w:rsidRPr="007375EB">
              <w:rPr>
                <w:rFonts w:eastAsia="Verdana" w:cs="Verdana"/>
                <w:b/>
                <w:bCs/>
                <w:color w:val="FFFFFF" w:themeColor="background1"/>
                <w:sz w:val="16"/>
                <w:szCs w:val="16"/>
                <w:lang w:val="bg-BG"/>
              </w:rPr>
              <w:t>Референтен период</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00B0F0"/>
            <w:tcMar>
              <w:left w:w="108" w:type="dxa"/>
              <w:right w:w="108" w:type="dxa"/>
            </w:tcMar>
            <w:vAlign w:val="center"/>
          </w:tcPr>
          <w:p w14:paraId="01CEDB6D" w14:textId="7AC6FB00" w:rsidR="006205CA" w:rsidRPr="007375EB" w:rsidRDefault="00270417" w:rsidP="00585B32">
            <w:pPr>
              <w:spacing w:line="240" w:lineRule="auto"/>
              <w:rPr>
                <w:sz w:val="16"/>
                <w:szCs w:val="16"/>
                <w:lang w:val="bg-BG"/>
              </w:rPr>
            </w:pPr>
            <w:r w:rsidRPr="007375EB">
              <w:rPr>
                <w:rFonts w:eastAsia="Verdana" w:cs="Verdana"/>
                <w:b/>
                <w:bCs/>
                <w:color w:val="FFFFFF" w:themeColor="background1"/>
                <w:sz w:val="16"/>
                <w:szCs w:val="16"/>
                <w:lang w:val="bg-BG"/>
              </w:rPr>
              <w:t xml:space="preserve">Връзка с </w:t>
            </w:r>
            <w:r w:rsidR="0014580E" w:rsidRPr="007375EB">
              <w:rPr>
                <w:rFonts w:eastAsia="Verdana" w:cs="Verdana"/>
                <w:b/>
                <w:bCs/>
                <w:color w:val="FFFFFF" w:themeColor="background1"/>
                <w:sz w:val="16"/>
                <w:szCs w:val="16"/>
                <w:lang w:val="bg-BG"/>
              </w:rPr>
              <w:t>ЗГП</w:t>
            </w:r>
            <w:r w:rsidRPr="007375EB">
              <w:rPr>
                <w:rFonts w:eastAsia="Verdana" w:cs="Verdana"/>
                <w:b/>
                <w:bCs/>
                <w:color w:val="FFFFFF" w:themeColor="background1"/>
                <w:sz w:val="16"/>
                <w:szCs w:val="16"/>
                <w:lang w:val="bg-BG"/>
              </w:rPr>
              <w:t xml:space="preserve"> /значение за </w:t>
            </w:r>
            <w:r w:rsidR="0014580E" w:rsidRPr="007375EB">
              <w:rPr>
                <w:rFonts w:eastAsia="Verdana" w:cs="Verdana"/>
                <w:b/>
                <w:bCs/>
                <w:color w:val="FFFFFF" w:themeColor="background1"/>
                <w:sz w:val="16"/>
                <w:szCs w:val="16"/>
                <w:lang w:val="bg-BG"/>
              </w:rPr>
              <w:t>ЗГП</w:t>
            </w:r>
          </w:p>
        </w:tc>
      </w:tr>
      <w:tr w:rsidR="006205CA" w:rsidRPr="007375EB" w14:paraId="0122E79E" w14:textId="77777777">
        <w:trPr>
          <w:trHeight w:val="60"/>
        </w:trPr>
        <w:tc>
          <w:tcPr>
            <w:tcW w:w="14962" w:type="dxa"/>
            <w:gridSpan w:val="4"/>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F2F2F2" w:themeFill="background1" w:themeFillShade="F2"/>
            <w:tcMar>
              <w:left w:w="108" w:type="dxa"/>
              <w:right w:w="108" w:type="dxa"/>
            </w:tcMar>
            <w:vAlign w:val="center"/>
          </w:tcPr>
          <w:p w14:paraId="421029DD" w14:textId="1E18AB2E" w:rsidR="006205CA" w:rsidRPr="007375EB" w:rsidRDefault="00270417" w:rsidP="00585B32">
            <w:pPr>
              <w:spacing w:line="240" w:lineRule="auto"/>
              <w:rPr>
                <w:sz w:val="16"/>
                <w:szCs w:val="16"/>
                <w:lang w:val="bg-BG"/>
              </w:rPr>
            </w:pPr>
            <w:r w:rsidRPr="007375EB">
              <w:rPr>
                <w:rFonts w:eastAsia="Verdana" w:cs="Verdana"/>
                <w:b/>
                <w:bCs/>
                <w:color w:val="000000" w:themeColor="text1"/>
                <w:sz w:val="16"/>
                <w:szCs w:val="16"/>
                <w:lang w:val="bg-BG"/>
              </w:rPr>
              <w:t>Европейски политики</w:t>
            </w:r>
            <w:r w:rsidR="006205CA" w:rsidRPr="007375EB">
              <w:rPr>
                <w:rFonts w:eastAsia="Verdana" w:cs="Verdana"/>
                <w:b/>
                <w:bCs/>
                <w:color w:val="000000" w:themeColor="text1"/>
                <w:sz w:val="16"/>
                <w:szCs w:val="16"/>
                <w:lang w:val="bg-BG"/>
              </w:rPr>
              <w:t xml:space="preserve">: </w:t>
            </w:r>
          </w:p>
        </w:tc>
      </w:tr>
      <w:tr w:rsidR="006205CA" w:rsidRPr="007375EB" w14:paraId="11B394E7"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31C5431" w14:textId="2E6FAE12" w:rsidR="00281203" w:rsidRPr="007375EB" w:rsidRDefault="00270417" w:rsidP="00585B32">
            <w:pPr>
              <w:spacing w:line="240" w:lineRule="auto"/>
              <w:jc w:val="both"/>
              <w:rPr>
                <w:sz w:val="16"/>
                <w:szCs w:val="16"/>
                <w:lang w:val="bg-BG"/>
              </w:rPr>
            </w:pPr>
            <w:r w:rsidRPr="007375EB">
              <w:rPr>
                <w:sz w:val="16"/>
                <w:szCs w:val="16"/>
                <w:lang w:val="bg-BG"/>
              </w:rPr>
              <w:t xml:space="preserve">Пакет за енергийния съюз (2015 г.) </w:t>
            </w:r>
            <w:r w:rsidRPr="007375EB">
              <w:rPr>
                <w:i/>
                <w:iCs/>
                <w:sz w:val="16"/>
                <w:szCs w:val="16"/>
                <w:lang w:val="bg-BG"/>
              </w:rPr>
              <w:t>Рамкова стратегия за устойчив енергиен съюз с ориентирана към бъдещето политика в областта на изменението на климата</w:t>
            </w:r>
            <w:r w:rsidR="00C91948" w:rsidRPr="007375EB">
              <w:rPr>
                <w:rStyle w:val="FootnoteReference"/>
                <w:i/>
                <w:iCs/>
                <w:sz w:val="16"/>
                <w:szCs w:val="16"/>
                <w:lang w:val="bg-BG"/>
              </w:rPr>
              <w:footnoteReference w:id="2"/>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6E46E58" w14:textId="77777777" w:rsidR="00270417" w:rsidRPr="007375EB" w:rsidRDefault="00270417" w:rsidP="00270417">
            <w:pPr>
              <w:shd w:val="clear" w:color="auto" w:fill="FFFFFF" w:themeFill="background1"/>
              <w:spacing w:line="240" w:lineRule="auto"/>
              <w:ind w:left="40"/>
              <w:jc w:val="both"/>
              <w:rPr>
                <w:sz w:val="16"/>
                <w:szCs w:val="16"/>
                <w:lang w:val="bg-BG"/>
              </w:rPr>
            </w:pPr>
            <w:r w:rsidRPr="007375EB">
              <w:rPr>
                <w:sz w:val="16"/>
                <w:szCs w:val="16"/>
                <w:lang w:val="bg-BG"/>
              </w:rPr>
              <w:t xml:space="preserve">Енергийната политика има за цел да превърне ЕС в световен лидер в областта на възобновяемата енергия </w:t>
            </w:r>
          </w:p>
          <w:p w14:paraId="563CD390" w14:textId="5469E342" w:rsidR="004D1E73" w:rsidRPr="007375EB" w:rsidRDefault="00270417" w:rsidP="00270417">
            <w:pPr>
              <w:shd w:val="clear" w:color="auto" w:fill="FFFFFF" w:themeFill="background1"/>
              <w:spacing w:line="240" w:lineRule="auto"/>
              <w:ind w:left="40"/>
              <w:jc w:val="both"/>
              <w:rPr>
                <w:sz w:val="16"/>
                <w:szCs w:val="16"/>
                <w:lang w:val="bg-BG"/>
              </w:rPr>
            </w:pPr>
            <w:r w:rsidRPr="007375EB">
              <w:rPr>
                <w:sz w:val="16"/>
                <w:szCs w:val="16"/>
                <w:lang w:val="bg-BG"/>
              </w:rPr>
              <w:t>Стратегията за енергиен съюз има пет взаимосвързани и взаимно подсилващи се измерения, предназначени да допринесат за повишаване на устойчивостта, конкурентоспособността и енергийната сигурност</w:t>
            </w:r>
            <w:r w:rsidR="004D1E73" w:rsidRPr="007375EB">
              <w:rPr>
                <w:sz w:val="16"/>
                <w:szCs w:val="16"/>
                <w:lang w:val="bg-BG"/>
              </w:rPr>
              <w:t>:</w:t>
            </w:r>
          </w:p>
          <w:p w14:paraId="768D0D6E" w14:textId="38D8ED0B" w:rsidR="004D1E73" w:rsidRPr="007375EB" w:rsidRDefault="00270417" w:rsidP="00125F99">
            <w:pPr>
              <w:pStyle w:val="ListParagraph"/>
              <w:numPr>
                <w:ilvl w:val="1"/>
                <w:numId w:val="26"/>
              </w:numPr>
              <w:shd w:val="clear" w:color="auto" w:fill="FFFFFF" w:themeFill="background1"/>
              <w:spacing w:line="240" w:lineRule="auto"/>
              <w:ind w:left="243" w:hanging="142"/>
              <w:jc w:val="both"/>
              <w:rPr>
                <w:sz w:val="16"/>
                <w:szCs w:val="16"/>
                <w:lang w:val="bg-BG"/>
              </w:rPr>
            </w:pPr>
            <w:r w:rsidRPr="007375EB">
              <w:rPr>
                <w:sz w:val="16"/>
                <w:szCs w:val="16"/>
                <w:lang w:val="bg-BG"/>
              </w:rPr>
              <w:t>енергийна сигурност, солидарност и доверие</w:t>
            </w:r>
            <w:r w:rsidR="004D1E73" w:rsidRPr="007375EB">
              <w:rPr>
                <w:sz w:val="16"/>
                <w:szCs w:val="16"/>
                <w:lang w:val="bg-BG"/>
              </w:rPr>
              <w:t>;</w:t>
            </w:r>
          </w:p>
          <w:p w14:paraId="1C49382A" w14:textId="705BA81E" w:rsidR="004D1E73" w:rsidRPr="007375EB" w:rsidRDefault="00270417" w:rsidP="00125F99">
            <w:pPr>
              <w:pStyle w:val="ListParagraph"/>
              <w:numPr>
                <w:ilvl w:val="1"/>
                <w:numId w:val="26"/>
              </w:numPr>
              <w:shd w:val="clear" w:color="auto" w:fill="FFFFFF" w:themeFill="background1"/>
              <w:spacing w:line="240" w:lineRule="auto"/>
              <w:ind w:left="243" w:hanging="142"/>
              <w:jc w:val="both"/>
              <w:rPr>
                <w:sz w:val="16"/>
                <w:szCs w:val="16"/>
                <w:lang w:val="bg-BG"/>
              </w:rPr>
            </w:pPr>
            <w:r w:rsidRPr="007375EB">
              <w:rPr>
                <w:sz w:val="16"/>
                <w:szCs w:val="16"/>
                <w:lang w:val="bg-BG"/>
              </w:rPr>
              <w:t>напълно интегриран европейски енергиен пазар</w:t>
            </w:r>
            <w:r w:rsidR="004D1E73" w:rsidRPr="007375EB">
              <w:rPr>
                <w:sz w:val="16"/>
                <w:szCs w:val="16"/>
                <w:lang w:val="bg-BG"/>
              </w:rPr>
              <w:t>;</w:t>
            </w:r>
          </w:p>
          <w:p w14:paraId="3FFC58D5" w14:textId="722F62EF" w:rsidR="004D1E73" w:rsidRPr="007375EB" w:rsidRDefault="00270417" w:rsidP="00125F99">
            <w:pPr>
              <w:pStyle w:val="ListParagraph"/>
              <w:numPr>
                <w:ilvl w:val="1"/>
                <w:numId w:val="26"/>
              </w:numPr>
              <w:shd w:val="clear" w:color="auto" w:fill="FFFFFF" w:themeFill="background1"/>
              <w:spacing w:line="240" w:lineRule="auto"/>
              <w:ind w:left="243" w:hanging="142"/>
              <w:jc w:val="both"/>
              <w:rPr>
                <w:sz w:val="16"/>
                <w:szCs w:val="16"/>
                <w:lang w:val="bg-BG"/>
              </w:rPr>
            </w:pPr>
            <w:r w:rsidRPr="007375EB">
              <w:rPr>
                <w:sz w:val="16"/>
                <w:szCs w:val="16"/>
                <w:lang w:val="bg-BG"/>
              </w:rPr>
              <w:t>енергийна ефективност в подкрепа на умереното потребление</w:t>
            </w:r>
            <w:r w:rsidR="004D1E73" w:rsidRPr="007375EB">
              <w:rPr>
                <w:sz w:val="16"/>
                <w:szCs w:val="16"/>
                <w:lang w:val="bg-BG"/>
              </w:rPr>
              <w:t>;</w:t>
            </w:r>
          </w:p>
          <w:p w14:paraId="4EE8B859" w14:textId="6EC348CA" w:rsidR="004D1E73" w:rsidRPr="007375EB" w:rsidRDefault="00270417" w:rsidP="00125F99">
            <w:pPr>
              <w:pStyle w:val="ListParagraph"/>
              <w:numPr>
                <w:ilvl w:val="1"/>
                <w:numId w:val="26"/>
              </w:numPr>
              <w:shd w:val="clear" w:color="auto" w:fill="FFFFFF" w:themeFill="background1"/>
              <w:spacing w:line="240" w:lineRule="auto"/>
              <w:ind w:left="243" w:hanging="142"/>
              <w:jc w:val="both"/>
              <w:rPr>
                <w:sz w:val="16"/>
                <w:szCs w:val="16"/>
                <w:lang w:val="bg-BG"/>
              </w:rPr>
            </w:pPr>
            <w:r w:rsidRPr="007375EB">
              <w:rPr>
                <w:b/>
                <w:bCs/>
                <w:sz w:val="16"/>
                <w:szCs w:val="16"/>
                <w:lang w:val="bg-BG"/>
              </w:rPr>
              <w:t>декарбонизиране на икономиката</w:t>
            </w:r>
            <w:r w:rsidR="004D1E73" w:rsidRPr="007375EB">
              <w:rPr>
                <w:sz w:val="16"/>
                <w:szCs w:val="16"/>
                <w:lang w:val="bg-BG"/>
              </w:rPr>
              <w:t xml:space="preserve">; </w:t>
            </w:r>
            <w:r w:rsidRPr="007375EB">
              <w:rPr>
                <w:sz w:val="16"/>
                <w:szCs w:val="16"/>
                <w:lang w:val="bg-BG"/>
              </w:rPr>
              <w:t>и</w:t>
            </w:r>
          </w:p>
          <w:p w14:paraId="0B844E3B" w14:textId="0351E6B9" w:rsidR="006205CA" w:rsidRPr="007375EB" w:rsidRDefault="00270417" w:rsidP="00125F99">
            <w:pPr>
              <w:pStyle w:val="ListParagraph"/>
              <w:numPr>
                <w:ilvl w:val="1"/>
                <w:numId w:val="26"/>
              </w:numPr>
              <w:shd w:val="clear" w:color="auto" w:fill="FFFFFF" w:themeFill="background1"/>
              <w:spacing w:line="240" w:lineRule="auto"/>
              <w:ind w:left="243" w:hanging="142"/>
              <w:jc w:val="both"/>
              <w:rPr>
                <w:sz w:val="16"/>
                <w:szCs w:val="16"/>
                <w:lang w:val="bg-BG"/>
              </w:rPr>
            </w:pPr>
            <w:r w:rsidRPr="007375EB">
              <w:rPr>
                <w:sz w:val="16"/>
                <w:szCs w:val="16"/>
                <w:lang w:val="bg-BG"/>
              </w:rPr>
              <w:t>изследвания, иновации и конкурентоспособност</w:t>
            </w:r>
            <w:r w:rsidR="004D1E73" w:rsidRPr="007375EB">
              <w:rPr>
                <w:sz w:val="16"/>
                <w:szCs w:val="16"/>
                <w:lang w:val="bg-BG"/>
              </w:rPr>
              <w:t>.</w:t>
            </w:r>
          </w:p>
          <w:p w14:paraId="3FA20109" w14:textId="77777777" w:rsidR="00270417" w:rsidRPr="007375EB" w:rsidRDefault="00270417" w:rsidP="004D1E73">
            <w:pPr>
              <w:shd w:val="clear" w:color="auto" w:fill="FFFFFF" w:themeFill="background1"/>
              <w:spacing w:line="240" w:lineRule="auto"/>
              <w:ind w:left="40"/>
              <w:jc w:val="both"/>
              <w:rPr>
                <w:sz w:val="16"/>
                <w:szCs w:val="16"/>
                <w:lang w:val="bg-BG"/>
              </w:rPr>
            </w:pPr>
            <w:r w:rsidRPr="007375EB">
              <w:rPr>
                <w:sz w:val="16"/>
                <w:szCs w:val="16"/>
                <w:lang w:val="bg-BG"/>
              </w:rPr>
              <w:t xml:space="preserve">Като част от измерението на декарбонизацията на икономиката, ЕС си е поставил за цел делът на енергията от възобновяеми източници, потребявана в ЕС през 2030 г., да бъде най-малко 27 %, като се гарантира </w:t>
            </w:r>
          </w:p>
          <w:p w14:paraId="2866BD4E" w14:textId="30EE4EC8" w:rsidR="00D05C6A" w:rsidRPr="007375EB" w:rsidRDefault="00270417" w:rsidP="00270417">
            <w:pPr>
              <w:shd w:val="clear" w:color="auto" w:fill="FFFFFF" w:themeFill="background1"/>
              <w:spacing w:line="240" w:lineRule="auto"/>
              <w:ind w:left="40"/>
              <w:jc w:val="both"/>
              <w:rPr>
                <w:sz w:val="16"/>
                <w:szCs w:val="16"/>
                <w:lang w:val="bg-BG"/>
              </w:rPr>
            </w:pPr>
            <w:r w:rsidRPr="007375EB">
              <w:rPr>
                <w:sz w:val="16"/>
                <w:szCs w:val="16"/>
                <w:lang w:val="bg-BG"/>
              </w:rPr>
              <w:t>Вътрешното производство на енергия в ЕС (особено възобновяеми енергийни източници, необходими за декарбонизацията) допринася за намаляване на зависимостта на Европа от вноса на енергия.</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16ADD00" w14:textId="0EE17CE7" w:rsidR="007950F8" w:rsidRPr="007375EB" w:rsidRDefault="007950F8" w:rsidP="00585B32">
            <w:pPr>
              <w:spacing w:line="240" w:lineRule="auto"/>
              <w:jc w:val="both"/>
              <w:rPr>
                <w:sz w:val="16"/>
                <w:szCs w:val="16"/>
                <w:lang w:val="bg-BG"/>
              </w:rPr>
            </w:pPr>
            <w:r w:rsidRPr="007375EB">
              <w:rPr>
                <w:sz w:val="16"/>
                <w:szCs w:val="16"/>
                <w:lang w:val="bg-BG"/>
              </w:rPr>
              <w:t>2015-2030</w:t>
            </w:r>
          </w:p>
          <w:p w14:paraId="2CC1361E" w14:textId="439859EE" w:rsidR="006205CA" w:rsidRPr="007375EB" w:rsidRDefault="00270417" w:rsidP="00585B32">
            <w:pPr>
              <w:spacing w:line="240" w:lineRule="auto"/>
              <w:jc w:val="both"/>
              <w:rPr>
                <w:sz w:val="16"/>
                <w:szCs w:val="16"/>
                <w:lang w:val="bg-BG"/>
              </w:rPr>
            </w:pPr>
            <w:r w:rsidRPr="007375EB">
              <w:rPr>
                <w:sz w:val="16"/>
                <w:szCs w:val="16"/>
                <w:lang w:val="bg-BG"/>
              </w:rPr>
              <w:t>Европейският съюз е решен да се превърне в световен лидер в областта на възобновяемата енергия, като си е поставил за цел през 2030 г. делът на енергията от възобновяеми източници, потребявана в ЕС, да бъде поне 27%.</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B45D972" w14:textId="705D43F1" w:rsidR="006205CA" w:rsidRPr="007375EB" w:rsidRDefault="00270417" w:rsidP="00585B32">
            <w:pPr>
              <w:spacing w:line="240" w:lineRule="auto"/>
              <w:jc w:val="both"/>
              <w:rPr>
                <w:sz w:val="16"/>
                <w:szCs w:val="16"/>
                <w:lang w:val="bg-BG"/>
              </w:rPr>
            </w:pPr>
            <w:r w:rsidRPr="007375EB">
              <w:rPr>
                <w:rFonts w:eastAsia="Verdana" w:cs="Verdana"/>
                <w:sz w:val="16"/>
                <w:szCs w:val="16"/>
                <w:lang w:val="bg-BG"/>
              </w:rPr>
              <w:t xml:space="preserve">Анализираният </w:t>
            </w:r>
            <w:r w:rsidR="0014580E" w:rsidRPr="007375EB">
              <w:rPr>
                <w:rFonts w:eastAsia="Verdana" w:cs="Verdana"/>
                <w:sz w:val="16"/>
                <w:szCs w:val="16"/>
                <w:lang w:val="bg-BG"/>
              </w:rPr>
              <w:t>ЗГП</w:t>
            </w:r>
            <w:r w:rsidRPr="007375EB">
              <w:rPr>
                <w:rFonts w:eastAsia="Verdana" w:cs="Verdana"/>
                <w:sz w:val="16"/>
                <w:szCs w:val="16"/>
                <w:lang w:val="bg-BG"/>
              </w:rPr>
              <w:t xml:space="preserve"> допринася за постигането на минималната цел от 27 % за дял на енергията от възобновяеми източници в ЕС през 2030 г. чрез увеличаване на дела на възобновяемите енергийни източници</w:t>
            </w:r>
            <w:r w:rsidR="007F3B64" w:rsidRPr="007375EB">
              <w:rPr>
                <w:sz w:val="16"/>
                <w:szCs w:val="16"/>
                <w:lang w:val="bg-BG"/>
              </w:rPr>
              <w:t>.</w:t>
            </w:r>
          </w:p>
        </w:tc>
      </w:tr>
      <w:tr w:rsidR="007616FD" w:rsidRPr="007375EB" w14:paraId="5D1B2DBD"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AC83960" w14:textId="021F9A22" w:rsidR="007616FD" w:rsidRPr="007375EB" w:rsidRDefault="00270417" w:rsidP="00585B32">
            <w:pPr>
              <w:spacing w:line="240" w:lineRule="auto"/>
              <w:jc w:val="both"/>
              <w:rPr>
                <w:sz w:val="16"/>
                <w:szCs w:val="16"/>
                <w:lang w:val="bg-BG"/>
              </w:rPr>
            </w:pPr>
            <w:r w:rsidRPr="007375EB">
              <w:rPr>
                <w:sz w:val="16"/>
                <w:szCs w:val="16"/>
                <w:lang w:val="bg-BG"/>
              </w:rPr>
              <w:t>Парижкото споразумение</w:t>
            </w:r>
            <w:r w:rsidR="00A01A16" w:rsidRPr="007375EB">
              <w:rPr>
                <w:sz w:val="16"/>
                <w:szCs w:val="16"/>
                <w:lang w:val="bg-BG"/>
              </w:rPr>
              <w:t>, 2015</w:t>
            </w:r>
            <w:r w:rsidR="00931A7E" w:rsidRPr="007375EB">
              <w:rPr>
                <w:rStyle w:val="FootnoteReference"/>
                <w:sz w:val="16"/>
                <w:szCs w:val="16"/>
                <w:lang w:val="bg-BG"/>
              </w:rPr>
              <w:footnoteReference w:id="3"/>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B199733" w14:textId="1BC7C286" w:rsidR="007616FD" w:rsidRPr="007375EB" w:rsidRDefault="00270417" w:rsidP="00585B32">
            <w:pPr>
              <w:shd w:val="clear" w:color="auto" w:fill="FFFFFF" w:themeFill="background1"/>
              <w:spacing w:line="240" w:lineRule="auto"/>
              <w:ind w:left="40"/>
              <w:jc w:val="both"/>
              <w:rPr>
                <w:sz w:val="16"/>
                <w:szCs w:val="16"/>
                <w:lang w:val="bg-BG"/>
              </w:rPr>
            </w:pPr>
            <w:r w:rsidRPr="007375EB">
              <w:rPr>
                <w:sz w:val="16"/>
                <w:szCs w:val="16"/>
                <w:lang w:val="bg-BG"/>
              </w:rPr>
              <w:t>Със Парижкото споразумението всички страни по света се споразумяха за колективни усилия за</w:t>
            </w:r>
            <w:r w:rsidR="000053AA" w:rsidRPr="007375EB">
              <w:rPr>
                <w:sz w:val="16"/>
                <w:szCs w:val="16"/>
                <w:lang w:val="bg-BG"/>
              </w:rPr>
              <w:t>:</w:t>
            </w:r>
          </w:p>
          <w:p w14:paraId="2B359B76" w14:textId="7B3CA1D8" w:rsidR="003268D7" w:rsidRPr="007375EB" w:rsidRDefault="00270417" w:rsidP="00125F99">
            <w:pPr>
              <w:pStyle w:val="ListParagraph"/>
              <w:numPr>
                <w:ilvl w:val="0"/>
                <w:numId w:val="27"/>
              </w:numPr>
              <w:shd w:val="clear" w:color="auto" w:fill="FFFFFF" w:themeFill="background1"/>
              <w:spacing w:line="240" w:lineRule="auto"/>
              <w:ind w:left="244" w:hanging="142"/>
              <w:jc w:val="both"/>
              <w:rPr>
                <w:sz w:val="16"/>
                <w:szCs w:val="16"/>
                <w:lang w:val="bg-BG"/>
              </w:rPr>
            </w:pPr>
            <w:r w:rsidRPr="007375EB">
              <w:rPr>
                <w:sz w:val="16"/>
                <w:szCs w:val="16"/>
                <w:lang w:val="bg-BG"/>
              </w:rPr>
              <w:t>задържане на повишаването на средната глобална температура значително под 2°C над прединдустриалните нива</w:t>
            </w:r>
            <w:r w:rsidR="003268D7" w:rsidRPr="007375EB">
              <w:rPr>
                <w:sz w:val="16"/>
                <w:szCs w:val="16"/>
                <w:lang w:val="bg-BG"/>
              </w:rPr>
              <w:t>;</w:t>
            </w:r>
            <w:r w:rsidR="00476807" w:rsidRPr="007375EB">
              <w:rPr>
                <w:sz w:val="16"/>
                <w:szCs w:val="16"/>
                <w:lang w:val="bg-BG"/>
              </w:rPr>
              <w:t xml:space="preserve"> </w:t>
            </w:r>
          </w:p>
          <w:p w14:paraId="729BCE0A" w14:textId="01A4C328" w:rsidR="00441CD3" w:rsidRPr="007375EB" w:rsidRDefault="00A7325F" w:rsidP="00125F99">
            <w:pPr>
              <w:pStyle w:val="ListParagraph"/>
              <w:numPr>
                <w:ilvl w:val="0"/>
                <w:numId w:val="27"/>
              </w:numPr>
              <w:shd w:val="clear" w:color="auto" w:fill="FFFFFF" w:themeFill="background1"/>
              <w:spacing w:line="240" w:lineRule="auto"/>
              <w:ind w:left="244" w:hanging="142"/>
              <w:jc w:val="both"/>
              <w:rPr>
                <w:sz w:val="16"/>
                <w:szCs w:val="16"/>
                <w:lang w:val="bg-BG"/>
              </w:rPr>
            </w:pPr>
            <w:r w:rsidRPr="007375EB">
              <w:rPr>
                <w:sz w:val="16"/>
                <w:szCs w:val="16"/>
                <w:lang w:val="bg-BG"/>
              </w:rPr>
              <w:lastRenderedPageBreak/>
              <w:t>увеличаване на капацитета за адаптиране към отрицателните ефекти от изменението на климата и насърчаване на устойчивостта и развитието на изменението на климата с ниски емисии на парникови газове по начин, който не застрашава производството на храни</w:t>
            </w:r>
            <w:r w:rsidR="00441CD3" w:rsidRPr="007375EB">
              <w:rPr>
                <w:sz w:val="16"/>
                <w:szCs w:val="16"/>
                <w:lang w:val="bg-BG"/>
              </w:rPr>
              <w:t>;</w:t>
            </w:r>
          </w:p>
          <w:p w14:paraId="4837B89E" w14:textId="049C4C3A" w:rsidR="00441CD3" w:rsidRPr="007375EB" w:rsidRDefault="00A7325F" w:rsidP="00125F99">
            <w:pPr>
              <w:pStyle w:val="ListParagraph"/>
              <w:numPr>
                <w:ilvl w:val="0"/>
                <w:numId w:val="27"/>
              </w:numPr>
              <w:shd w:val="clear" w:color="auto" w:fill="FFFFFF" w:themeFill="background1"/>
              <w:spacing w:line="240" w:lineRule="auto"/>
              <w:ind w:left="244" w:hanging="142"/>
              <w:jc w:val="both"/>
              <w:rPr>
                <w:sz w:val="16"/>
                <w:szCs w:val="16"/>
                <w:lang w:val="bg-BG"/>
              </w:rPr>
            </w:pPr>
            <w:r w:rsidRPr="007375EB">
              <w:rPr>
                <w:sz w:val="16"/>
                <w:szCs w:val="16"/>
                <w:lang w:val="bg-BG"/>
              </w:rPr>
              <w:t>предприемане на необходимите мерки, така че финансовите потоци да съответстват на еволюция към развитие с ниски емисии на парникови газове и устойчиво на изменението на климата</w:t>
            </w:r>
            <w:r w:rsidR="00441CD3" w:rsidRPr="007375EB">
              <w:rPr>
                <w:sz w:val="16"/>
                <w:szCs w:val="16"/>
                <w:lang w:val="bg-BG"/>
              </w:rPr>
              <w:t>.</w:t>
            </w:r>
          </w:p>
          <w:p w14:paraId="0E4DE08F" w14:textId="05810742" w:rsidR="001E5C85" w:rsidRPr="007375EB" w:rsidRDefault="00A7325F" w:rsidP="001E5C85">
            <w:pPr>
              <w:shd w:val="clear" w:color="auto" w:fill="FFFFFF" w:themeFill="background1"/>
              <w:spacing w:line="240" w:lineRule="auto"/>
              <w:ind w:left="102"/>
              <w:jc w:val="both"/>
              <w:rPr>
                <w:sz w:val="16"/>
                <w:szCs w:val="16"/>
                <w:lang w:val="bg-BG"/>
              </w:rPr>
            </w:pPr>
            <w:r w:rsidRPr="007375EB">
              <w:rPr>
                <w:sz w:val="16"/>
                <w:szCs w:val="16"/>
                <w:lang w:val="bg-BG"/>
              </w:rPr>
              <w:t>Въз основа на споразумението подписалите страни имат задължението да изготвят национални планове за намаляване на емисиите на всеки 5 години, като с всеки нов план установяват по-амбициозни цели</w:t>
            </w:r>
            <w:r w:rsidR="007404EF" w:rsidRPr="007375EB">
              <w:rPr>
                <w:sz w:val="16"/>
                <w:szCs w:val="16"/>
                <w:lang w:val="bg-BG"/>
              </w:rPr>
              <w:t>.</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CAC88C4" w14:textId="6748A670" w:rsidR="007616FD" w:rsidRPr="007375EB" w:rsidRDefault="00B67D45" w:rsidP="00585B32">
            <w:pPr>
              <w:spacing w:line="240" w:lineRule="auto"/>
              <w:jc w:val="both"/>
              <w:rPr>
                <w:sz w:val="16"/>
                <w:szCs w:val="16"/>
                <w:lang w:val="bg-BG"/>
              </w:rPr>
            </w:pPr>
            <w:r w:rsidRPr="007375EB">
              <w:rPr>
                <w:sz w:val="16"/>
                <w:szCs w:val="16"/>
                <w:lang w:val="bg-BG"/>
              </w:rPr>
              <w:lastRenderedPageBreak/>
              <w:t>2015-2050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207B798" w14:textId="54901DFF" w:rsidR="007616FD" w:rsidRPr="007375EB" w:rsidRDefault="00270417" w:rsidP="00585B32">
            <w:pPr>
              <w:spacing w:line="240" w:lineRule="auto"/>
              <w:jc w:val="both"/>
              <w:rPr>
                <w:sz w:val="16"/>
                <w:szCs w:val="16"/>
                <w:lang w:val="bg-BG"/>
              </w:rPr>
            </w:pPr>
            <w:r w:rsidRPr="007375EB">
              <w:rPr>
                <w:rFonts w:eastAsia="Verdana" w:cs="Verdana"/>
                <w:sz w:val="16"/>
                <w:szCs w:val="16"/>
                <w:lang w:val="bg-BG"/>
              </w:rPr>
              <w:t xml:space="preserve">Анализираният </w:t>
            </w:r>
            <w:r w:rsidR="0014580E" w:rsidRPr="007375EB">
              <w:rPr>
                <w:rFonts w:eastAsia="Verdana" w:cs="Verdana"/>
                <w:sz w:val="16"/>
                <w:szCs w:val="16"/>
                <w:lang w:val="bg-BG"/>
              </w:rPr>
              <w:t>ЗГП</w:t>
            </w:r>
            <w:r w:rsidRPr="007375EB">
              <w:rPr>
                <w:rFonts w:eastAsia="Verdana" w:cs="Verdana"/>
                <w:sz w:val="16"/>
                <w:szCs w:val="16"/>
                <w:lang w:val="bg-BG"/>
              </w:rPr>
              <w:t xml:space="preserve"> допринася за постигането на целта за ограничаване на глобалното затопляне чрез създаване на източници на електроенергия без емисии на CO</w:t>
            </w:r>
            <w:r w:rsidRPr="007375EB">
              <w:rPr>
                <w:rFonts w:eastAsia="Verdana" w:cs="Verdana"/>
                <w:sz w:val="16"/>
                <w:szCs w:val="16"/>
                <w:vertAlign w:val="subscript"/>
                <w:lang w:val="bg-BG"/>
              </w:rPr>
              <w:t>2</w:t>
            </w:r>
            <w:r w:rsidRPr="007375EB">
              <w:rPr>
                <w:rFonts w:eastAsia="Verdana" w:cs="Verdana"/>
                <w:sz w:val="16"/>
                <w:szCs w:val="16"/>
                <w:lang w:val="bg-BG"/>
              </w:rPr>
              <w:t>, които са основният вектор на глобалното затопляне, и които могат да заменят източниците на електроенергия от изкопаеми горива.</w:t>
            </w:r>
          </w:p>
        </w:tc>
      </w:tr>
      <w:tr w:rsidR="00676F93" w:rsidRPr="007375EB" w14:paraId="420F8599"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DE56854" w14:textId="7242C67C" w:rsidR="00676F93" w:rsidRPr="007375EB" w:rsidRDefault="00A7325F" w:rsidP="00676F93">
            <w:pPr>
              <w:spacing w:line="240" w:lineRule="auto"/>
              <w:jc w:val="both"/>
              <w:rPr>
                <w:sz w:val="16"/>
                <w:szCs w:val="16"/>
                <w:lang w:val="bg-BG"/>
              </w:rPr>
            </w:pPr>
            <w:r w:rsidRPr="007375EB">
              <w:rPr>
                <w:rFonts w:eastAsia="Times New Roman" w:cs="Times New Roman"/>
                <w:color w:val="1E1E1F"/>
                <w:sz w:val="16"/>
                <w:szCs w:val="16"/>
                <w:lang w:val="bg-BG"/>
              </w:rPr>
              <w:t xml:space="preserve">Европейският зелен пакт </w:t>
            </w:r>
            <w:r w:rsidR="00D03D0D" w:rsidRPr="007375EB">
              <w:rPr>
                <w:rFonts w:eastAsia="Times New Roman" w:cs="Times New Roman"/>
                <w:color w:val="1E1E1F"/>
                <w:sz w:val="16"/>
                <w:szCs w:val="16"/>
                <w:lang w:val="bg-BG"/>
              </w:rPr>
              <w:t>(</w:t>
            </w:r>
            <w:r w:rsidR="00676F93" w:rsidRPr="007375EB">
              <w:rPr>
                <w:rFonts w:eastAsia="Times New Roman" w:cs="Times New Roman"/>
                <w:color w:val="1E1E1F"/>
                <w:sz w:val="16"/>
                <w:szCs w:val="16"/>
                <w:lang w:val="bg-BG"/>
              </w:rPr>
              <w:t>Green Deal</w:t>
            </w:r>
            <w:r w:rsidR="0035606C" w:rsidRPr="007375EB">
              <w:rPr>
                <w:rStyle w:val="FootnoteReference"/>
                <w:sz w:val="16"/>
                <w:szCs w:val="16"/>
                <w:lang w:val="bg-BG"/>
              </w:rPr>
              <w:footnoteReference w:id="4"/>
            </w:r>
            <w:r w:rsidR="00D03D0D" w:rsidRPr="007375EB">
              <w:rPr>
                <w:rFonts w:eastAsia="Times New Roman" w:cs="Times New Roman"/>
                <w:color w:val="1E1E1F"/>
                <w:sz w:val="16"/>
                <w:szCs w:val="16"/>
                <w:lang w:val="bg-BG"/>
              </w:rPr>
              <w:t>)</w:t>
            </w:r>
            <w:r w:rsidR="00676F93" w:rsidRPr="007375EB">
              <w:rPr>
                <w:rFonts w:eastAsia="Times New Roman" w:cs="Times New Roman"/>
                <w:color w:val="1E1E1F"/>
                <w:sz w:val="16"/>
                <w:szCs w:val="16"/>
                <w:lang w:val="bg-BG"/>
              </w:rPr>
              <w:t>,</w:t>
            </w:r>
            <w:r w:rsidR="002F061B" w:rsidRPr="007375EB">
              <w:rPr>
                <w:rFonts w:eastAsia="Times New Roman" w:cs="Times New Roman"/>
                <w:color w:val="1E1E1F"/>
                <w:sz w:val="16"/>
                <w:szCs w:val="16"/>
                <w:lang w:val="bg-BG"/>
              </w:rPr>
              <w:t xml:space="preserve"> 2019</w:t>
            </w:r>
            <w:r w:rsidR="00676F93" w:rsidRPr="007375EB">
              <w:rPr>
                <w:rFonts w:eastAsia="Times New Roman" w:cs="Times New Roman"/>
                <w:color w:val="1E1E1F"/>
                <w:sz w:val="16"/>
                <w:szCs w:val="16"/>
                <w:lang w:val="bg-BG"/>
              </w:rPr>
              <w:t xml:space="preserve"> </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E8A9A58" w14:textId="77777777" w:rsidR="00A7325F" w:rsidRPr="007375EB" w:rsidRDefault="00A7325F" w:rsidP="00A7325F">
            <w:pPr>
              <w:shd w:val="clear" w:color="auto" w:fill="FFFFFF" w:themeFill="background1"/>
              <w:spacing w:line="240" w:lineRule="auto"/>
              <w:ind w:left="40"/>
              <w:jc w:val="both"/>
              <w:rPr>
                <w:rFonts w:eastAsia="Times New Roman" w:cs="Times New Roman"/>
                <w:color w:val="1E1E1F"/>
                <w:sz w:val="16"/>
                <w:szCs w:val="16"/>
                <w:lang w:val="bg-BG"/>
              </w:rPr>
            </w:pPr>
            <w:r w:rsidRPr="007375EB">
              <w:rPr>
                <w:rFonts w:eastAsia="Times New Roman" w:cs="Times New Roman"/>
                <w:color w:val="1E1E1F"/>
                <w:sz w:val="16"/>
                <w:szCs w:val="16"/>
                <w:lang w:val="bg-BG"/>
              </w:rPr>
              <w:t xml:space="preserve">Амбициозен пакет от мерки на ЕС за постигане на климатична неутралност до 2050 г. </w:t>
            </w:r>
          </w:p>
          <w:p w14:paraId="25D72625" w14:textId="36500314" w:rsidR="000D65EC" w:rsidRPr="007375EB" w:rsidRDefault="00A7325F" w:rsidP="00A7325F">
            <w:pPr>
              <w:shd w:val="clear" w:color="auto" w:fill="FFFFFF" w:themeFill="background1"/>
              <w:spacing w:line="240" w:lineRule="auto"/>
              <w:ind w:left="40"/>
              <w:jc w:val="both"/>
              <w:rPr>
                <w:sz w:val="16"/>
                <w:szCs w:val="16"/>
                <w:lang w:val="bg-BG"/>
              </w:rPr>
            </w:pPr>
            <w:r w:rsidRPr="007375EB">
              <w:rPr>
                <w:rFonts w:eastAsia="Times New Roman" w:cs="Times New Roman"/>
                <w:color w:val="1E1E1F"/>
                <w:sz w:val="16"/>
                <w:szCs w:val="16"/>
                <w:lang w:val="bg-BG"/>
              </w:rPr>
              <w:t>Европейският зелен пакт ще превърне ЕС в модерна, конкурентоспособна и ефективно използваща ресурсите икономика, където</w:t>
            </w:r>
            <w:r w:rsidR="000D65EC" w:rsidRPr="007375EB">
              <w:rPr>
                <w:sz w:val="16"/>
                <w:szCs w:val="16"/>
                <w:lang w:val="bg-BG"/>
              </w:rPr>
              <w:t>:</w:t>
            </w:r>
          </w:p>
          <w:p w14:paraId="56A67D53" w14:textId="2BE4175B" w:rsidR="00A7325F" w:rsidRPr="007375EB" w:rsidRDefault="00A7325F" w:rsidP="00A7325F">
            <w:pPr>
              <w:pStyle w:val="ListParagraph"/>
              <w:numPr>
                <w:ilvl w:val="0"/>
                <w:numId w:val="24"/>
              </w:numPr>
              <w:shd w:val="clear" w:color="auto" w:fill="FFFFFF" w:themeFill="background1"/>
              <w:spacing w:line="240" w:lineRule="auto"/>
              <w:jc w:val="both"/>
              <w:rPr>
                <w:sz w:val="16"/>
                <w:szCs w:val="16"/>
                <w:lang w:val="bg-BG"/>
              </w:rPr>
            </w:pPr>
            <w:r w:rsidRPr="007375EB">
              <w:rPr>
                <w:sz w:val="16"/>
                <w:szCs w:val="16"/>
                <w:lang w:val="bg-BG"/>
              </w:rPr>
              <w:t xml:space="preserve">нулеви нетни емисии на парникови газове до 2050 г., </w:t>
            </w:r>
          </w:p>
          <w:p w14:paraId="4C22AF78" w14:textId="615C5CDF" w:rsidR="00A7325F" w:rsidRPr="007375EB" w:rsidRDefault="00A7325F" w:rsidP="00A7325F">
            <w:pPr>
              <w:pStyle w:val="ListParagraph"/>
              <w:numPr>
                <w:ilvl w:val="0"/>
                <w:numId w:val="24"/>
              </w:numPr>
              <w:shd w:val="clear" w:color="auto" w:fill="FFFFFF" w:themeFill="background1"/>
              <w:spacing w:line="240" w:lineRule="auto"/>
              <w:jc w:val="both"/>
              <w:rPr>
                <w:sz w:val="16"/>
                <w:szCs w:val="16"/>
                <w:lang w:val="bg-BG"/>
              </w:rPr>
            </w:pPr>
            <w:r w:rsidRPr="007375EB">
              <w:rPr>
                <w:sz w:val="16"/>
                <w:szCs w:val="16"/>
                <w:lang w:val="bg-BG"/>
              </w:rPr>
              <w:t>икономическият растеж да бъде разграничен от използването на ресурсите;</w:t>
            </w:r>
          </w:p>
          <w:p w14:paraId="5B28F3B8" w14:textId="1EBDEA48" w:rsidR="007A1265" w:rsidRPr="007375EB" w:rsidRDefault="00A7325F" w:rsidP="00A7325F">
            <w:pPr>
              <w:pStyle w:val="ListParagraph"/>
              <w:numPr>
                <w:ilvl w:val="0"/>
                <w:numId w:val="24"/>
              </w:numPr>
              <w:shd w:val="clear" w:color="auto" w:fill="FFFFFF" w:themeFill="background1"/>
              <w:spacing w:line="240" w:lineRule="auto"/>
              <w:jc w:val="both"/>
              <w:rPr>
                <w:sz w:val="16"/>
                <w:szCs w:val="16"/>
                <w:lang w:val="bg-BG"/>
              </w:rPr>
            </w:pPr>
            <w:r w:rsidRPr="007375EB">
              <w:rPr>
                <w:sz w:val="16"/>
                <w:szCs w:val="16"/>
                <w:lang w:val="bg-BG"/>
              </w:rPr>
              <w:t>никой човек или място да не бъдат изоставени</w:t>
            </w:r>
            <w:r w:rsidR="000D65EC" w:rsidRPr="007375EB">
              <w:rPr>
                <w:sz w:val="16"/>
                <w:szCs w:val="16"/>
                <w:lang w:val="bg-BG"/>
              </w:rPr>
              <w:t>.</w:t>
            </w:r>
          </w:p>
          <w:p w14:paraId="3A5AB293" w14:textId="574A47A3" w:rsidR="00F202E2" w:rsidRPr="007375EB" w:rsidRDefault="00A7325F" w:rsidP="00F202E2">
            <w:pPr>
              <w:shd w:val="clear" w:color="auto" w:fill="FFFFFF" w:themeFill="background1"/>
              <w:spacing w:line="240" w:lineRule="auto"/>
              <w:ind w:left="40"/>
              <w:jc w:val="both"/>
              <w:rPr>
                <w:sz w:val="16"/>
                <w:szCs w:val="16"/>
                <w:lang w:val="bg-BG"/>
              </w:rPr>
            </w:pPr>
            <w:r w:rsidRPr="007375EB">
              <w:rPr>
                <w:sz w:val="16"/>
                <w:szCs w:val="16"/>
                <w:lang w:val="bg-BG"/>
              </w:rPr>
              <w:t>Тази стратегия за растеж има за цел да превърне ЕС в справедливо и проспериращо общество с модерна, конкурентоспособна и ефективно използваща ресурсите икономика, без нетни емисии на парникови газове през 2050 г. и с икономически растеж, необвързан с използването на ресурсите.</w:t>
            </w:r>
          </w:p>
          <w:p w14:paraId="4592A8C6" w14:textId="77777777" w:rsidR="00225A8E" w:rsidRPr="007375EB" w:rsidRDefault="00225A8E" w:rsidP="00225A8E">
            <w:pPr>
              <w:shd w:val="clear" w:color="auto" w:fill="FFFFFF" w:themeFill="background1"/>
              <w:spacing w:line="240" w:lineRule="auto"/>
              <w:ind w:left="40"/>
              <w:jc w:val="both"/>
              <w:rPr>
                <w:sz w:val="16"/>
                <w:szCs w:val="16"/>
                <w:lang w:val="bg-BG"/>
              </w:rPr>
            </w:pPr>
            <w:r w:rsidRPr="007375EB">
              <w:rPr>
                <w:sz w:val="16"/>
                <w:szCs w:val="16"/>
                <w:lang w:val="bg-BG"/>
              </w:rPr>
              <w:lastRenderedPageBreak/>
              <w:t>По-амбициозна цел за ЕС за отговорно намаляване на емисиите на парникови газове, т.е. намаляване с поне 50% до 2030 г. в сравнение с нивата от 1990 г. и стремеж към намаляване с поне 55%.</w:t>
            </w:r>
          </w:p>
          <w:p w14:paraId="04E01DD5" w14:textId="266184C7" w:rsidR="00BA2459" w:rsidRPr="007375EB" w:rsidRDefault="00225A8E" w:rsidP="00225A8E">
            <w:pPr>
              <w:shd w:val="clear" w:color="auto" w:fill="FFFFFF" w:themeFill="background1"/>
              <w:spacing w:line="240" w:lineRule="auto"/>
              <w:jc w:val="both"/>
              <w:rPr>
                <w:sz w:val="16"/>
                <w:szCs w:val="16"/>
                <w:lang w:val="bg-BG"/>
              </w:rPr>
            </w:pPr>
            <w:r w:rsidRPr="007375EB">
              <w:rPr>
                <w:sz w:val="16"/>
                <w:szCs w:val="16"/>
                <w:lang w:val="bg-BG"/>
              </w:rPr>
              <w:t>В този контекст устойчивата декарбонизация на енергийната система е от решаващо значение за постигането на целите в областта на климата през 2030 г. и 2050 г., а възобновяемите енергийни източници трябва да играят ключова роля</w:t>
            </w:r>
            <w:r w:rsidR="00F202E2" w:rsidRPr="007375EB">
              <w:rPr>
                <w:sz w:val="16"/>
                <w:szCs w:val="16"/>
                <w:lang w:val="bg-BG"/>
              </w:rPr>
              <w:t>.</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4E53A84" w14:textId="0FB327E6" w:rsidR="00676F93" w:rsidRPr="007375EB" w:rsidRDefault="00676F93" w:rsidP="00E92919">
            <w:pPr>
              <w:shd w:val="clear" w:color="auto" w:fill="FFFFFF" w:themeFill="background1"/>
              <w:spacing w:line="240" w:lineRule="auto"/>
              <w:rPr>
                <w:rFonts w:eastAsia="Times New Roman" w:cs="Times New Roman"/>
                <w:color w:val="1E1E1F"/>
                <w:sz w:val="16"/>
                <w:szCs w:val="16"/>
                <w:lang w:val="bg-BG"/>
              </w:rPr>
            </w:pPr>
            <w:r w:rsidRPr="007375EB">
              <w:rPr>
                <w:rFonts w:eastAsia="Times New Roman" w:cs="Times New Roman"/>
                <w:color w:val="1E1E1F"/>
                <w:sz w:val="16"/>
                <w:szCs w:val="16"/>
                <w:lang w:val="bg-BG"/>
              </w:rPr>
              <w:lastRenderedPageBreak/>
              <w:t>2020-2050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9028E08" w14:textId="026A2328" w:rsidR="0083644C" w:rsidRPr="007375EB" w:rsidRDefault="00A7325F" w:rsidP="00676F93">
            <w:pPr>
              <w:spacing w:line="240" w:lineRule="auto"/>
              <w:jc w:val="both"/>
              <w:rPr>
                <w:sz w:val="16"/>
                <w:szCs w:val="16"/>
                <w:lang w:val="bg-BG"/>
              </w:rPr>
            </w:pPr>
            <w:r w:rsidRPr="007375EB">
              <w:rPr>
                <w:rFonts w:eastAsia="Verdana" w:cs="Verdana"/>
                <w:sz w:val="16"/>
                <w:szCs w:val="16"/>
                <w:lang w:val="bg-BG"/>
              </w:rPr>
              <w:t xml:space="preserve">В контекста на целите за неутралност по отношение на климата, анализираният </w:t>
            </w:r>
            <w:r w:rsidR="0014580E" w:rsidRPr="007375EB">
              <w:rPr>
                <w:rFonts w:eastAsia="Verdana" w:cs="Verdana"/>
                <w:sz w:val="16"/>
                <w:szCs w:val="16"/>
                <w:lang w:val="bg-BG"/>
              </w:rPr>
              <w:t>ЗГП</w:t>
            </w:r>
            <w:r w:rsidRPr="007375EB">
              <w:rPr>
                <w:rFonts w:eastAsia="Verdana" w:cs="Verdana"/>
                <w:sz w:val="16"/>
                <w:szCs w:val="16"/>
                <w:lang w:val="bg-BG"/>
              </w:rPr>
              <w:t xml:space="preserve"> допринася за целта за декарбонизация на енергийната система чрез увеличаване на дела на възобновяемите енергийни източници в енергийния микс на страната, както и за целта за нулеви нетни емисии на парникови газове до 2050 г.</w:t>
            </w:r>
          </w:p>
        </w:tc>
      </w:tr>
      <w:tr w:rsidR="00EB5D2F" w:rsidRPr="007375EB" w14:paraId="2635469F"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8308441" w14:textId="2028DDF4" w:rsidR="00EB5D2F" w:rsidRPr="007375EB" w:rsidRDefault="00225A8E" w:rsidP="00EB5D2F">
            <w:pPr>
              <w:spacing w:line="240" w:lineRule="auto"/>
              <w:jc w:val="both"/>
              <w:rPr>
                <w:sz w:val="16"/>
                <w:szCs w:val="16"/>
                <w:lang w:val="bg-BG"/>
              </w:rPr>
            </w:pPr>
            <w:r w:rsidRPr="007375EB">
              <w:rPr>
                <w:sz w:val="16"/>
                <w:szCs w:val="16"/>
                <w:lang w:val="bg-BG"/>
              </w:rPr>
              <w:t xml:space="preserve">Рамка за климата и енергетиката </w:t>
            </w:r>
            <w:r w:rsidR="00EB5D2F" w:rsidRPr="007375EB">
              <w:rPr>
                <w:sz w:val="16"/>
                <w:szCs w:val="16"/>
                <w:lang w:val="bg-BG"/>
              </w:rPr>
              <w:t>2030, 2020</w:t>
            </w:r>
          </w:p>
          <w:p w14:paraId="17D23D56" w14:textId="25BB408F" w:rsidR="00EB5D2F" w:rsidRPr="007375EB" w:rsidRDefault="00376DEF" w:rsidP="00EB5D2F">
            <w:pPr>
              <w:spacing w:line="240" w:lineRule="auto"/>
              <w:jc w:val="both"/>
              <w:rPr>
                <w:sz w:val="16"/>
                <w:szCs w:val="16"/>
                <w:lang w:val="bg-BG"/>
              </w:rPr>
            </w:pPr>
            <w:r w:rsidRPr="007375EB">
              <w:rPr>
                <w:i/>
                <w:iCs/>
                <w:sz w:val="16"/>
                <w:szCs w:val="16"/>
                <w:lang w:val="bg-BG"/>
              </w:rPr>
              <w:t>Определяне на по-амбициозна цел за климата в Европа до 2030 г. Инвестиране в неутрално по отношение на климата бъдеще в полза на гражданите</w:t>
            </w:r>
            <w:r w:rsidR="00024384" w:rsidRPr="007375EB">
              <w:rPr>
                <w:rStyle w:val="FootnoteReference"/>
                <w:i/>
                <w:iCs/>
                <w:sz w:val="16"/>
                <w:szCs w:val="16"/>
                <w:lang w:val="bg-BG"/>
              </w:rPr>
              <w:footnoteReference w:id="5"/>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F28B8D2" w14:textId="77777777" w:rsidR="00376DEF" w:rsidRPr="007375EB" w:rsidRDefault="00376DEF" w:rsidP="00376DEF">
            <w:pPr>
              <w:shd w:val="clear" w:color="auto" w:fill="FFFFFF" w:themeFill="background1"/>
              <w:spacing w:line="240" w:lineRule="auto"/>
              <w:ind w:left="40"/>
              <w:jc w:val="both"/>
              <w:rPr>
                <w:sz w:val="16"/>
                <w:szCs w:val="16"/>
                <w:lang w:val="bg-BG"/>
              </w:rPr>
            </w:pPr>
            <w:r w:rsidRPr="007375EB">
              <w:rPr>
                <w:sz w:val="16"/>
                <w:szCs w:val="16"/>
                <w:lang w:val="bg-BG"/>
              </w:rPr>
              <w:t>Той включва цели и задачи на политиката за периода 2021-2030 г. в широк кръг от сектори (производство на енергия, промишленост, транспорт, сгради, строителство, селско стопанство, отпадъци, земеползване и др.)</w:t>
            </w:r>
          </w:p>
          <w:p w14:paraId="2C38E12D" w14:textId="28471320" w:rsidR="00EB5D2F" w:rsidRPr="007375EB" w:rsidRDefault="00376DEF" w:rsidP="00376DEF">
            <w:pPr>
              <w:shd w:val="clear" w:color="auto" w:fill="FFFFFF" w:themeFill="background1"/>
              <w:spacing w:line="240" w:lineRule="auto"/>
              <w:ind w:left="40"/>
              <w:jc w:val="both"/>
              <w:rPr>
                <w:sz w:val="16"/>
                <w:szCs w:val="16"/>
                <w:lang w:val="bg-BG"/>
              </w:rPr>
            </w:pPr>
            <w:r w:rsidRPr="007375EB">
              <w:rPr>
                <w:sz w:val="16"/>
                <w:szCs w:val="16"/>
                <w:lang w:val="bg-BG"/>
              </w:rPr>
              <w:t>Декарбонизацията както на енергийното предлагане, така и на енергийното търсене е от ключово значение за постигането на неутралност по отношение на климата</w:t>
            </w:r>
            <w:r w:rsidR="001B5CDD" w:rsidRPr="007375EB">
              <w:rPr>
                <w:sz w:val="16"/>
                <w:szCs w:val="16"/>
                <w:lang w:val="bg-BG"/>
              </w:rPr>
              <w:t>.</w:t>
            </w:r>
          </w:p>
          <w:p w14:paraId="7787BE71" w14:textId="3B69873F" w:rsidR="000B66E0" w:rsidRPr="007375EB" w:rsidRDefault="00376DEF" w:rsidP="00D37FEC">
            <w:pPr>
              <w:shd w:val="clear" w:color="auto" w:fill="FFFFFF" w:themeFill="background1"/>
              <w:spacing w:line="240" w:lineRule="auto"/>
              <w:ind w:left="40"/>
              <w:jc w:val="both"/>
              <w:rPr>
                <w:sz w:val="16"/>
                <w:szCs w:val="16"/>
                <w:lang w:val="bg-BG"/>
              </w:rPr>
            </w:pPr>
            <w:r w:rsidRPr="007375EB">
              <w:rPr>
                <w:sz w:val="16"/>
                <w:szCs w:val="16"/>
                <w:lang w:val="bg-BG"/>
              </w:rPr>
              <w:t>Постигането на целта за намаляване на парниковите газове с 55% ще доведе до нов и по-екологичен енергиен микс. До 2030 г. потреблението на въглища ще намалее с повече от 70 % в сравнение с 2015 г., на нефт - с повече от 30 %, а на газ - с повече от 25 %, докато делът на възобновяемите енергийни източници ще се увеличи. До 2030 г. той ще достигне 38-40 % от брутното крайно потребление. Като цяло това ще доведе до балансирана траектория към неутралност по отношение на климата до 2050 г.</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DA1E9B7" w14:textId="5550EB66" w:rsidR="00EB5D2F" w:rsidRPr="007375EB" w:rsidRDefault="00EB5D2F" w:rsidP="00EB5D2F">
            <w:pPr>
              <w:spacing w:line="240" w:lineRule="auto"/>
              <w:jc w:val="both"/>
              <w:rPr>
                <w:sz w:val="16"/>
                <w:szCs w:val="16"/>
                <w:lang w:val="bg-BG"/>
              </w:rPr>
            </w:pPr>
            <w:r w:rsidRPr="007375EB">
              <w:rPr>
                <w:sz w:val="16"/>
                <w:szCs w:val="16"/>
                <w:lang w:val="bg-BG"/>
              </w:rPr>
              <w:t>2021-2030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78FE447" w14:textId="12FABFBA" w:rsidR="00EB5D2F" w:rsidRPr="007375EB" w:rsidRDefault="00376DEF" w:rsidP="00EB5D2F">
            <w:pPr>
              <w:spacing w:line="240" w:lineRule="auto"/>
              <w:jc w:val="both"/>
              <w:rPr>
                <w:rFonts w:eastAsia="Verdana" w:cs="Verdana"/>
                <w:sz w:val="16"/>
                <w:szCs w:val="16"/>
                <w:lang w:val="bg-BG"/>
              </w:rPr>
            </w:pPr>
            <w:r w:rsidRPr="007375EB">
              <w:rPr>
                <w:rFonts w:eastAsia="Verdana" w:cs="Verdana"/>
                <w:sz w:val="16"/>
                <w:szCs w:val="16"/>
                <w:lang w:val="bg-BG"/>
              </w:rPr>
              <w:t xml:space="preserve">Анализираният </w:t>
            </w:r>
            <w:r w:rsidR="0014580E" w:rsidRPr="007375EB">
              <w:rPr>
                <w:rFonts w:eastAsia="Verdana" w:cs="Verdana"/>
                <w:sz w:val="16"/>
                <w:szCs w:val="16"/>
                <w:lang w:val="bg-BG"/>
              </w:rPr>
              <w:t>ЗГП</w:t>
            </w:r>
            <w:r w:rsidRPr="007375EB">
              <w:rPr>
                <w:rFonts w:eastAsia="Verdana" w:cs="Verdana"/>
                <w:sz w:val="16"/>
                <w:szCs w:val="16"/>
                <w:lang w:val="bg-BG"/>
              </w:rPr>
              <w:t xml:space="preserve"> допринася за постигането на целта за декарбонизация на енергийната система чрез увеличаване на дела на възобновяемите енергийни източници в енергийния микс на страната.</w:t>
            </w:r>
          </w:p>
        </w:tc>
      </w:tr>
      <w:tr w:rsidR="00EB5D2F" w:rsidRPr="007375EB" w14:paraId="1926B2E3"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CDB74E4" w14:textId="5BCE5A52" w:rsidR="00EB5D2F" w:rsidRPr="007375EB" w:rsidRDefault="00376DEF" w:rsidP="00EB5D2F">
            <w:pPr>
              <w:spacing w:line="240" w:lineRule="auto"/>
              <w:jc w:val="both"/>
              <w:rPr>
                <w:sz w:val="16"/>
                <w:szCs w:val="16"/>
                <w:lang w:val="bg-BG"/>
              </w:rPr>
            </w:pPr>
            <w:r w:rsidRPr="007375EB">
              <w:rPr>
                <w:sz w:val="16"/>
                <w:szCs w:val="16"/>
                <w:lang w:val="bg-BG"/>
              </w:rPr>
              <w:t xml:space="preserve">Европейско законодателство в </w:t>
            </w:r>
            <w:r w:rsidRPr="007375EB">
              <w:rPr>
                <w:sz w:val="16"/>
                <w:szCs w:val="16"/>
                <w:lang w:val="bg-BG"/>
              </w:rPr>
              <w:lastRenderedPageBreak/>
              <w:t>областта на климата</w:t>
            </w:r>
            <w:r w:rsidR="00EB5D2F" w:rsidRPr="007375EB">
              <w:rPr>
                <w:sz w:val="16"/>
                <w:szCs w:val="16"/>
                <w:lang w:val="bg-BG"/>
              </w:rPr>
              <w:t>, 2021</w:t>
            </w:r>
            <w:r w:rsidR="00090027" w:rsidRPr="007375EB">
              <w:rPr>
                <w:rStyle w:val="FootnoteReference"/>
                <w:sz w:val="16"/>
                <w:szCs w:val="16"/>
                <w:lang w:val="bg-BG"/>
              </w:rPr>
              <w:footnoteReference w:id="6"/>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63184ED" w14:textId="77777777" w:rsidR="00376DEF" w:rsidRPr="007375EB" w:rsidRDefault="00376DEF" w:rsidP="00376DEF">
            <w:pPr>
              <w:shd w:val="clear" w:color="auto" w:fill="FFFFFF" w:themeFill="background1"/>
              <w:spacing w:line="240" w:lineRule="auto"/>
              <w:ind w:left="40"/>
              <w:jc w:val="both"/>
              <w:rPr>
                <w:sz w:val="16"/>
                <w:szCs w:val="16"/>
                <w:lang w:val="bg-BG"/>
              </w:rPr>
            </w:pPr>
            <w:r w:rsidRPr="007375EB">
              <w:rPr>
                <w:sz w:val="16"/>
                <w:szCs w:val="16"/>
                <w:lang w:val="bg-BG"/>
              </w:rPr>
              <w:lastRenderedPageBreak/>
              <w:t xml:space="preserve">Той превръща политическия ангажимент на Европейската зелена сделка за неутралност по отношение на климата в ЕС до 2050 г. в задължение, като </w:t>
            </w:r>
            <w:r w:rsidRPr="007375EB">
              <w:rPr>
                <w:sz w:val="16"/>
                <w:szCs w:val="16"/>
                <w:lang w:val="bg-BG"/>
              </w:rPr>
              <w:lastRenderedPageBreak/>
              <w:t>предоставя на европейските граждани и предприятия правната сигурност и предвидимост, от които се нуждаят, за да планират този преход. След 2050 г. ЕС ще се стреми да постигне отрицателни емисии.</w:t>
            </w:r>
          </w:p>
          <w:p w14:paraId="7A20187B" w14:textId="60E535DC" w:rsidR="00EB5D2F" w:rsidRPr="007375EB" w:rsidRDefault="00376DEF" w:rsidP="00376DEF">
            <w:pPr>
              <w:shd w:val="clear" w:color="auto" w:fill="FFFFFF" w:themeFill="background1"/>
              <w:spacing w:line="240" w:lineRule="auto"/>
              <w:ind w:left="40"/>
              <w:jc w:val="both"/>
              <w:rPr>
                <w:sz w:val="16"/>
                <w:szCs w:val="16"/>
                <w:lang w:val="bg-BG"/>
              </w:rPr>
            </w:pPr>
            <w:r w:rsidRPr="007375EB">
              <w:rPr>
                <w:sz w:val="16"/>
                <w:szCs w:val="16"/>
                <w:lang w:val="bg-BG"/>
              </w:rPr>
              <w:t>Законът увеличава целта на ЕС за намаляване на емисиите на парникови газове (ПГ) до 2030 г. от 40 % на поне 55 % в сравнение с нивата от 1990 г.</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C5815BA" w14:textId="469347A4" w:rsidR="00EB5D2F" w:rsidRPr="007375EB" w:rsidRDefault="00EB5D2F" w:rsidP="00EB5D2F">
            <w:pPr>
              <w:spacing w:line="240" w:lineRule="auto"/>
              <w:jc w:val="both"/>
              <w:rPr>
                <w:sz w:val="16"/>
                <w:szCs w:val="16"/>
                <w:lang w:val="bg-BG"/>
              </w:rPr>
            </w:pPr>
            <w:r w:rsidRPr="007375EB">
              <w:rPr>
                <w:sz w:val="16"/>
                <w:szCs w:val="16"/>
                <w:lang w:val="bg-BG"/>
              </w:rPr>
              <w:lastRenderedPageBreak/>
              <w:t>2021-2050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A4661E8" w14:textId="0627B489" w:rsidR="00EB5D2F" w:rsidRPr="007375EB" w:rsidRDefault="00376DEF" w:rsidP="00EB5D2F">
            <w:pPr>
              <w:spacing w:line="240" w:lineRule="auto"/>
              <w:jc w:val="both"/>
              <w:rPr>
                <w:sz w:val="16"/>
                <w:szCs w:val="16"/>
                <w:lang w:val="bg-BG"/>
              </w:rPr>
            </w:pPr>
            <w:r w:rsidRPr="007375EB">
              <w:rPr>
                <w:rFonts w:eastAsia="Verdana" w:cs="Verdana"/>
                <w:sz w:val="16"/>
                <w:szCs w:val="16"/>
                <w:lang w:val="bg-BG"/>
              </w:rPr>
              <w:t xml:space="preserve">Анализираният </w:t>
            </w:r>
            <w:r w:rsidR="0014580E" w:rsidRPr="007375EB">
              <w:rPr>
                <w:rFonts w:eastAsia="Verdana" w:cs="Verdana"/>
                <w:sz w:val="16"/>
                <w:szCs w:val="16"/>
                <w:lang w:val="bg-BG"/>
              </w:rPr>
              <w:t>ЗГП</w:t>
            </w:r>
            <w:r w:rsidRPr="007375EB">
              <w:rPr>
                <w:rFonts w:eastAsia="Verdana" w:cs="Verdana"/>
                <w:sz w:val="16"/>
                <w:szCs w:val="16"/>
                <w:lang w:val="bg-BG"/>
              </w:rPr>
              <w:t xml:space="preserve"> допринася за постигането на целта за намаляване на емисиите на парникови газове (ПГ) до 2030 г. от 40 % до поне 55 % в сравнение с нивата от 1990 г. чрез насърчаване на неутрални по отношение на климата енергийни източници.</w:t>
            </w:r>
          </w:p>
        </w:tc>
      </w:tr>
      <w:tr w:rsidR="00EB5D2F" w:rsidRPr="007375EB" w14:paraId="4187B821"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D70D440" w14:textId="070C4265" w:rsidR="00EB5D2F" w:rsidRPr="007375EB" w:rsidRDefault="002C5E24" w:rsidP="00EB5D2F">
            <w:pPr>
              <w:spacing w:line="240" w:lineRule="auto"/>
              <w:jc w:val="both"/>
              <w:rPr>
                <w:sz w:val="16"/>
                <w:szCs w:val="16"/>
                <w:lang w:val="bg-BG"/>
              </w:rPr>
            </w:pPr>
            <w:r w:rsidRPr="007375EB">
              <w:rPr>
                <w:sz w:val="16"/>
                <w:szCs w:val="16"/>
                <w:lang w:val="bg-BG"/>
              </w:rPr>
              <w:t>Законодателен пакет «Готов за 55»</w:t>
            </w:r>
            <w:r w:rsidR="00EB5D2F" w:rsidRPr="007375EB">
              <w:rPr>
                <w:sz w:val="16"/>
                <w:szCs w:val="16"/>
                <w:lang w:val="bg-BG"/>
              </w:rPr>
              <w:t>, 2022</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816D0AB" w14:textId="77777777" w:rsidR="002C5E24" w:rsidRPr="007375EB" w:rsidRDefault="002C5E24" w:rsidP="002C5E24">
            <w:pPr>
              <w:shd w:val="clear" w:color="auto" w:fill="FFFFFF" w:themeFill="background1"/>
              <w:spacing w:line="240" w:lineRule="auto"/>
              <w:ind w:left="40"/>
              <w:jc w:val="both"/>
              <w:rPr>
                <w:sz w:val="16"/>
                <w:szCs w:val="16"/>
                <w:lang w:val="bg-BG"/>
              </w:rPr>
            </w:pPr>
            <w:r w:rsidRPr="007375EB">
              <w:rPr>
                <w:sz w:val="16"/>
                <w:szCs w:val="16"/>
                <w:lang w:val="bg-BG"/>
              </w:rPr>
              <w:t>Законодателният пакет включва преразглеждане на 13 взаимосвързани нормативни акта и 6 нови законодателни предложения по отношение на климата и енергетиката.</w:t>
            </w:r>
          </w:p>
          <w:p w14:paraId="59CFE904" w14:textId="0E5004B8" w:rsidR="00EB5D2F" w:rsidRPr="007375EB" w:rsidRDefault="002C5E24" w:rsidP="002C5E24">
            <w:pPr>
              <w:shd w:val="clear" w:color="auto" w:fill="FFFFFF" w:themeFill="background1"/>
              <w:spacing w:line="240" w:lineRule="auto"/>
              <w:ind w:left="40"/>
              <w:jc w:val="both"/>
              <w:rPr>
                <w:sz w:val="16"/>
                <w:szCs w:val="16"/>
                <w:lang w:val="bg-BG"/>
              </w:rPr>
            </w:pPr>
            <w:r w:rsidRPr="007375EB">
              <w:rPr>
                <w:sz w:val="16"/>
                <w:szCs w:val="16"/>
                <w:lang w:val="bg-BG"/>
              </w:rPr>
              <w:t>Той разглежда енергийните аспекти на климатичния преход на ЕС чрез две законодателни предложения, насочени към</w:t>
            </w:r>
            <w:r w:rsidR="00EB5D2F" w:rsidRPr="007375EB">
              <w:rPr>
                <w:sz w:val="16"/>
                <w:szCs w:val="16"/>
                <w:lang w:val="bg-BG"/>
              </w:rPr>
              <w:t>:</w:t>
            </w:r>
          </w:p>
          <w:p w14:paraId="26E03668" w14:textId="77777777" w:rsidR="002C5E24" w:rsidRPr="007375EB" w:rsidRDefault="002C5E24"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b/>
                <w:bCs/>
                <w:sz w:val="16"/>
                <w:szCs w:val="16"/>
                <w:lang w:val="bg-BG"/>
              </w:rPr>
              <w:t xml:space="preserve">Директивата за възобновяема енергия </w:t>
            </w:r>
            <w:r w:rsidRPr="007375EB">
              <w:rPr>
                <w:sz w:val="16"/>
                <w:szCs w:val="16"/>
                <w:lang w:val="bg-BG"/>
              </w:rPr>
              <w:t>и</w:t>
            </w:r>
          </w:p>
          <w:p w14:paraId="36AAB4B0" w14:textId="0947FB2B" w:rsidR="00EB5D2F" w:rsidRPr="007375EB" w:rsidRDefault="002C5E24"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Директивата за енергийна ефективност</w:t>
            </w:r>
            <w:r w:rsidR="00EB5D2F" w:rsidRPr="007375EB">
              <w:rPr>
                <w:sz w:val="16"/>
                <w:szCs w:val="16"/>
                <w:lang w:val="bg-BG"/>
              </w:rPr>
              <w:t>.</w:t>
            </w:r>
          </w:p>
          <w:p w14:paraId="0FA331F4" w14:textId="77777777" w:rsidR="002C5E24" w:rsidRPr="007375EB" w:rsidRDefault="002C5E24" w:rsidP="002C5E24">
            <w:pPr>
              <w:shd w:val="clear" w:color="auto" w:fill="FFFFFF" w:themeFill="background1"/>
              <w:spacing w:line="240" w:lineRule="auto"/>
              <w:ind w:left="40"/>
              <w:jc w:val="both"/>
              <w:rPr>
                <w:sz w:val="16"/>
                <w:szCs w:val="16"/>
                <w:lang w:val="bg-BG"/>
              </w:rPr>
            </w:pPr>
            <w:r w:rsidRPr="007375EB">
              <w:rPr>
                <w:sz w:val="16"/>
                <w:szCs w:val="16"/>
                <w:lang w:val="bg-BG"/>
              </w:rPr>
              <w:t xml:space="preserve">Новата обвързваща цел на ниво ЕС до 2030 г. е 42,5% дял на енергията от възобновяеми източници в глобалния енергиен микс, което е увеличение от предишното ниво от поне 32%. </w:t>
            </w:r>
          </w:p>
          <w:p w14:paraId="3D9A1E2C" w14:textId="02C01B03" w:rsidR="00EB5D2F" w:rsidRPr="007375EB" w:rsidRDefault="002C5E24" w:rsidP="002C5E24">
            <w:pPr>
              <w:shd w:val="clear" w:color="auto" w:fill="FFFFFF" w:themeFill="background1"/>
              <w:spacing w:line="240" w:lineRule="auto"/>
              <w:ind w:left="40"/>
              <w:jc w:val="both"/>
              <w:rPr>
                <w:sz w:val="16"/>
                <w:szCs w:val="16"/>
                <w:lang w:val="bg-BG"/>
              </w:rPr>
            </w:pPr>
            <w:r w:rsidRPr="007375EB">
              <w:rPr>
                <w:sz w:val="16"/>
                <w:szCs w:val="16"/>
                <w:lang w:val="bg-BG"/>
              </w:rPr>
              <w:t>Съветът определи следните индикативни цели, които са от значение за предложения PUZ</w:t>
            </w:r>
            <w:r w:rsidR="00EB5D2F" w:rsidRPr="007375EB">
              <w:rPr>
                <w:sz w:val="16"/>
                <w:szCs w:val="16"/>
                <w:lang w:val="bg-BG"/>
              </w:rPr>
              <w:t>:</w:t>
            </w:r>
          </w:p>
          <w:p w14:paraId="1983CA8D" w14:textId="76624A9E" w:rsidR="00EB5D2F" w:rsidRPr="007375EB" w:rsidRDefault="002C5E24"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средногодишно увеличение от 1,1 % т на използването на енергия от възобновяеми източници за промишлеността</w:t>
            </w:r>
            <w:r w:rsidR="00EB5D2F" w:rsidRPr="007375EB">
              <w:rPr>
                <w:sz w:val="16"/>
                <w:szCs w:val="16"/>
                <w:lang w:val="bg-BG"/>
              </w:rPr>
              <w:t>.</w:t>
            </w:r>
          </w:p>
          <w:p w14:paraId="296D4DC1" w14:textId="28FFD43A" w:rsidR="00EB5D2F" w:rsidRPr="007375EB" w:rsidRDefault="002C5E24"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дял от най-малко 49% от енергията от възобновяеми източници в сградите през 2030 г</w:t>
            </w:r>
          </w:p>
          <w:p w14:paraId="0C8B6189" w14:textId="16BCD558" w:rsidR="00EB5D2F" w:rsidRPr="007375EB" w:rsidRDefault="002C5E24" w:rsidP="00EB5D2F">
            <w:pPr>
              <w:shd w:val="clear" w:color="auto" w:fill="FFFFFF" w:themeFill="background1"/>
              <w:spacing w:line="240" w:lineRule="auto"/>
              <w:ind w:left="40"/>
              <w:jc w:val="both"/>
              <w:rPr>
                <w:sz w:val="16"/>
                <w:szCs w:val="16"/>
                <w:lang w:val="bg-BG"/>
              </w:rPr>
            </w:pPr>
            <w:r w:rsidRPr="007375EB">
              <w:rPr>
                <w:sz w:val="16"/>
                <w:szCs w:val="16"/>
                <w:lang w:val="bg-BG"/>
              </w:rPr>
              <w:t>Съветът включи ускорени процедури за разрешаване на проекти за възобновяема енергия в съответствие с приоритетите на плана RePowerEU</w:t>
            </w:r>
            <w:r w:rsidR="00EB5D2F" w:rsidRPr="007375EB">
              <w:rPr>
                <w:sz w:val="16"/>
                <w:szCs w:val="16"/>
                <w:lang w:val="bg-BG"/>
              </w:rPr>
              <w:t>.</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A2986C8" w14:textId="5756FFD5" w:rsidR="00EB5D2F" w:rsidRPr="007375EB" w:rsidRDefault="00EB5D2F" w:rsidP="00EB5D2F">
            <w:pPr>
              <w:spacing w:line="240" w:lineRule="auto"/>
              <w:jc w:val="both"/>
              <w:rPr>
                <w:sz w:val="16"/>
                <w:szCs w:val="16"/>
                <w:lang w:val="bg-BG"/>
              </w:rPr>
            </w:pPr>
            <w:r w:rsidRPr="007375EB">
              <w:rPr>
                <w:sz w:val="16"/>
                <w:szCs w:val="16"/>
                <w:lang w:val="bg-BG"/>
              </w:rPr>
              <w:t>2022-2030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6248179" w14:textId="4C0AF48D" w:rsidR="00EB5D2F" w:rsidRPr="007375EB" w:rsidRDefault="002C5E24" w:rsidP="00EB5D2F">
            <w:pPr>
              <w:spacing w:line="240" w:lineRule="auto"/>
              <w:jc w:val="both"/>
              <w:rPr>
                <w:rFonts w:eastAsia="Verdana" w:cs="Verdana"/>
                <w:sz w:val="16"/>
                <w:szCs w:val="16"/>
                <w:lang w:val="bg-BG"/>
              </w:rPr>
            </w:pPr>
            <w:r w:rsidRPr="007375EB">
              <w:rPr>
                <w:rFonts w:eastAsia="Verdana" w:cs="Verdana"/>
                <w:sz w:val="16"/>
                <w:szCs w:val="16"/>
                <w:lang w:val="bg-BG"/>
              </w:rPr>
              <w:t>Анализираният PUZ допринася за целта за достигане на 42,5% дял на енергия от възобновяеми източници в глобалния енергиен микс на ЕС.</w:t>
            </w:r>
          </w:p>
        </w:tc>
      </w:tr>
      <w:tr w:rsidR="00EB5D2F" w:rsidRPr="007375EB" w14:paraId="56FDC33C"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5C960B2" w14:textId="729438E5" w:rsidR="00EB5D2F" w:rsidRPr="007375EB" w:rsidRDefault="00E43AFA" w:rsidP="00EB5D2F">
            <w:pPr>
              <w:spacing w:line="240" w:lineRule="auto"/>
              <w:jc w:val="both"/>
              <w:rPr>
                <w:i/>
                <w:iCs/>
                <w:sz w:val="16"/>
                <w:szCs w:val="16"/>
                <w:lang w:val="bg-BG"/>
              </w:rPr>
            </w:pPr>
            <w:r w:rsidRPr="007375EB">
              <w:rPr>
                <w:sz w:val="16"/>
                <w:szCs w:val="16"/>
                <w:lang w:val="bg-BG"/>
              </w:rPr>
              <w:lastRenderedPageBreak/>
              <w:t xml:space="preserve">REPowerEU </w:t>
            </w:r>
            <w:r w:rsidR="00FD0457" w:rsidRPr="007375EB">
              <w:rPr>
                <w:sz w:val="16"/>
                <w:szCs w:val="16"/>
                <w:lang w:val="bg-BG"/>
              </w:rPr>
              <w:t>План</w:t>
            </w:r>
            <w:r w:rsidR="00F86B88" w:rsidRPr="007375EB">
              <w:rPr>
                <w:rStyle w:val="FootnoteReference"/>
                <w:sz w:val="16"/>
                <w:szCs w:val="16"/>
                <w:lang w:val="bg-BG"/>
              </w:rPr>
              <w:footnoteReference w:id="7"/>
            </w:r>
            <w:r w:rsidRPr="007375EB">
              <w:rPr>
                <w:sz w:val="16"/>
                <w:szCs w:val="16"/>
                <w:lang w:val="bg-BG"/>
              </w:rPr>
              <w:t>, 2022</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970B2C6" w14:textId="1ECFFAC5" w:rsidR="00E033FE" w:rsidRPr="007375EB" w:rsidRDefault="00FD0457" w:rsidP="001F7ADB">
            <w:pPr>
              <w:shd w:val="clear" w:color="auto" w:fill="FFFFFF" w:themeFill="background1"/>
              <w:spacing w:line="240" w:lineRule="auto"/>
              <w:ind w:left="40"/>
              <w:jc w:val="both"/>
              <w:rPr>
                <w:sz w:val="16"/>
                <w:szCs w:val="16"/>
                <w:lang w:val="bg-BG"/>
              </w:rPr>
            </w:pPr>
            <w:r w:rsidRPr="007375EB">
              <w:rPr>
                <w:sz w:val="16"/>
                <w:szCs w:val="16"/>
                <w:lang w:val="bg-BG"/>
              </w:rPr>
              <w:t>Целта е бързо да се намали зависимостта на Европа от изкопаемите горива от Русия, като се ускори преходът към чиста енергия и се работи съвместно за изграждане на по-устойчива енергийна система и истински енергиен съюз. С него се въвежда допълнителен набор от действия за</w:t>
            </w:r>
            <w:r w:rsidR="0020642A" w:rsidRPr="007375EB">
              <w:rPr>
                <w:sz w:val="16"/>
                <w:szCs w:val="16"/>
                <w:lang w:val="bg-BG"/>
              </w:rPr>
              <w:t>:</w:t>
            </w:r>
          </w:p>
          <w:p w14:paraId="6B86AD51" w14:textId="77777777" w:rsidR="00FD0457" w:rsidRPr="007375EB" w:rsidRDefault="00FD0457"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пестене на енергия;</w:t>
            </w:r>
          </w:p>
          <w:p w14:paraId="076D89B8" w14:textId="77777777" w:rsidR="00FD0457" w:rsidRPr="007375EB" w:rsidRDefault="00FD0457"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 xml:space="preserve">разнообразяване на доставките; </w:t>
            </w:r>
          </w:p>
          <w:p w14:paraId="637B08F7" w14:textId="1B041A31" w:rsidR="0020642A" w:rsidRPr="007375EB" w:rsidRDefault="00FD0457"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бързо заместване на изкопаемите горива чрез ускоряване на прехода на Европа към чиста енергия</w:t>
            </w:r>
            <w:r w:rsidR="003D4323" w:rsidRPr="007375EB">
              <w:rPr>
                <w:sz w:val="16"/>
                <w:szCs w:val="16"/>
                <w:lang w:val="bg-BG"/>
              </w:rPr>
              <w:t>;</w:t>
            </w:r>
          </w:p>
          <w:p w14:paraId="4E0D6C55" w14:textId="1F0C8391" w:rsidR="00633E83" w:rsidRPr="007375EB" w:rsidRDefault="00FD0457"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интелигентно съчетаване на инвестиции и реформи</w:t>
            </w:r>
            <w:r w:rsidR="003D4323" w:rsidRPr="007375EB">
              <w:rPr>
                <w:sz w:val="16"/>
                <w:szCs w:val="16"/>
                <w:lang w:val="bg-BG"/>
              </w:rPr>
              <w:t>.</w:t>
            </w:r>
          </w:p>
          <w:p w14:paraId="698F4E86" w14:textId="04F2258E" w:rsidR="00EB5D2F" w:rsidRPr="007375EB" w:rsidRDefault="00FD0457" w:rsidP="008D3404">
            <w:pPr>
              <w:shd w:val="clear" w:color="auto" w:fill="FFFFFF" w:themeFill="background1"/>
              <w:spacing w:line="240" w:lineRule="auto"/>
              <w:jc w:val="both"/>
              <w:rPr>
                <w:sz w:val="16"/>
                <w:szCs w:val="16"/>
                <w:lang w:val="bg-BG"/>
              </w:rPr>
            </w:pPr>
            <w:r w:rsidRPr="007375EB">
              <w:rPr>
                <w:sz w:val="16"/>
                <w:szCs w:val="16"/>
                <w:lang w:val="bg-BG"/>
              </w:rPr>
              <w:t>Планът предлага целта на Директивата за енергията от възобновяеми източници за 2030 г. да бъде увеличена на 45% от 40% в миналогодишното предложение.</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9C45DEC" w14:textId="68E16C32" w:rsidR="00EB5D2F" w:rsidRPr="007375EB" w:rsidRDefault="00FD0457" w:rsidP="00EB5D2F">
            <w:pPr>
              <w:spacing w:line="240" w:lineRule="auto"/>
              <w:jc w:val="both"/>
              <w:rPr>
                <w:sz w:val="16"/>
                <w:szCs w:val="16"/>
                <w:lang w:val="bg-BG"/>
              </w:rPr>
            </w:pPr>
            <w:r w:rsidRPr="007375EB">
              <w:rPr>
                <w:sz w:val="16"/>
                <w:szCs w:val="16"/>
                <w:lang w:val="bg-BG"/>
              </w:rPr>
              <w:t>Постигане на климатична неутралност до 2050 г.</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5FF94F5" w14:textId="77777777" w:rsidR="00FD0457" w:rsidRPr="007375EB" w:rsidRDefault="00FD0457" w:rsidP="00FD0457">
            <w:pPr>
              <w:spacing w:line="240" w:lineRule="auto"/>
              <w:jc w:val="both"/>
              <w:rPr>
                <w:rFonts w:eastAsia="Verdana" w:cs="Verdana"/>
                <w:sz w:val="16"/>
                <w:szCs w:val="16"/>
                <w:lang w:val="bg-BG"/>
              </w:rPr>
            </w:pPr>
            <w:r w:rsidRPr="007375EB">
              <w:rPr>
                <w:rFonts w:eastAsia="Verdana" w:cs="Verdana"/>
                <w:sz w:val="16"/>
                <w:szCs w:val="16"/>
                <w:lang w:val="bg-BG"/>
              </w:rPr>
              <w:t>Анализираният PUZ допринася за целта за ускоряване и масово разширяване на използването на енергия от възобновяеми източници за производство на електроенергия, което ще ускори постепенното спиране на вноса на изкопаеми горива от Русия.</w:t>
            </w:r>
          </w:p>
          <w:p w14:paraId="3D53E826" w14:textId="09024363" w:rsidR="00EB5D2F" w:rsidRPr="007375EB" w:rsidRDefault="00FD0457" w:rsidP="00FD0457">
            <w:pPr>
              <w:spacing w:line="240" w:lineRule="auto"/>
              <w:jc w:val="both"/>
              <w:rPr>
                <w:sz w:val="16"/>
                <w:szCs w:val="16"/>
                <w:lang w:val="bg-BG"/>
              </w:rPr>
            </w:pPr>
            <w:r w:rsidRPr="007375EB">
              <w:rPr>
                <w:rFonts w:eastAsia="Verdana" w:cs="Verdana"/>
                <w:sz w:val="16"/>
                <w:szCs w:val="16"/>
                <w:lang w:val="bg-BG"/>
              </w:rPr>
              <w:t>Анализираният PUZ допринася за предложената цел за увеличаване на процента енергия от възобновяеми източници</w:t>
            </w:r>
            <w:r w:rsidR="001572F2" w:rsidRPr="007375EB">
              <w:rPr>
                <w:rFonts w:eastAsia="Verdana" w:cs="Verdana"/>
                <w:sz w:val="16"/>
                <w:szCs w:val="16"/>
                <w:lang w:val="bg-BG"/>
              </w:rPr>
              <w:t>.</w:t>
            </w:r>
          </w:p>
        </w:tc>
      </w:tr>
      <w:tr w:rsidR="00667439" w:rsidRPr="007375EB" w14:paraId="65C3A44F"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EE7B739" w14:textId="5F914E79" w:rsidR="00667439" w:rsidRPr="007375EB" w:rsidRDefault="00667439">
            <w:pPr>
              <w:spacing w:line="240" w:lineRule="auto"/>
              <w:jc w:val="both"/>
              <w:rPr>
                <w:sz w:val="16"/>
                <w:szCs w:val="16"/>
                <w:lang w:val="bg-BG"/>
              </w:rPr>
            </w:pPr>
            <w:r w:rsidRPr="007375EB">
              <w:rPr>
                <w:rFonts w:eastAsia="Verdana" w:cs="Verdana"/>
                <w:sz w:val="16"/>
                <w:szCs w:val="16"/>
                <w:lang w:val="bg-BG"/>
              </w:rPr>
              <w:t xml:space="preserve">PAM - </w:t>
            </w:r>
            <w:r w:rsidR="00FD0457" w:rsidRPr="007375EB">
              <w:rPr>
                <w:rFonts w:eastAsia="Verdana" w:cs="Verdana"/>
                <w:sz w:val="16"/>
                <w:szCs w:val="16"/>
                <w:lang w:val="bg-BG"/>
              </w:rPr>
              <w:t>Обща програма за действие на Съюза за околната среда до 2030 г</w:t>
            </w:r>
            <w:r w:rsidRPr="007375EB">
              <w:rPr>
                <w:rStyle w:val="FootnoteReference"/>
                <w:rFonts w:eastAsia="Verdana" w:cs="Verdana"/>
                <w:sz w:val="16"/>
                <w:szCs w:val="16"/>
                <w:lang w:val="bg-BG"/>
              </w:rPr>
              <w:footnoteReference w:id="8"/>
            </w:r>
            <w:r w:rsidRPr="007375EB">
              <w:rPr>
                <w:rFonts w:eastAsia="Verdana" w:cs="Verdana"/>
                <w:sz w:val="16"/>
                <w:szCs w:val="16"/>
                <w:lang w:val="bg-BG"/>
              </w:rPr>
              <w:t xml:space="preserve">: </w:t>
            </w:r>
            <w:r w:rsidRPr="007375EB">
              <w:rPr>
                <w:rFonts w:eastAsia="Verdana" w:cs="Verdana"/>
                <w:i/>
                <w:iCs/>
                <w:sz w:val="16"/>
                <w:szCs w:val="16"/>
                <w:lang w:val="bg-BG"/>
              </w:rPr>
              <w:t>8-</w:t>
            </w:r>
            <w:r w:rsidR="00FD0457" w:rsidRPr="007375EB">
              <w:rPr>
                <w:rFonts w:eastAsia="Verdana" w:cs="Verdana"/>
                <w:i/>
                <w:iCs/>
                <w:sz w:val="16"/>
                <w:szCs w:val="16"/>
                <w:lang w:val="bg-BG"/>
              </w:rPr>
              <w:t>ми</w:t>
            </w:r>
            <w:r w:rsidRPr="007375EB">
              <w:rPr>
                <w:rFonts w:eastAsia="Verdana" w:cs="Verdana"/>
                <w:i/>
                <w:iCs/>
                <w:sz w:val="16"/>
                <w:szCs w:val="16"/>
                <w:lang w:val="bg-BG"/>
              </w:rPr>
              <w:t xml:space="preserve"> PAM, 202</w:t>
            </w:r>
            <w:r w:rsidR="001141C3" w:rsidRPr="007375EB">
              <w:rPr>
                <w:rFonts w:eastAsia="Verdana" w:cs="Verdana"/>
                <w:i/>
                <w:iCs/>
                <w:sz w:val="16"/>
                <w:szCs w:val="16"/>
                <w:lang w:val="bg-BG"/>
              </w:rPr>
              <w:t>2</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A6CE9A8" w14:textId="74345062" w:rsidR="00667439" w:rsidRPr="007375EB" w:rsidRDefault="00FD0457">
            <w:pPr>
              <w:shd w:val="clear" w:color="auto" w:fill="FFFFFF" w:themeFill="background1"/>
              <w:spacing w:line="240" w:lineRule="auto"/>
              <w:ind w:left="40"/>
              <w:jc w:val="both"/>
              <w:rPr>
                <w:rFonts w:eastAsia="Times New Roman" w:cs="Times New Roman"/>
                <w:color w:val="1E1E1F"/>
                <w:sz w:val="16"/>
                <w:szCs w:val="16"/>
                <w:lang w:val="bg-BG"/>
              </w:rPr>
            </w:pPr>
            <w:r w:rsidRPr="007375EB">
              <w:rPr>
                <w:rFonts w:eastAsia="Times New Roman" w:cs="Times New Roman"/>
                <w:color w:val="1E1E1F"/>
                <w:sz w:val="16"/>
                <w:szCs w:val="16"/>
                <w:lang w:val="bg-BG"/>
              </w:rPr>
              <w:t>Новата програма подкрепя и надгражда целите на Европейския зелен пакт в областта на околната среда и климата, както и шест приоритетни цели</w:t>
            </w:r>
            <w:r w:rsidR="00667439" w:rsidRPr="007375EB">
              <w:rPr>
                <w:rFonts w:eastAsia="Times New Roman" w:cs="Times New Roman"/>
                <w:color w:val="1E1E1F"/>
                <w:sz w:val="16"/>
                <w:szCs w:val="16"/>
                <w:lang w:val="bg-BG"/>
              </w:rPr>
              <w:t>:</w:t>
            </w:r>
          </w:p>
          <w:p w14:paraId="3F4CDE13" w14:textId="76A557F7" w:rsidR="00667439" w:rsidRPr="007375EB" w:rsidRDefault="00FD0457" w:rsidP="00125F99">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lang w:val="bg-BG"/>
              </w:rPr>
            </w:pPr>
            <w:r w:rsidRPr="007375EB">
              <w:rPr>
                <w:rFonts w:eastAsia="Times New Roman" w:cs="Times New Roman"/>
                <w:color w:val="1E1E1F"/>
                <w:sz w:val="16"/>
                <w:szCs w:val="16"/>
                <w:lang w:val="bg-BG"/>
              </w:rPr>
              <w:t>необратимо и прогресивно намаляване на емисиите на парникови газове и подобряване на поглъщанията чрез естествени или други абсорбери в Съюза с цел постигане на целта за намаляване на емисиите на парникови газове до 2030 г. и климатична неутралност до 2050 г.</w:t>
            </w:r>
            <w:r w:rsidR="00667439" w:rsidRPr="007375EB">
              <w:rPr>
                <w:rFonts w:eastAsia="Times New Roman" w:cs="Times New Roman"/>
                <w:color w:val="1E1E1F"/>
                <w:sz w:val="16"/>
                <w:szCs w:val="16"/>
                <w:lang w:val="bg-BG"/>
              </w:rPr>
              <w:t>;</w:t>
            </w:r>
          </w:p>
          <w:p w14:paraId="7B7D93B0" w14:textId="29E79495" w:rsidR="00FD0457" w:rsidRPr="007375EB" w:rsidRDefault="00FD0457" w:rsidP="00125F99">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lang w:val="bg-BG"/>
              </w:rPr>
            </w:pPr>
            <w:r w:rsidRPr="007375EB">
              <w:rPr>
                <w:rFonts w:eastAsia="Times New Roman" w:cs="Times New Roman"/>
                <w:color w:val="1E1E1F"/>
                <w:sz w:val="16"/>
                <w:szCs w:val="16"/>
                <w:lang w:val="bg-BG"/>
              </w:rPr>
              <w:t>подобряване на капацитета за адаптиране, укрепване на устойчивостта и намаляване на уязвимостта към изменението на климата</w:t>
            </w:r>
          </w:p>
          <w:p w14:paraId="56982494" w14:textId="5F4368B1" w:rsidR="00667439" w:rsidRPr="007375EB" w:rsidRDefault="00FD0457" w:rsidP="00125F99">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lang w:val="bg-BG"/>
              </w:rPr>
            </w:pPr>
            <w:r w:rsidRPr="007375EB">
              <w:rPr>
                <w:rFonts w:eastAsia="Verdana" w:cs="Verdana"/>
                <w:color w:val="1E1E1F"/>
                <w:sz w:val="16"/>
                <w:szCs w:val="16"/>
                <w:lang w:val="bg-BG"/>
              </w:rPr>
              <w:t xml:space="preserve">насърчаване на модел на регенеративен растеж, отделяне на икономическия растеж от използването на ресурсите и деградацията на околната среда и </w:t>
            </w:r>
            <w:r w:rsidRPr="007375EB">
              <w:rPr>
                <w:rFonts w:eastAsia="Verdana" w:cs="Verdana"/>
                <w:color w:val="1E1E1F"/>
                <w:sz w:val="16"/>
                <w:szCs w:val="16"/>
                <w:lang w:val="bg-BG"/>
              </w:rPr>
              <w:lastRenderedPageBreak/>
              <w:t>ускоряване на прехода към кръгова икономика</w:t>
            </w:r>
            <w:r w:rsidR="00667439" w:rsidRPr="007375EB">
              <w:rPr>
                <w:rFonts w:eastAsia="Verdana" w:cs="Verdana"/>
                <w:color w:val="1E1E1F"/>
                <w:sz w:val="16"/>
                <w:szCs w:val="16"/>
                <w:lang w:val="bg-BG"/>
              </w:rPr>
              <w:t>;</w:t>
            </w:r>
          </w:p>
          <w:p w14:paraId="25C020B4" w14:textId="22605B34" w:rsidR="00667439" w:rsidRPr="007375EB" w:rsidRDefault="00080DA7" w:rsidP="00125F99">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lang w:val="bg-BG"/>
              </w:rPr>
            </w:pPr>
            <w:r w:rsidRPr="007375EB">
              <w:rPr>
                <w:rFonts w:eastAsia="Times New Roman" w:cs="Times New Roman"/>
                <w:color w:val="1E1E1F"/>
                <w:sz w:val="16"/>
                <w:szCs w:val="16"/>
                <w:lang w:val="bg-BG"/>
              </w:rPr>
              <w:t>преследване на целта за нулево замърсяване, включително за въздуха, водата и почвата и защита на здравето и качеството на живот на европейците</w:t>
            </w:r>
            <w:r w:rsidR="00667439" w:rsidRPr="007375EB">
              <w:rPr>
                <w:rFonts w:eastAsia="Times New Roman" w:cs="Times New Roman"/>
                <w:color w:val="1E1E1F"/>
                <w:sz w:val="16"/>
                <w:szCs w:val="16"/>
                <w:lang w:val="bg-BG"/>
              </w:rPr>
              <w:t>;</w:t>
            </w:r>
          </w:p>
          <w:p w14:paraId="6829579E" w14:textId="177D8D9B" w:rsidR="00A83875" w:rsidRPr="007375EB" w:rsidRDefault="00080DA7" w:rsidP="00125F99">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lang w:val="bg-BG"/>
              </w:rPr>
            </w:pPr>
            <w:r w:rsidRPr="007375EB">
              <w:rPr>
                <w:rFonts w:eastAsia="Times New Roman" w:cs="Times New Roman"/>
                <w:color w:val="1E1E1F"/>
                <w:sz w:val="16"/>
                <w:szCs w:val="16"/>
                <w:lang w:val="bg-BG"/>
              </w:rPr>
              <w:t>защита, опазване и възстановяване на биоразнообразието и подобряване на природния капитал, особено въздуха, водата и почвата, горите, сладководните, влажните зони и морските екосистеми</w:t>
            </w:r>
            <w:r w:rsidR="00667439" w:rsidRPr="007375EB">
              <w:rPr>
                <w:rFonts w:eastAsia="Times New Roman" w:cs="Times New Roman"/>
                <w:color w:val="1E1E1F"/>
                <w:sz w:val="16"/>
                <w:szCs w:val="16"/>
                <w:lang w:val="bg-BG"/>
              </w:rPr>
              <w:t>;</w:t>
            </w:r>
          </w:p>
          <w:p w14:paraId="3BD74170" w14:textId="553761F9" w:rsidR="00667439" w:rsidRPr="007375EB" w:rsidRDefault="00080DA7" w:rsidP="00125F99">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lang w:val="bg-BG"/>
              </w:rPr>
            </w:pPr>
            <w:r w:rsidRPr="007375EB">
              <w:rPr>
                <w:rFonts w:eastAsia="Times New Roman" w:cs="Times New Roman"/>
                <w:color w:val="1E1E1F"/>
                <w:sz w:val="16"/>
                <w:szCs w:val="16"/>
                <w:lang w:val="bg-BG"/>
              </w:rPr>
              <w:t>насърчаване на екологичната устойчивост и намаляване на основния натиск върху околната среда и климата, свързан с производството и потреблението, по-специално в областта на енергетиката, индустриалното развитие, сградите и инфраструктурата, мобилността и хранителната система</w:t>
            </w:r>
            <w:r w:rsidR="00667439" w:rsidRPr="007375EB">
              <w:rPr>
                <w:rFonts w:eastAsia="Times New Roman" w:cs="Times New Roman"/>
                <w:color w:val="1E1E1F"/>
                <w:sz w:val="16"/>
                <w:szCs w:val="16"/>
                <w:lang w:val="bg-BG"/>
              </w:rPr>
              <w:t>.</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BF627D9" w14:textId="3C25BDCA" w:rsidR="00667439" w:rsidRPr="007375EB" w:rsidRDefault="00FD0457">
            <w:pPr>
              <w:spacing w:line="240" w:lineRule="auto"/>
              <w:jc w:val="both"/>
              <w:rPr>
                <w:sz w:val="16"/>
                <w:szCs w:val="16"/>
                <w:lang w:val="bg-BG"/>
              </w:rPr>
            </w:pPr>
            <w:r w:rsidRPr="007375EB">
              <w:rPr>
                <w:rFonts w:eastAsia="Times New Roman" w:cs="Times New Roman"/>
                <w:color w:val="1E1E1F"/>
                <w:sz w:val="16"/>
                <w:szCs w:val="16"/>
                <w:lang w:val="bg-BG"/>
              </w:rPr>
              <w:lastRenderedPageBreak/>
              <w:t xml:space="preserve">Постигане на целта за 2030 г. за намаляване на емисиите на парникови газове и постигане на климатична неутралност чрез </w:t>
            </w:r>
            <w:r w:rsidR="00667439" w:rsidRPr="007375EB">
              <w:rPr>
                <w:rFonts w:eastAsia="Times New Roman" w:cs="Times New Roman"/>
                <w:color w:val="1E1E1F"/>
                <w:sz w:val="16"/>
                <w:szCs w:val="16"/>
                <w:lang w:val="bg-BG"/>
              </w:rPr>
              <w:t>2050</w:t>
            </w:r>
            <w:r w:rsidRPr="007375EB">
              <w:rPr>
                <w:rFonts w:eastAsia="Times New Roman" w:cs="Times New Roman"/>
                <w:color w:val="1E1E1F"/>
                <w:sz w:val="16"/>
                <w:szCs w:val="16"/>
                <w:lang w:val="bg-BG"/>
              </w:rPr>
              <w:t xml:space="preserve"> г</w:t>
            </w:r>
            <w:r w:rsidR="00667439" w:rsidRPr="007375EB">
              <w:rPr>
                <w:rFonts w:eastAsia="Times New Roman" w:cs="Times New Roman"/>
                <w:color w:val="1E1E1F"/>
                <w:sz w:val="16"/>
                <w:szCs w:val="16"/>
                <w:lang w:val="bg-BG"/>
              </w:rPr>
              <w:t xml:space="preserve">. </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0E1636C" w14:textId="43FB835E" w:rsidR="00667439" w:rsidRPr="007375EB" w:rsidRDefault="00FD0457">
            <w:pPr>
              <w:spacing w:line="240" w:lineRule="auto"/>
              <w:jc w:val="both"/>
              <w:rPr>
                <w:rFonts w:eastAsia="Verdana" w:cs="Verdana"/>
                <w:sz w:val="16"/>
                <w:szCs w:val="16"/>
                <w:lang w:val="bg-BG"/>
              </w:rPr>
            </w:pPr>
            <w:r w:rsidRPr="007375EB">
              <w:rPr>
                <w:rFonts w:eastAsia="Verdana" w:cs="Verdana"/>
                <w:sz w:val="16"/>
                <w:szCs w:val="16"/>
                <w:lang w:val="bg-BG"/>
              </w:rPr>
              <w:t xml:space="preserve">Анализираният PUZ допринася за постигането на глобалната цел: </w:t>
            </w:r>
            <w:r w:rsidRPr="007375EB">
              <w:rPr>
                <w:rFonts w:eastAsia="Verdana" w:cs="Verdana"/>
                <w:i/>
                <w:iCs/>
                <w:sz w:val="16"/>
                <w:szCs w:val="16"/>
                <w:lang w:val="bg-BG"/>
              </w:rPr>
              <w:t>По-зелена, нисковъглеродна Европа</w:t>
            </w:r>
            <w:r w:rsidRPr="007375EB">
              <w:rPr>
                <w:rFonts w:eastAsia="Verdana" w:cs="Verdana"/>
                <w:sz w:val="16"/>
                <w:szCs w:val="16"/>
                <w:lang w:val="bg-BG"/>
              </w:rPr>
              <w:t xml:space="preserve"> чрез необратимо и прогресивно намаляване на емисиите на парникови газове и преследване на целта за нулево замърсяване</w:t>
            </w:r>
          </w:p>
          <w:p w14:paraId="51AFF129" w14:textId="77777777" w:rsidR="00667439" w:rsidRPr="007375EB" w:rsidRDefault="00667439">
            <w:pPr>
              <w:spacing w:line="240" w:lineRule="auto"/>
              <w:jc w:val="both"/>
              <w:rPr>
                <w:rFonts w:eastAsia="Verdana" w:cs="Verdana"/>
                <w:sz w:val="16"/>
                <w:szCs w:val="16"/>
                <w:lang w:val="bg-BG"/>
              </w:rPr>
            </w:pPr>
          </w:p>
        </w:tc>
      </w:tr>
      <w:tr w:rsidR="00EB5D2F" w:rsidRPr="007375EB" w14:paraId="65CE8E5F"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9EF1AFA" w14:textId="008EF647" w:rsidR="00EB5D2F" w:rsidRPr="007375EB" w:rsidRDefault="00080DA7" w:rsidP="00EB5D2F">
            <w:pPr>
              <w:spacing w:line="240" w:lineRule="auto"/>
              <w:jc w:val="both"/>
              <w:rPr>
                <w:rFonts w:eastAsia="Verdana" w:cs="Verdana"/>
                <w:sz w:val="16"/>
                <w:szCs w:val="16"/>
                <w:lang w:val="bg-BG"/>
              </w:rPr>
            </w:pPr>
            <w:r w:rsidRPr="007375EB">
              <w:rPr>
                <w:rFonts w:eastAsia="Verdana" w:cs="Verdana"/>
                <w:sz w:val="16"/>
                <w:szCs w:val="16"/>
                <w:lang w:val="bg-BG"/>
              </w:rPr>
              <w:t>Съобщение на Комисията "</w:t>
            </w:r>
            <w:r w:rsidRPr="007375EB">
              <w:rPr>
                <w:rFonts w:eastAsia="Times New Roman" w:cs="Times New Roman"/>
                <w:color w:val="1E1E1F"/>
                <w:sz w:val="16"/>
                <w:szCs w:val="16"/>
                <w:lang w:val="bg-BG"/>
              </w:rPr>
              <w:t xml:space="preserve"> Промишленият </w:t>
            </w:r>
            <w:r w:rsidRPr="007375EB">
              <w:rPr>
                <w:rFonts w:eastAsia="Verdana" w:cs="Verdana"/>
                <w:sz w:val="16"/>
                <w:szCs w:val="16"/>
                <w:lang w:val="bg-BG"/>
              </w:rPr>
              <w:t>план за зелен пакт за ерата на нулеви емисии</w:t>
            </w:r>
            <w:r w:rsidRPr="007375EB">
              <w:rPr>
                <w:rFonts w:eastAsia="Verdana" w:cs="Verdana"/>
                <w:sz w:val="16"/>
                <w:szCs w:val="16"/>
                <w:vertAlign w:val="superscript"/>
                <w:lang w:val="bg-BG"/>
              </w:rPr>
              <w:t xml:space="preserve"> </w:t>
            </w:r>
            <w:r w:rsidR="0068792F" w:rsidRPr="007375EB">
              <w:rPr>
                <w:rStyle w:val="FootnoteReference"/>
                <w:sz w:val="16"/>
                <w:szCs w:val="16"/>
                <w:lang w:val="bg-BG"/>
              </w:rPr>
              <w:footnoteReference w:id="9"/>
            </w:r>
            <w:r w:rsidR="0068792F" w:rsidRPr="007375EB">
              <w:rPr>
                <w:sz w:val="16"/>
                <w:szCs w:val="16"/>
                <w:lang w:val="bg-BG"/>
              </w:rPr>
              <w:t>, 2023</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4428FC3" w14:textId="17A5A450" w:rsidR="00EB5D2F" w:rsidRPr="007375EB" w:rsidRDefault="00080DA7" w:rsidP="00A83875">
            <w:pPr>
              <w:shd w:val="clear" w:color="auto" w:fill="FFFFFF" w:themeFill="background1"/>
              <w:spacing w:line="240" w:lineRule="auto"/>
              <w:jc w:val="both"/>
              <w:rPr>
                <w:rFonts w:eastAsia="Times New Roman" w:cs="Times New Roman"/>
                <w:color w:val="1E1E1F"/>
                <w:sz w:val="16"/>
                <w:szCs w:val="16"/>
                <w:lang w:val="bg-BG"/>
              </w:rPr>
            </w:pPr>
            <w:r w:rsidRPr="007375EB">
              <w:rPr>
                <w:rFonts w:eastAsia="Times New Roman" w:cs="Times New Roman"/>
                <w:color w:val="1E1E1F"/>
                <w:sz w:val="16"/>
                <w:szCs w:val="16"/>
                <w:lang w:val="bg-BG"/>
              </w:rPr>
              <w:t xml:space="preserve">Промишленият план </w:t>
            </w:r>
            <w:r w:rsidRPr="007375EB">
              <w:rPr>
                <w:rFonts w:eastAsia="Verdana" w:cs="Verdana"/>
                <w:sz w:val="16"/>
                <w:szCs w:val="16"/>
                <w:lang w:val="bg-BG"/>
              </w:rPr>
              <w:t xml:space="preserve">за зелен пакт </w:t>
            </w:r>
            <w:r w:rsidRPr="007375EB">
              <w:rPr>
                <w:rFonts w:eastAsia="Times New Roman" w:cs="Times New Roman"/>
                <w:color w:val="1E1E1F"/>
                <w:sz w:val="16"/>
                <w:szCs w:val="16"/>
                <w:lang w:val="bg-BG"/>
              </w:rPr>
              <w:t>да се възползва от своите силни страни: откритост, иновации, приобщаване и устойчивост. При подходящи условия европейската индустрия с нулеви нетни емисии ще играе жизненоважна роля за превръщането на континента в зелена икономика</w:t>
            </w:r>
            <w:r w:rsidR="00A83875" w:rsidRPr="007375EB">
              <w:rPr>
                <w:rFonts w:eastAsia="Times New Roman" w:cs="Times New Roman"/>
                <w:color w:val="1E1E1F"/>
                <w:sz w:val="16"/>
                <w:szCs w:val="16"/>
                <w:lang w:val="bg-BG"/>
              </w:rPr>
              <w:t>.</w:t>
            </w:r>
          </w:p>
          <w:p w14:paraId="1E797FBF" w14:textId="38883781" w:rsidR="00A83875" w:rsidRPr="007375EB" w:rsidRDefault="00080DA7" w:rsidP="00A83875">
            <w:pPr>
              <w:shd w:val="clear" w:color="auto" w:fill="FFFFFF" w:themeFill="background1"/>
              <w:spacing w:line="240" w:lineRule="auto"/>
              <w:jc w:val="both"/>
              <w:rPr>
                <w:rFonts w:eastAsia="Times New Roman" w:cs="Times New Roman"/>
                <w:color w:val="1E1E1F"/>
                <w:sz w:val="16"/>
                <w:szCs w:val="16"/>
                <w:lang w:val="bg-BG"/>
              </w:rPr>
            </w:pPr>
            <w:r w:rsidRPr="007375EB">
              <w:rPr>
                <w:rFonts w:eastAsia="Times New Roman" w:cs="Times New Roman"/>
                <w:color w:val="1E1E1F"/>
                <w:sz w:val="16"/>
                <w:szCs w:val="16"/>
                <w:lang w:val="bg-BG"/>
              </w:rPr>
              <w:t>Промишленият план "Зелен пакт" се основава на четири стълба</w:t>
            </w:r>
            <w:r w:rsidR="00DB3DC0" w:rsidRPr="007375EB">
              <w:rPr>
                <w:rFonts w:eastAsia="Times New Roman" w:cs="Times New Roman"/>
                <w:color w:val="1E1E1F"/>
                <w:sz w:val="16"/>
                <w:szCs w:val="16"/>
                <w:lang w:val="bg-BG"/>
              </w:rPr>
              <w:t>:</w:t>
            </w:r>
          </w:p>
          <w:p w14:paraId="4E9B0E7D" w14:textId="0ECEE4D3" w:rsidR="00DB3DC0" w:rsidRPr="007375EB" w:rsidRDefault="00080DA7" w:rsidP="00125F99">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lang w:val="bg-BG"/>
              </w:rPr>
            </w:pPr>
            <w:r w:rsidRPr="007375EB">
              <w:rPr>
                <w:rFonts w:eastAsia="Times New Roman" w:cs="Times New Roman"/>
                <w:color w:val="1E1E1F"/>
                <w:sz w:val="16"/>
                <w:szCs w:val="16"/>
                <w:lang w:val="bg-BG"/>
              </w:rPr>
              <w:t>предсказуема и опростена регулаторна среда</w:t>
            </w:r>
            <w:r w:rsidR="00DB3DC0" w:rsidRPr="007375EB">
              <w:rPr>
                <w:rFonts w:eastAsia="Times New Roman" w:cs="Times New Roman"/>
                <w:color w:val="1E1E1F"/>
                <w:sz w:val="16"/>
                <w:szCs w:val="16"/>
                <w:lang w:val="bg-BG"/>
              </w:rPr>
              <w:t>;</w:t>
            </w:r>
          </w:p>
          <w:p w14:paraId="61A0CEBE" w14:textId="36450940" w:rsidR="00DB3DC0" w:rsidRPr="007375EB" w:rsidRDefault="00080DA7" w:rsidP="00125F99">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lang w:val="bg-BG"/>
              </w:rPr>
            </w:pPr>
            <w:r w:rsidRPr="007375EB">
              <w:rPr>
                <w:rFonts w:eastAsia="Times New Roman" w:cs="Times New Roman"/>
                <w:color w:val="1E1E1F"/>
                <w:sz w:val="16"/>
                <w:szCs w:val="16"/>
                <w:lang w:val="bg-BG"/>
              </w:rPr>
              <w:t>по-бърз достъп до достатъчно финансиране</w:t>
            </w:r>
            <w:r w:rsidR="00DB3DC0" w:rsidRPr="007375EB">
              <w:rPr>
                <w:rFonts w:eastAsia="Times New Roman" w:cs="Times New Roman"/>
                <w:color w:val="1E1E1F"/>
                <w:sz w:val="16"/>
                <w:szCs w:val="16"/>
                <w:lang w:val="bg-BG"/>
              </w:rPr>
              <w:t xml:space="preserve">; </w:t>
            </w:r>
          </w:p>
          <w:p w14:paraId="059B7166" w14:textId="77777777" w:rsidR="00080DA7" w:rsidRPr="007375EB" w:rsidRDefault="00080DA7" w:rsidP="00125F99">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lang w:val="bg-BG"/>
              </w:rPr>
            </w:pPr>
            <w:r w:rsidRPr="007375EB">
              <w:rPr>
                <w:rFonts w:eastAsia="Times New Roman" w:cs="Times New Roman"/>
                <w:color w:val="1E1E1F"/>
                <w:sz w:val="16"/>
                <w:szCs w:val="16"/>
                <w:lang w:val="bg-BG"/>
              </w:rPr>
              <w:t xml:space="preserve">умения и </w:t>
            </w:r>
          </w:p>
          <w:p w14:paraId="34EAA42A" w14:textId="6A241736" w:rsidR="00DB3DC0" w:rsidRPr="007375EB" w:rsidRDefault="00080DA7" w:rsidP="00125F99">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lang w:val="bg-BG"/>
              </w:rPr>
            </w:pPr>
            <w:r w:rsidRPr="007375EB">
              <w:rPr>
                <w:rFonts w:eastAsia="Times New Roman" w:cs="Times New Roman"/>
                <w:color w:val="1E1E1F"/>
                <w:sz w:val="16"/>
                <w:szCs w:val="16"/>
                <w:lang w:val="bg-BG"/>
              </w:rPr>
              <w:t>отворена търговия за устойчиви вериги за доставки.</w:t>
            </w:r>
            <w:r w:rsidR="00DB3DC0" w:rsidRPr="007375EB">
              <w:rPr>
                <w:rFonts w:eastAsia="Times New Roman" w:cs="Times New Roman"/>
                <w:color w:val="1E1E1F"/>
                <w:sz w:val="16"/>
                <w:szCs w:val="16"/>
                <w:lang w:val="bg-BG"/>
              </w:rPr>
              <w:t>.</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8A8B3B4" w14:textId="4FE37E75" w:rsidR="00EB5D2F" w:rsidRPr="007375EB" w:rsidRDefault="00A74FCF" w:rsidP="00EB5D2F">
            <w:pPr>
              <w:shd w:val="clear" w:color="auto" w:fill="FFFFFF" w:themeFill="background1"/>
              <w:spacing w:line="240" w:lineRule="auto"/>
              <w:jc w:val="both"/>
              <w:rPr>
                <w:sz w:val="16"/>
                <w:szCs w:val="16"/>
                <w:lang w:val="bg-BG"/>
              </w:rPr>
            </w:pPr>
            <w:r w:rsidRPr="007375EB">
              <w:rPr>
                <w:sz w:val="16"/>
                <w:szCs w:val="16"/>
                <w:lang w:val="bg-BG"/>
              </w:rPr>
              <w:t>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F8CFCB8" w14:textId="54969598" w:rsidR="00EB5D2F" w:rsidRPr="007375EB" w:rsidRDefault="00080DA7" w:rsidP="00EB5D2F">
            <w:pPr>
              <w:spacing w:line="240" w:lineRule="auto"/>
              <w:jc w:val="both"/>
              <w:rPr>
                <w:rFonts w:eastAsia="Verdana" w:cs="Verdana"/>
                <w:sz w:val="16"/>
                <w:szCs w:val="16"/>
                <w:lang w:val="bg-BG"/>
              </w:rPr>
            </w:pPr>
            <w:r w:rsidRPr="007375EB">
              <w:rPr>
                <w:rFonts w:eastAsia="Verdana" w:cs="Verdana"/>
                <w:sz w:val="16"/>
                <w:szCs w:val="16"/>
                <w:lang w:val="bg-BG"/>
              </w:rPr>
              <w:t xml:space="preserve">Анализираният </w:t>
            </w:r>
            <w:r w:rsidR="0014580E" w:rsidRPr="007375EB">
              <w:rPr>
                <w:rFonts w:eastAsia="Verdana" w:cs="Verdana"/>
                <w:sz w:val="16"/>
                <w:szCs w:val="16"/>
                <w:lang w:val="bg-BG"/>
              </w:rPr>
              <w:t>ЗГП</w:t>
            </w:r>
            <w:r w:rsidRPr="007375EB">
              <w:rPr>
                <w:rFonts w:eastAsia="Verdana" w:cs="Verdana"/>
                <w:sz w:val="16"/>
                <w:szCs w:val="16"/>
                <w:lang w:val="bg-BG"/>
              </w:rPr>
              <w:t xml:space="preserve"> допринася за общата цел за трансформиране на настоящите енергийни системи чрез въвеждане на чисти технологии, за да се осигури преходът към ера на нулеви емисии, като същевременно се гарантира сигурността на доставките на електроенергия за Европейския съюз.</w:t>
            </w:r>
          </w:p>
          <w:p w14:paraId="6B02CF10" w14:textId="1247E272" w:rsidR="003B0527" w:rsidRPr="007375EB" w:rsidRDefault="003B0527" w:rsidP="00EB5D2F">
            <w:pPr>
              <w:spacing w:line="240" w:lineRule="auto"/>
              <w:jc w:val="both"/>
              <w:rPr>
                <w:rFonts w:eastAsia="Verdana" w:cs="Verdana"/>
                <w:sz w:val="16"/>
                <w:szCs w:val="16"/>
                <w:lang w:val="bg-BG"/>
              </w:rPr>
            </w:pPr>
          </w:p>
        </w:tc>
      </w:tr>
      <w:tr w:rsidR="00EB5D2F" w:rsidRPr="007375EB" w14:paraId="020C6E6A"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1641505" w14:textId="6CA3DB6B" w:rsidR="00EB5D2F" w:rsidRPr="007375EB" w:rsidRDefault="00080DA7" w:rsidP="00EB5D2F">
            <w:pPr>
              <w:shd w:val="clear" w:color="auto" w:fill="FFFFFF" w:themeFill="background1"/>
              <w:spacing w:line="240" w:lineRule="auto"/>
              <w:ind w:left="40"/>
              <w:rPr>
                <w:rFonts w:eastAsia="Times New Roman" w:cs="Times New Roman"/>
                <w:color w:val="1E1E1F"/>
                <w:sz w:val="16"/>
                <w:szCs w:val="16"/>
                <w:lang w:val="bg-BG"/>
              </w:rPr>
            </w:pPr>
            <w:r w:rsidRPr="007375EB">
              <w:rPr>
                <w:rFonts w:eastAsia="Times New Roman" w:cs="Times New Roman"/>
                <w:color w:val="1E1E1F"/>
                <w:sz w:val="16"/>
                <w:szCs w:val="16"/>
                <w:lang w:val="bg-BG"/>
              </w:rPr>
              <w:lastRenderedPageBreak/>
              <w:t>Стратегия на ЕС за биоразнообразието до 2030 г</w:t>
            </w:r>
            <w:r w:rsidR="00C1469E" w:rsidRPr="007375EB">
              <w:rPr>
                <w:rStyle w:val="FootnoteReference"/>
                <w:rFonts w:eastAsia="Times New Roman" w:cs="Times New Roman"/>
                <w:color w:val="1E1E1F"/>
                <w:sz w:val="16"/>
                <w:szCs w:val="16"/>
                <w:lang w:val="bg-BG"/>
              </w:rPr>
              <w:footnoteReference w:id="10"/>
            </w:r>
            <w:r w:rsidR="004A0254" w:rsidRPr="007375EB">
              <w:rPr>
                <w:rFonts w:eastAsia="Times New Roman" w:cs="Times New Roman"/>
                <w:color w:val="1E1E1F"/>
                <w:sz w:val="16"/>
                <w:szCs w:val="16"/>
                <w:lang w:val="bg-BG"/>
              </w:rPr>
              <w:t xml:space="preserve">, </w:t>
            </w:r>
            <w:r w:rsidR="00A3566F" w:rsidRPr="007375EB">
              <w:rPr>
                <w:rFonts w:eastAsia="Times New Roman" w:cs="Times New Roman"/>
                <w:color w:val="1E1E1F"/>
                <w:sz w:val="16"/>
                <w:szCs w:val="16"/>
                <w:lang w:val="bg-BG"/>
              </w:rPr>
              <w:t>2020</w:t>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95BBA3B" w14:textId="77777777" w:rsidR="00080DA7" w:rsidRPr="007375EB" w:rsidRDefault="00080DA7" w:rsidP="00080DA7">
            <w:pPr>
              <w:shd w:val="clear" w:color="auto" w:fill="FFFFFF" w:themeFill="background1"/>
              <w:spacing w:line="240" w:lineRule="auto"/>
              <w:jc w:val="both"/>
              <w:rPr>
                <w:rFonts w:eastAsia="Times New Roman" w:cs="Times New Roman"/>
                <w:color w:val="1E1E1F"/>
                <w:sz w:val="16"/>
                <w:szCs w:val="16"/>
                <w:lang w:val="bg-BG"/>
              </w:rPr>
            </w:pPr>
            <w:r w:rsidRPr="007375EB">
              <w:rPr>
                <w:rFonts w:eastAsia="Times New Roman" w:cs="Times New Roman"/>
                <w:color w:val="1E1E1F"/>
                <w:sz w:val="16"/>
                <w:szCs w:val="16"/>
                <w:lang w:val="bg-BG"/>
              </w:rPr>
              <w:t>Тя цели биоразнообразието на Европа да се възстанови до 2030 г. в полза на хората, климата и планетата.</w:t>
            </w:r>
          </w:p>
          <w:p w14:paraId="215FCB53" w14:textId="4F046E0E" w:rsidR="00864174" w:rsidRPr="007375EB" w:rsidRDefault="00080DA7" w:rsidP="00080DA7">
            <w:pPr>
              <w:shd w:val="clear" w:color="auto" w:fill="FFFFFF" w:themeFill="background1"/>
              <w:spacing w:line="240" w:lineRule="auto"/>
              <w:jc w:val="both"/>
              <w:rPr>
                <w:rFonts w:eastAsia="Times New Roman" w:cs="Times New Roman"/>
                <w:color w:val="1E1E1F"/>
                <w:sz w:val="16"/>
                <w:szCs w:val="16"/>
                <w:lang w:val="bg-BG"/>
              </w:rPr>
            </w:pPr>
            <w:r w:rsidRPr="007375EB">
              <w:rPr>
                <w:rFonts w:eastAsia="Times New Roman" w:cs="Times New Roman"/>
                <w:color w:val="1E1E1F"/>
                <w:sz w:val="16"/>
                <w:szCs w:val="16"/>
                <w:lang w:val="bg-BG"/>
              </w:rPr>
              <w:t>Основната амбиция е да се гарантира, че до 2050 г. всички световни екосистеми са възстановени, устойчиви и адекватно защитени</w:t>
            </w:r>
            <w:r w:rsidR="00864174" w:rsidRPr="007375EB">
              <w:rPr>
                <w:rFonts w:eastAsia="Times New Roman" w:cs="Times New Roman"/>
                <w:color w:val="1E1E1F"/>
                <w:sz w:val="16"/>
                <w:szCs w:val="16"/>
                <w:lang w:val="bg-BG"/>
              </w:rPr>
              <w:t>.</w:t>
            </w:r>
          </w:p>
          <w:p w14:paraId="0AADEFF6" w14:textId="6E6E2E49" w:rsidR="00BE5D1F" w:rsidRPr="007375EB" w:rsidRDefault="00080DA7" w:rsidP="00EB5D2F">
            <w:pPr>
              <w:shd w:val="clear" w:color="auto" w:fill="FFFFFF" w:themeFill="background1"/>
              <w:spacing w:line="240" w:lineRule="auto"/>
              <w:jc w:val="both"/>
              <w:rPr>
                <w:rFonts w:eastAsia="Times New Roman" w:cs="Times New Roman"/>
                <w:color w:val="1E1E1F"/>
                <w:sz w:val="16"/>
                <w:szCs w:val="16"/>
                <w:lang w:val="bg-BG"/>
              </w:rPr>
            </w:pPr>
            <w:r w:rsidRPr="007375EB">
              <w:rPr>
                <w:rFonts w:eastAsia="Times New Roman" w:cs="Times New Roman"/>
                <w:color w:val="1E1E1F"/>
                <w:sz w:val="16"/>
                <w:szCs w:val="16"/>
                <w:lang w:val="bg-BG"/>
              </w:rPr>
              <w:t>Стратегията съдържа конкретни ангажименти и действия, които трябва да бъдат изпълнени до 2030 г.</w:t>
            </w:r>
            <w:r w:rsidR="007252E0" w:rsidRPr="007375EB">
              <w:rPr>
                <w:rFonts w:eastAsia="Times New Roman" w:cs="Times New Roman"/>
                <w:color w:val="1E1E1F"/>
                <w:sz w:val="16"/>
                <w:szCs w:val="16"/>
                <w:lang w:val="bg-BG"/>
              </w:rPr>
              <w:t>:</w:t>
            </w:r>
          </w:p>
          <w:p w14:paraId="533686F0" w14:textId="6DBFA27F" w:rsidR="007252E0" w:rsidRPr="007375EB" w:rsidRDefault="00080DA7" w:rsidP="00125F99">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lang w:val="bg-BG"/>
              </w:rPr>
            </w:pPr>
            <w:r w:rsidRPr="007375EB">
              <w:rPr>
                <w:rFonts w:eastAsia="Times New Roman" w:cs="Times New Roman"/>
                <w:color w:val="1E1E1F"/>
                <w:sz w:val="16"/>
                <w:szCs w:val="16"/>
                <w:lang w:val="bg-BG"/>
              </w:rPr>
              <w:t>Създаване на по-голяма мрежа от защитени територии в ЕС на сушата и в морето</w:t>
            </w:r>
            <w:r w:rsidR="007252E0" w:rsidRPr="007375EB">
              <w:rPr>
                <w:rFonts w:eastAsia="Times New Roman" w:cs="Times New Roman"/>
                <w:color w:val="1E1E1F"/>
                <w:sz w:val="16"/>
                <w:szCs w:val="16"/>
                <w:lang w:val="bg-BG"/>
              </w:rPr>
              <w:t>;</w:t>
            </w:r>
          </w:p>
          <w:p w14:paraId="08D2204D" w14:textId="0EC29A53" w:rsidR="007252E0" w:rsidRPr="007375EB" w:rsidRDefault="00D570EB" w:rsidP="00125F99">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lang w:val="bg-BG"/>
              </w:rPr>
            </w:pPr>
            <w:r w:rsidRPr="007375EB">
              <w:rPr>
                <w:rFonts w:eastAsia="Times New Roman" w:cs="Times New Roman"/>
                <w:color w:val="1E1E1F"/>
                <w:sz w:val="16"/>
                <w:szCs w:val="16"/>
                <w:lang w:val="bg-BG"/>
              </w:rPr>
              <w:t>Стартиране на план на ЕС за възстановяване на природата</w:t>
            </w:r>
            <w:r w:rsidR="00820459" w:rsidRPr="007375EB">
              <w:rPr>
                <w:rFonts w:eastAsia="Times New Roman" w:cs="Times New Roman"/>
                <w:color w:val="1E1E1F"/>
                <w:sz w:val="16"/>
                <w:szCs w:val="16"/>
                <w:lang w:val="bg-BG"/>
              </w:rPr>
              <w:t>;</w:t>
            </w:r>
          </w:p>
          <w:p w14:paraId="4371F6F6" w14:textId="16736062" w:rsidR="00820459" w:rsidRPr="007375EB" w:rsidRDefault="00D570EB" w:rsidP="00125F99">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lang w:val="bg-BG"/>
              </w:rPr>
            </w:pPr>
            <w:r w:rsidRPr="007375EB">
              <w:rPr>
                <w:rFonts w:eastAsia="Times New Roman" w:cs="Times New Roman"/>
                <w:color w:val="1E1E1F"/>
                <w:sz w:val="16"/>
                <w:szCs w:val="16"/>
                <w:lang w:val="bg-BG"/>
              </w:rPr>
              <w:t>Въвеждане на мерки за извършване на необходимите преобразуващи промени</w:t>
            </w:r>
            <w:r w:rsidR="005D160B" w:rsidRPr="007375EB">
              <w:rPr>
                <w:rFonts w:eastAsia="Times New Roman" w:cs="Times New Roman"/>
                <w:color w:val="1E1E1F"/>
                <w:sz w:val="16"/>
                <w:szCs w:val="16"/>
                <w:lang w:val="bg-BG"/>
              </w:rPr>
              <w:t>;</w:t>
            </w:r>
          </w:p>
          <w:p w14:paraId="67873602" w14:textId="5764C1C2" w:rsidR="005D160B" w:rsidRPr="007375EB" w:rsidRDefault="00D570EB" w:rsidP="00125F99">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lang w:val="bg-BG"/>
              </w:rPr>
            </w:pPr>
            <w:r w:rsidRPr="007375EB">
              <w:rPr>
                <w:rFonts w:eastAsia="Times New Roman" w:cs="Times New Roman"/>
                <w:color w:val="1E1E1F"/>
                <w:sz w:val="16"/>
                <w:szCs w:val="16"/>
                <w:lang w:val="bg-BG"/>
              </w:rPr>
              <w:t>Въвеждане на мерки за посрещане на глобалното предизвикателство за биоразнообразието</w:t>
            </w:r>
            <w:r w:rsidR="005D160B" w:rsidRPr="007375EB">
              <w:rPr>
                <w:rFonts w:eastAsia="Times New Roman" w:cs="Times New Roman"/>
                <w:color w:val="1E1E1F"/>
                <w:sz w:val="16"/>
                <w:szCs w:val="16"/>
                <w:lang w:val="bg-BG"/>
              </w:rPr>
              <w:t>.</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B99FD8F" w14:textId="04FC7B0F" w:rsidR="00EB5D2F" w:rsidRPr="007375EB" w:rsidRDefault="00A3566F" w:rsidP="00EB5D2F">
            <w:pPr>
              <w:shd w:val="clear" w:color="auto" w:fill="FFFFFF" w:themeFill="background1"/>
              <w:spacing w:line="240" w:lineRule="auto"/>
              <w:rPr>
                <w:rFonts w:eastAsia="Times New Roman" w:cs="Times New Roman"/>
                <w:color w:val="1E1E1F"/>
                <w:sz w:val="16"/>
                <w:szCs w:val="16"/>
                <w:lang w:val="bg-BG"/>
              </w:rPr>
            </w:pPr>
            <w:r w:rsidRPr="007375EB">
              <w:rPr>
                <w:rFonts w:eastAsia="Times New Roman" w:cs="Times New Roman"/>
                <w:color w:val="1E1E1F"/>
                <w:sz w:val="16"/>
                <w:szCs w:val="16"/>
                <w:lang w:val="bg-BG"/>
              </w:rPr>
              <w:t>2020-</w:t>
            </w:r>
            <w:r w:rsidR="007252E0" w:rsidRPr="007375EB">
              <w:rPr>
                <w:rFonts w:eastAsia="Times New Roman" w:cs="Times New Roman"/>
                <w:color w:val="1E1E1F"/>
                <w:sz w:val="16"/>
                <w:szCs w:val="16"/>
                <w:lang w:val="bg-BG"/>
              </w:rPr>
              <w:t>2030</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C60A0FA" w14:textId="136AB15F" w:rsidR="00EB5D2F" w:rsidRPr="007375EB" w:rsidRDefault="00080DA7" w:rsidP="00EB5D2F">
            <w:pPr>
              <w:spacing w:line="240" w:lineRule="auto"/>
              <w:jc w:val="both"/>
              <w:rPr>
                <w:rFonts w:eastAsia="Times New Roman" w:cs="Times New Roman"/>
                <w:color w:val="1E1E1F"/>
                <w:sz w:val="16"/>
                <w:szCs w:val="16"/>
                <w:lang w:val="bg-BG"/>
              </w:rPr>
            </w:pPr>
            <w:r w:rsidRPr="007375EB">
              <w:rPr>
                <w:rFonts w:eastAsia="Verdana" w:cs="Verdana"/>
                <w:sz w:val="16"/>
                <w:szCs w:val="16"/>
                <w:lang w:val="bg-BG"/>
              </w:rPr>
              <w:t>Анализираният PUZ трябва да отговори на предизвикателството да се гарантира опазването на биологичното разнообразие в действие</w:t>
            </w:r>
          </w:p>
        </w:tc>
      </w:tr>
      <w:tr w:rsidR="00EB5D2F" w:rsidRPr="007375EB" w14:paraId="7A6577AF" w14:textId="77777777">
        <w:trPr>
          <w:trHeight w:val="83"/>
        </w:trPr>
        <w:tc>
          <w:tcPr>
            <w:tcW w:w="14962" w:type="dxa"/>
            <w:gridSpan w:val="4"/>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F2F2F2" w:themeFill="background1" w:themeFillShade="F2"/>
            <w:tcMar>
              <w:left w:w="108" w:type="dxa"/>
              <w:right w:w="108" w:type="dxa"/>
            </w:tcMar>
            <w:vAlign w:val="center"/>
          </w:tcPr>
          <w:p w14:paraId="3D4E281B" w14:textId="3C787731" w:rsidR="00EB5D2F" w:rsidRPr="007375EB" w:rsidRDefault="00A7325F" w:rsidP="00EB5D2F">
            <w:pPr>
              <w:spacing w:line="240" w:lineRule="auto"/>
              <w:rPr>
                <w:sz w:val="16"/>
                <w:szCs w:val="16"/>
                <w:lang w:val="bg-BG"/>
              </w:rPr>
            </w:pPr>
            <w:r w:rsidRPr="007375EB">
              <w:rPr>
                <w:rFonts w:eastAsia="Verdana" w:cs="Verdana"/>
                <w:b/>
                <w:bCs/>
                <w:sz w:val="16"/>
                <w:szCs w:val="16"/>
                <w:lang w:val="bg-BG"/>
              </w:rPr>
              <w:t>Европейски директиви / регламенти / закони</w:t>
            </w:r>
          </w:p>
        </w:tc>
      </w:tr>
      <w:tr w:rsidR="00EB5D2F" w:rsidRPr="007375EB" w14:paraId="34EC3228"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68F79C1" w14:textId="77777777" w:rsidR="00A7325F" w:rsidRPr="007375EB" w:rsidRDefault="00A7325F" w:rsidP="00A7325F">
            <w:pPr>
              <w:spacing w:line="240" w:lineRule="auto"/>
              <w:rPr>
                <w:rFonts w:eastAsia="Verdana" w:cs="Verdana"/>
                <w:sz w:val="16"/>
                <w:szCs w:val="16"/>
                <w:lang w:val="bg-BG"/>
              </w:rPr>
            </w:pPr>
            <w:r w:rsidRPr="007375EB">
              <w:rPr>
                <w:rFonts w:eastAsia="Verdana" w:cs="Verdana"/>
                <w:sz w:val="16"/>
                <w:szCs w:val="16"/>
                <w:lang w:val="bg-BG"/>
              </w:rPr>
              <w:t>Европейско законодателство в областта на климата</w:t>
            </w:r>
          </w:p>
          <w:p w14:paraId="21AD79A6" w14:textId="593ECD75" w:rsidR="00EB5D2F" w:rsidRPr="007375EB" w:rsidRDefault="00A7325F" w:rsidP="00A7325F">
            <w:pPr>
              <w:spacing w:line="240" w:lineRule="auto"/>
              <w:rPr>
                <w:sz w:val="16"/>
                <w:szCs w:val="16"/>
                <w:lang w:val="bg-BG"/>
              </w:rPr>
            </w:pPr>
            <w:r w:rsidRPr="007375EB">
              <w:rPr>
                <w:rFonts w:eastAsia="Verdana" w:cs="Verdana"/>
                <w:sz w:val="16"/>
                <w:szCs w:val="16"/>
                <w:lang w:val="bg-BG"/>
              </w:rPr>
              <w:t xml:space="preserve">Регламент на ЕС </w:t>
            </w:r>
            <w:r w:rsidR="00EB5D2F" w:rsidRPr="007375EB">
              <w:rPr>
                <w:rFonts w:eastAsia="Verdana" w:cs="Verdana"/>
                <w:sz w:val="16"/>
                <w:szCs w:val="16"/>
                <w:lang w:val="bg-BG"/>
              </w:rPr>
              <w:t>2021/1119</w:t>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CA2F03A" w14:textId="77777777" w:rsidR="00A7325F" w:rsidRPr="007375EB" w:rsidRDefault="00A7325F" w:rsidP="00A7325F">
            <w:pPr>
              <w:spacing w:line="240" w:lineRule="auto"/>
              <w:jc w:val="both"/>
              <w:rPr>
                <w:rFonts w:eastAsia="Verdana" w:cs="Verdana"/>
                <w:sz w:val="16"/>
                <w:szCs w:val="16"/>
                <w:lang w:val="bg-BG"/>
              </w:rPr>
            </w:pPr>
            <w:r w:rsidRPr="007375EB">
              <w:rPr>
                <w:rFonts w:eastAsia="Verdana" w:cs="Verdana"/>
                <w:sz w:val="16"/>
                <w:szCs w:val="16"/>
                <w:lang w:val="bg-BG"/>
              </w:rPr>
              <w:t>Осъществяване на неутралност по отношение на климата в Съюза до 2050 г.</w:t>
            </w:r>
          </w:p>
          <w:p w14:paraId="59960B03" w14:textId="01E6A76F" w:rsidR="00EB5D2F" w:rsidRPr="007375EB" w:rsidRDefault="00A7325F" w:rsidP="00A7325F">
            <w:pPr>
              <w:spacing w:line="240" w:lineRule="auto"/>
              <w:jc w:val="both"/>
              <w:rPr>
                <w:sz w:val="16"/>
                <w:szCs w:val="16"/>
                <w:lang w:val="bg-BG"/>
              </w:rPr>
            </w:pPr>
            <w:r w:rsidRPr="007375EB">
              <w:rPr>
                <w:rFonts w:eastAsia="Verdana" w:cs="Verdana"/>
                <w:sz w:val="16"/>
                <w:szCs w:val="16"/>
                <w:lang w:val="bg-BG"/>
              </w:rPr>
              <w:t>Намаляване на нетните емисии на парникови газове в страната с поне 55 % до 2030 г. в сравнение с нивата от 1990 г.</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C3158AA" w14:textId="77777777" w:rsidR="00EB5D2F" w:rsidRPr="007375EB" w:rsidRDefault="00EB5D2F" w:rsidP="00EB5D2F">
            <w:pPr>
              <w:shd w:val="clear" w:color="auto" w:fill="FFFFFF" w:themeFill="background1"/>
              <w:spacing w:line="240" w:lineRule="auto"/>
              <w:jc w:val="both"/>
              <w:rPr>
                <w:sz w:val="16"/>
                <w:szCs w:val="16"/>
                <w:lang w:val="bg-BG"/>
              </w:rPr>
            </w:pPr>
            <w:r w:rsidRPr="007375EB">
              <w:rPr>
                <w:rFonts w:eastAsia="Times New Roman" w:cs="Times New Roman"/>
                <w:color w:val="1E1E1F"/>
                <w:sz w:val="16"/>
                <w:szCs w:val="16"/>
                <w:lang w:val="bg-BG"/>
              </w:rPr>
              <w:t xml:space="preserve">2020 – 2050 </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C236526" w14:textId="03E8B6B1" w:rsidR="00EB5D2F" w:rsidRPr="007375EB" w:rsidRDefault="00A7325F" w:rsidP="00EB5D2F">
            <w:pPr>
              <w:spacing w:line="240" w:lineRule="auto"/>
              <w:jc w:val="both"/>
              <w:rPr>
                <w:sz w:val="16"/>
                <w:szCs w:val="16"/>
                <w:lang w:val="bg-BG"/>
              </w:rPr>
            </w:pPr>
            <w:r w:rsidRPr="007375EB">
              <w:rPr>
                <w:rFonts w:eastAsia="Verdana" w:cs="Verdana"/>
                <w:sz w:val="16"/>
                <w:szCs w:val="16"/>
                <w:lang w:val="bg-BG"/>
              </w:rPr>
              <w:t xml:space="preserve">Анализираният </w:t>
            </w:r>
            <w:r w:rsidR="0014580E" w:rsidRPr="007375EB">
              <w:rPr>
                <w:rFonts w:eastAsia="Verdana" w:cs="Verdana"/>
                <w:sz w:val="16"/>
                <w:szCs w:val="16"/>
                <w:lang w:val="bg-BG"/>
              </w:rPr>
              <w:t>ЗГП</w:t>
            </w:r>
            <w:r w:rsidRPr="007375EB">
              <w:rPr>
                <w:rFonts w:eastAsia="Verdana" w:cs="Verdana"/>
                <w:sz w:val="16"/>
                <w:szCs w:val="16"/>
                <w:lang w:val="bg-BG"/>
              </w:rPr>
              <w:t xml:space="preserve"> допринася за постигането на целта за намаляване на емисиите на парникови газове с поне 55% до 2030 г.</w:t>
            </w:r>
          </w:p>
        </w:tc>
      </w:tr>
      <w:tr w:rsidR="00AD2CE5" w:rsidRPr="007375EB" w14:paraId="48DAE805"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07B82FA" w14:textId="77777777" w:rsidR="00270417" w:rsidRPr="007375EB" w:rsidRDefault="00270417" w:rsidP="00270417">
            <w:pPr>
              <w:spacing w:line="240" w:lineRule="auto"/>
              <w:jc w:val="both"/>
              <w:rPr>
                <w:sz w:val="16"/>
                <w:szCs w:val="16"/>
                <w:lang w:val="bg-BG"/>
              </w:rPr>
            </w:pPr>
            <w:r w:rsidRPr="007375EB">
              <w:rPr>
                <w:sz w:val="16"/>
                <w:szCs w:val="16"/>
                <w:lang w:val="bg-BG"/>
              </w:rPr>
              <w:t xml:space="preserve">Директива за насърчаване на използването на енергия от възобновяеми източници </w:t>
            </w:r>
          </w:p>
          <w:p w14:paraId="32252205" w14:textId="57CFBA02" w:rsidR="00AD2CE5" w:rsidRPr="007375EB" w:rsidRDefault="00270417" w:rsidP="00270417">
            <w:pPr>
              <w:spacing w:line="240" w:lineRule="auto"/>
              <w:rPr>
                <w:rFonts w:eastAsia="Verdana" w:cs="Verdana"/>
                <w:color w:val="00B050"/>
                <w:sz w:val="16"/>
                <w:szCs w:val="16"/>
                <w:highlight w:val="yellow"/>
                <w:lang w:val="bg-BG"/>
              </w:rPr>
            </w:pPr>
            <w:r w:rsidRPr="007375EB">
              <w:rPr>
                <w:sz w:val="16"/>
                <w:szCs w:val="16"/>
                <w:lang w:val="bg-BG"/>
              </w:rPr>
              <w:t xml:space="preserve">Директива 2018/2001/ЕС с последващи изменения и допълнения (Регламент 2022/759/ЕС, </w:t>
            </w:r>
            <w:r w:rsidRPr="007375EB">
              <w:rPr>
                <w:sz w:val="16"/>
                <w:szCs w:val="16"/>
                <w:lang w:val="bg-BG"/>
              </w:rPr>
              <w:lastRenderedPageBreak/>
              <w:t>Директива 2023/2413/ЕС)</w:t>
            </w:r>
            <w:r w:rsidR="005222A7" w:rsidRPr="007375EB">
              <w:rPr>
                <w:rStyle w:val="FootnoteReference"/>
                <w:sz w:val="16"/>
                <w:szCs w:val="16"/>
                <w:lang w:val="bg-BG"/>
              </w:rPr>
              <w:footnoteReference w:id="11"/>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49D7ECA" w14:textId="77777777" w:rsidR="003728E6" w:rsidRPr="007375EB" w:rsidRDefault="003728E6" w:rsidP="003728E6">
            <w:pPr>
              <w:shd w:val="clear" w:color="auto" w:fill="FFFFFF" w:themeFill="background1"/>
              <w:spacing w:line="240" w:lineRule="auto"/>
              <w:ind w:left="40"/>
              <w:jc w:val="both"/>
              <w:rPr>
                <w:sz w:val="16"/>
                <w:szCs w:val="16"/>
                <w:lang w:val="bg-BG"/>
              </w:rPr>
            </w:pPr>
            <w:r w:rsidRPr="007375EB">
              <w:rPr>
                <w:sz w:val="16"/>
                <w:szCs w:val="16"/>
                <w:lang w:val="bg-BG"/>
              </w:rPr>
              <w:lastRenderedPageBreak/>
              <w:t>Определя задължителна цел на Съюза за общия дял на енергията от възобновяеми източници в брутното крайно потребление на енергия в Съюза през 2030 г.</w:t>
            </w:r>
          </w:p>
          <w:p w14:paraId="6BAB38A7" w14:textId="77777777" w:rsidR="003728E6" w:rsidRPr="007375EB" w:rsidRDefault="003728E6" w:rsidP="003728E6">
            <w:pPr>
              <w:spacing w:line="240" w:lineRule="auto"/>
              <w:jc w:val="both"/>
              <w:rPr>
                <w:sz w:val="16"/>
                <w:szCs w:val="16"/>
                <w:lang w:val="bg-BG"/>
              </w:rPr>
            </w:pPr>
            <w:r w:rsidRPr="007375EB">
              <w:rPr>
                <w:sz w:val="16"/>
                <w:szCs w:val="16"/>
                <w:lang w:val="bg-BG"/>
              </w:rPr>
              <w:t>Държавите членки колективно гарантират, че делът на енергията от възобновяеми източници в брутното крайно потребление на енергия в Съюза през 2030 г. е най-малко 42,5 %.</w:t>
            </w:r>
          </w:p>
          <w:p w14:paraId="47474CFF" w14:textId="77777777" w:rsidR="003728E6" w:rsidRPr="007375EB" w:rsidRDefault="003728E6" w:rsidP="003728E6">
            <w:pPr>
              <w:spacing w:line="240" w:lineRule="auto"/>
              <w:jc w:val="both"/>
              <w:rPr>
                <w:sz w:val="16"/>
                <w:szCs w:val="16"/>
                <w:lang w:val="bg-BG"/>
              </w:rPr>
            </w:pPr>
            <w:r w:rsidRPr="007375EB">
              <w:rPr>
                <w:sz w:val="16"/>
                <w:szCs w:val="16"/>
                <w:lang w:val="bg-BG"/>
              </w:rPr>
              <w:t xml:space="preserve">Държавите членки полагат колективни усилия за увеличаване на дела на енергията от възобновяеми източници в </w:t>
            </w:r>
            <w:r w:rsidRPr="007375EB">
              <w:rPr>
                <w:sz w:val="16"/>
                <w:szCs w:val="16"/>
                <w:lang w:val="bg-BG"/>
              </w:rPr>
              <w:lastRenderedPageBreak/>
              <w:t>брутното крайно потребление на енергия в Съюза до 45 % през 2030 г.</w:t>
            </w:r>
          </w:p>
          <w:p w14:paraId="5596F767" w14:textId="611C7F3B" w:rsidR="00AD2CE5" w:rsidRPr="007375EB" w:rsidRDefault="003728E6" w:rsidP="003728E6">
            <w:pPr>
              <w:spacing w:line="240" w:lineRule="auto"/>
              <w:jc w:val="both"/>
              <w:rPr>
                <w:rFonts w:eastAsia="Verdana" w:cs="Verdana"/>
                <w:sz w:val="16"/>
                <w:szCs w:val="16"/>
                <w:highlight w:val="yellow"/>
                <w:lang w:val="bg-BG"/>
              </w:rPr>
            </w:pPr>
            <w:r w:rsidRPr="007375EB">
              <w:rPr>
                <w:sz w:val="16"/>
                <w:szCs w:val="16"/>
                <w:lang w:val="bg-BG"/>
              </w:rPr>
              <w:t>Държавите членки определят индикативна цел за иновативни технологии за възобновяема енергия от поне 5 % от новите инсталирани мощности за възобновяема енергия до 2030 г.</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B9DFF3D" w14:textId="51DB46E9" w:rsidR="00AD2CE5" w:rsidRPr="007375EB" w:rsidRDefault="00AD2CE5" w:rsidP="00AD2CE5">
            <w:pPr>
              <w:shd w:val="clear" w:color="auto" w:fill="FFFFFF" w:themeFill="background1"/>
              <w:spacing w:line="240" w:lineRule="auto"/>
              <w:jc w:val="both"/>
              <w:rPr>
                <w:rFonts w:eastAsia="Times New Roman" w:cs="Times New Roman"/>
                <w:color w:val="1E1E1F"/>
                <w:sz w:val="16"/>
                <w:szCs w:val="16"/>
                <w:lang w:val="bg-BG"/>
              </w:rPr>
            </w:pPr>
            <w:r w:rsidRPr="007375EB">
              <w:rPr>
                <w:rFonts w:eastAsia="Times New Roman" w:cs="Times New Roman"/>
                <w:color w:val="1E1E1F"/>
                <w:sz w:val="16"/>
                <w:szCs w:val="16"/>
                <w:lang w:val="bg-BG"/>
              </w:rPr>
              <w:lastRenderedPageBreak/>
              <w:t>2023-2030</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7559251" w14:textId="750C3DED" w:rsidR="00AD2CE5" w:rsidRPr="007375EB" w:rsidRDefault="00A7325F" w:rsidP="00930D80">
            <w:pPr>
              <w:spacing w:line="240" w:lineRule="auto"/>
              <w:jc w:val="both"/>
              <w:rPr>
                <w:rFonts w:eastAsia="Verdana" w:cs="Verdana"/>
                <w:sz w:val="16"/>
                <w:szCs w:val="16"/>
                <w:lang w:val="bg-BG"/>
              </w:rPr>
            </w:pPr>
            <w:r w:rsidRPr="007375EB">
              <w:rPr>
                <w:rFonts w:eastAsia="Verdana" w:cs="Verdana"/>
                <w:sz w:val="16"/>
                <w:szCs w:val="16"/>
                <w:lang w:val="bg-BG"/>
              </w:rPr>
              <w:t xml:space="preserve">Анализираният </w:t>
            </w:r>
            <w:r w:rsidR="0014580E" w:rsidRPr="007375EB">
              <w:rPr>
                <w:rFonts w:eastAsia="Verdana" w:cs="Verdana"/>
                <w:sz w:val="16"/>
                <w:szCs w:val="16"/>
                <w:lang w:val="bg-BG"/>
              </w:rPr>
              <w:t>ЗГП</w:t>
            </w:r>
            <w:r w:rsidRPr="007375EB">
              <w:rPr>
                <w:rFonts w:eastAsia="Verdana" w:cs="Verdana"/>
                <w:sz w:val="16"/>
                <w:szCs w:val="16"/>
                <w:lang w:val="bg-BG"/>
              </w:rPr>
              <w:t xml:space="preserve"> допринася за постигане на дял на енергията от възобновяеми източници в брутното крайно потребление на енергия в Съюза през 2030 г. от поне 42,5 %, като перспективата е той да достигне 45 %.</w:t>
            </w:r>
          </w:p>
        </w:tc>
      </w:tr>
      <w:tr w:rsidR="000F696C" w:rsidRPr="007375EB" w14:paraId="52A43F8D"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01D8DC9" w14:textId="5962CEE4" w:rsidR="000F696C" w:rsidRPr="007375EB" w:rsidRDefault="00AB3133" w:rsidP="00AD2CE5">
            <w:pPr>
              <w:spacing w:line="240" w:lineRule="auto"/>
              <w:jc w:val="both"/>
              <w:rPr>
                <w:sz w:val="16"/>
                <w:szCs w:val="16"/>
                <w:lang w:val="bg-BG"/>
              </w:rPr>
            </w:pPr>
            <w:r w:rsidRPr="007375EB">
              <w:rPr>
                <w:sz w:val="16"/>
                <w:szCs w:val="16"/>
                <w:lang w:val="bg-BG"/>
              </w:rPr>
              <w:t>Регламент (ЕС) 2022/869 относно насоките за трансевропейската енергийна инфраструктура</w:t>
            </w:r>
            <w:r w:rsidRPr="007375EB">
              <w:rPr>
                <w:rStyle w:val="FootnoteReference"/>
                <w:sz w:val="16"/>
                <w:szCs w:val="16"/>
                <w:vertAlign w:val="baseline"/>
                <w:lang w:val="bg-BG"/>
              </w:rPr>
              <w:t xml:space="preserve"> </w:t>
            </w:r>
            <w:r w:rsidR="0031120F" w:rsidRPr="007375EB">
              <w:rPr>
                <w:rStyle w:val="FootnoteReference"/>
                <w:sz w:val="16"/>
                <w:szCs w:val="16"/>
                <w:lang w:val="bg-BG"/>
              </w:rPr>
              <w:footnoteReference w:id="12"/>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8D52A10" w14:textId="542EA391" w:rsidR="003A41C0" w:rsidRPr="007375EB" w:rsidRDefault="00A5539C" w:rsidP="003A41C0">
            <w:pPr>
              <w:shd w:val="clear" w:color="auto" w:fill="FFFFFF" w:themeFill="background1"/>
              <w:spacing w:line="240" w:lineRule="auto"/>
              <w:ind w:left="40"/>
              <w:jc w:val="both"/>
              <w:rPr>
                <w:sz w:val="16"/>
                <w:szCs w:val="16"/>
                <w:lang w:val="bg-BG"/>
              </w:rPr>
            </w:pPr>
            <w:r w:rsidRPr="007375EB">
              <w:rPr>
                <w:sz w:val="16"/>
                <w:szCs w:val="16"/>
                <w:lang w:val="bg-BG"/>
              </w:rPr>
              <w:t>В него се определят насоките за своевременно разработване и оперативна съвместимост на приоритетни коридори и приоритетни области на трансевропейската енергийна инфраструктура, които допринасят за осигуряване на смекчаване на последиците от изменението на климата, по-специално за осъществяване на целите на Съюза в областта на енергетиката и климата за 2030 г. и за постигане на неутралност по отношение на климата най-късно до 2050 г., както и за осигуряване на междусистемни връзки, енергийна сигурност, пазарна и системна интеграция, конкуренция в полза на всички държави членки и достъпни цени на енергията. Тя улеснява навременното изпълнение на проектите от списъка на Съюза чрез рационализиране, по-тясно координиране и ускоряване на процедурите за издаване на разрешения, както и чрез подобряване на прозрачността и общественото участие.</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4BBA40C" w14:textId="1D15826E" w:rsidR="000F696C" w:rsidRPr="007375EB" w:rsidRDefault="005B1A86" w:rsidP="00AD2CE5">
            <w:pPr>
              <w:shd w:val="clear" w:color="auto" w:fill="FFFFFF" w:themeFill="background1"/>
              <w:spacing w:line="240" w:lineRule="auto"/>
              <w:jc w:val="both"/>
              <w:rPr>
                <w:rFonts w:eastAsia="Times New Roman" w:cs="Times New Roman"/>
                <w:color w:val="1E1E1F"/>
                <w:sz w:val="16"/>
                <w:szCs w:val="16"/>
                <w:lang w:val="bg-BG"/>
              </w:rPr>
            </w:pPr>
            <w:r w:rsidRPr="007375EB">
              <w:rPr>
                <w:rFonts w:eastAsia="Times New Roman" w:cs="Times New Roman"/>
                <w:color w:val="1E1E1F"/>
                <w:sz w:val="16"/>
                <w:szCs w:val="16"/>
                <w:lang w:val="bg-BG"/>
              </w:rPr>
              <w:t>2022-2050</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D911A21" w14:textId="22B2EC30" w:rsidR="000F696C" w:rsidRPr="007375EB" w:rsidRDefault="00A7325F" w:rsidP="00930D80">
            <w:pPr>
              <w:spacing w:line="240" w:lineRule="auto"/>
              <w:jc w:val="both"/>
              <w:rPr>
                <w:rFonts w:eastAsia="Verdana" w:cs="Verdana"/>
                <w:sz w:val="16"/>
                <w:szCs w:val="16"/>
                <w:lang w:val="bg-BG"/>
              </w:rPr>
            </w:pPr>
            <w:r w:rsidRPr="007375EB">
              <w:rPr>
                <w:rFonts w:eastAsia="Verdana" w:cs="Verdana"/>
                <w:sz w:val="16"/>
                <w:szCs w:val="16"/>
                <w:lang w:val="bg-BG"/>
              </w:rPr>
              <w:t xml:space="preserve">Анализираният </w:t>
            </w:r>
            <w:r w:rsidR="0014580E" w:rsidRPr="007375EB">
              <w:rPr>
                <w:rFonts w:eastAsia="Verdana" w:cs="Verdana"/>
                <w:sz w:val="16"/>
                <w:szCs w:val="16"/>
                <w:lang w:val="bg-BG"/>
              </w:rPr>
              <w:t>ЗГП</w:t>
            </w:r>
            <w:r w:rsidR="00A5539C" w:rsidRPr="007375EB">
              <w:rPr>
                <w:rFonts w:eastAsia="Verdana" w:cs="Verdana"/>
                <w:sz w:val="16"/>
                <w:szCs w:val="16"/>
                <w:lang w:val="bg-BG"/>
              </w:rPr>
              <w:t xml:space="preserve"> допринася за диверсификацията на националната енергийна инфраструктура, което допринася за смекчаване на изменението на климата.</w:t>
            </w:r>
            <w:r w:rsidR="00F67595" w:rsidRPr="007375EB">
              <w:rPr>
                <w:rFonts w:eastAsia="Verdana" w:cs="Verdana"/>
                <w:sz w:val="16"/>
                <w:szCs w:val="16"/>
                <w:lang w:val="bg-BG"/>
              </w:rPr>
              <w:t xml:space="preserve"> </w:t>
            </w:r>
          </w:p>
        </w:tc>
      </w:tr>
      <w:tr w:rsidR="00D11172" w:rsidRPr="007375EB" w14:paraId="4078D224"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3CD71F1" w14:textId="27CC1C56" w:rsidR="00D11172" w:rsidRPr="007375EB" w:rsidRDefault="00080DA7" w:rsidP="00AD2CE5">
            <w:pPr>
              <w:spacing w:line="240" w:lineRule="auto"/>
              <w:jc w:val="both"/>
              <w:rPr>
                <w:sz w:val="16"/>
                <w:szCs w:val="16"/>
                <w:lang w:val="bg-BG"/>
              </w:rPr>
            </w:pPr>
            <w:r w:rsidRPr="007375EB">
              <w:rPr>
                <w:sz w:val="16"/>
                <w:szCs w:val="16"/>
                <w:lang w:val="bg-BG"/>
              </w:rPr>
              <w:t xml:space="preserve">Регламент (ЕС) 2022/2577 за създаване на рамка за ускоряване на внедряването на енергия от </w:t>
            </w:r>
            <w:r w:rsidRPr="007375EB">
              <w:rPr>
                <w:sz w:val="16"/>
                <w:szCs w:val="16"/>
                <w:lang w:val="bg-BG"/>
              </w:rPr>
              <w:lastRenderedPageBreak/>
              <w:t>възобновяеми източници</w:t>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690A760" w14:textId="77777777" w:rsidR="00080DA7" w:rsidRPr="007375EB" w:rsidRDefault="00080DA7" w:rsidP="00080DA7">
            <w:pPr>
              <w:shd w:val="clear" w:color="auto" w:fill="FFFFFF" w:themeFill="background1"/>
              <w:spacing w:line="240" w:lineRule="auto"/>
              <w:ind w:left="40"/>
              <w:jc w:val="both"/>
              <w:rPr>
                <w:sz w:val="16"/>
                <w:szCs w:val="16"/>
                <w:lang w:val="bg-BG"/>
              </w:rPr>
            </w:pPr>
            <w:r w:rsidRPr="007375EB">
              <w:rPr>
                <w:sz w:val="16"/>
                <w:szCs w:val="16"/>
                <w:lang w:val="bg-BG"/>
              </w:rPr>
              <w:lastRenderedPageBreak/>
              <w:t>Създава спешни временни правила, насочени към ускоряване на процедурата по издаване на разрешения за производство на енергия от възобновяеми източници.</w:t>
            </w:r>
          </w:p>
          <w:p w14:paraId="6B98E717" w14:textId="2671F295" w:rsidR="00574F8F" w:rsidRPr="007375EB" w:rsidRDefault="00080DA7" w:rsidP="00080DA7">
            <w:pPr>
              <w:shd w:val="clear" w:color="auto" w:fill="FFFFFF" w:themeFill="background1"/>
              <w:spacing w:line="240" w:lineRule="auto"/>
              <w:ind w:left="40"/>
              <w:jc w:val="both"/>
              <w:rPr>
                <w:sz w:val="16"/>
                <w:szCs w:val="16"/>
                <w:lang w:val="bg-BG"/>
              </w:rPr>
            </w:pPr>
            <w:r w:rsidRPr="007375EB">
              <w:rPr>
                <w:sz w:val="16"/>
                <w:szCs w:val="16"/>
                <w:lang w:val="bg-BG"/>
              </w:rPr>
              <w:t xml:space="preserve">Планирането, изграждането и експлоатацията на инсталации и </w:t>
            </w:r>
            <w:r w:rsidRPr="007375EB">
              <w:rPr>
                <w:sz w:val="16"/>
                <w:szCs w:val="16"/>
                <w:lang w:val="bg-BG"/>
              </w:rPr>
              <w:lastRenderedPageBreak/>
              <w:t>съоръжения за възобновяема енергия и тяхното свързване към мрежата, самата свързана мрежа, както и активите за съхранение се считат за по-висш обществен интерес и са в услуга на общественото здраве и безопасност</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3E65491" w14:textId="5B1F0301" w:rsidR="00D11172" w:rsidRPr="007375EB" w:rsidRDefault="00DC405C" w:rsidP="00AD2CE5">
            <w:pPr>
              <w:shd w:val="clear" w:color="auto" w:fill="FFFFFF" w:themeFill="background1"/>
              <w:spacing w:line="240" w:lineRule="auto"/>
              <w:jc w:val="both"/>
              <w:rPr>
                <w:rFonts w:eastAsia="Times New Roman" w:cs="Times New Roman"/>
                <w:color w:val="1E1E1F"/>
                <w:sz w:val="16"/>
                <w:szCs w:val="16"/>
                <w:lang w:val="bg-BG"/>
              </w:rPr>
            </w:pPr>
            <w:r w:rsidRPr="007375EB">
              <w:rPr>
                <w:rFonts w:eastAsia="Times New Roman" w:cs="Times New Roman"/>
                <w:color w:val="1E1E1F"/>
                <w:sz w:val="16"/>
                <w:szCs w:val="16"/>
                <w:lang w:val="bg-BG"/>
              </w:rPr>
              <w:lastRenderedPageBreak/>
              <w:t>2022-2030</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CA3D3CC" w14:textId="1A539404" w:rsidR="00D11172" w:rsidRPr="007375EB" w:rsidRDefault="00D570EB" w:rsidP="00930D80">
            <w:pPr>
              <w:spacing w:line="240" w:lineRule="auto"/>
              <w:jc w:val="both"/>
              <w:rPr>
                <w:rFonts w:eastAsia="Verdana" w:cs="Verdana"/>
                <w:sz w:val="16"/>
                <w:szCs w:val="16"/>
                <w:lang w:val="bg-BG"/>
              </w:rPr>
            </w:pPr>
            <w:r w:rsidRPr="007375EB">
              <w:rPr>
                <w:rFonts w:eastAsia="Verdana" w:cs="Verdana"/>
                <w:sz w:val="16"/>
                <w:szCs w:val="16"/>
                <w:lang w:val="bg-BG"/>
              </w:rPr>
              <w:t>Анализираният PUZ може да се възползва от разпоредбите на този регламент предвид значението на диверсификацията на възобновяемите енергийни източници</w:t>
            </w:r>
            <w:r w:rsidR="00B71C62" w:rsidRPr="007375EB">
              <w:rPr>
                <w:rFonts w:eastAsia="Verdana" w:cs="Verdana"/>
                <w:sz w:val="16"/>
                <w:szCs w:val="16"/>
                <w:lang w:val="bg-BG"/>
              </w:rPr>
              <w:t>.</w:t>
            </w:r>
          </w:p>
          <w:p w14:paraId="16471838" w14:textId="1FA71A58" w:rsidR="00B71C62" w:rsidRPr="007375EB" w:rsidRDefault="00D570EB" w:rsidP="00930D80">
            <w:pPr>
              <w:spacing w:line="240" w:lineRule="auto"/>
              <w:jc w:val="both"/>
              <w:rPr>
                <w:rFonts w:eastAsia="Verdana" w:cs="Verdana"/>
                <w:sz w:val="16"/>
                <w:szCs w:val="16"/>
                <w:lang w:val="bg-BG"/>
              </w:rPr>
            </w:pPr>
            <w:r w:rsidRPr="007375EB">
              <w:rPr>
                <w:rFonts w:eastAsia="Verdana" w:cs="Verdana"/>
                <w:sz w:val="16"/>
                <w:szCs w:val="16"/>
                <w:lang w:val="bg-BG"/>
              </w:rPr>
              <w:t>Планирането, изграждането и експлоатацията на инсталации за възобновяема енергия, тяхното свързване към мрежата и самата свързана мрежа, както и активите за съхранение се считат от Европейския съвет за представляващи голям обществен интерес</w:t>
            </w:r>
            <w:r w:rsidR="00B71C62" w:rsidRPr="007375EB">
              <w:rPr>
                <w:rFonts w:eastAsia="Verdana" w:cs="Verdana"/>
                <w:sz w:val="16"/>
                <w:szCs w:val="16"/>
                <w:lang w:val="bg-BG"/>
              </w:rPr>
              <w:t>.</w:t>
            </w:r>
          </w:p>
        </w:tc>
      </w:tr>
      <w:tr w:rsidR="00155C29" w:rsidRPr="007375EB" w14:paraId="1E0D395B"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4A919A9" w14:textId="70E2F4C8" w:rsidR="00155C29" w:rsidRPr="007375EB" w:rsidRDefault="00D570EB" w:rsidP="00AD2CE5">
            <w:pPr>
              <w:spacing w:line="240" w:lineRule="auto"/>
              <w:jc w:val="both"/>
              <w:rPr>
                <w:sz w:val="16"/>
                <w:szCs w:val="16"/>
                <w:lang w:val="bg-BG"/>
              </w:rPr>
            </w:pPr>
            <w:r w:rsidRPr="007375EB">
              <w:rPr>
                <w:sz w:val="16"/>
                <w:szCs w:val="16"/>
                <w:lang w:val="bg-BG"/>
              </w:rPr>
              <w:t>Закон за възстановяване на природата, Предложение за наредба за възстановяване на природата</w:t>
            </w:r>
            <w:r w:rsidR="001B47DE" w:rsidRPr="007375EB">
              <w:rPr>
                <w:sz w:val="16"/>
                <w:szCs w:val="16"/>
                <w:lang w:val="bg-BG"/>
              </w:rPr>
              <w:t>,</w:t>
            </w:r>
            <w:r w:rsidR="001B47DE" w:rsidRPr="007375EB">
              <w:rPr>
                <w:rStyle w:val="FootnoteReference"/>
                <w:sz w:val="16"/>
                <w:szCs w:val="16"/>
                <w:lang w:val="bg-BG"/>
              </w:rPr>
              <w:footnoteReference w:id="13"/>
            </w:r>
            <w:r w:rsidR="001B47DE" w:rsidRPr="007375EB">
              <w:rPr>
                <w:sz w:val="16"/>
                <w:szCs w:val="16"/>
                <w:lang w:val="bg-BG"/>
              </w:rPr>
              <w:t xml:space="preserve">  </w:t>
            </w:r>
            <w:r w:rsidR="0049272E" w:rsidRPr="007375EB">
              <w:rPr>
                <w:sz w:val="16"/>
                <w:szCs w:val="16"/>
                <w:lang w:val="bg-BG"/>
              </w:rPr>
              <w:t>2022</w:t>
            </w:r>
            <w:r w:rsidR="00E24603" w:rsidRPr="007375EB">
              <w:rPr>
                <w:sz w:val="16"/>
                <w:szCs w:val="16"/>
                <w:lang w:val="bg-BG"/>
              </w:rPr>
              <w:t xml:space="preserve"> </w:t>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EF0C589" w14:textId="3B0EB4D1" w:rsidR="00E31F68" w:rsidRPr="007375EB" w:rsidRDefault="00D570EB" w:rsidP="007F466F">
            <w:pPr>
              <w:shd w:val="clear" w:color="auto" w:fill="FFFFFF" w:themeFill="background1"/>
              <w:spacing w:line="240" w:lineRule="auto"/>
              <w:ind w:left="40"/>
              <w:jc w:val="both"/>
              <w:rPr>
                <w:sz w:val="16"/>
                <w:szCs w:val="16"/>
                <w:lang w:val="bg-BG"/>
              </w:rPr>
            </w:pPr>
            <w:r w:rsidRPr="007375EB">
              <w:rPr>
                <w:sz w:val="16"/>
                <w:szCs w:val="16"/>
                <w:lang w:val="bg-BG"/>
              </w:rPr>
              <w:t>Създава рамка, в която държавите-членки прилагат незабавно ефективни мерки за възстановяване, базирани на района, обхващащи заедно до 2030 г. най-малко 20 % от сухоземните и морските зони на Съюза и до 2050 г. всички екосистеми, които се нуждаят от възстановяване</w:t>
            </w:r>
            <w:r w:rsidR="007F466F" w:rsidRPr="007375EB">
              <w:rPr>
                <w:sz w:val="16"/>
                <w:szCs w:val="16"/>
                <w:lang w:val="bg-BG"/>
              </w:rPr>
              <w:t>.</w:t>
            </w:r>
          </w:p>
          <w:p w14:paraId="5E5FC967" w14:textId="5CF5AF7A" w:rsidR="001F1250" w:rsidRPr="007375EB" w:rsidRDefault="00D570EB" w:rsidP="007F466F">
            <w:pPr>
              <w:shd w:val="clear" w:color="auto" w:fill="FFFFFF" w:themeFill="background1"/>
              <w:spacing w:line="240" w:lineRule="auto"/>
              <w:ind w:left="40"/>
              <w:jc w:val="both"/>
              <w:rPr>
                <w:sz w:val="16"/>
                <w:szCs w:val="16"/>
                <w:lang w:val="bg-BG"/>
              </w:rPr>
            </w:pPr>
            <w:r w:rsidRPr="007375EB">
              <w:rPr>
                <w:sz w:val="16"/>
                <w:szCs w:val="16"/>
                <w:lang w:val="bg-BG"/>
              </w:rPr>
              <w:t>Той има за цел, наред с други неща, да възстанови местообитанията и видовете, защитени от законодателството на ЕС относно природата и подобреното биоразнообразие на земеделските земи, например по отношение на полските пеперуди, птиците в земеделските земи, изключително разнообразните елементи на ландшафта</w:t>
            </w:r>
            <w:r w:rsidR="00F56BE8" w:rsidRPr="007375EB">
              <w:rPr>
                <w:sz w:val="16"/>
                <w:szCs w:val="16"/>
                <w:lang w:val="bg-BG"/>
              </w:rPr>
              <w:t>.</w:t>
            </w:r>
          </w:p>
          <w:p w14:paraId="5367E913" w14:textId="77777777" w:rsidR="00D570EB" w:rsidRPr="007375EB" w:rsidRDefault="00D570EB" w:rsidP="00D570EB">
            <w:pPr>
              <w:shd w:val="clear" w:color="auto" w:fill="FFFFFF" w:themeFill="background1"/>
              <w:spacing w:line="240" w:lineRule="auto"/>
              <w:ind w:left="40"/>
              <w:jc w:val="both"/>
              <w:rPr>
                <w:sz w:val="16"/>
                <w:szCs w:val="16"/>
                <w:lang w:val="bg-BG"/>
              </w:rPr>
            </w:pPr>
            <w:r w:rsidRPr="007375EB">
              <w:rPr>
                <w:sz w:val="16"/>
                <w:szCs w:val="16"/>
                <w:lang w:val="bg-BG"/>
              </w:rPr>
              <w:t>Тя ще изисква от държавите-членки да изготвят национални планове за възстановяване, които вземат предвид националните обстоятелства.</w:t>
            </w:r>
          </w:p>
          <w:p w14:paraId="264A3174" w14:textId="3047AF64" w:rsidR="00BA4938" w:rsidRPr="007375EB" w:rsidRDefault="00D570EB" w:rsidP="00D570EB">
            <w:pPr>
              <w:shd w:val="clear" w:color="auto" w:fill="FFFFFF" w:themeFill="background1"/>
              <w:spacing w:line="240" w:lineRule="auto"/>
              <w:ind w:left="40"/>
              <w:jc w:val="both"/>
              <w:rPr>
                <w:sz w:val="16"/>
                <w:szCs w:val="16"/>
                <w:lang w:val="bg-BG"/>
              </w:rPr>
            </w:pPr>
            <w:r w:rsidRPr="007375EB">
              <w:rPr>
                <w:sz w:val="16"/>
                <w:szCs w:val="16"/>
                <w:lang w:val="bg-BG"/>
              </w:rPr>
              <w:t>Той ще обхване всички природни местообитания, а не само защитените съгласно директивите «Птиците и местообитанията» или Природа 2000</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757E671" w14:textId="41EA69E6" w:rsidR="00155C29" w:rsidRPr="007375EB" w:rsidRDefault="00BA4938" w:rsidP="00AD2CE5">
            <w:pPr>
              <w:shd w:val="clear" w:color="auto" w:fill="FFFFFF" w:themeFill="background1"/>
              <w:spacing w:line="240" w:lineRule="auto"/>
              <w:jc w:val="both"/>
              <w:rPr>
                <w:rFonts w:eastAsia="Times New Roman" w:cs="Times New Roman"/>
                <w:color w:val="1E1E1F"/>
                <w:sz w:val="16"/>
                <w:szCs w:val="16"/>
                <w:lang w:val="bg-BG"/>
              </w:rPr>
            </w:pPr>
            <w:r w:rsidRPr="007375EB">
              <w:rPr>
                <w:rFonts w:eastAsia="Times New Roman" w:cs="Times New Roman"/>
                <w:color w:val="1E1E1F"/>
                <w:sz w:val="16"/>
                <w:szCs w:val="16"/>
                <w:lang w:val="bg-BG"/>
              </w:rPr>
              <w:t>2022-2050</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2303279" w14:textId="7D03B78C" w:rsidR="00155C29" w:rsidRPr="007375EB" w:rsidRDefault="00D570EB" w:rsidP="00930D80">
            <w:pPr>
              <w:spacing w:line="240" w:lineRule="auto"/>
              <w:jc w:val="both"/>
              <w:rPr>
                <w:rFonts w:eastAsia="Verdana" w:cs="Verdana"/>
                <w:sz w:val="16"/>
                <w:szCs w:val="16"/>
                <w:lang w:val="bg-BG"/>
              </w:rPr>
            </w:pPr>
            <w:r w:rsidRPr="007375EB">
              <w:rPr>
                <w:rFonts w:eastAsia="Verdana" w:cs="Verdana"/>
                <w:sz w:val="16"/>
                <w:szCs w:val="16"/>
                <w:lang w:val="bg-BG"/>
              </w:rPr>
              <w:t>Анализираният PUZ трябва да отговори на предизвикателството да се осигури съгласуваност на целите по отношение на насърчаването на възобновяемите източници с възстановяването на природата</w:t>
            </w:r>
            <w:r w:rsidR="00BD0F35" w:rsidRPr="007375EB">
              <w:rPr>
                <w:rFonts w:eastAsia="Verdana" w:cs="Verdana"/>
                <w:sz w:val="16"/>
                <w:szCs w:val="16"/>
                <w:lang w:val="bg-BG"/>
              </w:rPr>
              <w:t>.</w:t>
            </w:r>
          </w:p>
        </w:tc>
      </w:tr>
      <w:tr w:rsidR="00AD2CE5" w:rsidRPr="007375EB" w14:paraId="22BFEE22" w14:textId="77777777">
        <w:trPr>
          <w:trHeight w:val="60"/>
        </w:trPr>
        <w:tc>
          <w:tcPr>
            <w:tcW w:w="14962" w:type="dxa"/>
            <w:gridSpan w:val="4"/>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F2F2F2" w:themeFill="background1" w:themeFillShade="F2"/>
            <w:tcMar>
              <w:left w:w="108" w:type="dxa"/>
              <w:right w:w="108" w:type="dxa"/>
            </w:tcMar>
            <w:vAlign w:val="center"/>
          </w:tcPr>
          <w:p w14:paraId="27F2A565" w14:textId="7DC3200F" w:rsidR="00AD2CE5" w:rsidRPr="007375EB" w:rsidRDefault="00D570EB" w:rsidP="00AD2CE5">
            <w:pPr>
              <w:spacing w:line="240" w:lineRule="auto"/>
              <w:rPr>
                <w:sz w:val="16"/>
                <w:szCs w:val="16"/>
                <w:lang w:val="bg-BG"/>
              </w:rPr>
            </w:pPr>
            <w:r w:rsidRPr="007375EB">
              <w:rPr>
                <w:rFonts w:eastAsia="Verdana" w:cs="Verdana"/>
                <w:b/>
                <w:bCs/>
                <w:color w:val="000000" w:themeColor="text1"/>
                <w:sz w:val="16"/>
                <w:szCs w:val="16"/>
                <w:lang w:val="bg-BG"/>
              </w:rPr>
              <w:t>Национални политики/стратегии/планове</w:t>
            </w:r>
          </w:p>
        </w:tc>
      </w:tr>
      <w:tr w:rsidR="008162E0" w:rsidRPr="007375EB" w14:paraId="21DDBBC4"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38EC3C8" w14:textId="3CA506D6" w:rsidR="008162E0" w:rsidRPr="007375EB" w:rsidRDefault="00EA2E6C" w:rsidP="008162E0">
            <w:pPr>
              <w:spacing w:line="240" w:lineRule="auto"/>
              <w:jc w:val="both"/>
              <w:rPr>
                <w:sz w:val="16"/>
                <w:szCs w:val="16"/>
                <w:lang w:val="bg-BG"/>
              </w:rPr>
            </w:pPr>
            <w:r w:rsidRPr="007375EB">
              <w:rPr>
                <w:rFonts w:eastAsia="Times New Roman" w:cs="Times New Roman"/>
                <w:sz w:val="16"/>
                <w:szCs w:val="16"/>
                <w:lang w:val="bg-BG"/>
              </w:rPr>
              <w:t xml:space="preserve">Стратегията за капитализиране на възобновяемите енергийни източници </w:t>
            </w:r>
            <w:r w:rsidR="008162E0" w:rsidRPr="007375EB">
              <w:rPr>
                <w:rFonts w:eastAsia="Times New Roman" w:cs="Times New Roman"/>
                <w:sz w:val="16"/>
                <w:szCs w:val="16"/>
                <w:lang w:val="bg-BG"/>
              </w:rPr>
              <w:t>(</w:t>
            </w:r>
            <w:r w:rsidRPr="007375EB">
              <w:rPr>
                <w:rFonts w:eastAsia="Times New Roman" w:cs="Times New Roman"/>
                <w:sz w:val="16"/>
                <w:szCs w:val="16"/>
                <w:lang w:val="bg-BG"/>
              </w:rPr>
              <w:t>РП</w:t>
            </w:r>
            <w:r w:rsidR="008162E0" w:rsidRPr="007375EB">
              <w:rPr>
                <w:rFonts w:eastAsia="Times New Roman" w:cs="Times New Roman"/>
                <w:sz w:val="16"/>
                <w:szCs w:val="16"/>
                <w:lang w:val="bg-BG"/>
              </w:rPr>
              <w:t xml:space="preserve"> 1535/2003)</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7CB198D" w14:textId="5A5167B9" w:rsidR="008162E0" w:rsidRPr="007375EB" w:rsidRDefault="00EA2E6C" w:rsidP="008162E0">
            <w:pPr>
              <w:spacing w:line="240" w:lineRule="auto"/>
              <w:jc w:val="both"/>
              <w:rPr>
                <w:sz w:val="16"/>
                <w:szCs w:val="16"/>
                <w:lang w:val="bg-BG"/>
              </w:rPr>
            </w:pPr>
            <w:r w:rsidRPr="007375EB">
              <w:rPr>
                <w:sz w:val="16"/>
                <w:szCs w:val="16"/>
                <w:lang w:val="bg-BG"/>
              </w:rPr>
              <w:t>Общите цели на Стратегията за капитализиране на възобновяемите енергийни източници се състоят от</w:t>
            </w:r>
            <w:r w:rsidR="008162E0" w:rsidRPr="007375EB">
              <w:rPr>
                <w:sz w:val="16"/>
                <w:szCs w:val="16"/>
                <w:lang w:val="bg-BG"/>
              </w:rPr>
              <w:t>:</w:t>
            </w:r>
          </w:p>
          <w:p w14:paraId="16D98BAE" w14:textId="77777777" w:rsidR="00EA2E6C" w:rsidRPr="007375EB" w:rsidRDefault="00EA2E6C" w:rsidP="00EA2E6C">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интегрирането на възобновяемите енергийни източници в структурата на националната енергийна система</w:t>
            </w:r>
            <w:r w:rsidR="008162E0" w:rsidRPr="007375EB">
              <w:rPr>
                <w:sz w:val="16"/>
                <w:szCs w:val="16"/>
                <w:lang w:val="bg-BG"/>
              </w:rPr>
              <w:t>;</w:t>
            </w:r>
          </w:p>
          <w:p w14:paraId="77BD712E" w14:textId="52C2D105" w:rsidR="008162E0" w:rsidRPr="007375EB" w:rsidRDefault="00EA2E6C" w:rsidP="00EA2E6C">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 xml:space="preserve">намаляване на технико-функционалните и психо-социалните бариери в процеса на капитализиране </w:t>
            </w:r>
            <w:r w:rsidRPr="007375EB">
              <w:rPr>
                <w:sz w:val="16"/>
                <w:szCs w:val="16"/>
                <w:lang w:val="bg-BG"/>
              </w:rPr>
              <w:lastRenderedPageBreak/>
              <w:t>на възобновяемите енергийни източници, както и на разходите и икономическата ефективност</w:t>
            </w:r>
            <w:r w:rsidR="008162E0" w:rsidRPr="007375EB">
              <w:rPr>
                <w:sz w:val="16"/>
                <w:szCs w:val="16"/>
                <w:lang w:val="bg-BG"/>
              </w:rPr>
              <w:t>;</w:t>
            </w:r>
          </w:p>
          <w:p w14:paraId="3E7A1191" w14:textId="77777777" w:rsidR="00EA2E6C" w:rsidRPr="007375EB" w:rsidRDefault="00EA2E6C" w:rsidP="00EA2E6C">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насърчаване на частните инвестиции и създаване на условия за улесняване достъпа на чужд капитал до пазара на възобновяеми енергийни източници</w:t>
            </w:r>
            <w:r w:rsidR="008162E0" w:rsidRPr="007375EB">
              <w:rPr>
                <w:sz w:val="16"/>
                <w:szCs w:val="16"/>
                <w:lang w:val="bg-BG"/>
              </w:rPr>
              <w:t>;</w:t>
            </w:r>
          </w:p>
          <w:p w14:paraId="20E040C3" w14:textId="77777777" w:rsidR="00EA2E6C" w:rsidRPr="007375EB" w:rsidRDefault="00EA2E6C" w:rsidP="00EA2E6C">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осигуряване на енергийната независимост на националната икономика;</w:t>
            </w:r>
          </w:p>
          <w:p w14:paraId="075E82D5" w14:textId="08863D09" w:rsidR="008162E0" w:rsidRPr="007375EB" w:rsidRDefault="00EA2E6C" w:rsidP="00EA2E6C">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осигуряване, в зависимост от случая, на енергийното снабдяване на изолирани общности чрез капитализиране на потенциала на местните възобновяеми източници</w:t>
            </w:r>
            <w:r w:rsidR="008162E0" w:rsidRPr="007375EB">
              <w:rPr>
                <w:sz w:val="16"/>
                <w:szCs w:val="16"/>
                <w:lang w:val="bg-BG"/>
              </w:rPr>
              <w:t>;</w:t>
            </w:r>
          </w:p>
          <w:p w14:paraId="36F9A0E1" w14:textId="5A88CEAD" w:rsidR="008162E0" w:rsidRPr="007375EB" w:rsidRDefault="00EA2E6C" w:rsidP="008162E0">
            <w:pPr>
              <w:shd w:val="clear" w:color="auto" w:fill="FFFFFF" w:themeFill="background1"/>
              <w:spacing w:line="240" w:lineRule="auto"/>
              <w:jc w:val="both"/>
              <w:rPr>
                <w:sz w:val="16"/>
                <w:szCs w:val="16"/>
                <w:lang w:val="bg-BG"/>
              </w:rPr>
            </w:pPr>
            <w:r w:rsidRPr="007375EB">
              <w:rPr>
                <w:sz w:val="16"/>
                <w:szCs w:val="16"/>
                <w:lang w:val="bg-BG"/>
              </w:rPr>
              <w:t>създаване на условия за участие на Румъния в европейския пазар на „Зелени сертификати“ за енергия от възобновяеми източници</w:t>
            </w:r>
            <w:r w:rsidR="008162E0" w:rsidRPr="007375EB">
              <w:rPr>
                <w:sz w:val="16"/>
                <w:szCs w:val="16"/>
                <w:lang w:val="bg-BG"/>
              </w:rPr>
              <w:t>.</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19DADAF" w14:textId="2555EEA2" w:rsidR="008162E0" w:rsidRPr="007375EB" w:rsidRDefault="008162E0" w:rsidP="008162E0">
            <w:pPr>
              <w:spacing w:line="240" w:lineRule="auto"/>
              <w:jc w:val="both"/>
              <w:rPr>
                <w:sz w:val="16"/>
                <w:szCs w:val="16"/>
                <w:lang w:val="bg-BG"/>
              </w:rPr>
            </w:pPr>
            <w:r w:rsidRPr="007375EB">
              <w:rPr>
                <w:sz w:val="16"/>
                <w:szCs w:val="16"/>
                <w:lang w:val="bg-BG"/>
              </w:rPr>
              <w:lastRenderedPageBreak/>
              <w:t>2003-2010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91CD32A" w14:textId="090C5609" w:rsidR="008162E0" w:rsidRPr="007375EB" w:rsidRDefault="00EA2E6C" w:rsidP="008162E0">
            <w:pPr>
              <w:spacing w:line="240" w:lineRule="auto"/>
              <w:jc w:val="both"/>
              <w:rPr>
                <w:sz w:val="16"/>
                <w:szCs w:val="16"/>
                <w:lang w:val="bg-BG"/>
              </w:rPr>
            </w:pPr>
            <w:r w:rsidRPr="007375EB">
              <w:rPr>
                <w:rFonts w:eastAsia="Verdana" w:cs="Verdana"/>
                <w:sz w:val="16"/>
                <w:szCs w:val="16"/>
                <w:lang w:val="bg-BG"/>
              </w:rPr>
              <w:t>Анализираният PUZ допринася за всички общи цели на Стратегията за капитализиране на възобновяемите енергийни източници</w:t>
            </w:r>
          </w:p>
        </w:tc>
      </w:tr>
      <w:tr w:rsidR="008162E0" w:rsidRPr="007375EB" w14:paraId="4CCA7813"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02EBCD9" w14:textId="4078CC71" w:rsidR="008162E0" w:rsidRPr="007375EB" w:rsidRDefault="00EA2E6C" w:rsidP="008162E0">
            <w:pPr>
              <w:spacing w:line="240" w:lineRule="auto"/>
              <w:jc w:val="both"/>
              <w:rPr>
                <w:sz w:val="16"/>
                <w:szCs w:val="16"/>
                <w:lang w:val="bg-BG"/>
              </w:rPr>
            </w:pPr>
            <w:r w:rsidRPr="007375EB">
              <w:rPr>
                <w:sz w:val="16"/>
                <w:szCs w:val="16"/>
                <w:lang w:val="bg-BG"/>
              </w:rPr>
              <w:t>Енергийната стратегия на Румъния 2007-2020 г гг.</w:t>
            </w:r>
            <w:r w:rsidR="008162E0" w:rsidRPr="007375EB">
              <w:rPr>
                <w:sz w:val="16"/>
                <w:szCs w:val="16"/>
                <w:lang w:val="bg-BG"/>
              </w:rPr>
              <w:t xml:space="preserve">, </w:t>
            </w:r>
          </w:p>
          <w:p w14:paraId="54BA390D" w14:textId="1B79B507" w:rsidR="008162E0" w:rsidRPr="007375EB" w:rsidRDefault="008162E0" w:rsidP="008162E0">
            <w:pPr>
              <w:spacing w:line="240" w:lineRule="auto"/>
              <w:jc w:val="both"/>
              <w:rPr>
                <w:sz w:val="16"/>
                <w:szCs w:val="16"/>
                <w:lang w:val="bg-BG"/>
              </w:rPr>
            </w:pPr>
            <w:r w:rsidRPr="007375EB">
              <w:rPr>
                <w:sz w:val="16"/>
                <w:szCs w:val="16"/>
                <w:lang w:val="bg-BG"/>
              </w:rPr>
              <w:t>(</w:t>
            </w:r>
            <w:r w:rsidR="00EA2E6C" w:rsidRPr="007375EB">
              <w:rPr>
                <w:sz w:val="16"/>
                <w:szCs w:val="16"/>
                <w:lang w:val="bg-BG"/>
              </w:rPr>
              <w:t>РП</w:t>
            </w:r>
            <w:r w:rsidRPr="007375EB">
              <w:rPr>
                <w:sz w:val="16"/>
                <w:szCs w:val="16"/>
                <w:lang w:val="bg-BG"/>
              </w:rPr>
              <w:t xml:space="preserve"> 1069/2007)</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C8E1869" w14:textId="7D9C1BE0" w:rsidR="00EA2E6C" w:rsidRPr="007375EB" w:rsidRDefault="00EA2E6C" w:rsidP="008162E0">
            <w:pPr>
              <w:shd w:val="clear" w:color="auto" w:fill="FFFFFF" w:themeFill="background1"/>
              <w:spacing w:line="240" w:lineRule="auto"/>
              <w:jc w:val="both"/>
              <w:rPr>
                <w:sz w:val="16"/>
                <w:szCs w:val="16"/>
                <w:lang w:val="bg-BG"/>
              </w:rPr>
            </w:pPr>
            <w:r w:rsidRPr="007375EB">
              <w:rPr>
                <w:sz w:val="16"/>
                <w:szCs w:val="16"/>
                <w:lang w:val="bg-BG"/>
              </w:rPr>
              <w:t>Общата цел е задоволяване на енергийните нужди както сега, така и в средносрочен и дългосрочен план, на възможно най-ниска цена, подходяща за съвременна пазарна икономика и цивилизован стандарт на живот, при условия на качество, безопасност на доставките, в съответствие с принципите на устойчивото развитие.</w:t>
            </w:r>
          </w:p>
          <w:p w14:paraId="7678B9B4" w14:textId="4E4D3B1E" w:rsidR="008162E0" w:rsidRPr="007375EB" w:rsidRDefault="00EA2E6C" w:rsidP="008162E0">
            <w:pPr>
              <w:shd w:val="clear" w:color="auto" w:fill="FFFFFF" w:themeFill="background1"/>
              <w:spacing w:line="240" w:lineRule="auto"/>
              <w:jc w:val="both"/>
              <w:rPr>
                <w:sz w:val="16"/>
                <w:szCs w:val="16"/>
                <w:lang w:val="bg-BG"/>
              </w:rPr>
            </w:pPr>
            <w:r w:rsidRPr="007375EB">
              <w:rPr>
                <w:sz w:val="16"/>
                <w:szCs w:val="16"/>
                <w:lang w:val="bg-BG"/>
              </w:rPr>
              <w:t xml:space="preserve">Стратегическата цел </w:t>
            </w:r>
            <w:r w:rsidRPr="007375EB">
              <w:rPr>
                <w:i/>
                <w:iCs/>
                <w:sz w:val="16"/>
                <w:szCs w:val="16"/>
                <w:lang w:val="bg-BG"/>
              </w:rPr>
              <w:t>Енергийна сигурност</w:t>
            </w:r>
            <w:r w:rsidRPr="007375EB">
              <w:rPr>
                <w:sz w:val="16"/>
                <w:szCs w:val="16"/>
                <w:lang w:val="bg-BG"/>
              </w:rPr>
              <w:t xml:space="preserve"> предвижда повишаване на енергийната сигурност чрез осигуряване на потребността от енергийни ресурси и ограничаване на зависимостта от внос на енергийни ресурси</w:t>
            </w:r>
            <w:r w:rsidR="008162E0" w:rsidRPr="007375EB">
              <w:rPr>
                <w:sz w:val="16"/>
                <w:szCs w:val="16"/>
                <w:lang w:val="bg-BG"/>
              </w:rPr>
              <w:t>.</w:t>
            </w:r>
          </w:p>
          <w:p w14:paraId="74FEBD3A" w14:textId="6BAE3F39" w:rsidR="00EA2E6C" w:rsidRPr="007375EB" w:rsidRDefault="00EA2E6C" w:rsidP="008162E0">
            <w:pPr>
              <w:shd w:val="clear" w:color="auto" w:fill="FFFFFF" w:themeFill="background1"/>
              <w:spacing w:line="240" w:lineRule="auto"/>
              <w:jc w:val="both"/>
              <w:rPr>
                <w:sz w:val="16"/>
                <w:szCs w:val="16"/>
                <w:lang w:val="bg-BG"/>
              </w:rPr>
            </w:pPr>
            <w:r w:rsidRPr="007375EB">
              <w:rPr>
                <w:sz w:val="16"/>
                <w:szCs w:val="16"/>
                <w:lang w:val="bg-BG"/>
              </w:rPr>
              <w:t xml:space="preserve">Стратегическата цел </w:t>
            </w:r>
            <w:r w:rsidRPr="007375EB">
              <w:rPr>
                <w:i/>
                <w:iCs/>
                <w:sz w:val="16"/>
                <w:szCs w:val="16"/>
                <w:lang w:val="bg-BG"/>
              </w:rPr>
              <w:t>Устойчиво развитие</w:t>
            </w:r>
            <w:r w:rsidRPr="007375EB">
              <w:rPr>
                <w:sz w:val="16"/>
                <w:szCs w:val="16"/>
                <w:lang w:val="bg-BG"/>
              </w:rPr>
              <w:t xml:space="preserve"> предвижда насърчаване на производството на енергия, базирано на възобновяеми ресурси. Стратегическата цел Енергийна сигурност предвижда повишаване на енергийната сигурност чрез осигуряване на потребността от енергийни ресурси и ограничаване на зависимостта от внос на енергийни ресурси.</w:t>
            </w:r>
          </w:p>
          <w:p w14:paraId="03DDA18A" w14:textId="59CEC892" w:rsidR="00EA2E6C" w:rsidRPr="007375EB" w:rsidRDefault="00EA2E6C" w:rsidP="00EA2E6C">
            <w:pPr>
              <w:shd w:val="clear" w:color="auto" w:fill="FFFFFF" w:themeFill="background1"/>
              <w:spacing w:line="240" w:lineRule="auto"/>
              <w:jc w:val="both"/>
              <w:rPr>
                <w:sz w:val="16"/>
                <w:szCs w:val="16"/>
                <w:lang w:val="bg-BG"/>
              </w:rPr>
            </w:pPr>
            <w:r w:rsidRPr="007375EB">
              <w:rPr>
                <w:sz w:val="16"/>
                <w:szCs w:val="16"/>
                <w:lang w:val="bg-BG"/>
              </w:rPr>
              <w:lastRenderedPageBreak/>
              <w:t>Годишният теоретичен потенциал на Румъния за вятърна енергия се оценява на 1,2 ТВт.</w:t>
            </w:r>
          </w:p>
          <w:p w14:paraId="072B834A" w14:textId="688AEAE5" w:rsidR="008162E0" w:rsidRPr="007375EB" w:rsidRDefault="00EA2E6C" w:rsidP="00EA2E6C">
            <w:pPr>
              <w:shd w:val="clear" w:color="auto" w:fill="FFFFFF" w:themeFill="background1"/>
              <w:spacing w:line="240" w:lineRule="auto"/>
              <w:jc w:val="both"/>
              <w:rPr>
                <w:sz w:val="16"/>
                <w:szCs w:val="16"/>
                <w:lang w:val="bg-BG"/>
              </w:rPr>
            </w:pPr>
            <w:r w:rsidRPr="007375EB">
              <w:rPr>
                <w:sz w:val="16"/>
                <w:szCs w:val="16"/>
                <w:lang w:val="bg-BG"/>
              </w:rPr>
              <w:t>Районът на Добруджа има потенциал за слънчева и вятърна енергия</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B586003" w14:textId="26763A50" w:rsidR="008162E0" w:rsidRPr="007375EB" w:rsidRDefault="008162E0" w:rsidP="008162E0">
            <w:pPr>
              <w:spacing w:line="240" w:lineRule="auto"/>
              <w:jc w:val="both"/>
              <w:rPr>
                <w:sz w:val="16"/>
                <w:szCs w:val="16"/>
                <w:lang w:val="bg-BG"/>
              </w:rPr>
            </w:pPr>
            <w:r w:rsidRPr="007375EB">
              <w:rPr>
                <w:sz w:val="16"/>
                <w:szCs w:val="16"/>
                <w:lang w:val="bg-BG"/>
              </w:rPr>
              <w:lastRenderedPageBreak/>
              <w:t>2007-2020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8681A6B" w14:textId="0EBB1E82" w:rsidR="008162E0" w:rsidRPr="007375EB" w:rsidRDefault="00EA2E6C" w:rsidP="008162E0">
            <w:pPr>
              <w:spacing w:line="240" w:lineRule="auto"/>
              <w:jc w:val="both"/>
              <w:rPr>
                <w:rFonts w:eastAsia="Verdana" w:cs="Verdana"/>
                <w:sz w:val="16"/>
                <w:szCs w:val="16"/>
                <w:lang w:val="bg-BG"/>
              </w:rPr>
            </w:pPr>
            <w:r w:rsidRPr="007375EB">
              <w:rPr>
                <w:rFonts w:eastAsia="Verdana" w:cs="Verdana"/>
                <w:sz w:val="16"/>
                <w:szCs w:val="16"/>
                <w:lang w:val="bg-BG"/>
              </w:rPr>
              <w:t>Анализираният PUZ е част от посоката на действие на енергийната стратегия по отношение на насърчаването на използването на възобновяеми енергийни ресурси, в съответствие с практиките на Европейския съюз</w:t>
            </w:r>
          </w:p>
        </w:tc>
      </w:tr>
      <w:tr w:rsidR="008162E0" w:rsidRPr="007375EB" w14:paraId="2711A9D3"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64C0FC1" w14:textId="276865C3" w:rsidR="008162E0" w:rsidRPr="007375EB" w:rsidRDefault="00EA2E6C" w:rsidP="001E15C0">
            <w:pPr>
              <w:spacing w:line="240" w:lineRule="auto"/>
              <w:ind w:left="28"/>
              <w:jc w:val="both"/>
              <w:rPr>
                <w:rFonts w:eastAsia="Times New Roman" w:cs="Times New Roman"/>
                <w:sz w:val="16"/>
                <w:szCs w:val="16"/>
                <w:lang w:val="bg-BG"/>
              </w:rPr>
            </w:pPr>
            <w:r w:rsidRPr="007375EB">
              <w:rPr>
                <w:sz w:val="16"/>
                <w:szCs w:val="16"/>
                <w:lang w:val="bg-BG"/>
              </w:rPr>
              <w:t xml:space="preserve">Енергийната стратегия на Румъния </w:t>
            </w:r>
            <w:r w:rsidR="001E15C0" w:rsidRPr="007375EB">
              <w:rPr>
                <w:rFonts w:eastAsia="Times New Roman" w:cs="Times New Roman"/>
                <w:sz w:val="16"/>
                <w:szCs w:val="16"/>
                <w:lang w:val="bg-BG"/>
              </w:rPr>
              <w:t>2022-2030</w:t>
            </w:r>
            <w:r w:rsidRPr="007375EB">
              <w:rPr>
                <w:rFonts w:eastAsia="Times New Roman" w:cs="Times New Roman"/>
                <w:sz w:val="16"/>
                <w:szCs w:val="16"/>
                <w:lang w:val="bg-BG"/>
              </w:rPr>
              <w:t xml:space="preserve"> гг.</w:t>
            </w:r>
            <w:r w:rsidR="001E15C0" w:rsidRPr="007375EB">
              <w:rPr>
                <w:rFonts w:eastAsia="Times New Roman" w:cs="Times New Roman"/>
                <w:sz w:val="16"/>
                <w:szCs w:val="16"/>
                <w:lang w:val="bg-BG"/>
              </w:rPr>
              <w:t xml:space="preserve">, </w:t>
            </w:r>
            <w:r w:rsidRPr="007375EB">
              <w:rPr>
                <w:rFonts w:eastAsia="Times New Roman" w:cs="Times New Roman"/>
                <w:sz w:val="16"/>
                <w:szCs w:val="16"/>
                <w:lang w:val="bg-BG"/>
              </w:rPr>
              <w:t>с перспектива до 2050 г</w:t>
            </w:r>
            <w:r w:rsidR="00C51B76" w:rsidRPr="007375EB">
              <w:rPr>
                <w:rStyle w:val="FootnoteReference"/>
                <w:rFonts w:eastAsia="Times New Roman" w:cs="Times New Roman"/>
                <w:sz w:val="16"/>
                <w:szCs w:val="16"/>
                <w:lang w:val="bg-BG"/>
              </w:rPr>
              <w:footnoteReference w:id="14"/>
            </w:r>
            <w:r w:rsidR="00D200D3" w:rsidRPr="007375EB">
              <w:rPr>
                <w:rFonts w:eastAsia="Times New Roman" w:cs="Times New Roman"/>
                <w:sz w:val="16"/>
                <w:szCs w:val="16"/>
                <w:lang w:val="bg-BG"/>
              </w:rPr>
              <w:t xml:space="preserve">, </w:t>
            </w:r>
            <w:r w:rsidRPr="007375EB">
              <w:rPr>
                <w:rFonts w:eastAsia="Times New Roman" w:cs="Times New Roman"/>
                <w:sz w:val="16"/>
                <w:szCs w:val="16"/>
                <w:lang w:val="bg-BG"/>
              </w:rPr>
              <w:t>в одобрение</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FAA9110" w14:textId="5AC5700A" w:rsidR="008162E0" w:rsidRPr="007375EB" w:rsidRDefault="005019C7" w:rsidP="00ED7070">
            <w:pPr>
              <w:spacing w:line="240" w:lineRule="auto"/>
              <w:jc w:val="both"/>
              <w:rPr>
                <w:sz w:val="16"/>
                <w:szCs w:val="16"/>
                <w:lang w:val="bg-BG"/>
              </w:rPr>
            </w:pPr>
            <w:r w:rsidRPr="007375EB">
              <w:rPr>
                <w:sz w:val="16"/>
                <w:szCs w:val="16"/>
                <w:lang w:val="bg-BG"/>
              </w:rPr>
              <w:t>Енергийната стратегия има осем основни стратегически цели, които структурират целия подход за анализ и планиране за периода 2022-2030 г. и времевия хоризонт 2050 г.</w:t>
            </w:r>
          </w:p>
          <w:p w14:paraId="3D2B1F39" w14:textId="6186AC93" w:rsidR="00ED7070" w:rsidRPr="007375EB" w:rsidRDefault="005019C7" w:rsidP="00ED7070">
            <w:pPr>
              <w:spacing w:line="240" w:lineRule="auto"/>
              <w:jc w:val="both"/>
              <w:rPr>
                <w:sz w:val="16"/>
                <w:szCs w:val="16"/>
                <w:lang w:val="bg-BG"/>
              </w:rPr>
            </w:pPr>
            <w:r w:rsidRPr="007375EB">
              <w:rPr>
                <w:sz w:val="16"/>
                <w:szCs w:val="16"/>
                <w:lang w:val="bg-BG"/>
              </w:rPr>
              <w:t>Целите на стратегията подпомагат постигането на националните цели, поети за 2030 г</w:t>
            </w:r>
            <w:r w:rsidR="00ED7070" w:rsidRPr="007375EB">
              <w:rPr>
                <w:sz w:val="16"/>
                <w:szCs w:val="16"/>
                <w:lang w:val="bg-BG"/>
              </w:rPr>
              <w:t>:</w:t>
            </w:r>
          </w:p>
          <w:p w14:paraId="627626F2" w14:textId="60F8039C" w:rsidR="00ED7070" w:rsidRPr="007375EB" w:rsidRDefault="005019C7"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43,9% намаление на емисиите, свързани със секторите по СТЕ в сравнение с нивото от 2005 г., съответно с 2% на емисиите, свързани със секторите извън СТЕ в сравнение с нивото от 2005 г.</w:t>
            </w:r>
            <w:r w:rsidR="00ED7070" w:rsidRPr="007375EB">
              <w:rPr>
                <w:sz w:val="16"/>
                <w:szCs w:val="16"/>
                <w:lang w:val="bg-BG"/>
              </w:rPr>
              <w:t>;</w:t>
            </w:r>
          </w:p>
          <w:p w14:paraId="587C8746" w14:textId="057A7303" w:rsidR="00ED7070" w:rsidRPr="007375EB" w:rsidRDefault="005019C7"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30,7% дял на енергията от възобновяеми източници в крайното брутно потребление на енергия</w:t>
            </w:r>
            <w:r w:rsidR="00ED7070" w:rsidRPr="007375EB">
              <w:rPr>
                <w:sz w:val="16"/>
                <w:szCs w:val="16"/>
                <w:lang w:val="bg-BG"/>
              </w:rPr>
              <w:t>;</w:t>
            </w:r>
          </w:p>
          <w:p w14:paraId="3F054551" w14:textId="4421594B" w:rsidR="00ED7070" w:rsidRPr="007375EB" w:rsidRDefault="005019C7"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 40,4% намаление на крайното потребление на енергия в сравнение с прогнозата PRIMES 2007</w:t>
            </w:r>
            <w:r w:rsidR="00ED7070" w:rsidRPr="007375EB">
              <w:rPr>
                <w:sz w:val="16"/>
                <w:szCs w:val="16"/>
                <w:lang w:val="bg-BG"/>
              </w:rPr>
              <w:t>.</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84104F9" w14:textId="3F170308" w:rsidR="008162E0" w:rsidRPr="007375EB" w:rsidRDefault="00240FA1" w:rsidP="008162E0">
            <w:pPr>
              <w:spacing w:line="240" w:lineRule="auto"/>
              <w:jc w:val="both"/>
              <w:rPr>
                <w:sz w:val="16"/>
                <w:szCs w:val="16"/>
                <w:lang w:val="bg-BG"/>
              </w:rPr>
            </w:pPr>
            <w:r w:rsidRPr="007375EB">
              <w:rPr>
                <w:sz w:val="16"/>
                <w:szCs w:val="16"/>
                <w:lang w:val="bg-BG"/>
              </w:rPr>
              <w:t>2022-2050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168A86A" w14:textId="5071BD3F" w:rsidR="008162E0" w:rsidRPr="007375EB" w:rsidRDefault="005019C7" w:rsidP="008162E0">
            <w:pPr>
              <w:spacing w:line="240" w:lineRule="auto"/>
              <w:jc w:val="both"/>
              <w:rPr>
                <w:rFonts w:eastAsia="Verdana" w:cs="Verdana"/>
                <w:sz w:val="16"/>
                <w:szCs w:val="16"/>
                <w:lang w:val="bg-BG"/>
              </w:rPr>
            </w:pPr>
            <w:r w:rsidRPr="007375EB">
              <w:rPr>
                <w:rFonts w:eastAsia="Verdana" w:cs="Verdana"/>
                <w:sz w:val="16"/>
                <w:szCs w:val="16"/>
                <w:lang w:val="bg-BG"/>
              </w:rPr>
              <w:t xml:space="preserve">Анализираният </w:t>
            </w:r>
            <w:r w:rsidR="0014580E" w:rsidRPr="007375EB">
              <w:rPr>
                <w:rFonts w:eastAsia="Verdana" w:cs="Verdana"/>
                <w:sz w:val="16"/>
                <w:szCs w:val="16"/>
                <w:lang w:val="bg-BG"/>
              </w:rPr>
              <w:t>ЗГП</w:t>
            </w:r>
            <w:r w:rsidRPr="007375EB">
              <w:rPr>
                <w:rFonts w:eastAsia="Verdana" w:cs="Verdana"/>
                <w:sz w:val="16"/>
                <w:szCs w:val="16"/>
                <w:lang w:val="bg-BG"/>
              </w:rPr>
              <w:t xml:space="preserve"> допринася за изпълнението на стратегическите цели, поети на национално и европейско ниво чрез увеличаване на инсталирания капацитет за производство на електроенергия от вятърни източници</w:t>
            </w:r>
          </w:p>
        </w:tc>
      </w:tr>
      <w:tr w:rsidR="00A1300A" w:rsidRPr="007375EB" w14:paraId="00D67736"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7EFCAA5" w14:textId="6D00D0D6" w:rsidR="00A1300A" w:rsidRPr="007375EB" w:rsidRDefault="00A1300A" w:rsidP="001E15C0">
            <w:pPr>
              <w:spacing w:line="240" w:lineRule="auto"/>
              <w:ind w:left="28"/>
              <w:jc w:val="both"/>
              <w:rPr>
                <w:rFonts w:eastAsia="Times New Roman" w:cs="Times New Roman"/>
                <w:sz w:val="16"/>
                <w:szCs w:val="16"/>
                <w:lang w:val="bg-BG"/>
              </w:rPr>
            </w:pPr>
            <w:r w:rsidRPr="007375EB">
              <w:rPr>
                <w:rFonts w:eastAsia="Times New Roman" w:cs="Times New Roman"/>
                <w:sz w:val="16"/>
                <w:szCs w:val="16"/>
                <w:lang w:val="bg-BG"/>
              </w:rPr>
              <w:t>2021-2030</w:t>
            </w:r>
          </w:p>
          <w:p w14:paraId="155CAC4C" w14:textId="3AFF63A5" w:rsidR="00A1300A" w:rsidRPr="007375EB" w:rsidRDefault="00A1300A" w:rsidP="001E15C0">
            <w:pPr>
              <w:spacing w:line="240" w:lineRule="auto"/>
              <w:ind w:left="28"/>
              <w:jc w:val="both"/>
              <w:rPr>
                <w:rFonts w:eastAsia="Times New Roman" w:cs="Times New Roman"/>
                <w:sz w:val="16"/>
                <w:szCs w:val="16"/>
                <w:lang w:val="bg-BG"/>
              </w:rPr>
            </w:pPr>
            <w:r w:rsidRPr="007375EB">
              <w:rPr>
                <w:rFonts w:eastAsia="Times New Roman" w:cs="Times New Roman"/>
                <w:sz w:val="16"/>
                <w:szCs w:val="16"/>
                <w:lang w:val="bg-BG"/>
              </w:rPr>
              <w:t>(</w:t>
            </w:r>
            <w:r w:rsidR="005019C7" w:rsidRPr="007375EB">
              <w:rPr>
                <w:rFonts w:eastAsia="Times New Roman" w:cs="Times New Roman"/>
                <w:sz w:val="16"/>
                <w:szCs w:val="16"/>
                <w:lang w:val="bg-BG"/>
              </w:rPr>
              <w:t>РП</w:t>
            </w:r>
            <w:r w:rsidRPr="007375EB">
              <w:rPr>
                <w:rFonts w:eastAsia="Times New Roman" w:cs="Times New Roman"/>
                <w:sz w:val="16"/>
                <w:szCs w:val="16"/>
                <w:lang w:val="bg-BG"/>
              </w:rPr>
              <w:t xml:space="preserve"> 1076/</w:t>
            </w:r>
            <w:r w:rsidR="005019C7" w:rsidRPr="007375EB">
              <w:rPr>
                <w:rFonts w:eastAsia="Times New Roman" w:cs="Times New Roman"/>
                <w:sz w:val="16"/>
                <w:szCs w:val="16"/>
                <w:lang w:val="bg-BG"/>
              </w:rPr>
              <w:t xml:space="preserve"> Интегрираният национален план в областта на енергетиката и изменението на климата </w:t>
            </w:r>
            <w:r w:rsidRPr="007375EB">
              <w:rPr>
                <w:rFonts w:eastAsia="Times New Roman" w:cs="Times New Roman"/>
                <w:sz w:val="16"/>
                <w:szCs w:val="16"/>
                <w:lang w:val="bg-BG"/>
              </w:rPr>
              <w:t>2021)</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7832B5C" w14:textId="58632018" w:rsidR="005D74C9" w:rsidRPr="007375EB" w:rsidRDefault="005019C7" w:rsidP="00ED7070">
            <w:pPr>
              <w:spacing w:line="240" w:lineRule="auto"/>
              <w:jc w:val="both"/>
              <w:rPr>
                <w:sz w:val="16"/>
                <w:szCs w:val="16"/>
                <w:lang w:val="bg-BG"/>
              </w:rPr>
            </w:pPr>
            <w:r w:rsidRPr="007375EB">
              <w:rPr>
                <w:sz w:val="16"/>
                <w:szCs w:val="16"/>
                <w:lang w:val="bg-BG"/>
              </w:rPr>
              <w:t>Нивото на амбицията по отношение на дела на енергията от възобновяеми източници от 30,7% през 2030 г., което предполага допълнителни SRE мощности от приблизително 6,9 ГВт в сравнение с 2015 г.</w:t>
            </w:r>
          </w:p>
          <w:p w14:paraId="634C77F4" w14:textId="364364E5" w:rsidR="00A1300A" w:rsidRPr="007375EB" w:rsidRDefault="005019C7" w:rsidP="00ED7070">
            <w:pPr>
              <w:spacing w:line="240" w:lineRule="auto"/>
              <w:jc w:val="both"/>
              <w:rPr>
                <w:sz w:val="16"/>
                <w:szCs w:val="16"/>
                <w:lang w:val="bg-BG"/>
              </w:rPr>
            </w:pPr>
            <w:r w:rsidRPr="007375EB">
              <w:rPr>
                <w:sz w:val="16"/>
                <w:szCs w:val="16"/>
                <w:lang w:val="bg-BG"/>
              </w:rPr>
              <w:t>Мерки за развитие на нови SRE капацитети и интеграция с други пазари в региона</w:t>
            </w:r>
            <w:r w:rsidR="001C0F4D" w:rsidRPr="007375EB">
              <w:rPr>
                <w:sz w:val="16"/>
                <w:szCs w:val="16"/>
                <w:lang w:val="bg-BG"/>
              </w:rPr>
              <w:t xml:space="preserve">. </w:t>
            </w:r>
          </w:p>
          <w:p w14:paraId="558A612D" w14:textId="4FFF4DCB" w:rsidR="00E31173" w:rsidRPr="007375EB" w:rsidRDefault="005019C7" w:rsidP="00ED7070">
            <w:pPr>
              <w:spacing w:line="240" w:lineRule="auto"/>
              <w:jc w:val="both"/>
              <w:rPr>
                <w:sz w:val="16"/>
                <w:szCs w:val="16"/>
                <w:lang w:val="bg-BG"/>
              </w:rPr>
            </w:pPr>
            <w:r w:rsidRPr="007375EB">
              <w:rPr>
                <w:sz w:val="16"/>
                <w:szCs w:val="16"/>
                <w:lang w:val="bg-BG"/>
              </w:rPr>
              <w:t>Декарбонизация на енергийния сектор чрез постигане на енергийните цели от възобновяеми източници в брутното крайно потребление на електроенергия, както следва</w:t>
            </w:r>
            <w:r w:rsidR="00B80379" w:rsidRPr="007375EB">
              <w:rPr>
                <w:sz w:val="16"/>
                <w:szCs w:val="16"/>
                <w:lang w:val="bg-BG"/>
              </w:rPr>
              <w:t>:</w:t>
            </w:r>
          </w:p>
          <w:p w14:paraId="29201BC7" w14:textId="78621BAF" w:rsidR="00B80379" w:rsidRPr="007375EB" w:rsidRDefault="00B80379"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 xml:space="preserve">564,6 </w:t>
            </w:r>
            <w:r w:rsidR="005019C7" w:rsidRPr="007375EB">
              <w:rPr>
                <w:sz w:val="16"/>
                <w:szCs w:val="16"/>
                <w:lang w:val="bg-BG"/>
              </w:rPr>
              <w:t>ktep през 2020 г.</w:t>
            </w:r>
            <w:r w:rsidR="005D04A0" w:rsidRPr="007375EB">
              <w:rPr>
                <w:sz w:val="16"/>
                <w:szCs w:val="16"/>
                <w:lang w:val="bg-BG"/>
              </w:rPr>
              <w:t>;</w:t>
            </w:r>
          </w:p>
          <w:p w14:paraId="5442891C" w14:textId="66CCFE36" w:rsidR="005D04A0" w:rsidRPr="007375EB" w:rsidRDefault="005D04A0"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 xml:space="preserve">828,8 </w:t>
            </w:r>
            <w:r w:rsidR="005019C7" w:rsidRPr="007375EB">
              <w:rPr>
                <w:sz w:val="16"/>
                <w:szCs w:val="16"/>
                <w:lang w:val="bg-BG"/>
              </w:rPr>
              <w:t>ktep през 2025 г.</w:t>
            </w:r>
            <w:r w:rsidRPr="007375EB">
              <w:rPr>
                <w:sz w:val="16"/>
                <w:szCs w:val="16"/>
                <w:lang w:val="bg-BG"/>
              </w:rPr>
              <w:t>;</w:t>
            </w:r>
          </w:p>
          <w:p w14:paraId="30B435B3" w14:textId="5E886F73" w:rsidR="005D04A0" w:rsidRPr="007375EB" w:rsidRDefault="005D04A0"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lastRenderedPageBreak/>
              <w:t xml:space="preserve">1004,9 </w:t>
            </w:r>
            <w:r w:rsidR="005019C7" w:rsidRPr="007375EB">
              <w:rPr>
                <w:sz w:val="16"/>
                <w:szCs w:val="16"/>
                <w:lang w:val="bg-BG"/>
              </w:rPr>
              <w:t xml:space="preserve">през </w:t>
            </w:r>
            <w:r w:rsidRPr="007375EB">
              <w:rPr>
                <w:sz w:val="16"/>
                <w:szCs w:val="16"/>
                <w:lang w:val="bg-BG"/>
              </w:rPr>
              <w:t>2030</w:t>
            </w:r>
            <w:r w:rsidR="005019C7" w:rsidRPr="007375EB">
              <w:rPr>
                <w:sz w:val="16"/>
                <w:szCs w:val="16"/>
                <w:lang w:val="bg-BG"/>
              </w:rPr>
              <w:t xml:space="preserve"> г</w:t>
            </w:r>
            <w:r w:rsidRPr="007375EB">
              <w:rPr>
                <w:sz w:val="16"/>
                <w:szCs w:val="16"/>
                <w:lang w:val="bg-BG"/>
              </w:rPr>
              <w:t>.</w:t>
            </w:r>
          </w:p>
          <w:p w14:paraId="3C9DA216" w14:textId="52E2769A" w:rsidR="00CC3AB2" w:rsidRPr="007375EB" w:rsidRDefault="005019C7" w:rsidP="00CC3AB2">
            <w:pPr>
              <w:shd w:val="clear" w:color="auto" w:fill="FFFFFF" w:themeFill="background1"/>
              <w:spacing w:line="240" w:lineRule="auto"/>
              <w:jc w:val="both"/>
              <w:rPr>
                <w:sz w:val="16"/>
                <w:szCs w:val="16"/>
                <w:lang w:val="bg-BG"/>
              </w:rPr>
            </w:pPr>
            <w:r w:rsidRPr="007375EB">
              <w:rPr>
                <w:sz w:val="16"/>
                <w:szCs w:val="16"/>
                <w:lang w:val="bg-BG"/>
              </w:rPr>
              <w:t>Прогнозите на ниво 2030 г. предвиждат увеличение на вятърните мощности до мощност от 5 255 МВт</w:t>
            </w:r>
            <w:r w:rsidR="00435997" w:rsidRPr="007375EB">
              <w:rPr>
                <w:sz w:val="16"/>
                <w:szCs w:val="16"/>
                <w:lang w:val="bg-BG"/>
              </w:rPr>
              <w:t>.</w:t>
            </w:r>
          </w:p>
          <w:p w14:paraId="6452591C" w14:textId="473AEC49" w:rsidR="00435997" w:rsidRPr="007375EB" w:rsidRDefault="005019C7" w:rsidP="00CC3AB2">
            <w:pPr>
              <w:shd w:val="clear" w:color="auto" w:fill="FFFFFF" w:themeFill="background1"/>
              <w:spacing w:line="240" w:lineRule="auto"/>
              <w:jc w:val="both"/>
              <w:rPr>
                <w:sz w:val="16"/>
                <w:szCs w:val="16"/>
                <w:lang w:val="bg-BG"/>
              </w:rPr>
            </w:pPr>
            <w:r w:rsidRPr="007375EB">
              <w:rPr>
                <w:sz w:val="16"/>
                <w:szCs w:val="16"/>
                <w:lang w:val="bg-BG"/>
              </w:rPr>
              <w:t>Нетните мощности за производство на енергия от SRE, които трябва да бъдат инсталирани, са</w:t>
            </w:r>
            <w:r w:rsidR="00435997" w:rsidRPr="007375EB">
              <w:rPr>
                <w:sz w:val="16"/>
                <w:szCs w:val="16"/>
                <w:lang w:val="bg-BG"/>
              </w:rPr>
              <w:t>:</w:t>
            </w:r>
          </w:p>
          <w:p w14:paraId="57EEA6CB" w14:textId="1EBFFE77" w:rsidR="001B07C7" w:rsidRPr="007375EB" w:rsidRDefault="001B07C7"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 xml:space="preserve">+ 822 </w:t>
            </w:r>
            <w:r w:rsidR="005019C7" w:rsidRPr="007375EB">
              <w:rPr>
                <w:sz w:val="16"/>
                <w:szCs w:val="16"/>
                <w:lang w:val="bg-BG"/>
              </w:rPr>
              <w:t>МВт допълнителна инсталирана мощност през 2022 г. в сравнение с 2020 г.</w:t>
            </w:r>
            <w:r w:rsidRPr="007375EB">
              <w:rPr>
                <w:sz w:val="16"/>
                <w:szCs w:val="16"/>
                <w:lang w:val="bg-BG"/>
              </w:rPr>
              <w:t>;</w:t>
            </w:r>
          </w:p>
          <w:p w14:paraId="7981AF75" w14:textId="1BF76CE1" w:rsidR="001B07C7" w:rsidRPr="007375EB" w:rsidRDefault="001B07C7"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 xml:space="preserve">+ 559 </w:t>
            </w:r>
            <w:r w:rsidR="005019C7" w:rsidRPr="007375EB">
              <w:rPr>
                <w:sz w:val="16"/>
                <w:szCs w:val="16"/>
                <w:lang w:val="bg-BG"/>
              </w:rPr>
              <w:t>МВт допълнителна инсталирана мощност през 2025 г. в сравнение с 2022 г.</w:t>
            </w:r>
            <w:r w:rsidRPr="007375EB">
              <w:rPr>
                <w:sz w:val="16"/>
                <w:szCs w:val="16"/>
                <w:lang w:val="bg-BG"/>
              </w:rPr>
              <w:t>;</w:t>
            </w:r>
          </w:p>
          <w:p w14:paraId="7F351A0E" w14:textId="27B6E8F9" w:rsidR="001B07C7" w:rsidRPr="007375EB" w:rsidRDefault="001B07C7"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 xml:space="preserve">+ </w:t>
            </w:r>
            <w:r w:rsidR="005019C7" w:rsidRPr="007375EB">
              <w:rPr>
                <w:sz w:val="16"/>
                <w:szCs w:val="16"/>
                <w:lang w:val="bg-BG"/>
              </w:rPr>
              <w:t>556 МВт допълнителна инсталирана мощност през 2027 г. в сравнение с 2025 г.</w:t>
            </w:r>
            <w:r w:rsidRPr="007375EB">
              <w:rPr>
                <w:sz w:val="16"/>
                <w:szCs w:val="16"/>
                <w:lang w:val="bg-BG"/>
              </w:rPr>
              <w:t>;</w:t>
            </w:r>
          </w:p>
          <w:p w14:paraId="1F4A9A8B" w14:textId="15C499CF" w:rsidR="001B07C7" w:rsidRPr="007375EB" w:rsidRDefault="001B07C7"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 xml:space="preserve">+ 365 </w:t>
            </w:r>
            <w:r w:rsidR="005019C7" w:rsidRPr="007375EB">
              <w:rPr>
                <w:sz w:val="16"/>
                <w:szCs w:val="16"/>
                <w:lang w:val="bg-BG"/>
              </w:rPr>
              <w:t>МВт допълнителна инсталирана мощност през 2030 г. в сравнение с 2027 г</w:t>
            </w:r>
            <w:r w:rsidRPr="007375EB">
              <w:rPr>
                <w:sz w:val="16"/>
                <w:szCs w:val="16"/>
                <w:lang w:val="bg-BG"/>
              </w:rPr>
              <w:t>.</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C1787CD" w14:textId="161E8CEA" w:rsidR="00A1300A" w:rsidRPr="007375EB" w:rsidRDefault="005D04A0" w:rsidP="008162E0">
            <w:pPr>
              <w:spacing w:line="240" w:lineRule="auto"/>
              <w:jc w:val="both"/>
              <w:rPr>
                <w:sz w:val="16"/>
                <w:szCs w:val="16"/>
                <w:lang w:val="bg-BG"/>
              </w:rPr>
            </w:pPr>
            <w:r w:rsidRPr="007375EB">
              <w:rPr>
                <w:sz w:val="16"/>
                <w:szCs w:val="16"/>
                <w:lang w:val="bg-BG"/>
              </w:rPr>
              <w:lastRenderedPageBreak/>
              <w:t>2020-20</w:t>
            </w:r>
            <w:r w:rsidR="00CC3AB2" w:rsidRPr="007375EB">
              <w:rPr>
                <w:sz w:val="16"/>
                <w:szCs w:val="16"/>
                <w:lang w:val="bg-BG"/>
              </w:rPr>
              <w:t>30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DC16F44" w14:textId="36BC43B7" w:rsidR="00A1300A" w:rsidRPr="007375EB" w:rsidRDefault="005019C7" w:rsidP="008162E0">
            <w:pPr>
              <w:spacing w:line="240" w:lineRule="auto"/>
              <w:jc w:val="both"/>
              <w:rPr>
                <w:rFonts w:eastAsia="Verdana" w:cs="Verdana"/>
                <w:sz w:val="16"/>
                <w:szCs w:val="16"/>
                <w:lang w:val="bg-BG"/>
              </w:rPr>
            </w:pPr>
            <w:r w:rsidRPr="007375EB">
              <w:rPr>
                <w:rFonts w:eastAsia="Verdana" w:cs="Verdana"/>
                <w:sz w:val="16"/>
                <w:szCs w:val="16"/>
                <w:lang w:val="bg-BG"/>
              </w:rPr>
              <w:t>Анализираният PUZ допринася за замяната на съществуващите мощности за производство на електроенергия от конвенционални източници с такива с ниски въглеродни емисии, достигайки очакваното нетно производство за периода 2022-2030 г.</w:t>
            </w:r>
            <w:r w:rsidR="0014400A" w:rsidRPr="007375EB">
              <w:rPr>
                <w:rFonts w:eastAsia="Verdana" w:cs="Verdana"/>
                <w:sz w:val="16"/>
                <w:szCs w:val="16"/>
                <w:lang w:val="bg-BG"/>
              </w:rPr>
              <w:t>.</w:t>
            </w:r>
          </w:p>
        </w:tc>
      </w:tr>
      <w:tr w:rsidR="002F1FB3" w:rsidRPr="007375EB" w14:paraId="0B2C1D93"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8665F34" w14:textId="326E710C" w:rsidR="002F1FB3" w:rsidRPr="007375EB" w:rsidRDefault="005019C7" w:rsidP="00A1300A">
            <w:pPr>
              <w:spacing w:line="240" w:lineRule="auto"/>
              <w:ind w:left="28"/>
              <w:jc w:val="both"/>
              <w:rPr>
                <w:rFonts w:eastAsia="Times New Roman" w:cs="Times New Roman"/>
                <w:sz w:val="16"/>
                <w:szCs w:val="16"/>
                <w:lang w:val="bg-BG"/>
              </w:rPr>
            </w:pPr>
            <w:r w:rsidRPr="007375EB">
              <w:rPr>
                <w:rFonts w:eastAsia="Times New Roman" w:cs="Times New Roman"/>
                <w:sz w:val="16"/>
                <w:szCs w:val="16"/>
                <w:lang w:val="bg-BG"/>
              </w:rPr>
              <w:t>Интегрираният национален план в областта на енергетиката и изменението на климата 2021-2030 г.</w:t>
            </w:r>
            <w:r w:rsidR="003A3052" w:rsidRPr="007375EB">
              <w:rPr>
                <w:rStyle w:val="FootnoteReference"/>
                <w:rFonts w:eastAsia="Times New Roman" w:cs="Times New Roman"/>
                <w:sz w:val="16"/>
                <w:szCs w:val="16"/>
                <w:lang w:val="bg-BG"/>
              </w:rPr>
              <w:footnoteReference w:id="15"/>
            </w:r>
            <w:r w:rsidR="000308E3" w:rsidRPr="007375EB">
              <w:rPr>
                <w:rFonts w:eastAsia="Times New Roman" w:cs="Times New Roman"/>
                <w:sz w:val="16"/>
                <w:szCs w:val="16"/>
                <w:lang w:val="bg-BG"/>
              </w:rPr>
              <w:t xml:space="preserve">, </w:t>
            </w:r>
            <w:r w:rsidRPr="007375EB">
              <w:rPr>
                <w:rFonts w:eastAsia="Times New Roman" w:cs="Times New Roman"/>
                <w:sz w:val="16"/>
                <w:szCs w:val="16"/>
                <w:lang w:val="bg-BG"/>
              </w:rPr>
              <w:t>актуализация на проекта 2023 г.</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F35B22F" w14:textId="18FED70D" w:rsidR="005019C7" w:rsidRPr="007375EB" w:rsidRDefault="005019C7" w:rsidP="00FB7D27">
            <w:pPr>
              <w:spacing w:line="240" w:lineRule="auto"/>
              <w:jc w:val="both"/>
              <w:rPr>
                <w:sz w:val="16"/>
                <w:szCs w:val="16"/>
                <w:lang w:val="bg-BG"/>
              </w:rPr>
            </w:pPr>
            <w:r w:rsidRPr="007375EB">
              <w:rPr>
                <w:sz w:val="16"/>
                <w:szCs w:val="16"/>
                <w:lang w:val="bg-BG"/>
              </w:rPr>
              <w:t>Целта на Румъния е да постигне дял на SRE в брутното крайно потребление от поне 36,2% до 2030 г. Прогнозите показват, че до 2025 г. делът ще достигне 32,3%.</w:t>
            </w:r>
          </w:p>
          <w:p w14:paraId="6A5F409B" w14:textId="0D45CD90" w:rsidR="00BE4A84" w:rsidRPr="007375EB" w:rsidRDefault="005019C7" w:rsidP="00FB7D27">
            <w:pPr>
              <w:spacing w:line="240" w:lineRule="auto"/>
              <w:jc w:val="both"/>
              <w:rPr>
                <w:sz w:val="16"/>
                <w:szCs w:val="16"/>
                <w:lang w:val="bg-BG"/>
              </w:rPr>
            </w:pPr>
            <w:r w:rsidRPr="007375EB">
              <w:rPr>
                <w:sz w:val="16"/>
                <w:szCs w:val="16"/>
                <w:lang w:val="bg-BG"/>
              </w:rPr>
              <w:t>Делът на SRE в електроенергийния сектор ще нарасне до 55,8% през 2030 г., в резултат на изграждането и въвеждането в експлоатация на нови мощности за производство на електроенергия от SRE (основно вятърна и слънчева</w:t>
            </w:r>
            <w:r w:rsidR="00FB7D27" w:rsidRPr="007375EB">
              <w:rPr>
                <w:sz w:val="16"/>
                <w:szCs w:val="16"/>
                <w:lang w:val="bg-BG"/>
              </w:rPr>
              <w:t>).</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33E57AB" w14:textId="0B19E8B2" w:rsidR="002F1FB3" w:rsidRPr="007375EB" w:rsidRDefault="00C75D5F" w:rsidP="008162E0">
            <w:pPr>
              <w:spacing w:line="240" w:lineRule="auto"/>
              <w:jc w:val="both"/>
              <w:rPr>
                <w:sz w:val="16"/>
                <w:szCs w:val="16"/>
                <w:lang w:val="bg-BG"/>
              </w:rPr>
            </w:pPr>
            <w:r w:rsidRPr="007375EB">
              <w:rPr>
                <w:sz w:val="16"/>
                <w:szCs w:val="16"/>
                <w:lang w:val="bg-BG"/>
              </w:rPr>
              <w:t>2021-2030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9B62165" w14:textId="68D158AF" w:rsidR="002F1FB3" w:rsidRPr="007375EB" w:rsidRDefault="005019C7" w:rsidP="005D4839">
            <w:pPr>
              <w:spacing w:line="240" w:lineRule="auto"/>
              <w:jc w:val="both"/>
              <w:rPr>
                <w:rFonts w:eastAsia="Verdana" w:cs="Verdana"/>
                <w:sz w:val="16"/>
                <w:szCs w:val="16"/>
                <w:lang w:val="bg-BG"/>
              </w:rPr>
            </w:pPr>
            <w:r w:rsidRPr="007375EB">
              <w:rPr>
                <w:rFonts w:eastAsia="Verdana" w:cs="Verdana"/>
                <w:sz w:val="16"/>
                <w:szCs w:val="16"/>
                <w:lang w:val="bg-BG"/>
              </w:rPr>
              <w:t xml:space="preserve">Анализираният </w:t>
            </w:r>
            <w:r w:rsidR="0014580E" w:rsidRPr="007375EB">
              <w:rPr>
                <w:rFonts w:eastAsia="Verdana" w:cs="Verdana"/>
                <w:sz w:val="16"/>
                <w:szCs w:val="16"/>
                <w:lang w:val="bg-BG"/>
              </w:rPr>
              <w:t>ЗГП</w:t>
            </w:r>
            <w:r w:rsidRPr="007375EB">
              <w:rPr>
                <w:rFonts w:eastAsia="Verdana" w:cs="Verdana"/>
                <w:sz w:val="16"/>
                <w:szCs w:val="16"/>
                <w:lang w:val="bg-BG"/>
              </w:rPr>
              <w:t xml:space="preserve"> допринася за постигането на целта по отношение дела на SRE в електроенергийния сектор</w:t>
            </w:r>
          </w:p>
        </w:tc>
      </w:tr>
      <w:tr w:rsidR="008162E0" w:rsidRPr="007375EB" w14:paraId="42373606"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68E68B7" w14:textId="4378ABB5" w:rsidR="008162E0" w:rsidRPr="007375EB" w:rsidRDefault="005019C7" w:rsidP="008162E0">
            <w:pPr>
              <w:spacing w:line="240" w:lineRule="auto"/>
              <w:ind w:left="28"/>
              <w:jc w:val="both"/>
              <w:rPr>
                <w:rFonts w:eastAsia="Times New Roman" w:cs="Times New Roman"/>
                <w:sz w:val="16"/>
                <w:szCs w:val="16"/>
                <w:lang w:val="bg-BG"/>
              </w:rPr>
            </w:pPr>
            <w:r w:rsidRPr="007375EB">
              <w:rPr>
                <w:rFonts w:eastAsia="Times New Roman" w:cs="Times New Roman"/>
                <w:sz w:val="16"/>
                <w:szCs w:val="16"/>
                <w:lang w:val="bg-BG"/>
              </w:rPr>
              <w:t>Закон 220/2008 за създаване на система за насърчаване на производството на енергия от възобновяеми енергийни източници</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DF79A3E" w14:textId="77777777" w:rsidR="005019C7" w:rsidRPr="007375EB" w:rsidRDefault="005019C7" w:rsidP="005019C7">
            <w:pPr>
              <w:spacing w:line="240" w:lineRule="auto"/>
              <w:jc w:val="both"/>
              <w:rPr>
                <w:sz w:val="16"/>
                <w:szCs w:val="16"/>
                <w:lang w:val="bg-BG"/>
              </w:rPr>
            </w:pPr>
            <w:r w:rsidRPr="007375EB">
              <w:rPr>
                <w:sz w:val="16"/>
                <w:szCs w:val="16"/>
                <w:lang w:val="bg-BG"/>
              </w:rPr>
              <w:t>Той създава правната рамка, необходима за разширяване на използването на възобновяеми енергийни източници.</w:t>
            </w:r>
          </w:p>
          <w:p w14:paraId="7326AE55" w14:textId="5D6E2543" w:rsidR="008162E0" w:rsidRPr="007375EB" w:rsidRDefault="005019C7" w:rsidP="005019C7">
            <w:pPr>
              <w:spacing w:line="240" w:lineRule="auto"/>
              <w:jc w:val="both"/>
              <w:rPr>
                <w:sz w:val="16"/>
                <w:szCs w:val="16"/>
                <w:lang w:val="bg-BG"/>
              </w:rPr>
            </w:pPr>
            <w:r w:rsidRPr="007375EB">
              <w:rPr>
                <w:sz w:val="16"/>
                <w:szCs w:val="16"/>
                <w:lang w:val="bg-BG"/>
              </w:rPr>
              <w:t xml:space="preserve">Системата за насърчаване на електроенергия, произведена от възобновяеми енергийни източници, се прилага за електроенергия, доставена до електрическата мрежа и/или за потребители, произведена от [...] вятърна енергия </w:t>
            </w:r>
            <w:r w:rsidR="008162E0" w:rsidRPr="007375EB">
              <w:rPr>
                <w:sz w:val="16"/>
                <w:szCs w:val="16"/>
                <w:lang w:val="bg-BG"/>
              </w:rPr>
              <w:t>[…].</w:t>
            </w:r>
          </w:p>
          <w:p w14:paraId="1D07D2B0" w14:textId="77777777" w:rsidR="005019C7" w:rsidRPr="007375EB" w:rsidRDefault="005019C7" w:rsidP="008162E0">
            <w:pPr>
              <w:spacing w:line="240" w:lineRule="auto"/>
              <w:jc w:val="both"/>
              <w:rPr>
                <w:sz w:val="16"/>
                <w:szCs w:val="16"/>
                <w:lang w:val="bg-BG"/>
              </w:rPr>
            </w:pPr>
            <w:r w:rsidRPr="007375EB">
              <w:rPr>
                <w:sz w:val="16"/>
                <w:szCs w:val="16"/>
                <w:lang w:val="bg-BG"/>
              </w:rPr>
              <w:lastRenderedPageBreak/>
              <w:t>Равнището на националните цели за дял на електроенергията, произведена от възобновяеми енергийни източници в брутното крайно потребление на електроенергия в перспектива 2010, 2015 и 2020 г. е съответно 33%, 35% и 38%.</w:t>
            </w:r>
          </w:p>
          <w:p w14:paraId="30540973" w14:textId="397C5A07" w:rsidR="008162E0" w:rsidRPr="007375EB" w:rsidRDefault="005019C7" w:rsidP="008162E0">
            <w:pPr>
              <w:spacing w:line="240" w:lineRule="auto"/>
              <w:jc w:val="both"/>
              <w:rPr>
                <w:sz w:val="16"/>
                <w:szCs w:val="16"/>
                <w:lang w:val="bg-BG"/>
              </w:rPr>
            </w:pPr>
            <w:r w:rsidRPr="007375EB">
              <w:rPr>
                <w:sz w:val="16"/>
                <w:szCs w:val="16"/>
                <w:lang w:val="bg-BG"/>
              </w:rPr>
              <w:t>Задължителните годишни квоти за електроенергия, произведена от възобновяеми енергийни източници, които се ползват от системата за насърчаване чрез зелени сертификати за периода 2010-2013 г. са както следва: 2010 г. - 8,3%; 2011 г. - 10%; 2012 г. - 12%; 2013 г. - 14%.</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2FB59DF" w14:textId="2879CE62" w:rsidR="008162E0" w:rsidRPr="007375EB" w:rsidRDefault="008162E0" w:rsidP="008162E0">
            <w:pPr>
              <w:spacing w:line="240" w:lineRule="auto"/>
              <w:jc w:val="both"/>
              <w:rPr>
                <w:sz w:val="16"/>
                <w:szCs w:val="16"/>
                <w:lang w:val="bg-BG"/>
              </w:rPr>
            </w:pPr>
            <w:r w:rsidRPr="007375EB">
              <w:rPr>
                <w:sz w:val="16"/>
                <w:szCs w:val="16"/>
                <w:lang w:val="bg-BG"/>
              </w:rPr>
              <w:lastRenderedPageBreak/>
              <w:t>2008-2020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FB3725E" w14:textId="4BEEBFB5" w:rsidR="008162E0" w:rsidRPr="007375EB" w:rsidRDefault="005019C7" w:rsidP="008162E0">
            <w:pPr>
              <w:spacing w:line="240" w:lineRule="auto"/>
              <w:jc w:val="both"/>
              <w:rPr>
                <w:rFonts w:eastAsia="Verdana" w:cs="Verdana"/>
                <w:sz w:val="16"/>
                <w:szCs w:val="16"/>
                <w:lang w:val="bg-BG"/>
              </w:rPr>
            </w:pPr>
            <w:r w:rsidRPr="007375EB">
              <w:rPr>
                <w:rFonts w:eastAsia="Verdana" w:cs="Verdana"/>
                <w:sz w:val="16"/>
                <w:szCs w:val="16"/>
                <w:lang w:val="bg-BG"/>
              </w:rPr>
              <w:t xml:space="preserve">Анализираният </w:t>
            </w:r>
            <w:r w:rsidR="0014580E" w:rsidRPr="007375EB">
              <w:rPr>
                <w:rFonts w:eastAsia="Verdana" w:cs="Verdana"/>
                <w:sz w:val="16"/>
                <w:szCs w:val="16"/>
                <w:lang w:val="bg-BG"/>
              </w:rPr>
              <w:t>ЗГП</w:t>
            </w:r>
            <w:r w:rsidRPr="007375EB">
              <w:rPr>
                <w:rFonts w:eastAsia="Verdana" w:cs="Verdana"/>
                <w:sz w:val="16"/>
                <w:szCs w:val="16"/>
                <w:lang w:val="bg-BG"/>
              </w:rPr>
              <w:t xml:space="preserve"> допринася за стимулиране на устойчивото развитие на местно и регионално ниво и създаването на нови работни места, свързани с процесите на валоризация на възобновяемите енергийни източници и намаляването на замърсяването на околната среда чрез намаляване на производството на замърсяващи емисии и парникови газове</w:t>
            </w:r>
          </w:p>
        </w:tc>
      </w:tr>
      <w:tr w:rsidR="008162E0" w:rsidRPr="007375EB" w14:paraId="6A425809"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17EDA28" w14:textId="0001F265" w:rsidR="008162E0" w:rsidRPr="007375EB" w:rsidRDefault="007C1B8A" w:rsidP="008162E0">
            <w:pPr>
              <w:spacing w:line="240" w:lineRule="auto"/>
              <w:ind w:left="28"/>
              <w:jc w:val="both"/>
              <w:rPr>
                <w:rFonts w:eastAsia="Times New Roman" w:cs="Times New Roman"/>
                <w:sz w:val="16"/>
                <w:szCs w:val="16"/>
                <w:lang w:val="bg-BG"/>
              </w:rPr>
            </w:pPr>
            <w:r w:rsidRPr="007375EB">
              <w:rPr>
                <w:rFonts w:eastAsia="Times New Roman" w:cs="Times New Roman"/>
                <w:sz w:val="16"/>
                <w:szCs w:val="16"/>
                <w:lang w:val="bg-BG"/>
              </w:rPr>
              <w:t>Националната стратегия за устойчиво развитие на Румъния 2030 г. и Планът за действие</w:t>
            </w:r>
            <w:r w:rsidR="008162E0" w:rsidRPr="007375EB">
              <w:rPr>
                <w:rStyle w:val="FootnoteReference"/>
                <w:sz w:val="16"/>
                <w:szCs w:val="16"/>
                <w:lang w:val="bg-BG"/>
              </w:rPr>
              <w:footnoteReference w:id="16"/>
            </w:r>
            <w:r w:rsidR="008162E0" w:rsidRPr="007375EB">
              <w:rPr>
                <w:rFonts w:eastAsia="Times New Roman" w:cs="Times New Roman"/>
                <w:sz w:val="16"/>
                <w:szCs w:val="16"/>
                <w:lang w:val="bg-BG"/>
              </w:rPr>
              <w:t xml:space="preserve">, </w:t>
            </w:r>
          </w:p>
          <w:p w14:paraId="02800E14" w14:textId="6AA5B89D" w:rsidR="008162E0" w:rsidRPr="007375EB" w:rsidRDefault="007C1B8A" w:rsidP="008162E0">
            <w:pPr>
              <w:spacing w:line="240" w:lineRule="auto"/>
              <w:ind w:left="28"/>
              <w:jc w:val="both"/>
              <w:rPr>
                <w:color w:val="FF0000"/>
                <w:sz w:val="16"/>
                <w:szCs w:val="16"/>
                <w:lang w:val="bg-BG"/>
              </w:rPr>
            </w:pPr>
            <w:r w:rsidRPr="007375EB">
              <w:rPr>
                <w:rFonts w:eastAsia="Times New Roman" w:cs="Times New Roman"/>
                <w:sz w:val="16"/>
                <w:szCs w:val="16"/>
                <w:lang w:val="bg-BG"/>
              </w:rPr>
              <w:t>РП №</w:t>
            </w:r>
            <w:r w:rsidR="008162E0" w:rsidRPr="007375EB">
              <w:rPr>
                <w:rFonts w:eastAsia="Times New Roman" w:cs="Times New Roman"/>
                <w:sz w:val="16"/>
                <w:szCs w:val="16"/>
                <w:lang w:val="bg-BG"/>
              </w:rPr>
              <w:t xml:space="preserve"> 877/2018, </w:t>
            </w:r>
            <w:r w:rsidRPr="007375EB">
              <w:rPr>
                <w:rFonts w:eastAsia="Times New Roman" w:cs="Times New Roman"/>
                <w:sz w:val="16"/>
                <w:szCs w:val="16"/>
                <w:lang w:val="bg-BG"/>
              </w:rPr>
              <w:t xml:space="preserve">изменено от РП </w:t>
            </w:r>
            <w:r w:rsidR="008162E0" w:rsidRPr="007375EB">
              <w:rPr>
                <w:rFonts w:eastAsia="Times New Roman" w:cs="Times New Roman"/>
                <w:sz w:val="16"/>
                <w:szCs w:val="16"/>
                <w:lang w:val="bg-BG"/>
              </w:rPr>
              <w:t>754/2022</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95156C8" w14:textId="7E992FB1" w:rsidR="007C1B8A" w:rsidRPr="007375EB" w:rsidRDefault="007C1B8A" w:rsidP="008162E0">
            <w:pPr>
              <w:spacing w:line="240" w:lineRule="auto"/>
              <w:jc w:val="both"/>
              <w:rPr>
                <w:rFonts w:eastAsia="Verdana" w:cs="Verdana"/>
                <w:sz w:val="16"/>
                <w:szCs w:val="16"/>
                <w:lang w:val="bg-BG"/>
              </w:rPr>
            </w:pPr>
            <w:r w:rsidRPr="007375EB">
              <w:rPr>
                <w:rFonts w:eastAsia="Verdana" w:cs="Verdana"/>
                <w:sz w:val="16"/>
                <w:szCs w:val="16"/>
                <w:lang w:val="bg-BG"/>
              </w:rPr>
              <w:t xml:space="preserve">Глобална стратегическа цел № 7: </w:t>
            </w:r>
            <w:r w:rsidRPr="007375EB">
              <w:rPr>
                <w:rFonts w:eastAsia="Verdana" w:cs="Verdana"/>
                <w:i/>
                <w:iCs/>
                <w:sz w:val="16"/>
                <w:szCs w:val="16"/>
                <w:lang w:val="bg-BG"/>
              </w:rPr>
              <w:t>Чиста и достъпна енергия</w:t>
            </w:r>
          </w:p>
          <w:p w14:paraId="55BEBBDE" w14:textId="065005F7" w:rsidR="008162E0" w:rsidRPr="007375EB" w:rsidRDefault="007C1B8A" w:rsidP="008162E0">
            <w:pPr>
              <w:spacing w:line="240" w:lineRule="auto"/>
              <w:jc w:val="both"/>
              <w:rPr>
                <w:rFonts w:eastAsia="Verdana" w:cs="Verdana"/>
                <w:sz w:val="16"/>
                <w:szCs w:val="16"/>
                <w:lang w:val="bg-BG"/>
              </w:rPr>
            </w:pPr>
            <w:r w:rsidRPr="007375EB">
              <w:rPr>
                <w:rFonts w:eastAsia="Verdana" w:cs="Verdana"/>
                <w:sz w:val="16"/>
                <w:szCs w:val="16"/>
                <w:lang w:val="bg-BG"/>
              </w:rPr>
              <w:t>Енергийният сектор има централна роля в смекчаването на глобалното затопляне, както чрез постепенния преход от използването на изкопаеми горива към използването на източници с ниски емисии на парникови газове, с превес на слънцето и вятъра, така и чрез повишаване на енергийната ефективност на сгради и превозни средства и прехода към електрически транспорт</w:t>
            </w:r>
            <w:r w:rsidR="008162E0" w:rsidRPr="007375EB">
              <w:rPr>
                <w:rFonts w:eastAsia="Verdana" w:cs="Verdana"/>
                <w:sz w:val="16"/>
                <w:szCs w:val="16"/>
                <w:lang w:val="bg-BG"/>
              </w:rPr>
              <w:t>.</w:t>
            </w:r>
          </w:p>
          <w:p w14:paraId="0AF27AA8" w14:textId="77777777" w:rsidR="007C1B8A" w:rsidRPr="007375EB" w:rsidRDefault="007C1B8A" w:rsidP="008162E0">
            <w:pPr>
              <w:spacing w:line="240" w:lineRule="auto"/>
              <w:jc w:val="both"/>
              <w:rPr>
                <w:rFonts w:eastAsia="Verdana" w:cs="Verdana"/>
                <w:sz w:val="16"/>
                <w:szCs w:val="16"/>
                <w:lang w:val="bg-BG"/>
              </w:rPr>
            </w:pPr>
            <w:r w:rsidRPr="007375EB">
              <w:rPr>
                <w:rFonts w:eastAsia="Verdana" w:cs="Verdana"/>
                <w:sz w:val="16"/>
                <w:szCs w:val="16"/>
                <w:lang w:val="bg-BG"/>
              </w:rPr>
              <w:t>Цели за 2030 г.: Стратегическа подкрепа на дела на електроенергията в общото битово, промишлено и транспортно потребление чрез установяване на стандарти за ефективност на инсталациите и оборудването</w:t>
            </w:r>
          </w:p>
          <w:p w14:paraId="4BBD4036" w14:textId="63BDAE07" w:rsidR="007C1B8A" w:rsidRPr="007375EB" w:rsidRDefault="007C1B8A" w:rsidP="008162E0">
            <w:pPr>
              <w:spacing w:line="240" w:lineRule="auto"/>
              <w:jc w:val="both"/>
              <w:rPr>
                <w:rFonts w:eastAsia="Verdana" w:cs="Verdana"/>
                <w:sz w:val="16"/>
                <w:szCs w:val="16"/>
                <w:lang w:val="bg-BG"/>
              </w:rPr>
            </w:pPr>
            <w:r w:rsidRPr="007375EB">
              <w:rPr>
                <w:rFonts w:eastAsia="Verdana" w:cs="Verdana"/>
                <w:sz w:val="16"/>
                <w:szCs w:val="16"/>
                <w:lang w:val="bg-BG"/>
              </w:rPr>
              <w:t xml:space="preserve">Глобална стратегическа цел № 11: </w:t>
            </w:r>
            <w:r w:rsidRPr="007375EB">
              <w:rPr>
                <w:rFonts w:eastAsia="Verdana" w:cs="Verdana"/>
                <w:i/>
                <w:iCs/>
                <w:sz w:val="16"/>
                <w:szCs w:val="16"/>
                <w:lang w:val="bg-BG"/>
              </w:rPr>
              <w:t>Устойчиви градове и общности</w:t>
            </w:r>
          </w:p>
          <w:p w14:paraId="661374FC" w14:textId="334CAFAB" w:rsidR="008162E0" w:rsidRPr="007375EB" w:rsidRDefault="007C1B8A" w:rsidP="008162E0">
            <w:pPr>
              <w:spacing w:line="240" w:lineRule="auto"/>
              <w:jc w:val="both"/>
              <w:rPr>
                <w:rFonts w:eastAsia="Verdana" w:cs="Verdana"/>
                <w:sz w:val="16"/>
                <w:szCs w:val="16"/>
                <w:lang w:val="bg-BG"/>
              </w:rPr>
            </w:pPr>
            <w:r w:rsidRPr="007375EB">
              <w:rPr>
                <w:rFonts w:eastAsia="Verdana" w:cs="Verdana"/>
                <w:sz w:val="16"/>
                <w:szCs w:val="16"/>
                <w:lang w:val="bg-BG"/>
              </w:rPr>
              <w:t xml:space="preserve">Цели за </w:t>
            </w:r>
            <w:r w:rsidR="008162E0" w:rsidRPr="007375EB">
              <w:rPr>
                <w:rFonts w:eastAsia="Verdana" w:cs="Verdana"/>
                <w:sz w:val="16"/>
                <w:szCs w:val="16"/>
                <w:lang w:val="bg-BG"/>
              </w:rPr>
              <w:t xml:space="preserve">2030: </w:t>
            </w:r>
            <w:r w:rsidRPr="007375EB">
              <w:rPr>
                <w:rFonts w:eastAsia="Verdana" w:cs="Verdana"/>
                <w:sz w:val="16"/>
                <w:szCs w:val="16"/>
                <w:lang w:val="bg-BG"/>
              </w:rPr>
              <w:t>Намаляване на ефектите от замърсяването на въздуха върху човешкото здраве и околната среда чрез обръщане на специално внимание на качеството на въздуха</w:t>
            </w:r>
          </w:p>
          <w:p w14:paraId="76F6480C" w14:textId="64531711" w:rsidR="008162E0" w:rsidRPr="007375EB" w:rsidRDefault="007C1B8A" w:rsidP="008162E0">
            <w:pPr>
              <w:spacing w:line="240" w:lineRule="auto"/>
              <w:jc w:val="both"/>
              <w:rPr>
                <w:rFonts w:eastAsia="Verdana" w:cs="Verdana"/>
                <w:i/>
                <w:iCs/>
                <w:sz w:val="16"/>
                <w:szCs w:val="16"/>
                <w:lang w:val="bg-BG"/>
              </w:rPr>
            </w:pPr>
            <w:r w:rsidRPr="007375EB">
              <w:rPr>
                <w:rFonts w:eastAsia="Verdana" w:cs="Verdana"/>
                <w:sz w:val="16"/>
                <w:szCs w:val="16"/>
                <w:lang w:val="bg-BG"/>
              </w:rPr>
              <w:t>Цел №</w:t>
            </w:r>
            <w:r w:rsidR="008162E0" w:rsidRPr="007375EB">
              <w:rPr>
                <w:rFonts w:eastAsia="Verdana" w:cs="Verdana"/>
                <w:sz w:val="16"/>
                <w:szCs w:val="16"/>
                <w:lang w:val="bg-BG"/>
              </w:rPr>
              <w:t xml:space="preserve"> 13: </w:t>
            </w:r>
            <w:r w:rsidRPr="007375EB">
              <w:rPr>
                <w:rFonts w:eastAsia="Verdana" w:cs="Verdana"/>
                <w:i/>
                <w:iCs/>
                <w:sz w:val="16"/>
                <w:szCs w:val="16"/>
                <w:lang w:val="bg-BG"/>
              </w:rPr>
              <w:t>Действия в областта на изменението на климата</w:t>
            </w:r>
          </w:p>
          <w:p w14:paraId="792B8FAB" w14:textId="2E203BCE" w:rsidR="008162E0" w:rsidRPr="007375EB" w:rsidRDefault="007C1B8A" w:rsidP="008162E0">
            <w:pPr>
              <w:spacing w:line="240" w:lineRule="auto"/>
              <w:jc w:val="both"/>
              <w:rPr>
                <w:rFonts w:eastAsia="Verdana" w:cs="Verdana"/>
                <w:sz w:val="16"/>
                <w:szCs w:val="16"/>
                <w:lang w:val="bg-BG"/>
              </w:rPr>
            </w:pPr>
            <w:r w:rsidRPr="007375EB">
              <w:rPr>
                <w:rFonts w:eastAsia="Verdana" w:cs="Verdana"/>
                <w:sz w:val="16"/>
                <w:szCs w:val="16"/>
                <w:lang w:val="bg-BG"/>
              </w:rPr>
              <w:lastRenderedPageBreak/>
              <w:t xml:space="preserve">Цел № </w:t>
            </w:r>
            <w:r w:rsidR="008162E0" w:rsidRPr="007375EB">
              <w:rPr>
                <w:rFonts w:eastAsia="Verdana" w:cs="Verdana"/>
                <w:sz w:val="16"/>
                <w:szCs w:val="16"/>
                <w:lang w:val="bg-BG"/>
              </w:rPr>
              <w:t xml:space="preserve">2030: </w:t>
            </w:r>
            <w:r w:rsidR="00C86795" w:rsidRPr="007375EB">
              <w:rPr>
                <w:rFonts w:eastAsia="Verdana" w:cs="Verdana"/>
                <w:sz w:val="16"/>
                <w:szCs w:val="16"/>
                <w:lang w:val="bg-BG"/>
              </w:rPr>
              <w:t>Увеличаване на усилията на Румъния за постигане на преход към „зелена“ икономика с ниски емисии на въглероден диоксид, устойчивост на изменението на климата и интегриране на мерки за адаптиране към изменението на климата в уязвими икономически, социални и екологични сектори</w:t>
            </w:r>
          </w:p>
          <w:p w14:paraId="2826661D" w14:textId="50B2FE06" w:rsidR="008162E0" w:rsidRPr="007375EB" w:rsidRDefault="00C86795" w:rsidP="008162E0">
            <w:pPr>
              <w:spacing w:line="240" w:lineRule="auto"/>
              <w:jc w:val="both"/>
              <w:rPr>
                <w:rFonts w:eastAsia="Verdana" w:cs="Verdana"/>
                <w:i/>
                <w:iCs/>
                <w:sz w:val="16"/>
                <w:szCs w:val="16"/>
                <w:lang w:val="bg-BG"/>
              </w:rPr>
            </w:pPr>
            <w:r w:rsidRPr="007375EB">
              <w:rPr>
                <w:rFonts w:eastAsia="Verdana" w:cs="Verdana"/>
                <w:sz w:val="16"/>
                <w:szCs w:val="16"/>
                <w:lang w:val="bg-BG"/>
              </w:rPr>
              <w:t xml:space="preserve">Цел № </w:t>
            </w:r>
            <w:r w:rsidR="008162E0" w:rsidRPr="007375EB">
              <w:rPr>
                <w:rFonts w:eastAsia="Verdana" w:cs="Verdana"/>
                <w:sz w:val="16"/>
                <w:szCs w:val="16"/>
                <w:lang w:val="bg-BG"/>
              </w:rPr>
              <w:t xml:space="preserve">15: </w:t>
            </w:r>
            <w:r w:rsidRPr="007375EB">
              <w:rPr>
                <w:rFonts w:eastAsia="Verdana" w:cs="Verdana"/>
                <w:sz w:val="16"/>
                <w:szCs w:val="16"/>
                <w:lang w:val="bg-BG"/>
              </w:rPr>
              <w:t xml:space="preserve">Живот на сушата - </w:t>
            </w:r>
            <w:r w:rsidRPr="007375EB">
              <w:rPr>
                <w:rFonts w:eastAsia="Verdana" w:cs="Verdana"/>
                <w:i/>
                <w:iCs/>
                <w:sz w:val="16"/>
                <w:szCs w:val="16"/>
                <w:lang w:val="bg-BG"/>
              </w:rPr>
              <w:t>Защита, възстановяване и насърчаване на устойчивото използване на сухоземните екосистеми, устойчиво управление на горите, борба с опустиняването, спиране и възстановяване на деградацията на почвата и спиране на загубата на биологично разнообразие</w:t>
            </w:r>
          </w:p>
          <w:p w14:paraId="05A8B8A3" w14:textId="36DF860B" w:rsidR="008162E0" w:rsidRPr="007375EB" w:rsidRDefault="00C86795" w:rsidP="008162E0">
            <w:pPr>
              <w:spacing w:line="240" w:lineRule="auto"/>
              <w:jc w:val="both"/>
              <w:rPr>
                <w:rFonts w:eastAsia="Verdana" w:cs="Verdana"/>
                <w:sz w:val="16"/>
                <w:szCs w:val="16"/>
                <w:lang w:val="bg-BG"/>
              </w:rPr>
            </w:pPr>
            <w:r w:rsidRPr="007375EB">
              <w:rPr>
                <w:rFonts w:eastAsia="Verdana" w:cs="Verdana"/>
                <w:sz w:val="16"/>
                <w:szCs w:val="16"/>
                <w:lang w:val="bg-BG"/>
              </w:rPr>
              <w:t>Запазване на позицията на Румъния като страна с най-голямо биогеографско разнообразие в Европа както чрез по-нататъшно интегриране на екологичните политики във всички съответни национални и секторни стратегии, така и чрез подобряване на екологичната инфраструктура</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4BFEE81" w14:textId="2AC4F67D" w:rsidR="008162E0" w:rsidRPr="007375EB" w:rsidRDefault="008162E0" w:rsidP="008162E0">
            <w:pPr>
              <w:spacing w:line="240" w:lineRule="auto"/>
              <w:jc w:val="both"/>
              <w:rPr>
                <w:rFonts w:eastAsia="Verdana" w:cs="Verdana"/>
                <w:sz w:val="16"/>
                <w:szCs w:val="16"/>
                <w:lang w:val="bg-BG"/>
              </w:rPr>
            </w:pPr>
            <w:r w:rsidRPr="007375EB">
              <w:rPr>
                <w:rFonts w:eastAsia="Verdana" w:cs="Verdana"/>
                <w:sz w:val="16"/>
                <w:szCs w:val="16"/>
                <w:lang w:val="bg-BG"/>
              </w:rPr>
              <w:lastRenderedPageBreak/>
              <w:t>2020-2030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22D988E" w14:textId="7E13B9D6" w:rsidR="008162E0" w:rsidRPr="007375EB" w:rsidRDefault="007C1B8A" w:rsidP="008162E0">
            <w:pPr>
              <w:spacing w:line="240" w:lineRule="auto"/>
              <w:jc w:val="both"/>
              <w:rPr>
                <w:rFonts w:eastAsia="Verdana" w:cs="Verdana"/>
                <w:sz w:val="16"/>
                <w:szCs w:val="16"/>
                <w:lang w:val="bg-BG"/>
              </w:rPr>
            </w:pPr>
            <w:r w:rsidRPr="007375EB">
              <w:rPr>
                <w:rFonts w:eastAsia="Verdana" w:cs="Verdana"/>
                <w:sz w:val="16"/>
                <w:szCs w:val="16"/>
                <w:lang w:val="bg-BG"/>
              </w:rPr>
              <w:t>Анализираният PUZ допринася за изпълнението на стратегическите цели, свързани с намаляване на емисиите на парникови газове, чиста енергия и устойчиви общности.</w:t>
            </w:r>
          </w:p>
        </w:tc>
      </w:tr>
      <w:tr w:rsidR="008162E0" w:rsidRPr="007375EB" w14:paraId="68104DB9"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FA4440C" w14:textId="77777777" w:rsidR="00C86795" w:rsidRPr="007375EB" w:rsidRDefault="00C86795" w:rsidP="00C86795">
            <w:pPr>
              <w:spacing w:line="240" w:lineRule="auto"/>
              <w:ind w:left="28"/>
              <w:jc w:val="both"/>
              <w:rPr>
                <w:rFonts w:eastAsia="Times New Roman" w:cs="Times New Roman"/>
                <w:sz w:val="16"/>
                <w:szCs w:val="16"/>
                <w:lang w:val="bg-BG"/>
              </w:rPr>
            </w:pPr>
            <w:r w:rsidRPr="007375EB">
              <w:rPr>
                <w:rFonts w:eastAsia="Times New Roman" w:cs="Times New Roman"/>
                <w:sz w:val="16"/>
                <w:szCs w:val="16"/>
                <w:lang w:val="bg-BG"/>
              </w:rPr>
              <w:t xml:space="preserve">Националната стратегия за изменение на климата и икономически растеж, основан на ниски въглеродни емисии за периода 2016-2020 г. </w:t>
            </w:r>
          </w:p>
          <w:p w14:paraId="58E6EEB7" w14:textId="77777777" w:rsidR="00C86795" w:rsidRPr="007375EB" w:rsidRDefault="00C86795" w:rsidP="00C86795">
            <w:pPr>
              <w:spacing w:line="240" w:lineRule="auto"/>
              <w:ind w:left="28"/>
              <w:jc w:val="both"/>
              <w:rPr>
                <w:rFonts w:eastAsia="Times New Roman" w:cs="Times New Roman"/>
                <w:sz w:val="16"/>
                <w:szCs w:val="16"/>
                <w:lang w:val="bg-BG"/>
              </w:rPr>
            </w:pPr>
            <w:r w:rsidRPr="007375EB">
              <w:rPr>
                <w:rFonts w:eastAsia="Times New Roman" w:cs="Times New Roman"/>
                <w:sz w:val="16"/>
                <w:szCs w:val="16"/>
                <w:lang w:val="bg-BG"/>
              </w:rPr>
              <w:t xml:space="preserve">Националният план за действие за изпълнение на Националната стратегия по изменение на климата и икономически растеж, основан на ниски въглеродни </w:t>
            </w:r>
            <w:r w:rsidRPr="007375EB">
              <w:rPr>
                <w:rFonts w:eastAsia="Times New Roman" w:cs="Times New Roman"/>
                <w:sz w:val="16"/>
                <w:szCs w:val="16"/>
                <w:lang w:val="bg-BG"/>
              </w:rPr>
              <w:lastRenderedPageBreak/>
              <w:t>емисии за периода 2016-2020 г.</w:t>
            </w:r>
          </w:p>
          <w:p w14:paraId="504672A5" w14:textId="51D7B9F1" w:rsidR="008162E0" w:rsidRPr="007375EB" w:rsidRDefault="00C86795" w:rsidP="00C86795">
            <w:pPr>
              <w:spacing w:line="240" w:lineRule="auto"/>
              <w:ind w:left="28"/>
              <w:jc w:val="both"/>
              <w:rPr>
                <w:rFonts w:eastAsia="Times New Roman" w:cs="Times New Roman"/>
                <w:sz w:val="16"/>
                <w:szCs w:val="16"/>
                <w:lang w:val="bg-BG"/>
              </w:rPr>
            </w:pPr>
            <w:r w:rsidRPr="007375EB">
              <w:rPr>
                <w:rFonts w:eastAsia="Times New Roman" w:cs="Times New Roman"/>
                <w:sz w:val="16"/>
                <w:szCs w:val="16"/>
                <w:lang w:val="bg-BG"/>
              </w:rPr>
              <w:t>РП 739/2016 с изменения РП 1215/2023</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387899A" w14:textId="77777777" w:rsidR="00C86795" w:rsidRPr="007375EB" w:rsidRDefault="00C86795" w:rsidP="00C86795">
            <w:pPr>
              <w:spacing w:line="240" w:lineRule="auto"/>
              <w:jc w:val="both"/>
              <w:rPr>
                <w:rFonts w:eastAsia="Verdana" w:cs="Verdana"/>
                <w:sz w:val="16"/>
                <w:szCs w:val="16"/>
                <w:lang w:val="bg-BG"/>
              </w:rPr>
            </w:pPr>
            <w:r w:rsidRPr="007375EB">
              <w:rPr>
                <w:rFonts w:eastAsia="Verdana" w:cs="Verdana"/>
                <w:sz w:val="16"/>
                <w:szCs w:val="16"/>
                <w:lang w:val="bg-BG"/>
              </w:rPr>
              <w:lastRenderedPageBreak/>
              <w:t>Основната цел е да се намалят емисиите на парникови газове от икономически дейности в съответствие с целите на ЕС и да се адаптира към въздействието на изменението на климата, както настоящо, така и в бъдеще.</w:t>
            </w:r>
          </w:p>
          <w:p w14:paraId="39A90E7D" w14:textId="41B6A72C" w:rsidR="008162E0" w:rsidRPr="007375EB" w:rsidRDefault="00C86795" w:rsidP="00C86795">
            <w:pPr>
              <w:spacing w:line="240" w:lineRule="auto"/>
              <w:jc w:val="both"/>
              <w:rPr>
                <w:rFonts w:eastAsia="Verdana" w:cs="Verdana"/>
                <w:sz w:val="16"/>
                <w:szCs w:val="16"/>
                <w:lang w:val="bg-BG"/>
              </w:rPr>
            </w:pPr>
            <w:r w:rsidRPr="007375EB">
              <w:rPr>
                <w:rFonts w:eastAsia="Verdana" w:cs="Verdana"/>
                <w:sz w:val="16"/>
                <w:szCs w:val="16"/>
                <w:lang w:val="bg-BG"/>
              </w:rPr>
              <w:t>Стратегията на SC приема количествено измерими цели в съответствие с аспирациите за ЕС 2030: 40% намаление на общите емисии на парникови газове в сравнение с нивата от 1990 г.</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59DB67E" w14:textId="3072A894" w:rsidR="008162E0" w:rsidRPr="007375EB" w:rsidRDefault="008162E0" w:rsidP="008162E0">
            <w:pPr>
              <w:spacing w:line="240" w:lineRule="auto"/>
              <w:jc w:val="both"/>
              <w:rPr>
                <w:rFonts w:eastAsia="Verdana" w:cs="Verdana"/>
                <w:sz w:val="16"/>
                <w:szCs w:val="16"/>
                <w:lang w:val="bg-BG"/>
              </w:rPr>
            </w:pPr>
            <w:r w:rsidRPr="007375EB">
              <w:rPr>
                <w:rFonts w:eastAsia="Verdana" w:cs="Verdana"/>
                <w:sz w:val="16"/>
                <w:szCs w:val="16"/>
                <w:lang w:val="bg-BG"/>
              </w:rPr>
              <w:t>2016-2050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76CAA2C" w14:textId="77777777" w:rsidR="00C86795" w:rsidRPr="007375EB" w:rsidRDefault="00C86795" w:rsidP="00C86795">
            <w:pPr>
              <w:spacing w:line="240" w:lineRule="auto"/>
              <w:jc w:val="both"/>
              <w:rPr>
                <w:rFonts w:eastAsia="Verdana" w:cs="Verdana"/>
                <w:sz w:val="16"/>
                <w:szCs w:val="16"/>
                <w:lang w:val="bg-BG"/>
              </w:rPr>
            </w:pPr>
            <w:r w:rsidRPr="007375EB">
              <w:rPr>
                <w:rFonts w:eastAsia="Verdana" w:cs="Verdana"/>
                <w:sz w:val="16"/>
                <w:szCs w:val="16"/>
                <w:lang w:val="bg-BG"/>
              </w:rPr>
              <w:t>Анализираният PUZ допринася за целта за намаляване на емисиите на парникови газове чрез създаване на алтернатива за производство на електроенергия на класическото производство от твърди горива</w:t>
            </w:r>
          </w:p>
          <w:p w14:paraId="2E6EB486" w14:textId="0EC92B23" w:rsidR="008162E0" w:rsidRPr="007375EB" w:rsidRDefault="00C86795" w:rsidP="00C86795">
            <w:pPr>
              <w:spacing w:line="240" w:lineRule="auto"/>
              <w:jc w:val="both"/>
              <w:rPr>
                <w:rFonts w:eastAsia="Verdana" w:cs="Verdana"/>
                <w:sz w:val="16"/>
                <w:szCs w:val="16"/>
                <w:lang w:val="bg-BG"/>
              </w:rPr>
            </w:pPr>
            <w:r w:rsidRPr="007375EB">
              <w:rPr>
                <w:rFonts w:eastAsia="Verdana" w:cs="Verdana"/>
                <w:sz w:val="16"/>
                <w:szCs w:val="16"/>
                <w:lang w:val="bg-BG"/>
              </w:rPr>
              <w:t>Освен това PUZ допринася за адаптирането на енергийния сектор чрез диверсификация на производството на енергия и по-специално чрез включване на възобновяеми източници</w:t>
            </w:r>
          </w:p>
        </w:tc>
      </w:tr>
      <w:tr w:rsidR="008162E0" w:rsidRPr="007375EB" w14:paraId="449CA69C"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96987D6" w14:textId="1777B122" w:rsidR="008162E0" w:rsidRPr="007375EB" w:rsidRDefault="0061527E" w:rsidP="008162E0">
            <w:pPr>
              <w:spacing w:line="240" w:lineRule="auto"/>
              <w:ind w:left="28"/>
              <w:jc w:val="both"/>
              <w:rPr>
                <w:rFonts w:eastAsia="Times New Roman" w:cs="Times New Roman"/>
                <w:sz w:val="16"/>
                <w:szCs w:val="16"/>
                <w:lang w:val="bg-BG"/>
              </w:rPr>
            </w:pPr>
            <w:r w:rsidRPr="007375EB">
              <w:rPr>
                <w:rFonts w:eastAsia="Times New Roman" w:cs="Times New Roman"/>
                <w:sz w:val="16"/>
                <w:szCs w:val="16"/>
                <w:lang w:val="bg-BG"/>
              </w:rPr>
              <w:t xml:space="preserve">Националната стратегия за адаптиране към изменението на климата за периода 2022-2030 г. с перспектива за годината </w:t>
            </w:r>
            <w:r w:rsidR="008162E0" w:rsidRPr="007375EB">
              <w:rPr>
                <w:rFonts w:eastAsia="Times New Roman" w:cs="Times New Roman"/>
                <w:sz w:val="16"/>
                <w:szCs w:val="16"/>
                <w:lang w:val="bg-BG"/>
              </w:rPr>
              <w:t>2050 (SNASC)</w:t>
            </w:r>
            <w:r w:rsidR="008162E0" w:rsidRPr="007375EB">
              <w:rPr>
                <w:rStyle w:val="FootnoteReference"/>
                <w:rFonts w:eastAsia="Times New Roman" w:cs="Times New Roman"/>
                <w:sz w:val="16"/>
                <w:szCs w:val="16"/>
                <w:lang w:val="bg-BG"/>
              </w:rPr>
              <w:footnoteReference w:id="17"/>
            </w:r>
          </w:p>
          <w:p w14:paraId="73A7A1C5" w14:textId="677B89C8" w:rsidR="008162E0" w:rsidRPr="007375EB" w:rsidRDefault="0061527E" w:rsidP="008162E0">
            <w:pPr>
              <w:spacing w:line="240" w:lineRule="auto"/>
              <w:ind w:left="28"/>
              <w:jc w:val="both"/>
              <w:rPr>
                <w:rFonts w:eastAsia="Times New Roman" w:cs="Times New Roman"/>
                <w:sz w:val="16"/>
                <w:szCs w:val="16"/>
                <w:lang w:val="bg-BG"/>
              </w:rPr>
            </w:pPr>
            <w:r w:rsidRPr="007375EB">
              <w:rPr>
                <w:rFonts w:eastAsia="Times New Roman" w:cs="Times New Roman"/>
                <w:sz w:val="16"/>
                <w:szCs w:val="16"/>
                <w:lang w:val="bg-BG"/>
              </w:rPr>
              <w:t xml:space="preserve">Национален план за действие за изпълнение на Националната стратегия за адаптиране към изменението на климата </w:t>
            </w:r>
            <w:r w:rsidR="008162E0" w:rsidRPr="007375EB">
              <w:rPr>
                <w:rFonts w:eastAsia="Times New Roman" w:cs="Times New Roman"/>
                <w:sz w:val="16"/>
                <w:szCs w:val="16"/>
                <w:lang w:val="bg-BG"/>
              </w:rPr>
              <w:t>(PNASC), 2022</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28BA473" w14:textId="77777777" w:rsidR="0061527E" w:rsidRPr="007375EB" w:rsidRDefault="0061527E" w:rsidP="0061527E">
            <w:pPr>
              <w:spacing w:line="240" w:lineRule="auto"/>
              <w:jc w:val="both"/>
              <w:rPr>
                <w:rFonts w:eastAsia="Verdana" w:cs="Verdana"/>
                <w:sz w:val="16"/>
                <w:szCs w:val="16"/>
                <w:lang w:val="bg-BG"/>
              </w:rPr>
            </w:pPr>
            <w:r w:rsidRPr="007375EB">
              <w:rPr>
                <w:rFonts w:eastAsia="Verdana" w:cs="Verdana"/>
                <w:sz w:val="16"/>
                <w:szCs w:val="16"/>
                <w:lang w:val="bg-BG"/>
              </w:rPr>
              <w:t xml:space="preserve">Общата цел на SNASC е да подобри способността за адаптиране и повишаване на устойчивостта на социално-икономическите и природни системи към ефектите от изменението на климата в различни области и времеви интервали. </w:t>
            </w:r>
          </w:p>
          <w:p w14:paraId="1AAE3DC7" w14:textId="7230CBC8" w:rsidR="008162E0" w:rsidRPr="007375EB" w:rsidRDefault="0061527E" w:rsidP="0061527E">
            <w:pPr>
              <w:spacing w:line="240" w:lineRule="auto"/>
              <w:jc w:val="both"/>
              <w:rPr>
                <w:rFonts w:eastAsia="Verdana" w:cs="Verdana"/>
                <w:sz w:val="16"/>
                <w:szCs w:val="16"/>
                <w:lang w:val="bg-BG"/>
              </w:rPr>
            </w:pPr>
            <w:r w:rsidRPr="007375EB">
              <w:rPr>
                <w:rFonts w:eastAsia="Verdana" w:cs="Verdana"/>
                <w:sz w:val="16"/>
                <w:szCs w:val="16"/>
                <w:lang w:val="bg-BG"/>
              </w:rPr>
              <w:t>SNASC осигурява приемственост и съгласуваност с адаптационния компонент на „Националната стратегия за изменението на климата и икономическия растеж, основан на ниски въглеродни емисии за периода 2016-2030 г.</w:t>
            </w:r>
            <w:r w:rsidR="008162E0" w:rsidRPr="007375EB">
              <w:rPr>
                <w:rFonts w:eastAsia="Verdana" w:cs="Verdana"/>
                <w:sz w:val="16"/>
                <w:szCs w:val="16"/>
                <w:lang w:val="bg-BG"/>
              </w:rPr>
              <w:t xml:space="preserve">”. </w:t>
            </w:r>
          </w:p>
          <w:p w14:paraId="00F5F91B" w14:textId="4C042D2A" w:rsidR="008162E0" w:rsidRPr="007375EB" w:rsidRDefault="0061527E" w:rsidP="008162E0">
            <w:pPr>
              <w:spacing w:line="240" w:lineRule="auto"/>
              <w:jc w:val="both"/>
              <w:rPr>
                <w:rFonts w:eastAsia="Verdana" w:cs="Verdana"/>
                <w:sz w:val="16"/>
                <w:szCs w:val="16"/>
                <w:lang w:val="bg-BG"/>
              </w:rPr>
            </w:pPr>
            <w:r w:rsidRPr="007375EB">
              <w:rPr>
                <w:rFonts w:eastAsia="Verdana" w:cs="Verdana"/>
                <w:sz w:val="16"/>
                <w:szCs w:val="16"/>
                <w:lang w:val="bg-BG"/>
              </w:rPr>
              <w:t>В същото време SNASC има за цел секторно развитие в съответствие с принципите на Новата стратегия на ЕС за адаптиране към изменението на климата, а именно интелигентно, бързо, системно и свързано адаптиране в глобален мащаб на действие</w:t>
            </w:r>
            <w:r w:rsidR="008162E0" w:rsidRPr="007375EB">
              <w:rPr>
                <w:rFonts w:eastAsia="Verdana" w:cs="Verdana"/>
                <w:sz w:val="16"/>
                <w:szCs w:val="16"/>
                <w:lang w:val="bg-BG"/>
              </w:rPr>
              <w:t>.</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7624211" w14:textId="1AC582B2" w:rsidR="008162E0" w:rsidRPr="007375EB" w:rsidRDefault="008162E0" w:rsidP="008162E0">
            <w:pPr>
              <w:spacing w:line="240" w:lineRule="auto"/>
              <w:jc w:val="both"/>
              <w:rPr>
                <w:rFonts w:eastAsia="Verdana" w:cs="Verdana"/>
                <w:sz w:val="16"/>
                <w:szCs w:val="16"/>
                <w:lang w:val="bg-BG"/>
              </w:rPr>
            </w:pPr>
            <w:r w:rsidRPr="007375EB">
              <w:rPr>
                <w:rFonts w:eastAsia="Verdana" w:cs="Verdana"/>
                <w:sz w:val="16"/>
                <w:szCs w:val="16"/>
                <w:lang w:val="bg-BG"/>
              </w:rPr>
              <w:t>2022-2030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F8D8E66" w14:textId="4B6EF55F" w:rsidR="008162E0" w:rsidRPr="007375EB" w:rsidRDefault="0061527E" w:rsidP="008162E0">
            <w:pPr>
              <w:spacing w:line="240" w:lineRule="auto"/>
              <w:jc w:val="both"/>
              <w:rPr>
                <w:rFonts w:eastAsia="Verdana" w:cs="Verdana"/>
                <w:sz w:val="16"/>
                <w:szCs w:val="16"/>
                <w:lang w:val="bg-BG"/>
              </w:rPr>
            </w:pPr>
            <w:r w:rsidRPr="007375EB">
              <w:rPr>
                <w:rFonts w:eastAsia="Verdana" w:cs="Verdana"/>
                <w:sz w:val="16"/>
                <w:szCs w:val="16"/>
                <w:lang w:val="bg-BG"/>
              </w:rPr>
              <w:t xml:space="preserve">Анализираният </w:t>
            </w:r>
            <w:r w:rsidR="0014580E" w:rsidRPr="007375EB">
              <w:rPr>
                <w:rFonts w:eastAsia="Verdana" w:cs="Verdana"/>
                <w:sz w:val="16"/>
                <w:szCs w:val="16"/>
                <w:lang w:val="bg-BG"/>
              </w:rPr>
              <w:t>ЗГП</w:t>
            </w:r>
            <w:r w:rsidRPr="007375EB">
              <w:rPr>
                <w:rFonts w:eastAsia="Verdana" w:cs="Verdana"/>
                <w:sz w:val="16"/>
                <w:szCs w:val="16"/>
                <w:lang w:val="bg-BG"/>
              </w:rPr>
              <w:t xml:space="preserve"> допринася за постигането на конкретната цел Промени в управлението или поведението от страна на персонала, ангажиран в туризма и от страна на туристите, мярката Използване на възобновяема енергия чрез замяна на изкопаемите горива с енергийни източници, които отделят парникови газове в по-ниски пропорции или изобщо не, като вятърна и слънчева енергия</w:t>
            </w:r>
          </w:p>
        </w:tc>
      </w:tr>
      <w:tr w:rsidR="008162E0" w:rsidRPr="007375EB" w14:paraId="557F200F"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FF8CFB4" w14:textId="466946CC" w:rsidR="00CD56DD" w:rsidRPr="007375EB" w:rsidRDefault="0061527E" w:rsidP="008162E0">
            <w:pPr>
              <w:spacing w:line="240" w:lineRule="auto"/>
              <w:ind w:left="28"/>
              <w:jc w:val="both"/>
              <w:rPr>
                <w:rFonts w:eastAsia="Times New Roman" w:cs="Times New Roman"/>
                <w:sz w:val="16"/>
                <w:szCs w:val="16"/>
                <w:lang w:val="bg-BG"/>
              </w:rPr>
            </w:pPr>
            <w:r w:rsidRPr="007375EB">
              <w:rPr>
                <w:rFonts w:eastAsia="Times New Roman" w:cs="Times New Roman"/>
                <w:sz w:val="16"/>
                <w:szCs w:val="16"/>
                <w:lang w:val="bg-BG"/>
              </w:rPr>
              <w:t xml:space="preserve">Дългосрочната стратегия на Румъния за намаляване на парниковите газове Неутрална Румъния през 2050 г </w:t>
            </w:r>
            <w:r w:rsidR="00CD56DD" w:rsidRPr="007375EB">
              <w:rPr>
                <w:rFonts w:eastAsia="Times New Roman" w:cs="Times New Roman"/>
                <w:sz w:val="16"/>
                <w:szCs w:val="16"/>
                <w:lang w:val="bg-BG"/>
              </w:rPr>
              <w:t>(</w:t>
            </w:r>
            <w:r w:rsidRPr="007375EB">
              <w:rPr>
                <w:rFonts w:eastAsia="Times New Roman" w:cs="Times New Roman"/>
                <w:sz w:val="16"/>
                <w:szCs w:val="16"/>
                <w:lang w:val="bg-BG"/>
              </w:rPr>
              <w:t>РП</w:t>
            </w:r>
            <w:r w:rsidR="00607B08" w:rsidRPr="007375EB">
              <w:rPr>
                <w:rFonts w:eastAsia="Times New Roman" w:cs="Times New Roman"/>
                <w:sz w:val="16"/>
                <w:szCs w:val="16"/>
                <w:lang w:val="bg-BG"/>
              </w:rPr>
              <w:t xml:space="preserve"> 1215/2023</w:t>
            </w:r>
            <w:r w:rsidR="00CD56DD" w:rsidRPr="007375EB">
              <w:rPr>
                <w:rFonts w:eastAsia="Times New Roman" w:cs="Times New Roman"/>
                <w:sz w:val="16"/>
                <w:szCs w:val="16"/>
                <w:lang w:val="bg-BG"/>
              </w:rPr>
              <w:t>)</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C5AAB9F" w14:textId="6BA19A76" w:rsidR="008162E0" w:rsidRPr="007375EB" w:rsidRDefault="0061527E" w:rsidP="008162E0">
            <w:pPr>
              <w:spacing w:line="240" w:lineRule="auto"/>
              <w:jc w:val="both"/>
              <w:rPr>
                <w:rFonts w:eastAsia="Verdana" w:cs="Verdana"/>
                <w:sz w:val="16"/>
                <w:szCs w:val="16"/>
                <w:lang w:val="bg-BG"/>
              </w:rPr>
            </w:pPr>
            <w:r w:rsidRPr="007375EB">
              <w:rPr>
                <w:rFonts w:eastAsia="Verdana" w:cs="Verdana"/>
                <w:sz w:val="16"/>
                <w:szCs w:val="16"/>
                <w:lang w:val="bg-BG"/>
              </w:rPr>
              <w:t>Румъния има за цел да стане климатично неутрална през 2050 г., като постигне 99% намаление на нетните емисии на парникови газове през 2050 г. в сравнение с нивата от 1990 г.</w:t>
            </w:r>
          </w:p>
          <w:p w14:paraId="1B1CB15E" w14:textId="14995F6F" w:rsidR="008162E0" w:rsidRPr="007375EB" w:rsidRDefault="0061527E" w:rsidP="008162E0">
            <w:pPr>
              <w:spacing w:line="240" w:lineRule="auto"/>
              <w:jc w:val="both"/>
              <w:rPr>
                <w:rFonts w:eastAsia="Verdana" w:cs="Verdana"/>
                <w:sz w:val="16"/>
                <w:szCs w:val="16"/>
                <w:lang w:val="bg-BG"/>
              </w:rPr>
            </w:pPr>
            <w:r w:rsidRPr="007375EB">
              <w:rPr>
                <w:rFonts w:eastAsia="Verdana" w:cs="Verdana"/>
                <w:sz w:val="16"/>
                <w:szCs w:val="16"/>
                <w:lang w:val="bg-BG"/>
              </w:rPr>
              <w:t>Секторните цели за намаляване на нетните емисии на парникови газове до 2050 г. съгласно сценария Неутрална Румъния включват</w:t>
            </w:r>
            <w:r w:rsidR="008162E0" w:rsidRPr="007375EB">
              <w:rPr>
                <w:rFonts w:eastAsia="Verdana" w:cs="Verdana"/>
                <w:sz w:val="16"/>
                <w:szCs w:val="16"/>
                <w:lang w:val="bg-BG"/>
              </w:rPr>
              <w:t>:</w:t>
            </w:r>
          </w:p>
          <w:p w14:paraId="58A4A0CC" w14:textId="65D969C6" w:rsidR="008162E0" w:rsidRPr="007375EB" w:rsidRDefault="0061527E"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b/>
                <w:bCs/>
                <w:sz w:val="16"/>
                <w:szCs w:val="16"/>
                <w:lang w:val="bg-BG"/>
              </w:rPr>
              <w:t>Енергиен сектор</w:t>
            </w:r>
            <w:r w:rsidR="008162E0" w:rsidRPr="007375EB">
              <w:rPr>
                <w:sz w:val="16"/>
                <w:szCs w:val="16"/>
                <w:lang w:val="bg-BG"/>
              </w:rPr>
              <w:t xml:space="preserve">: </w:t>
            </w:r>
            <w:r w:rsidRPr="007375EB">
              <w:rPr>
                <w:sz w:val="16"/>
                <w:szCs w:val="16"/>
                <w:lang w:val="bg-BG"/>
              </w:rPr>
              <w:t xml:space="preserve">Според сценарий на </w:t>
            </w:r>
            <w:r w:rsidRPr="007375EB">
              <w:rPr>
                <w:rFonts w:eastAsia="Verdana" w:cs="Verdana"/>
                <w:sz w:val="16"/>
                <w:szCs w:val="16"/>
                <w:lang w:val="bg-BG"/>
              </w:rPr>
              <w:t>Неутрална Румъния,</w:t>
            </w:r>
            <w:r w:rsidRPr="007375EB">
              <w:rPr>
                <w:sz w:val="16"/>
                <w:szCs w:val="16"/>
                <w:lang w:val="bg-BG"/>
              </w:rPr>
              <w:t xml:space="preserve"> през 2030 г. Румъния трябва да намали своите нетни емисии със 78%, а тези без LULUCF с 67% в сравнение с нивото от 1990 г., за да бъде на път към постигане на климатична неутралност </w:t>
            </w:r>
            <w:r w:rsidRPr="007375EB">
              <w:rPr>
                <w:sz w:val="16"/>
                <w:szCs w:val="16"/>
                <w:lang w:val="bg-BG"/>
              </w:rPr>
              <w:lastRenderedPageBreak/>
              <w:t>през 2050 г. Според REF според сценария нетните емисии ще бъдат намалени с 85% през 2050 г. в сравнение с нивата от 1990 г. През 2019 г. 69% от целта за намаляване на емисиите до 2050 г. вече е постигната. До 2035 г. 98% от целта ще бъде постигната</w:t>
            </w:r>
            <w:r w:rsidR="008162E0" w:rsidRPr="007375EB">
              <w:rPr>
                <w:sz w:val="16"/>
                <w:szCs w:val="16"/>
                <w:lang w:val="bg-BG"/>
              </w:rPr>
              <w:t>.</w:t>
            </w:r>
          </w:p>
          <w:p w14:paraId="44B18DAE" w14:textId="5F9E9C4C" w:rsidR="008162E0" w:rsidRPr="007375EB" w:rsidRDefault="0061527E"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b/>
                <w:bCs/>
                <w:sz w:val="16"/>
                <w:szCs w:val="16"/>
                <w:lang w:val="bg-BG"/>
              </w:rPr>
              <w:t>Транспорт</w:t>
            </w:r>
            <w:r w:rsidR="008162E0" w:rsidRPr="007375EB">
              <w:rPr>
                <w:b/>
                <w:bCs/>
                <w:sz w:val="16"/>
                <w:szCs w:val="16"/>
                <w:lang w:val="bg-BG"/>
              </w:rPr>
              <w:t xml:space="preserve">: </w:t>
            </w:r>
            <w:r w:rsidRPr="007375EB">
              <w:rPr>
                <w:sz w:val="16"/>
                <w:szCs w:val="16"/>
                <w:lang w:val="bg-BG"/>
              </w:rPr>
              <w:t>Намаляване на секторните емисии с 82% през 2050 г. в сравнение с нивата от 1990 г.</w:t>
            </w:r>
            <w:r w:rsidR="008162E0" w:rsidRPr="007375EB">
              <w:rPr>
                <w:sz w:val="16"/>
                <w:szCs w:val="16"/>
                <w:lang w:val="bg-BG"/>
              </w:rPr>
              <w:t>;</w:t>
            </w:r>
          </w:p>
          <w:p w14:paraId="5BD992E6" w14:textId="44789028" w:rsidR="008162E0" w:rsidRPr="007375EB" w:rsidRDefault="0061527E"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b/>
                <w:bCs/>
                <w:sz w:val="16"/>
                <w:szCs w:val="16"/>
                <w:lang w:val="bg-BG"/>
              </w:rPr>
              <w:t>Строителен сектор</w:t>
            </w:r>
            <w:r w:rsidR="008162E0" w:rsidRPr="007375EB">
              <w:rPr>
                <w:b/>
                <w:bCs/>
                <w:sz w:val="16"/>
                <w:szCs w:val="16"/>
                <w:lang w:val="bg-BG"/>
              </w:rPr>
              <w:t xml:space="preserve">: </w:t>
            </w:r>
            <w:r w:rsidRPr="007375EB">
              <w:rPr>
                <w:sz w:val="16"/>
                <w:szCs w:val="16"/>
                <w:lang w:val="bg-BG"/>
              </w:rPr>
              <w:t>Емисиите през 2050 г. са 78% по-ниски от нивата от 1990 г.</w:t>
            </w:r>
            <w:r w:rsidR="008162E0" w:rsidRPr="007375EB">
              <w:rPr>
                <w:sz w:val="16"/>
                <w:szCs w:val="16"/>
                <w:lang w:val="bg-BG"/>
              </w:rPr>
              <w:t>;</w:t>
            </w:r>
          </w:p>
          <w:p w14:paraId="36E2382D" w14:textId="5D3465B0" w:rsidR="008162E0" w:rsidRPr="007375EB" w:rsidRDefault="0061527E"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b/>
                <w:bCs/>
                <w:sz w:val="16"/>
                <w:szCs w:val="16"/>
                <w:lang w:val="bg-BG"/>
              </w:rPr>
              <w:t>Индустриален сектор</w:t>
            </w:r>
            <w:r w:rsidR="008162E0" w:rsidRPr="007375EB">
              <w:rPr>
                <w:b/>
                <w:bCs/>
                <w:sz w:val="16"/>
                <w:szCs w:val="16"/>
                <w:lang w:val="bg-BG"/>
              </w:rPr>
              <w:t>:</w:t>
            </w:r>
            <w:r w:rsidR="008162E0" w:rsidRPr="007375EB">
              <w:rPr>
                <w:sz w:val="16"/>
                <w:szCs w:val="16"/>
                <w:lang w:val="bg-BG"/>
              </w:rPr>
              <w:t xml:space="preserve"> </w:t>
            </w:r>
            <w:r w:rsidRPr="007375EB">
              <w:rPr>
                <w:sz w:val="16"/>
                <w:szCs w:val="16"/>
                <w:lang w:val="bg-BG"/>
              </w:rPr>
              <w:t>Емисиите през 2050 г. са с 89% по-ниски от нивата от 1990 г.</w:t>
            </w:r>
            <w:r w:rsidR="008162E0" w:rsidRPr="007375EB">
              <w:rPr>
                <w:sz w:val="16"/>
                <w:szCs w:val="16"/>
                <w:lang w:val="bg-BG"/>
              </w:rPr>
              <w:t>;</w:t>
            </w:r>
          </w:p>
          <w:p w14:paraId="27A08F50" w14:textId="14D6B658" w:rsidR="008162E0" w:rsidRPr="007375EB" w:rsidRDefault="001101CE"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b/>
                <w:bCs/>
                <w:sz w:val="16"/>
                <w:szCs w:val="16"/>
                <w:lang w:val="bg-BG"/>
              </w:rPr>
              <w:t>Аграрен сектор</w:t>
            </w:r>
            <w:r w:rsidR="008162E0" w:rsidRPr="007375EB">
              <w:rPr>
                <w:b/>
                <w:bCs/>
                <w:sz w:val="16"/>
                <w:szCs w:val="16"/>
                <w:lang w:val="bg-BG"/>
              </w:rPr>
              <w:t>:</w:t>
            </w:r>
            <w:r w:rsidR="008162E0" w:rsidRPr="007375EB">
              <w:rPr>
                <w:sz w:val="16"/>
                <w:szCs w:val="16"/>
                <w:lang w:val="bg-BG"/>
              </w:rPr>
              <w:t xml:space="preserve"> </w:t>
            </w:r>
            <w:r w:rsidRPr="007375EB">
              <w:rPr>
                <w:sz w:val="16"/>
                <w:szCs w:val="16"/>
                <w:lang w:val="bg-BG"/>
              </w:rPr>
              <w:t>Емисиите през 2050 г. са с 49% по-ниски от нивата от 1990 г.</w:t>
            </w:r>
            <w:r w:rsidR="008162E0" w:rsidRPr="007375EB">
              <w:rPr>
                <w:sz w:val="16"/>
                <w:szCs w:val="16"/>
                <w:lang w:val="bg-BG"/>
              </w:rPr>
              <w:t>;</w:t>
            </w:r>
          </w:p>
          <w:p w14:paraId="3F7A0E71" w14:textId="53F3FDBD" w:rsidR="008162E0" w:rsidRPr="007375EB" w:rsidRDefault="001101CE"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b/>
                <w:bCs/>
                <w:sz w:val="16"/>
                <w:szCs w:val="16"/>
                <w:lang w:val="bg-BG"/>
              </w:rPr>
              <w:t>Сектор</w:t>
            </w:r>
            <w:r w:rsidR="008162E0" w:rsidRPr="007375EB">
              <w:rPr>
                <w:b/>
                <w:bCs/>
                <w:sz w:val="16"/>
                <w:szCs w:val="16"/>
                <w:lang w:val="bg-BG"/>
              </w:rPr>
              <w:t xml:space="preserve"> LULUCF:</w:t>
            </w:r>
            <w:r w:rsidR="008162E0" w:rsidRPr="007375EB">
              <w:rPr>
                <w:sz w:val="16"/>
                <w:szCs w:val="16"/>
                <w:lang w:val="bg-BG"/>
              </w:rPr>
              <w:t xml:space="preserve"> </w:t>
            </w:r>
            <w:r w:rsidRPr="007375EB">
              <w:rPr>
                <w:sz w:val="16"/>
                <w:szCs w:val="16"/>
                <w:lang w:val="bg-BG"/>
              </w:rPr>
              <w:t>увеличението през 2050 г. на поглъщането с 14 % в сравнение с 1990 г., ниво, подобно на това, което вече е достигнато през 2005 г.</w:t>
            </w:r>
            <w:r w:rsidR="008162E0" w:rsidRPr="007375EB">
              <w:rPr>
                <w:sz w:val="16"/>
                <w:szCs w:val="16"/>
                <w:lang w:val="bg-BG"/>
              </w:rPr>
              <w:t>;</w:t>
            </w:r>
          </w:p>
          <w:p w14:paraId="0422A1FC" w14:textId="255C2179" w:rsidR="008162E0" w:rsidRPr="007375EB" w:rsidRDefault="001101CE"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b/>
                <w:bCs/>
                <w:sz w:val="16"/>
                <w:szCs w:val="16"/>
                <w:lang w:val="bg-BG"/>
              </w:rPr>
              <w:t>Сектор отпадъци</w:t>
            </w:r>
            <w:r w:rsidR="008162E0" w:rsidRPr="007375EB">
              <w:rPr>
                <w:b/>
                <w:bCs/>
                <w:sz w:val="16"/>
                <w:szCs w:val="16"/>
                <w:lang w:val="bg-BG"/>
              </w:rPr>
              <w:t>:</w:t>
            </w:r>
            <w:r w:rsidR="008162E0" w:rsidRPr="007375EB">
              <w:rPr>
                <w:sz w:val="16"/>
                <w:szCs w:val="16"/>
                <w:lang w:val="bg-BG"/>
              </w:rPr>
              <w:t xml:space="preserve"> </w:t>
            </w:r>
            <w:r w:rsidRPr="007375EB">
              <w:rPr>
                <w:sz w:val="16"/>
                <w:szCs w:val="16"/>
                <w:lang w:val="bg-BG"/>
              </w:rPr>
              <w:t>Емисиите през 2050 г. са 73% по-ниски от нивата от 1990 г.</w:t>
            </w:r>
            <w:r w:rsidR="008162E0" w:rsidRPr="007375EB">
              <w:rPr>
                <w:sz w:val="16"/>
                <w:szCs w:val="16"/>
                <w:lang w:val="bg-BG"/>
              </w:rPr>
              <w:t>;</w:t>
            </w:r>
          </w:p>
          <w:p w14:paraId="4744F37F" w14:textId="52262BFB" w:rsidR="008162E0" w:rsidRPr="007375EB" w:rsidRDefault="001101CE" w:rsidP="008162E0">
            <w:pPr>
              <w:spacing w:line="240" w:lineRule="auto"/>
              <w:jc w:val="both"/>
              <w:rPr>
                <w:rFonts w:eastAsia="Verdana" w:cs="Verdana"/>
                <w:sz w:val="16"/>
                <w:szCs w:val="16"/>
                <w:lang w:val="bg-BG"/>
              </w:rPr>
            </w:pPr>
            <w:r w:rsidRPr="007375EB">
              <w:rPr>
                <w:rFonts w:eastAsia="Verdana" w:cs="Verdana"/>
                <w:sz w:val="16"/>
                <w:szCs w:val="16"/>
                <w:lang w:val="bg-BG"/>
              </w:rPr>
              <w:t>Делът на ВЕИ в брутното крайно потребление на енергия ще бъде 86,1% през 2050 г. и 36,2% през 2030 г. за сценария Неутрална Румъния.</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B3E3770" w14:textId="223DE8A2" w:rsidR="008162E0" w:rsidRPr="007375EB" w:rsidRDefault="008162E0" w:rsidP="008162E0">
            <w:pPr>
              <w:spacing w:line="240" w:lineRule="auto"/>
              <w:jc w:val="both"/>
              <w:rPr>
                <w:rFonts w:eastAsia="Verdana" w:cs="Verdana"/>
                <w:sz w:val="16"/>
                <w:szCs w:val="16"/>
                <w:lang w:val="bg-BG"/>
              </w:rPr>
            </w:pPr>
            <w:r w:rsidRPr="007375EB">
              <w:rPr>
                <w:rFonts w:eastAsia="Verdana" w:cs="Verdana"/>
                <w:sz w:val="16"/>
                <w:szCs w:val="16"/>
                <w:lang w:val="bg-BG"/>
              </w:rPr>
              <w:lastRenderedPageBreak/>
              <w:t>2023-2050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CE19788" w14:textId="2BBCA472" w:rsidR="008162E0" w:rsidRPr="007375EB" w:rsidRDefault="0061527E" w:rsidP="008162E0">
            <w:pPr>
              <w:spacing w:line="240" w:lineRule="auto"/>
              <w:jc w:val="both"/>
              <w:rPr>
                <w:rFonts w:eastAsia="Verdana" w:cs="Verdana"/>
                <w:sz w:val="16"/>
                <w:szCs w:val="16"/>
                <w:lang w:val="bg-BG"/>
              </w:rPr>
            </w:pPr>
            <w:r w:rsidRPr="007375EB">
              <w:rPr>
                <w:rFonts w:eastAsia="Verdana" w:cs="Verdana"/>
                <w:sz w:val="16"/>
                <w:szCs w:val="16"/>
                <w:lang w:val="bg-BG"/>
              </w:rPr>
              <w:t>Анализираният PUZ допринася за всички цели на Стратегията по отношение на декарбонизацията на енергийния сектор</w:t>
            </w:r>
          </w:p>
        </w:tc>
      </w:tr>
      <w:tr w:rsidR="008162E0" w:rsidRPr="007375EB" w14:paraId="2D6A8823"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B90D10D" w14:textId="061ACA73" w:rsidR="008162E0" w:rsidRPr="007375EB" w:rsidRDefault="001101CE" w:rsidP="008162E0">
            <w:pPr>
              <w:spacing w:line="240" w:lineRule="auto"/>
              <w:ind w:left="28"/>
              <w:jc w:val="both"/>
              <w:rPr>
                <w:rFonts w:eastAsia="Times New Roman" w:cs="Times New Roman"/>
                <w:sz w:val="16"/>
                <w:szCs w:val="16"/>
                <w:lang w:val="bg-BG"/>
              </w:rPr>
            </w:pPr>
            <w:r w:rsidRPr="007375EB">
              <w:rPr>
                <w:rFonts w:eastAsia="Times New Roman" w:cs="Times New Roman"/>
                <w:sz w:val="16"/>
                <w:szCs w:val="16"/>
                <w:lang w:val="bg-BG"/>
              </w:rPr>
              <w:t xml:space="preserve">Националната стратегия и план за действие за опазване на биологичното разнообразие </w:t>
            </w:r>
            <w:r w:rsidR="00CA5993" w:rsidRPr="007375EB">
              <w:rPr>
                <w:rFonts w:eastAsia="Times New Roman" w:cs="Times New Roman"/>
                <w:sz w:val="16"/>
                <w:szCs w:val="16"/>
                <w:lang w:val="bg-BG"/>
              </w:rPr>
              <w:t>2014-2020</w:t>
            </w:r>
            <w:r w:rsidRPr="007375EB">
              <w:rPr>
                <w:rFonts w:eastAsia="Times New Roman" w:cs="Times New Roman"/>
                <w:sz w:val="16"/>
                <w:szCs w:val="16"/>
                <w:lang w:val="bg-BG"/>
              </w:rPr>
              <w:t xml:space="preserve"> г.</w:t>
            </w:r>
          </w:p>
          <w:p w14:paraId="671A7BFE" w14:textId="132394CF" w:rsidR="00CA5993" w:rsidRPr="007375EB" w:rsidRDefault="00CA5993" w:rsidP="008162E0">
            <w:pPr>
              <w:spacing w:line="240" w:lineRule="auto"/>
              <w:ind w:left="28"/>
              <w:jc w:val="both"/>
              <w:rPr>
                <w:rFonts w:eastAsia="Times New Roman" w:cs="Times New Roman"/>
                <w:sz w:val="16"/>
                <w:szCs w:val="16"/>
                <w:lang w:val="bg-BG"/>
              </w:rPr>
            </w:pPr>
            <w:r w:rsidRPr="007375EB">
              <w:rPr>
                <w:rFonts w:eastAsia="Times New Roman" w:cs="Times New Roman"/>
                <w:sz w:val="16"/>
                <w:szCs w:val="16"/>
                <w:lang w:val="bg-BG"/>
              </w:rPr>
              <w:t>(</w:t>
            </w:r>
            <w:r w:rsidR="001101CE" w:rsidRPr="007375EB">
              <w:rPr>
                <w:rFonts w:eastAsia="Times New Roman" w:cs="Times New Roman"/>
                <w:sz w:val="16"/>
                <w:szCs w:val="16"/>
                <w:lang w:val="bg-BG"/>
              </w:rPr>
              <w:t>РП</w:t>
            </w:r>
            <w:r w:rsidRPr="007375EB">
              <w:rPr>
                <w:rFonts w:eastAsia="Times New Roman" w:cs="Times New Roman"/>
                <w:sz w:val="16"/>
                <w:szCs w:val="16"/>
                <w:lang w:val="bg-BG"/>
              </w:rPr>
              <w:t xml:space="preserve"> 1081/2013)</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91E0031" w14:textId="77777777" w:rsidR="001101CE" w:rsidRPr="007375EB" w:rsidRDefault="001101CE" w:rsidP="001101CE">
            <w:pPr>
              <w:spacing w:line="240" w:lineRule="auto"/>
              <w:jc w:val="both"/>
              <w:rPr>
                <w:rFonts w:eastAsia="Verdana" w:cs="Verdana"/>
                <w:sz w:val="16"/>
                <w:szCs w:val="16"/>
                <w:lang w:val="bg-BG"/>
              </w:rPr>
            </w:pPr>
            <w:r w:rsidRPr="007375EB">
              <w:rPr>
                <w:rFonts w:eastAsia="Verdana" w:cs="Verdana"/>
                <w:sz w:val="16"/>
                <w:szCs w:val="16"/>
                <w:lang w:val="bg-BG"/>
              </w:rPr>
              <w:t>Стратегията представлява съществена отправна точка за устойчивото развитие на страната.</w:t>
            </w:r>
          </w:p>
          <w:p w14:paraId="2DEB6A42" w14:textId="48EE7BB5" w:rsidR="0046410A" w:rsidRPr="007375EB" w:rsidRDefault="001101CE" w:rsidP="001101CE">
            <w:pPr>
              <w:spacing w:line="240" w:lineRule="auto"/>
              <w:jc w:val="both"/>
              <w:rPr>
                <w:rFonts w:eastAsia="Verdana" w:cs="Verdana"/>
                <w:sz w:val="16"/>
                <w:szCs w:val="16"/>
                <w:lang w:val="bg-BG"/>
              </w:rPr>
            </w:pPr>
            <w:r w:rsidRPr="007375EB">
              <w:rPr>
                <w:rFonts w:eastAsia="Verdana" w:cs="Verdana"/>
                <w:sz w:val="16"/>
                <w:szCs w:val="16"/>
                <w:lang w:val="bg-BG"/>
              </w:rPr>
              <w:t>Общи насоки за действие в средносрочен план 2014-2020 г.</w:t>
            </w:r>
            <w:r w:rsidR="0046410A" w:rsidRPr="007375EB">
              <w:rPr>
                <w:rFonts w:eastAsia="Verdana" w:cs="Verdana"/>
                <w:sz w:val="16"/>
                <w:szCs w:val="16"/>
                <w:lang w:val="bg-BG"/>
              </w:rPr>
              <w:t>:</w:t>
            </w:r>
          </w:p>
          <w:p w14:paraId="34798B7A" w14:textId="2D8FF684" w:rsidR="00E15A1F" w:rsidRPr="007375EB" w:rsidRDefault="001101CE"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 xml:space="preserve">Направление на действие </w:t>
            </w:r>
            <w:r w:rsidR="00E15A1F" w:rsidRPr="007375EB">
              <w:rPr>
                <w:sz w:val="16"/>
                <w:szCs w:val="16"/>
                <w:lang w:val="bg-BG"/>
              </w:rPr>
              <w:t xml:space="preserve">1: </w:t>
            </w:r>
            <w:r w:rsidRPr="007375EB">
              <w:rPr>
                <w:sz w:val="16"/>
                <w:szCs w:val="16"/>
                <w:lang w:val="bg-BG"/>
              </w:rPr>
              <w:t>Спиране на намаляването на биологичното разнообразие, представено от генетични ресурси, видове, екосистеми и ландшафт, и възстановяване на деградирали системи до 2020 г.</w:t>
            </w:r>
          </w:p>
          <w:p w14:paraId="2A4E330B" w14:textId="77777777" w:rsidR="001101CE" w:rsidRPr="007375EB" w:rsidRDefault="001101CE"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lastRenderedPageBreak/>
              <w:t xml:space="preserve">Направление на действие </w:t>
            </w:r>
            <w:r w:rsidR="00E15A1F" w:rsidRPr="007375EB">
              <w:rPr>
                <w:sz w:val="16"/>
                <w:szCs w:val="16"/>
                <w:lang w:val="bg-BG"/>
              </w:rPr>
              <w:t xml:space="preserve">2: </w:t>
            </w:r>
            <w:r w:rsidRPr="007375EB">
              <w:rPr>
                <w:sz w:val="16"/>
                <w:szCs w:val="16"/>
                <w:lang w:val="bg-BG"/>
              </w:rPr>
              <w:t>Включване на политиките за опазване на биологичното разнообразие във всички секторни политики до 2020 г.</w:t>
            </w:r>
          </w:p>
          <w:p w14:paraId="12CEE54B" w14:textId="4517FBFC" w:rsidR="00E15A1F" w:rsidRPr="007375EB" w:rsidRDefault="001101CE"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 xml:space="preserve">Направление на действие </w:t>
            </w:r>
            <w:r w:rsidR="00E15A1F" w:rsidRPr="007375EB">
              <w:rPr>
                <w:sz w:val="16"/>
                <w:szCs w:val="16"/>
                <w:lang w:val="bg-BG"/>
              </w:rPr>
              <w:t xml:space="preserve">3: </w:t>
            </w:r>
            <w:r w:rsidRPr="007375EB">
              <w:rPr>
                <w:sz w:val="16"/>
                <w:szCs w:val="16"/>
                <w:lang w:val="bg-BG"/>
              </w:rPr>
              <w:t>Насърчаване на традиционните знания, практики и иновативни методи и чисти технологии като подкрепящи мерки за опазване на биологичното разнообразие в подкрепа на устойчивото развитие до 2020 г.</w:t>
            </w:r>
          </w:p>
          <w:p w14:paraId="7E13B355" w14:textId="71A11A67" w:rsidR="00E15A1F" w:rsidRPr="007375EB" w:rsidRDefault="001101CE" w:rsidP="00125F99">
            <w:pPr>
              <w:pStyle w:val="ListParagraph"/>
              <w:numPr>
                <w:ilvl w:val="0"/>
                <w:numId w:val="24"/>
              </w:numPr>
              <w:shd w:val="clear" w:color="auto" w:fill="FFFFFF" w:themeFill="background1"/>
              <w:spacing w:line="240" w:lineRule="auto"/>
              <w:ind w:left="240" w:hanging="142"/>
              <w:jc w:val="both"/>
              <w:rPr>
                <w:rFonts w:eastAsia="Verdana" w:cs="Verdana"/>
                <w:sz w:val="16"/>
                <w:szCs w:val="16"/>
                <w:lang w:val="bg-BG"/>
              </w:rPr>
            </w:pPr>
            <w:r w:rsidRPr="007375EB">
              <w:rPr>
                <w:sz w:val="16"/>
                <w:szCs w:val="16"/>
                <w:lang w:val="bg-BG"/>
              </w:rPr>
              <w:t xml:space="preserve">Направление на действие </w:t>
            </w:r>
            <w:r w:rsidR="00E15A1F" w:rsidRPr="007375EB">
              <w:rPr>
                <w:sz w:val="16"/>
                <w:szCs w:val="16"/>
                <w:lang w:val="bg-BG"/>
              </w:rPr>
              <w:t xml:space="preserve">4: </w:t>
            </w:r>
            <w:r w:rsidRPr="007375EB">
              <w:rPr>
                <w:sz w:val="16"/>
                <w:szCs w:val="16"/>
                <w:lang w:val="bg-BG"/>
              </w:rPr>
              <w:t>Подобряване на комуникацията и образованието в областта на биологичното разнообразие до 2020 г.</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4D3D1F1" w14:textId="16FD03FA" w:rsidR="008162E0" w:rsidRPr="007375EB" w:rsidRDefault="00DB5741" w:rsidP="008162E0">
            <w:pPr>
              <w:spacing w:line="240" w:lineRule="auto"/>
              <w:jc w:val="both"/>
              <w:rPr>
                <w:rFonts w:eastAsia="Verdana" w:cs="Verdana"/>
                <w:sz w:val="16"/>
                <w:szCs w:val="16"/>
                <w:lang w:val="bg-BG"/>
              </w:rPr>
            </w:pPr>
            <w:r w:rsidRPr="007375EB">
              <w:rPr>
                <w:rFonts w:eastAsia="Verdana" w:cs="Verdana"/>
                <w:sz w:val="16"/>
                <w:szCs w:val="16"/>
                <w:lang w:val="bg-BG"/>
              </w:rPr>
              <w:lastRenderedPageBreak/>
              <w:t>2014-2020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D29F360" w14:textId="7215E409" w:rsidR="008162E0" w:rsidRPr="007375EB" w:rsidRDefault="001101CE" w:rsidP="008162E0">
            <w:pPr>
              <w:spacing w:line="240" w:lineRule="auto"/>
              <w:jc w:val="both"/>
              <w:rPr>
                <w:rFonts w:eastAsia="Verdana" w:cs="Verdana"/>
                <w:sz w:val="16"/>
                <w:szCs w:val="16"/>
                <w:lang w:val="bg-BG"/>
              </w:rPr>
            </w:pPr>
            <w:r w:rsidRPr="007375EB">
              <w:rPr>
                <w:rFonts w:eastAsia="Verdana" w:cs="Verdana"/>
                <w:sz w:val="16"/>
                <w:szCs w:val="16"/>
                <w:lang w:val="bg-BG"/>
              </w:rPr>
              <w:t>Анализираният PUZ допринася за рационалното съотнасяне на целите за развитие, включително инвестиционните програми, с потенциала и капацитета за подпомагане на биоразнообразието</w:t>
            </w:r>
          </w:p>
        </w:tc>
      </w:tr>
      <w:tr w:rsidR="008162E0" w:rsidRPr="007375EB" w14:paraId="34528578"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4B81006" w14:textId="132F55E0" w:rsidR="008162E0" w:rsidRPr="007375EB" w:rsidRDefault="003753BD" w:rsidP="008162E0">
            <w:pPr>
              <w:spacing w:line="240" w:lineRule="auto"/>
              <w:ind w:left="28"/>
              <w:jc w:val="both"/>
              <w:rPr>
                <w:rFonts w:eastAsia="Times New Roman" w:cs="Times New Roman"/>
                <w:color w:val="FF0000"/>
                <w:sz w:val="16"/>
                <w:szCs w:val="16"/>
                <w:lang w:val="bg-BG"/>
              </w:rPr>
            </w:pPr>
            <w:r w:rsidRPr="007375EB">
              <w:rPr>
                <w:rFonts w:eastAsia="Times New Roman" w:cs="Times New Roman"/>
                <w:sz w:val="16"/>
                <w:szCs w:val="16"/>
                <w:lang w:val="bg-BG"/>
              </w:rPr>
              <w:t xml:space="preserve">Национална стратегия за кръгова икономика </w:t>
            </w:r>
            <w:r w:rsidR="00D54B37" w:rsidRPr="007375EB">
              <w:rPr>
                <w:rFonts w:eastAsia="Times New Roman" w:cs="Times New Roman"/>
                <w:sz w:val="16"/>
                <w:szCs w:val="16"/>
                <w:lang w:val="bg-BG"/>
              </w:rPr>
              <w:t>(</w:t>
            </w:r>
            <w:r w:rsidRPr="007375EB">
              <w:rPr>
                <w:rFonts w:eastAsia="Times New Roman" w:cs="Times New Roman"/>
                <w:sz w:val="16"/>
                <w:szCs w:val="16"/>
                <w:lang w:val="bg-BG"/>
              </w:rPr>
              <w:t>РП</w:t>
            </w:r>
            <w:r w:rsidR="00D54B37" w:rsidRPr="007375EB">
              <w:rPr>
                <w:rFonts w:eastAsia="Times New Roman" w:cs="Times New Roman"/>
                <w:sz w:val="16"/>
                <w:szCs w:val="16"/>
                <w:lang w:val="bg-BG"/>
              </w:rPr>
              <w:t xml:space="preserve"> 1172/2022)</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44B7EEF" w14:textId="314EF89D" w:rsidR="008162E0" w:rsidRPr="007375EB" w:rsidRDefault="003753BD" w:rsidP="008162E0">
            <w:pPr>
              <w:spacing w:line="240" w:lineRule="auto"/>
              <w:jc w:val="both"/>
              <w:rPr>
                <w:rFonts w:eastAsia="Verdana" w:cs="Verdana"/>
                <w:sz w:val="16"/>
                <w:szCs w:val="16"/>
                <w:lang w:val="bg-BG"/>
              </w:rPr>
            </w:pPr>
            <w:r w:rsidRPr="007375EB">
              <w:rPr>
                <w:rFonts w:eastAsia="Verdana" w:cs="Verdana"/>
                <w:sz w:val="16"/>
                <w:szCs w:val="16"/>
                <w:lang w:val="bg-BG"/>
              </w:rPr>
              <w:t>Тя има за цел да развие силни и устойчиви местни икономики в един глобализиран свят. Подкрепя разработването на местни и регионални стратегии за кръгова икономика, които свързват местните и глобалните икономики. Насърчава диверсификацията на местните икономики и усилията за укрепване на капацитета за иновации във всички региони.</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F517EFA" w14:textId="1B4D7B5F" w:rsidR="008162E0" w:rsidRPr="007375EB" w:rsidRDefault="00EC7B85" w:rsidP="008162E0">
            <w:pPr>
              <w:spacing w:line="240" w:lineRule="auto"/>
              <w:jc w:val="both"/>
              <w:rPr>
                <w:rFonts w:eastAsia="Verdana" w:cs="Verdana"/>
                <w:sz w:val="16"/>
                <w:szCs w:val="16"/>
                <w:lang w:val="bg-BG"/>
              </w:rPr>
            </w:pPr>
            <w:r w:rsidRPr="007375EB">
              <w:rPr>
                <w:rFonts w:eastAsia="Verdana" w:cs="Verdana"/>
                <w:sz w:val="16"/>
                <w:szCs w:val="16"/>
                <w:lang w:val="bg-BG"/>
              </w:rPr>
              <w:t>2022-2050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48102BB" w14:textId="3841805B" w:rsidR="008162E0" w:rsidRPr="007375EB" w:rsidRDefault="003753BD" w:rsidP="008162E0">
            <w:pPr>
              <w:spacing w:line="240" w:lineRule="auto"/>
              <w:jc w:val="both"/>
              <w:rPr>
                <w:rFonts w:eastAsia="Verdana" w:cs="Verdana"/>
                <w:sz w:val="16"/>
                <w:szCs w:val="16"/>
                <w:lang w:val="bg-BG"/>
              </w:rPr>
            </w:pPr>
            <w:r w:rsidRPr="007375EB">
              <w:rPr>
                <w:rFonts w:eastAsia="Verdana" w:cs="Verdana"/>
                <w:sz w:val="16"/>
                <w:szCs w:val="16"/>
                <w:lang w:val="bg-BG"/>
              </w:rPr>
              <w:t>ри реализацията и експлоатацията на инвестициите, свързани с PUZ, ще се прилагат принципите на кръговата икономика чрез използване на рециклируеми и устойчиви материали за компонентите на турбината, проектиране на турбини с модулни компоненти, които могат лесно да се заменят или модернизират, удължаване на живота на турбината, свеждане до минимум на отпадъците, оптимизиране на използването на ресурсите и създаване на устойчива стойност през целия жизнен цикъл на вятърния парк.</w:t>
            </w:r>
          </w:p>
        </w:tc>
      </w:tr>
      <w:tr w:rsidR="008162E0" w:rsidRPr="007375EB" w14:paraId="0B8102D1" w14:textId="77777777">
        <w:trPr>
          <w:trHeight w:val="60"/>
        </w:trPr>
        <w:tc>
          <w:tcPr>
            <w:tcW w:w="14962" w:type="dxa"/>
            <w:gridSpan w:val="4"/>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F2F2F2" w:themeFill="background1" w:themeFillShade="F2"/>
            <w:tcMar>
              <w:left w:w="108" w:type="dxa"/>
              <w:right w:w="108" w:type="dxa"/>
            </w:tcMar>
            <w:vAlign w:val="center"/>
          </w:tcPr>
          <w:p w14:paraId="558FDF94" w14:textId="02D29107" w:rsidR="008162E0" w:rsidRPr="007375EB" w:rsidRDefault="00C47460" w:rsidP="008162E0">
            <w:pPr>
              <w:spacing w:line="240" w:lineRule="auto"/>
              <w:rPr>
                <w:sz w:val="16"/>
                <w:szCs w:val="16"/>
                <w:lang w:val="bg-BG"/>
              </w:rPr>
            </w:pPr>
            <w:r w:rsidRPr="007375EB">
              <w:rPr>
                <w:rFonts w:eastAsia="Verdana" w:cs="Verdana"/>
                <w:b/>
                <w:bCs/>
                <w:color w:val="000000" w:themeColor="text1"/>
                <w:sz w:val="16"/>
                <w:szCs w:val="16"/>
                <w:lang w:val="bg-BG"/>
              </w:rPr>
              <w:t>Регионални/областни/местни политики/стратегии/планове</w:t>
            </w:r>
          </w:p>
        </w:tc>
      </w:tr>
      <w:tr w:rsidR="008162E0" w:rsidRPr="007375EB" w14:paraId="2D704186" w14:textId="77777777" w:rsidTr="007B519C">
        <w:trPr>
          <w:trHeight w:val="518"/>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7044AF2" w14:textId="0F854EFE" w:rsidR="008162E0" w:rsidRPr="007375EB" w:rsidRDefault="00C47460" w:rsidP="008162E0">
            <w:pPr>
              <w:spacing w:line="240" w:lineRule="auto"/>
              <w:jc w:val="both"/>
              <w:rPr>
                <w:sz w:val="16"/>
                <w:szCs w:val="16"/>
                <w:lang w:val="bg-BG"/>
              </w:rPr>
            </w:pPr>
            <w:r w:rsidRPr="007375EB">
              <w:rPr>
                <w:sz w:val="16"/>
                <w:szCs w:val="16"/>
                <w:lang w:val="bg-BG"/>
              </w:rPr>
              <w:t xml:space="preserve">Стратегия за устойчиво развитие на окръг Констанца за периода </w:t>
            </w:r>
            <w:r w:rsidR="007D10FB" w:rsidRPr="007375EB">
              <w:rPr>
                <w:sz w:val="16"/>
                <w:szCs w:val="16"/>
                <w:lang w:val="bg-BG"/>
              </w:rPr>
              <w:t xml:space="preserve">2021 </w:t>
            </w:r>
            <w:r w:rsidRPr="007375EB">
              <w:rPr>
                <w:sz w:val="16"/>
                <w:szCs w:val="16"/>
                <w:lang w:val="bg-BG"/>
              </w:rPr>
              <w:t>–</w:t>
            </w:r>
            <w:r w:rsidR="007D10FB" w:rsidRPr="007375EB">
              <w:rPr>
                <w:sz w:val="16"/>
                <w:szCs w:val="16"/>
                <w:lang w:val="bg-BG"/>
              </w:rPr>
              <w:t xml:space="preserve"> 2027</w:t>
            </w:r>
            <w:r w:rsidRPr="007375EB">
              <w:rPr>
                <w:sz w:val="16"/>
                <w:szCs w:val="16"/>
                <w:lang w:val="bg-BG"/>
              </w:rPr>
              <w:t xml:space="preserve"> г.</w:t>
            </w:r>
            <w:r w:rsidR="007C1566" w:rsidRPr="007375EB">
              <w:rPr>
                <w:rStyle w:val="FootnoteReference"/>
                <w:sz w:val="16"/>
                <w:szCs w:val="16"/>
                <w:lang w:val="bg-BG"/>
              </w:rPr>
              <w:footnoteReference w:id="18"/>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33575E3" w14:textId="0F7FA137" w:rsidR="0066254E" w:rsidRPr="007375EB" w:rsidRDefault="00C47460" w:rsidP="008162E0">
            <w:pPr>
              <w:spacing w:line="240" w:lineRule="auto"/>
              <w:jc w:val="both"/>
              <w:rPr>
                <w:sz w:val="16"/>
                <w:szCs w:val="16"/>
                <w:lang w:val="bg-BG"/>
              </w:rPr>
            </w:pPr>
            <w:r w:rsidRPr="007375EB">
              <w:rPr>
                <w:sz w:val="16"/>
                <w:szCs w:val="16"/>
                <w:lang w:val="bg-BG"/>
              </w:rPr>
              <w:t>По отношение на природното и архитектурното наследство окръг Констанца е територия, надарена с широк спектър от природни ресурси, археологически останки и климатични условия, благоприятни за използването на системи за възобновяема енергия, и от тази гледна точка се наблюдава тенденция за увеличаване на инвестициите в развитието на природните ресурси</w:t>
            </w:r>
            <w:r w:rsidR="0066254E" w:rsidRPr="007375EB">
              <w:rPr>
                <w:sz w:val="16"/>
                <w:szCs w:val="16"/>
                <w:lang w:val="bg-BG"/>
              </w:rPr>
              <w:t>.</w:t>
            </w:r>
          </w:p>
          <w:p w14:paraId="2F00AEFC" w14:textId="77777777" w:rsidR="00C47460" w:rsidRPr="007375EB" w:rsidRDefault="00C47460" w:rsidP="008162E0">
            <w:pPr>
              <w:spacing w:line="240" w:lineRule="auto"/>
              <w:jc w:val="both"/>
              <w:rPr>
                <w:sz w:val="16"/>
                <w:szCs w:val="16"/>
                <w:lang w:val="bg-BG"/>
              </w:rPr>
            </w:pPr>
            <w:r w:rsidRPr="007375EB">
              <w:rPr>
                <w:sz w:val="16"/>
                <w:szCs w:val="16"/>
                <w:lang w:val="bg-BG"/>
              </w:rPr>
              <w:t xml:space="preserve">Освен загрижеността за устойчивата експлоатация на съществуващите ресурси са необходими и следва да се приоритизират инвестиции, които </w:t>
            </w:r>
            <w:r w:rsidRPr="007375EB">
              <w:rPr>
                <w:sz w:val="16"/>
                <w:szCs w:val="16"/>
                <w:lang w:val="bg-BG"/>
              </w:rPr>
              <w:lastRenderedPageBreak/>
              <w:t xml:space="preserve">едновременно решават жилищни проблеми или водят до повишаване на качеството на живот, но същевременно ускоряват намаляването на потреблението на невъзобновяема енергия и на емисиите на парникови газове. </w:t>
            </w:r>
          </w:p>
          <w:p w14:paraId="0ABBF39E" w14:textId="134A9346" w:rsidR="003C1B1F" w:rsidRPr="007375EB" w:rsidRDefault="00C47460" w:rsidP="008162E0">
            <w:pPr>
              <w:spacing w:line="240" w:lineRule="auto"/>
              <w:jc w:val="both"/>
              <w:rPr>
                <w:sz w:val="16"/>
                <w:szCs w:val="16"/>
                <w:lang w:val="bg-BG"/>
              </w:rPr>
            </w:pPr>
            <w:r w:rsidRPr="007375EB">
              <w:rPr>
                <w:sz w:val="16"/>
                <w:szCs w:val="16"/>
                <w:lang w:val="bg-BG"/>
              </w:rPr>
              <w:t>Инвестиции в системи за възобновяема енергия и енергийна ефективност</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77DB5BC" w14:textId="1DDE0B61" w:rsidR="008162E0" w:rsidRPr="007375EB" w:rsidRDefault="00A17E2C" w:rsidP="008162E0">
            <w:pPr>
              <w:spacing w:line="240" w:lineRule="auto"/>
              <w:jc w:val="both"/>
              <w:rPr>
                <w:sz w:val="16"/>
                <w:szCs w:val="16"/>
                <w:lang w:val="bg-BG"/>
              </w:rPr>
            </w:pPr>
            <w:r w:rsidRPr="007375EB">
              <w:rPr>
                <w:sz w:val="16"/>
                <w:szCs w:val="16"/>
                <w:lang w:val="bg-BG"/>
              </w:rPr>
              <w:lastRenderedPageBreak/>
              <w:t>2021-2027</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CB1D61F" w14:textId="69C462E6" w:rsidR="008162E0" w:rsidRPr="007375EB" w:rsidRDefault="00C47460" w:rsidP="00D753B3">
            <w:pPr>
              <w:spacing w:line="240" w:lineRule="auto"/>
              <w:jc w:val="both"/>
              <w:rPr>
                <w:sz w:val="16"/>
                <w:szCs w:val="16"/>
                <w:lang w:val="bg-BG"/>
              </w:rPr>
            </w:pPr>
            <w:r w:rsidRPr="007375EB">
              <w:rPr>
                <w:rFonts w:eastAsia="Verdana" w:cs="Verdana"/>
                <w:sz w:val="16"/>
                <w:szCs w:val="16"/>
                <w:lang w:val="bg-BG"/>
              </w:rPr>
              <w:t xml:space="preserve">Анализираната </w:t>
            </w:r>
            <w:r w:rsidR="0014580E" w:rsidRPr="007375EB">
              <w:rPr>
                <w:rFonts w:eastAsia="Verdana" w:cs="Verdana"/>
                <w:sz w:val="16"/>
                <w:szCs w:val="16"/>
                <w:lang w:val="bg-BG"/>
              </w:rPr>
              <w:t>ЗГП</w:t>
            </w:r>
            <w:r w:rsidRPr="007375EB">
              <w:rPr>
                <w:rFonts w:eastAsia="Verdana" w:cs="Verdana"/>
                <w:sz w:val="16"/>
                <w:szCs w:val="16"/>
                <w:lang w:val="bg-BG"/>
              </w:rPr>
              <w:t xml:space="preserve"> допринася за постигането на стратегическата цел за оползотворяване на местния енергиен потенциал чрез стимулиране и подпомагане на икономическите дейности за производство и разпределение на енергия от възобновяеми източници.</w:t>
            </w:r>
          </w:p>
        </w:tc>
      </w:tr>
      <w:tr w:rsidR="008162E0" w:rsidRPr="007375EB" w14:paraId="2C61098E" w14:textId="77777777" w:rsidTr="00017D63">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BEA4F90" w14:textId="77777777" w:rsidR="00C47460" w:rsidRPr="007375EB" w:rsidRDefault="00C47460" w:rsidP="00C47460">
            <w:pPr>
              <w:spacing w:line="240" w:lineRule="auto"/>
              <w:rPr>
                <w:sz w:val="16"/>
                <w:szCs w:val="16"/>
                <w:lang w:val="bg-BG"/>
              </w:rPr>
            </w:pPr>
            <w:r w:rsidRPr="007375EB">
              <w:rPr>
                <w:sz w:val="16"/>
                <w:szCs w:val="16"/>
                <w:lang w:val="bg-BG"/>
              </w:rPr>
              <w:t>Териториалноустройствен план - окръг Констанца</w:t>
            </w:r>
          </w:p>
          <w:p w14:paraId="468E787D" w14:textId="46B3D474" w:rsidR="008162E0" w:rsidRPr="007375EB" w:rsidRDefault="008162E0" w:rsidP="00017D63">
            <w:pPr>
              <w:spacing w:line="240" w:lineRule="auto"/>
              <w:rPr>
                <w:sz w:val="16"/>
                <w:szCs w:val="16"/>
                <w:lang w:val="bg-BG"/>
              </w:rPr>
            </w:pP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vAlign w:val="center"/>
          </w:tcPr>
          <w:p w14:paraId="06C3891C" w14:textId="77777777" w:rsidR="00C47460" w:rsidRPr="007375EB" w:rsidRDefault="00C47460" w:rsidP="00C47460">
            <w:pPr>
              <w:spacing w:line="240" w:lineRule="auto"/>
              <w:jc w:val="both"/>
              <w:rPr>
                <w:sz w:val="16"/>
                <w:szCs w:val="16"/>
                <w:lang w:val="bg-BG"/>
              </w:rPr>
            </w:pPr>
            <w:r w:rsidRPr="007375EB">
              <w:rPr>
                <w:sz w:val="16"/>
                <w:szCs w:val="16"/>
                <w:lang w:val="bg-BG"/>
              </w:rPr>
              <w:t xml:space="preserve">Основната цел е да се създадат равни възможности за развитие на цялата територия в средносрочен план и предпоставки за дългосрочно устойчиво развитие. </w:t>
            </w:r>
          </w:p>
          <w:p w14:paraId="54074814" w14:textId="20FF8CA6" w:rsidR="000C34D6" w:rsidRPr="007375EB" w:rsidRDefault="00C47460" w:rsidP="00C47460">
            <w:pPr>
              <w:spacing w:line="240" w:lineRule="auto"/>
              <w:jc w:val="both"/>
              <w:rPr>
                <w:sz w:val="16"/>
                <w:szCs w:val="16"/>
                <w:lang w:val="bg-BG"/>
              </w:rPr>
            </w:pPr>
            <w:r w:rsidRPr="007375EB">
              <w:rPr>
                <w:sz w:val="16"/>
                <w:szCs w:val="16"/>
                <w:lang w:val="bg-BG"/>
              </w:rPr>
              <w:t>Териториалните диспропорции и различията в развитието означават, че населението, промишлените дейности и услугите са концентрирани 70-80 % в 11-те градски населени места и особено в радиус от 25-30 км около община Констанца</w:t>
            </w:r>
            <w:r w:rsidR="00EE6DCF" w:rsidRPr="007375EB">
              <w:rPr>
                <w:sz w:val="16"/>
                <w:szCs w:val="16"/>
                <w:lang w:val="bg-BG"/>
              </w:rPr>
              <w:t>.</w:t>
            </w:r>
          </w:p>
          <w:p w14:paraId="740D4E7F" w14:textId="32CCA1F4" w:rsidR="007A1D1D" w:rsidRPr="007375EB" w:rsidRDefault="00C47460" w:rsidP="008162E0">
            <w:pPr>
              <w:spacing w:line="240" w:lineRule="auto"/>
              <w:rPr>
                <w:sz w:val="16"/>
                <w:szCs w:val="16"/>
                <w:lang w:val="bg-BG"/>
              </w:rPr>
            </w:pPr>
            <w:r w:rsidRPr="007375EB">
              <w:rPr>
                <w:sz w:val="16"/>
                <w:szCs w:val="16"/>
                <w:lang w:val="bg-BG"/>
              </w:rPr>
              <w:t>Основните проблеми на териториалното развитие са</w:t>
            </w:r>
            <w:r w:rsidR="00E87C47" w:rsidRPr="007375EB">
              <w:rPr>
                <w:sz w:val="16"/>
                <w:szCs w:val="16"/>
                <w:lang w:val="bg-BG"/>
              </w:rPr>
              <w:t>:</w:t>
            </w:r>
          </w:p>
          <w:p w14:paraId="1D061F38" w14:textId="77777777" w:rsidR="00C47460" w:rsidRPr="007375EB" w:rsidRDefault="00C47460"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 xml:space="preserve">Концентрация на население и дейности в ограничена зона; </w:t>
            </w:r>
          </w:p>
          <w:p w14:paraId="4B58B7D7" w14:textId="77777777" w:rsidR="00C47460" w:rsidRPr="007375EB" w:rsidRDefault="00C47460"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 xml:space="preserve">засилване на феномена на периферизация в крайните части на окръга </w:t>
            </w:r>
          </w:p>
          <w:p w14:paraId="0DCCB142" w14:textId="756F5690" w:rsidR="005828A1" w:rsidRPr="007375EB" w:rsidRDefault="00C47460"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Замърсяване и влошаване на екологичните фактори в района на канала Дунав-Черно море и крайбрежието между Капул Мидия и Наводари</w:t>
            </w:r>
            <w:r w:rsidR="00EC0762" w:rsidRPr="007375EB">
              <w:rPr>
                <w:sz w:val="16"/>
                <w:szCs w:val="16"/>
                <w:lang w:val="bg-BG"/>
              </w:rPr>
              <w:t>;</w:t>
            </w:r>
          </w:p>
          <w:p w14:paraId="03A968A4" w14:textId="77777777" w:rsidR="00BF4952" w:rsidRPr="007375EB" w:rsidRDefault="00BF4952"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 xml:space="preserve">Ниското ниво на развитие на териториалната инфраструктура, оборудването и благоустройството на селските райони, по-голямата част от които са в окръга; </w:t>
            </w:r>
          </w:p>
          <w:p w14:paraId="628B649F" w14:textId="0654F0E0" w:rsidR="00186CAE" w:rsidRPr="007375EB" w:rsidRDefault="00BF4952"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t>Деградация на природното и архитектурното наследство поради липсата на административни мерки и разпоредби и адекватното им остойностяване</w:t>
            </w:r>
            <w:r w:rsidR="00030FE1" w:rsidRPr="007375EB">
              <w:rPr>
                <w:sz w:val="16"/>
                <w:szCs w:val="16"/>
                <w:lang w:val="bg-BG"/>
              </w:rPr>
              <w:t>;</w:t>
            </w:r>
          </w:p>
          <w:p w14:paraId="192D3AF9" w14:textId="73B77B7F" w:rsidR="00030FE1" w:rsidRPr="007375EB" w:rsidRDefault="00BF4952" w:rsidP="00125F99">
            <w:pPr>
              <w:pStyle w:val="ListParagraph"/>
              <w:numPr>
                <w:ilvl w:val="0"/>
                <w:numId w:val="24"/>
              </w:numPr>
              <w:shd w:val="clear" w:color="auto" w:fill="FFFFFF" w:themeFill="background1"/>
              <w:spacing w:line="240" w:lineRule="auto"/>
              <w:ind w:left="240" w:hanging="142"/>
              <w:jc w:val="both"/>
              <w:rPr>
                <w:sz w:val="16"/>
                <w:szCs w:val="16"/>
                <w:lang w:val="bg-BG"/>
              </w:rPr>
            </w:pPr>
            <w:r w:rsidRPr="007375EB">
              <w:rPr>
                <w:sz w:val="16"/>
                <w:szCs w:val="16"/>
                <w:lang w:val="bg-BG"/>
              </w:rPr>
              <w:lastRenderedPageBreak/>
              <w:t>-Липса на квалифициран персонал по въпросите на управлението на местното развитие</w:t>
            </w:r>
            <w:r w:rsidR="008B16D4" w:rsidRPr="007375EB">
              <w:rPr>
                <w:sz w:val="16"/>
                <w:szCs w:val="16"/>
                <w:lang w:val="bg-BG"/>
              </w:rPr>
              <w:t>.</w:t>
            </w:r>
          </w:p>
          <w:p w14:paraId="3B315D3B" w14:textId="780BFA0A" w:rsidR="00BF4952" w:rsidRPr="007375EB" w:rsidRDefault="00BF4952" w:rsidP="00BF4952">
            <w:pPr>
              <w:spacing w:line="240" w:lineRule="auto"/>
              <w:jc w:val="both"/>
              <w:rPr>
                <w:sz w:val="16"/>
                <w:szCs w:val="16"/>
                <w:lang w:val="bg-BG"/>
              </w:rPr>
            </w:pPr>
            <w:r w:rsidRPr="007375EB">
              <w:rPr>
                <w:sz w:val="16"/>
                <w:szCs w:val="16"/>
                <w:lang w:val="bg-BG"/>
              </w:rPr>
              <w:t xml:space="preserve">UTS 10, в който се намира община Черкезу, е изолиран от централната зона, с преобладаващо селскостопански функции (зърнопроизводство и зеленчукопроизводство), със слабо развитие на населените места и територията. </w:t>
            </w:r>
          </w:p>
          <w:p w14:paraId="62B11FD6" w14:textId="0EB7C5F1" w:rsidR="008B16D4" w:rsidRPr="007375EB" w:rsidRDefault="00BF4952" w:rsidP="00BF4952">
            <w:pPr>
              <w:spacing w:line="240" w:lineRule="auto"/>
              <w:jc w:val="both"/>
              <w:rPr>
                <w:sz w:val="16"/>
                <w:szCs w:val="16"/>
                <w:lang w:val="bg-BG"/>
              </w:rPr>
            </w:pPr>
            <w:r w:rsidRPr="007375EB">
              <w:rPr>
                <w:sz w:val="16"/>
                <w:szCs w:val="16"/>
                <w:lang w:val="bg-BG"/>
              </w:rPr>
              <w:t>Вятърната енергия трябва да се използва в по-голяма степен, особено в селските райони и в изолираните домакинства или стопанства</w:t>
            </w:r>
            <w:r w:rsidR="00D81A45" w:rsidRPr="007375EB">
              <w:rPr>
                <w:sz w:val="16"/>
                <w:szCs w:val="16"/>
                <w:lang w:val="bg-BG"/>
              </w:rPr>
              <w:t>.</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01F3912" w14:textId="5A0919FE" w:rsidR="008162E0" w:rsidRPr="007375EB" w:rsidRDefault="002E7F74" w:rsidP="00D50B32">
            <w:pPr>
              <w:spacing w:line="240" w:lineRule="auto"/>
              <w:rPr>
                <w:sz w:val="16"/>
                <w:szCs w:val="16"/>
                <w:lang w:val="bg-BG"/>
              </w:rPr>
            </w:pPr>
            <w:r w:rsidRPr="007375EB">
              <w:rPr>
                <w:sz w:val="16"/>
                <w:szCs w:val="16"/>
                <w:lang w:val="bg-BG"/>
              </w:rPr>
              <w:lastRenderedPageBreak/>
              <w:t>1991</w:t>
            </w:r>
            <w:r w:rsidR="00C47460" w:rsidRPr="007375EB">
              <w:rPr>
                <w:sz w:val="16"/>
                <w:szCs w:val="16"/>
                <w:lang w:val="bg-BG"/>
              </w:rPr>
              <w:t xml:space="preserve"> г. </w:t>
            </w:r>
            <w:r w:rsidRPr="007375EB">
              <w:rPr>
                <w:sz w:val="16"/>
                <w:szCs w:val="16"/>
                <w:lang w:val="bg-BG"/>
              </w:rPr>
              <w:t>-</w:t>
            </w:r>
            <w:r w:rsidR="00C47460" w:rsidRPr="007375EB">
              <w:rPr>
                <w:sz w:val="16"/>
                <w:szCs w:val="16"/>
                <w:lang w:val="bg-BG"/>
              </w:rPr>
              <w:t xml:space="preserve"> до сега</w:t>
            </w:r>
            <w:r w:rsidRPr="007375EB">
              <w:rPr>
                <w:sz w:val="16"/>
                <w:szCs w:val="16"/>
                <w:lang w:val="bg-BG"/>
              </w:rPr>
              <w:t xml:space="preserve"> </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8DD49B3" w14:textId="2A69AA7F" w:rsidR="008162E0" w:rsidRPr="007375EB" w:rsidRDefault="00C47460" w:rsidP="00D50B32">
            <w:pPr>
              <w:spacing w:line="240" w:lineRule="auto"/>
              <w:rPr>
                <w:sz w:val="16"/>
                <w:szCs w:val="16"/>
                <w:lang w:val="bg-BG"/>
              </w:rPr>
            </w:pPr>
            <w:r w:rsidRPr="007375EB">
              <w:rPr>
                <w:sz w:val="16"/>
                <w:szCs w:val="16"/>
                <w:lang w:val="bg-BG"/>
              </w:rPr>
              <w:t xml:space="preserve">Анализираната </w:t>
            </w:r>
            <w:r w:rsidR="0014580E" w:rsidRPr="007375EB">
              <w:rPr>
                <w:sz w:val="16"/>
                <w:szCs w:val="16"/>
                <w:lang w:val="bg-BG"/>
              </w:rPr>
              <w:t>ЗГП</w:t>
            </w:r>
            <w:r w:rsidRPr="007375EB">
              <w:rPr>
                <w:sz w:val="16"/>
                <w:szCs w:val="16"/>
                <w:lang w:val="bg-BG"/>
              </w:rPr>
              <w:t xml:space="preserve"> допринася за развитието на населеното място, като привлича устойчиви инвестиции.</w:t>
            </w:r>
          </w:p>
        </w:tc>
      </w:tr>
      <w:tr w:rsidR="00017D63" w:rsidRPr="007375EB" w14:paraId="7A652323" w14:textId="77777777" w:rsidTr="00017D63">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8B80C77" w14:textId="1FF6FB38" w:rsidR="00017D63" w:rsidRPr="007375EB" w:rsidRDefault="00BF4952" w:rsidP="00017D63">
            <w:pPr>
              <w:spacing w:line="240" w:lineRule="auto"/>
              <w:rPr>
                <w:sz w:val="16"/>
                <w:szCs w:val="16"/>
                <w:lang w:val="bg-BG"/>
              </w:rPr>
            </w:pPr>
            <w:r w:rsidRPr="007375EB">
              <w:rPr>
                <w:sz w:val="16"/>
                <w:szCs w:val="16"/>
                <w:lang w:val="bg-BG"/>
              </w:rPr>
              <w:t>Стратегия</w:t>
            </w:r>
            <w:r w:rsidR="001D1B70" w:rsidRPr="007375EB">
              <w:rPr>
                <w:sz w:val="16"/>
                <w:szCs w:val="16"/>
                <w:lang w:val="bg-BG"/>
              </w:rPr>
              <w:t xml:space="preserve"> </w:t>
            </w:r>
            <w:r w:rsidR="00C45242" w:rsidRPr="007375EB">
              <w:rPr>
                <w:sz w:val="16"/>
                <w:szCs w:val="16"/>
                <w:lang w:val="bg-BG"/>
              </w:rPr>
              <w:t xml:space="preserve">GAL </w:t>
            </w:r>
            <w:r w:rsidRPr="007375EB">
              <w:rPr>
                <w:sz w:val="16"/>
                <w:szCs w:val="16"/>
                <w:lang w:val="bg-BG"/>
              </w:rPr>
              <w:t>Югозападна Добруджа 2014-2020 г.</w:t>
            </w:r>
            <w:r w:rsidR="00C45242" w:rsidRPr="007375EB">
              <w:rPr>
                <w:rStyle w:val="FootnoteReference"/>
                <w:sz w:val="16"/>
                <w:szCs w:val="16"/>
                <w:lang w:val="bg-BG"/>
              </w:rPr>
              <w:footnoteReference w:id="19"/>
            </w:r>
            <w:r w:rsidR="007D4798" w:rsidRPr="007375EB">
              <w:rPr>
                <w:sz w:val="16"/>
                <w:szCs w:val="16"/>
                <w:lang w:val="bg-BG"/>
              </w:rPr>
              <w:t xml:space="preserve">, </w:t>
            </w:r>
            <w:r w:rsidRPr="007375EB">
              <w:rPr>
                <w:sz w:val="16"/>
                <w:szCs w:val="16"/>
                <w:lang w:val="bg-BG"/>
              </w:rPr>
              <w:t xml:space="preserve">променена </w:t>
            </w:r>
            <w:r w:rsidR="007D4798" w:rsidRPr="007375EB">
              <w:rPr>
                <w:sz w:val="16"/>
                <w:szCs w:val="16"/>
                <w:lang w:val="bg-BG"/>
              </w:rPr>
              <w:t>2023</w:t>
            </w:r>
            <w:r w:rsidRPr="007375EB">
              <w:rPr>
                <w:sz w:val="16"/>
                <w:szCs w:val="16"/>
                <w:lang w:val="bg-BG"/>
              </w:rPr>
              <w:t xml:space="preserve"> г.</w:t>
            </w:r>
          </w:p>
          <w:p w14:paraId="4F47F98E" w14:textId="5735C068" w:rsidR="00C45242" w:rsidRPr="007375EB" w:rsidRDefault="00C45242" w:rsidP="00017D63">
            <w:pPr>
              <w:spacing w:line="240" w:lineRule="auto"/>
              <w:rPr>
                <w:sz w:val="16"/>
                <w:szCs w:val="16"/>
                <w:lang w:val="bg-BG"/>
              </w:rPr>
            </w:pP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vAlign w:val="center"/>
          </w:tcPr>
          <w:p w14:paraId="173D9C1F" w14:textId="36A859C9" w:rsidR="00D8608A" w:rsidRPr="007375EB" w:rsidRDefault="002011F9" w:rsidP="008162E0">
            <w:pPr>
              <w:spacing w:line="240" w:lineRule="auto"/>
              <w:rPr>
                <w:sz w:val="16"/>
                <w:szCs w:val="16"/>
                <w:lang w:val="bg-BG"/>
              </w:rPr>
            </w:pPr>
            <w:r w:rsidRPr="007375EB">
              <w:rPr>
                <w:sz w:val="16"/>
                <w:szCs w:val="16"/>
                <w:lang w:val="bg-BG"/>
              </w:rPr>
              <w:t>Цели на развитието на селските райони: Постигане на балансирано териториално развитие на икономиките и общностите в селските райони, включително създаване и поддържане на работни места (Р1-Р6); Осигуряване на устойчиво управление на природните ресурси и борба с изменението на климата (П5); Насърчаване на местното развитие в селските райони; Улесняване на доставките и използването на възобновяеми енергийни източници, странични продукти, отпадъци, остатъци, остатъци и други нехранителни суровини за целите на биомасата</w:t>
            </w:r>
            <w:r w:rsidR="00D8608A" w:rsidRPr="007375EB">
              <w:rPr>
                <w:sz w:val="16"/>
                <w:szCs w:val="16"/>
                <w:lang w:val="bg-BG"/>
              </w:rPr>
              <w:t>.</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19B1B71" w14:textId="2C8A300B" w:rsidR="00017D63" w:rsidRPr="007375EB" w:rsidRDefault="00D8608A" w:rsidP="00D50B32">
            <w:pPr>
              <w:spacing w:line="240" w:lineRule="auto"/>
              <w:rPr>
                <w:sz w:val="16"/>
                <w:szCs w:val="16"/>
                <w:lang w:val="bg-BG"/>
              </w:rPr>
            </w:pPr>
            <w:r w:rsidRPr="007375EB">
              <w:rPr>
                <w:sz w:val="16"/>
                <w:szCs w:val="16"/>
                <w:lang w:val="bg-BG"/>
              </w:rPr>
              <w:t>2014-2023</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6789126" w14:textId="56E4BCA5" w:rsidR="00017D63" w:rsidRPr="007375EB" w:rsidRDefault="002011F9" w:rsidP="00D50B32">
            <w:pPr>
              <w:spacing w:line="240" w:lineRule="auto"/>
              <w:rPr>
                <w:sz w:val="16"/>
                <w:szCs w:val="16"/>
                <w:lang w:val="bg-BG"/>
              </w:rPr>
            </w:pPr>
            <w:r w:rsidRPr="007375EB">
              <w:rPr>
                <w:sz w:val="16"/>
                <w:szCs w:val="16"/>
                <w:lang w:val="bg-BG"/>
              </w:rPr>
              <w:t xml:space="preserve">Анализираната </w:t>
            </w:r>
            <w:r w:rsidR="0014580E" w:rsidRPr="007375EB">
              <w:rPr>
                <w:sz w:val="16"/>
                <w:szCs w:val="16"/>
                <w:lang w:val="bg-BG"/>
              </w:rPr>
              <w:t>ЗГП</w:t>
            </w:r>
            <w:r w:rsidRPr="007375EB">
              <w:rPr>
                <w:sz w:val="16"/>
                <w:szCs w:val="16"/>
                <w:lang w:val="bg-BG"/>
              </w:rPr>
              <w:t xml:space="preserve"> допринася за улесняване на осигуряването и използването на възобновяеми енергийни източници.</w:t>
            </w:r>
          </w:p>
        </w:tc>
      </w:tr>
      <w:tr w:rsidR="00627D2F" w:rsidRPr="007375EB" w14:paraId="7D64617F" w14:textId="77777777" w:rsidTr="00017D63">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54411DA" w14:textId="563D1FA1" w:rsidR="00627D2F" w:rsidRPr="007375EB" w:rsidRDefault="002011F9" w:rsidP="00017D63">
            <w:pPr>
              <w:spacing w:line="240" w:lineRule="auto"/>
              <w:rPr>
                <w:sz w:val="16"/>
                <w:szCs w:val="16"/>
                <w:lang w:val="bg-BG"/>
              </w:rPr>
            </w:pPr>
            <w:r w:rsidRPr="007375EB">
              <w:rPr>
                <w:sz w:val="16"/>
                <w:szCs w:val="16"/>
                <w:lang w:val="bg-BG"/>
              </w:rPr>
              <w:t>Местен план за действие за околната среда</w:t>
            </w:r>
            <w:r w:rsidR="00275CB7" w:rsidRPr="007375EB">
              <w:rPr>
                <w:rStyle w:val="FootnoteReference"/>
                <w:sz w:val="16"/>
                <w:szCs w:val="16"/>
                <w:lang w:val="bg-BG"/>
              </w:rPr>
              <w:footnoteReference w:id="20"/>
            </w:r>
            <w:r w:rsidR="00627D2F" w:rsidRPr="007375EB">
              <w:rPr>
                <w:sz w:val="16"/>
                <w:szCs w:val="16"/>
                <w:lang w:val="bg-BG"/>
              </w:rPr>
              <w:t xml:space="preserve">, </w:t>
            </w:r>
            <w:r w:rsidR="00AA7DF2" w:rsidRPr="007375EB">
              <w:rPr>
                <w:sz w:val="16"/>
                <w:szCs w:val="16"/>
                <w:lang w:val="bg-BG"/>
              </w:rPr>
              <w:t>2019</w:t>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vAlign w:val="center"/>
          </w:tcPr>
          <w:p w14:paraId="7F6DCB0F" w14:textId="2726125E" w:rsidR="00627D2F" w:rsidRPr="007375EB" w:rsidRDefault="002011F9" w:rsidP="00B978FA">
            <w:pPr>
              <w:spacing w:line="240" w:lineRule="auto"/>
              <w:rPr>
                <w:sz w:val="16"/>
                <w:szCs w:val="16"/>
                <w:lang w:val="bg-BG"/>
              </w:rPr>
            </w:pPr>
            <w:r w:rsidRPr="007375EB">
              <w:rPr>
                <w:sz w:val="16"/>
                <w:szCs w:val="16"/>
                <w:lang w:val="bg-BG"/>
              </w:rPr>
              <w:t>Стратегическата цел е подобряване на качеството на живот чрез осигуряване на чиста околна среда, което ще допринесе за повишаване стандарта на живот на населението, подобряване качеството на околната среда, опазване и подобряване състоянието на природното наследство, което окръгът се възползва</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213E9BF" w14:textId="252DBFC6" w:rsidR="00627D2F" w:rsidRPr="007375EB" w:rsidRDefault="00024E85" w:rsidP="00D50B32">
            <w:pPr>
              <w:spacing w:line="240" w:lineRule="auto"/>
              <w:rPr>
                <w:sz w:val="16"/>
                <w:szCs w:val="16"/>
                <w:lang w:val="bg-BG"/>
              </w:rPr>
            </w:pPr>
            <w:r w:rsidRPr="007375EB">
              <w:rPr>
                <w:sz w:val="16"/>
                <w:szCs w:val="16"/>
                <w:lang w:val="bg-BG"/>
              </w:rPr>
              <w:t>20</w:t>
            </w:r>
            <w:r w:rsidR="008D593C" w:rsidRPr="007375EB">
              <w:rPr>
                <w:sz w:val="16"/>
                <w:szCs w:val="16"/>
                <w:lang w:val="bg-BG"/>
              </w:rPr>
              <w:t>14-2020</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0FB226C" w14:textId="6B9EA3F1" w:rsidR="00627D2F" w:rsidRPr="007375EB" w:rsidRDefault="002011F9" w:rsidP="00D50B32">
            <w:pPr>
              <w:spacing w:line="240" w:lineRule="auto"/>
              <w:rPr>
                <w:sz w:val="16"/>
                <w:szCs w:val="16"/>
                <w:lang w:val="bg-BG"/>
              </w:rPr>
            </w:pPr>
            <w:r w:rsidRPr="007375EB">
              <w:rPr>
                <w:sz w:val="16"/>
                <w:szCs w:val="16"/>
                <w:lang w:val="bg-BG"/>
              </w:rPr>
              <w:t xml:space="preserve">Анализираната </w:t>
            </w:r>
            <w:r w:rsidR="0014580E" w:rsidRPr="007375EB">
              <w:rPr>
                <w:sz w:val="16"/>
                <w:szCs w:val="16"/>
                <w:lang w:val="bg-BG"/>
              </w:rPr>
              <w:t>ЗГП</w:t>
            </w:r>
            <w:r w:rsidRPr="007375EB">
              <w:rPr>
                <w:sz w:val="16"/>
                <w:szCs w:val="16"/>
                <w:lang w:val="bg-BG"/>
              </w:rPr>
              <w:t xml:space="preserve"> допринася за постигането на общата цел за насърчаване на чистата енергия и енергийната ефективност чрез използване на възобновяеми ресурси.</w:t>
            </w:r>
          </w:p>
        </w:tc>
      </w:tr>
    </w:tbl>
    <w:p w14:paraId="37520B22" w14:textId="77777777" w:rsidR="006205CA" w:rsidRPr="007375EB" w:rsidRDefault="006205CA" w:rsidP="00B3554F">
      <w:pPr>
        <w:jc w:val="both"/>
        <w:rPr>
          <w:lang w:val="bg-BG" w:eastAsia="ro-RO"/>
        </w:rPr>
        <w:sectPr w:rsidR="006205CA" w:rsidRPr="007375EB" w:rsidSect="00B06053">
          <w:pgSz w:w="16838" w:h="11906" w:orient="landscape" w:code="9"/>
          <w:pgMar w:top="1191" w:right="2013" w:bottom="851" w:left="1418" w:header="1276" w:footer="506" w:gutter="0"/>
          <w:cols w:space="708"/>
          <w:docGrid w:linePitch="360"/>
        </w:sectPr>
      </w:pPr>
    </w:p>
    <w:p w14:paraId="2BDCCF87" w14:textId="276D209A" w:rsidR="005019C7" w:rsidRPr="007375EB" w:rsidRDefault="005019C7" w:rsidP="005019C7">
      <w:pPr>
        <w:pStyle w:val="Heading1"/>
        <w:numPr>
          <w:ilvl w:val="0"/>
          <w:numId w:val="16"/>
        </w:numPr>
        <w:spacing w:after="240" w:line="360" w:lineRule="auto"/>
        <w:ind w:left="567" w:hanging="567"/>
        <w:jc w:val="both"/>
        <w:rPr>
          <w:b/>
          <w:sz w:val="20"/>
          <w:szCs w:val="20"/>
          <w:lang w:val="bg-BG" w:eastAsia="ro-RO"/>
        </w:rPr>
      </w:pPr>
      <w:bookmarkStart w:id="12" w:name="_Toc159320535"/>
      <w:bookmarkStart w:id="13" w:name="_Toc167697397"/>
      <w:r w:rsidRPr="007375EB">
        <w:rPr>
          <w:b/>
          <w:bCs w:val="0"/>
          <w:sz w:val="20"/>
          <w:szCs w:val="20"/>
          <w:lang w:val="bg-BG" w:eastAsia="ro-RO"/>
        </w:rPr>
        <w:lastRenderedPageBreak/>
        <w:t xml:space="preserve">Релевантни </w:t>
      </w:r>
      <w:bookmarkEnd w:id="12"/>
      <w:bookmarkEnd w:id="13"/>
      <w:r w:rsidRPr="007375EB">
        <w:rPr>
          <w:b/>
          <w:sz w:val="20"/>
          <w:szCs w:val="20"/>
          <w:lang w:val="bg-BG" w:eastAsia="ro-RO"/>
        </w:rPr>
        <w:t>аспекти на текущото състояние на околната среда и нейното вероятно развитие в случай на неприлагане на предложения PUZ</w:t>
      </w:r>
    </w:p>
    <w:p w14:paraId="3BEC65AC" w14:textId="5B128B47" w:rsidR="004A4053" w:rsidRPr="007375EB" w:rsidRDefault="007C1B8A" w:rsidP="00125F99">
      <w:pPr>
        <w:pStyle w:val="ListParagraph"/>
        <w:numPr>
          <w:ilvl w:val="1"/>
          <w:numId w:val="21"/>
        </w:numPr>
        <w:spacing w:after="120" w:line="360" w:lineRule="auto"/>
        <w:contextualSpacing w:val="0"/>
        <w:outlineLvl w:val="1"/>
        <w:rPr>
          <w:bCs/>
          <w:i/>
          <w:iCs/>
          <w:color w:val="007BB8"/>
          <w:lang w:val="bg-BG" w:eastAsia="ro-RO"/>
        </w:rPr>
      </w:pPr>
      <w:r w:rsidRPr="007375EB">
        <w:rPr>
          <w:bCs/>
          <w:i/>
          <w:iCs/>
          <w:color w:val="007BB8"/>
          <w:lang w:val="bg-BG" w:eastAsia="ro-RO"/>
        </w:rPr>
        <w:t xml:space="preserve">Релевантни </w:t>
      </w:r>
      <w:r w:rsidRPr="007375EB">
        <w:rPr>
          <w:rFonts w:eastAsiaTheme="majorEastAsia" w:cstheme="majorBidi"/>
          <w:bCs/>
          <w:i/>
          <w:iCs/>
          <w:color w:val="007BB8"/>
          <w:lang w:val="bg-BG" w:eastAsia="ro-RO"/>
        </w:rPr>
        <w:t>аспекти на текущото състояние на околната среда</w:t>
      </w:r>
    </w:p>
    <w:p w14:paraId="377B1AED" w14:textId="05F4D7F9" w:rsidR="00C86795" w:rsidRPr="007375EB" w:rsidRDefault="00C86795" w:rsidP="00C86795">
      <w:pPr>
        <w:spacing w:after="120" w:line="360" w:lineRule="auto"/>
        <w:jc w:val="both"/>
        <w:rPr>
          <w:rFonts w:cs="Arial"/>
          <w:lang w:val="bg-BG"/>
        </w:rPr>
      </w:pPr>
      <w:r w:rsidRPr="007375EB">
        <w:rPr>
          <w:rFonts w:cs="Arial"/>
          <w:lang w:val="bg-BG"/>
        </w:rPr>
        <w:t>За анализа на текущото състояние на околната среда за този PUZ като входни данни е използвана съществуващата информация на регионално, окръжно и местно ниво, достъпна за консултация към момента на изготвяне на доклад на околната среда.</w:t>
      </w:r>
    </w:p>
    <w:p w14:paraId="19C447D1" w14:textId="08C4C394" w:rsidR="004A4053" w:rsidRPr="007375EB" w:rsidRDefault="00C86795" w:rsidP="00C86795">
      <w:pPr>
        <w:spacing w:after="120" w:line="360" w:lineRule="auto"/>
        <w:jc w:val="both"/>
        <w:rPr>
          <w:rFonts w:cs="Arial"/>
          <w:lang w:val="bg-BG"/>
        </w:rPr>
      </w:pPr>
      <w:r w:rsidRPr="007375EB">
        <w:rPr>
          <w:rFonts w:cs="Arial"/>
          <w:lang w:val="bg-BG"/>
        </w:rPr>
        <w:t xml:space="preserve">Компонентите на околната среда, считани за релевантни за PUZ, са следните: </w:t>
      </w:r>
      <w:r w:rsidRPr="007375EB">
        <w:rPr>
          <w:rFonts w:cs="Arial"/>
          <w:b/>
          <w:bCs/>
          <w:lang w:val="bg-BG"/>
        </w:rPr>
        <w:t>вода, въздух, почва/подпочва, използване на природни ресурси, управление на отпадъците, шум и вибрации, биоразнообразие, население и човешкото здраве, ландшафт, изменение на климата и културно наследство</w:t>
      </w:r>
      <w:r w:rsidR="00F55C52" w:rsidRPr="007375EB">
        <w:rPr>
          <w:rFonts w:cs="Arial"/>
          <w:b/>
          <w:lang w:val="bg-BG"/>
        </w:rPr>
        <w:t>.</w:t>
      </w:r>
    </w:p>
    <w:p w14:paraId="7CF06E51" w14:textId="77777777" w:rsidR="00C86795" w:rsidRPr="007375EB" w:rsidRDefault="00C86795" w:rsidP="00C86795">
      <w:pPr>
        <w:spacing w:after="120" w:line="360" w:lineRule="auto"/>
        <w:jc w:val="both"/>
        <w:rPr>
          <w:rFonts w:cs="Arial"/>
          <w:lang w:val="bg-BG"/>
        </w:rPr>
      </w:pPr>
      <w:r w:rsidRPr="007375EB">
        <w:rPr>
          <w:rFonts w:cs="Arial"/>
          <w:lang w:val="bg-BG"/>
        </w:rPr>
        <w:t>Целта на тази глава е да разбере съществуващата екологична ситуация и нейното развитие в областта на прилагане на PUZ и да идентифицира как PUZ може да генерира значителни въздействия върху околната среда.</w:t>
      </w:r>
    </w:p>
    <w:p w14:paraId="5868503D" w14:textId="2A3F6443" w:rsidR="00C86795" w:rsidRPr="007375EB" w:rsidRDefault="00C86795" w:rsidP="00C86795">
      <w:pPr>
        <w:spacing w:after="120" w:line="360" w:lineRule="auto"/>
        <w:jc w:val="both"/>
        <w:rPr>
          <w:rFonts w:cs="Arial"/>
          <w:lang w:val="bg-BG"/>
        </w:rPr>
      </w:pPr>
      <w:r w:rsidRPr="007375EB">
        <w:rPr>
          <w:rFonts w:cs="Arial"/>
          <w:lang w:val="bg-BG"/>
        </w:rPr>
        <w:t>Оценката на състоянието на околната среда в условията на неизпълнение на плана е изискване на Директива 2001/42/EC за СЕО (чл. 5, Приложение I-b), транспонирана в националното законодателство с РП № 1076/2004 (чл. 15).</w:t>
      </w:r>
    </w:p>
    <w:p w14:paraId="3440ABEE" w14:textId="4A04E2DD" w:rsidR="00F37CE7" w:rsidRPr="007375EB" w:rsidRDefault="00C86795" w:rsidP="00C86795">
      <w:pPr>
        <w:autoSpaceDE w:val="0"/>
        <w:autoSpaceDN w:val="0"/>
        <w:adjustRightInd w:val="0"/>
        <w:spacing w:after="120" w:line="360" w:lineRule="auto"/>
        <w:jc w:val="both"/>
        <w:rPr>
          <w:lang w:val="bg-BG"/>
        </w:rPr>
      </w:pPr>
      <w:r w:rsidRPr="007375EB">
        <w:rPr>
          <w:rFonts w:cs="Arial"/>
          <w:lang w:val="bg-BG"/>
        </w:rPr>
        <w:t>”</w:t>
      </w:r>
      <w:sdt>
        <w:sdtPr>
          <w:rPr>
            <w:i/>
            <w:iCs/>
            <w:lang w:val="bg-BG"/>
          </w:rPr>
          <w:alias w:val="Category"/>
          <w:id w:val="-1522162557"/>
          <w:placeholder>
            <w:docPart w:val="C9A1523E491347C995DD189123208697"/>
          </w:placeholder>
          <w:dataBinding w:prefixMappings="xmlns:ns0='http://purl.org/dc/elements/1.1/' xmlns:ns1='http://schemas.openxmlformats.org/package/2006/metadata/core-properties' " w:xpath="/ns1:coreProperties[1]/ns1:category[1]" w:storeItemID="{6C3C8BC8-F283-45AE-878A-BAB7291924A1}"/>
          <w:text/>
        </w:sdtPr>
        <w:sdtContent>
          <w:r w:rsidRPr="007375EB">
            <w:rPr>
              <w:i/>
              <w:iCs/>
              <w:lang w:val="bg-BG"/>
            </w:rPr>
            <w:t>Парк за вятърна енергия 48 (46) Вятърни електроцентрали прибл. 316.8МВт (303.6МВт), Трансформаторни станции, Електрически мрежи, изграждане и модернизация на комуникационни и достъпни пътища</w:t>
          </w:r>
        </w:sdtContent>
      </w:sdt>
      <w:r w:rsidRPr="007375EB">
        <w:rPr>
          <w:rFonts w:cs="Arial"/>
          <w:lang w:val="bg-BG"/>
        </w:rPr>
        <w:t xml:space="preserve">” ще се намира в предградията, в западната и източната част на административната територия на община Черчезу, на границата на общините </w:t>
      </w:r>
      <w:r w:rsidR="00813962" w:rsidRPr="007375EB">
        <w:rPr>
          <w:rFonts w:cs="Arial"/>
          <w:lang w:val="bg-BG"/>
        </w:rPr>
        <w:t>Кирногени</w:t>
      </w:r>
      <w:r w:rsidRPr="007375EB">
        <w:rPr>
          <w:rFonts w:cs="Arial"/>
          <w:lang w:val="bg-BG"/>
        </w:rPr>
        <w:t>, Индепенденца, Думбравени и градата Негру Вода</w:t>
      </w:r>
      <w:r w:rsidR="00F37CE7" w:rsidRPr="007375EB">
        <w:rPr>
          <w:lang w:val="bg-BG"/>
        </w:rPr>
        <w:t>.</w:t>
      </w:r>
    </w:p>
    <w:p w14:paraId="30109CDC" w14:textId="673A8664" w:rsidR="00F37CE7" w:rsidRPr="007375EB" w:rsidRDefault="00C86795" w:rsidP="00F37CE7">
      <w:pPr>
        <w:spacing w:after="120" w:line="360" w:lineRule="auto"/>
        <w:jc w:val="both"/>
        <w:rPr>
          <w:lang w:val="bg-BG"/>
        </w:rPr>
      </w:pPr>
      <w:r w:rsidRPr="007375EB">
        <w:rPr>
          <w:lang w:val="bg-BG"/>
        </w:rPr>
        <w:t>Местоположението на енергийния парк е в непосредствена близост до границата с България</w:t>
      </w:r>
      <w:r w:rsidR="00F37CE7" w:rsidRPr="007375EB">
        <w:rPr>
          <w:lang w:val="bg-BG"/>
        </w:rPr>
        <w:t>.</w:t>
      </w:r>
    </w:p>
    <w:p w14:paraId="0B7FC971" w14:textId="6E1F276A" w:rsidR="00E37E64" w:rsidRPr="007375EB" w:rsidRDefault="00C86795" w:rsidP="00125F99">
      <w:pPr>
        <w:pStyle w:val="ListParagraph"/>
        <w:numPr>
          <w:ilvl w:val="2"/>
          <w:numId w:val="21"/>
        </w:numPr>
        <w:spacing w:after="120" w:line="360" w:lineRule="auto"/>
        <w:jc w:val="both"/>
        <w:outlineLvl w:val="2"/>
        <w:rPr>
          <w:rFonts w:cs="Arial"/>
          <w:b/>
          <w:i/>
          <w:color w:val="00B0F0"/>
          <w:lang w:val="bg-BG"/>
        </w:rPr>
      </w:pPr>
      <w:r w:rsidRPr="007375EB">
        <w:rPr>
          <w:rFonts w:cs="Arial"/>
          <w:b/>
          <w:i/>
          <w:color w:val="00B0F0"/>
          <w:lang w:val="bg-BG"/>
        </w:rPr>
        <w:t>Вода</w:t>
      </w:r>
    </w:p>
    <w:p w14:paraId="40B9A0E2" w14:textId="3C164E39" w:rsidR="00E61666" w:rsidRPr="007375EB" w:rsidRDefault="00E61666" w:rsidP="00A00386">
      <w:pPr>
        <w:spacing w:after="120" w:line="360" w:lineRule="auto"/>
        <w:jc w:val="both"/>
        <w:rPr>
          <w:b/>
          <w:bCs/>
          <w:lang w:val="bg-BG"/>
        </w:rPr>
      </w:pPr>
      <w:r w:rsidRPr="007375EB">
        <w:rPr>
          <w:lang w:val="bg-BG"/>
        </w:rPr>
        <w:t xml:space="preserve">От хидрографска гледна точка проучваното място е в Дунавско-Приморския хидрографски басейн. Най-близките повърхностни водни тела, идентифицирани в района, проучен от PUZ на територията на Румъния, се намират на разстояния, по-големи от 28 </w:t>
      </w:r>
      <w:r w:rsidR="0034375E" w:rsidRPr="007375EB">
        <w:rPr>
          <w:lang w:val="bg-BG"/>
        </w:rPr>
        <w:t>км</w:t>
      </w:r>
      <w:r w:rsidRPr="007375EB">
        <w:rPr>
          <w:lang w:val="bg-BG"/>
        </w:rPr>
        <w:t xml:space="preserve"> (</w:t>
      </w:r>
      <w:r w:rsidR="0061527E" w:rsidRPr="007375EB">
        <w:rPr>
          <w:lang w:val="bg-BG"/>
        </w:rPr>
        <w:t>Мангалия</w:t>
      </w:r>
      <w:r w:rsidRPr="007375EB">
        <w:rPr>
          <w:lang w:val="bg-BG"/>
        </w:rPr>
        <w:t xml:space="preserve"> - код ROCT01_B2, на разстояние от приблизително 29 </w:t>
      </w:r>
      <w:r w:rsidR="0034375E" w:rsidRPr="007375EB">
        <w:rPr>
          <w:lang w:val="bg-BG"/>
        </w:rPr>
        <w:t>км</w:t>
      </w:r>
      <w:r w:rsidRPr="007375EB">
        <w:rPr>
          <w:lang w:val="bg-BG"/>
        </w:rPr>
        <w:t xml:space="preserve">, източно от границата на обекта, </w:t>
      </w:r>
      <w:r w:rsidR="0061527E" w:rsidRPr="007375EB">
        <w:rPr>
          <w:lang w:val="bg-BG"/>
        </w:rPr>
        <w:t>Ефорие-Норд</w:t>
      </w:r>
      <w:r w:rsidRPr="007375EB">
        <w:rPr>
          <w:lang w:val="bg-BG"/>
        </w:rPr>
        <w:t xml:space="preserve">- </w:t>
      </w:r>
      <w:r w:rsidR="0061527E" w:rsidRPr="007375EB">
        <w:rPr>
          <w:lang w:val="bg-BG"/>
        </w:rPr>
        <w:t>Вама Веке</w:t>
      </w:r>
      <w:r w:rsidRPr="007375EB">
        <w:rPr>
          <w:lang w:val="bg-BG"/>
        </w:rPr>
        <w:t xml:space="preserve"> - ROCT02_B2, , на североизток от границата на обекта, на разстояние около 35 </w:t>
      </w:r>
      <w:r w:rsidR="0034375E" w:rsidRPr="007375EB">
        <w:rPr>
          <w:lang w:val="bg-BG"/>
        </w:rPr>
        <w:t>км</w:t>
      </w:r>
      <w:r w:rsidRPr="007375EB">
        <w:rPr>
          <w:lang w:val="bg-BG"/>
        </w:rPr>
        <w:t xml:space="preserve">, се намира езерото </w:t>
      </w:r>
      <w:r w:rsidR="0061527E" w:rsidRPr="007375EB">
        <w:rPr>
          <w:lang w:val="bg-BG"/>
        </w:rPr>
        <w:t>Татладжак</w:t>
      </w:r>
      <w:r w:rsidRPr="007375EB">
        <w:rPr>
          <w:lang w:val="bg-BG"/>
        </w:rPr>
        <w:t xml:space="preserve"> - ROLW15-1_B9, съответно езерото </w:t>
      </w:r>
      <w:r w:rsidR="0061527E" w:rsidRPr="007375EB">
        <w:rPr>
          <w:lang w:val="bg-BG"/>
        </w:rPr>
        <w:t>Тихирхиол сладък</w:t>
      </w:r>
      <w:r w:rsidRPr="007375EB">
        <w:rPr>
          <w:lang w:val="bg-BG"/>
        </w:rPr>
        <w:t xml:space="preserve"> - ROLW15.1_B1). </w:t>
      </w:r>
      <w:r w:rsidRPr="007375EB">
        <w:rPr>
          <w:b/>
          <w:bCs/>
          <w:lang w:val="bg-BG"/>
        </w:rPr>
        <w:t>с. фигура 2.1</w:t>
      </w:r>
    </w:p>
    <w:p w14:paraId="2D55E1A7" w14:textId="40CD0D1D" w:rsidR="00EA5868" w:rsidRPr="007375EB" w:rsidRDefault="001101CE" w:rsidP="00A00386">
      <w:pPr>
        <w:autoSpaceDE w:val="0"/>
        <w:autoSpaceDN w:val="0"/>
        <w:adjustRightInd w:val="0"/>
        <w:spacing w:after="120" w:line="360" w:lineRule="auto"/>
        <w:jc w:val="both"/>
        <w:rPr>
          <w:lang w:val="bg-BG"/>
        </w:rPr>
      </w:pPr>
      <w:r w:rsidRPr="007375EB">
        <w:rPr>
          <w:lang w:val="bg-BG"/>
        </w:rPr>
        <w:t xml:space="preserve">Най-близките повърхностни водни тела, идентифицирани в района, изследван от </w:t>
      </w:r>
      <w:r w:rsidR="0014580E" w:rsidRPr="007375EB">
        <w:rPr>
          <w:lang w:val="bg-BG"/>
        </w:rPr>
        <w:t>ЗГП</w:t>
      </w:r>
      <w:r w:rsidRPr="007375EB">
        <w:rPr>
          <w:lang w:val="bg-BG"/>
        </w:rPr>
        <w:t xml:space="preserve"> на територията на България, се намират южно от границата на обекта: BG1DJ900R1015 на разстояние около 1 км южно от площадката на </w:t>
      </w:r>
      <w:r w:rsidR="0014580E" w:rsidRPr="007375EB">
        <w:rPr>
          <w:lang w:val="bg-BG"/>
        </w:rPr>
        <w:t>ЗГП</w:t>
      </w:r>
      <w:r w:rsidRPr="007375EB">
        <w:rPr>
          <w:lang w:val="bg-BG"/>
        </w:rPr>
        <w:t>, BG2DO700L017 на разстояние около 34 км, съответно BG2BS000C001 на разстояние около 36 км, югоизточно от границата на обекта</w:t>
      </w:r>
      <w:r w:rsidR="006C3621" w:rsidRPr="007375EB">
        <w:rPr>
          <w:lang w:val="bg-BG"/>
        </w:rPr>
        <w:t>.</w:t>
      </w:r>
    </w:p>
    <w:p w14:paraId="4788F737" w14:textId="73535693" w:rsidR="00943A3A" w:rsidRPr="007375EB" w:rsidRDefault="001101CE" w:rsidP="00A00386">
      <w:pPr>
        <w:autoSpaceDE w:val="0"/>
        <w:autoSpaceDN w:val="0"/>
        <w:adjustRightInd w:val="0"/>
        <w:spacing w:after="120" w:line="360" w:lineRule="auto"/>
        <w:jc w:val="both"/>
        <w:rPr>
          <w:rFonts w:eastAsia="Times" w:cs="Times New Roman"/>
          <w:lang w:val="bg-BG"/>
        </w:rPr>
      </w:pPr>
      <w:r w:rsidRPr="007375EB">
        <w:rPr>
          <w:rFonts w:eastAsia="Times" w:cs="Times New Roman"/>
          <w:lang w:val="bg-BG"/>
        </w:rPr>
        <w:t xml:space="preserve">Следващата таблица представя екологичното и химичното състояние на повърхностните водни обекти в района на </w:t>
      </w:r>
      <w:r w:rsidR="0014580E" w:rsidRPr="007375EB">
        <w:rPr>
          <w:rFonts w:eastAsia="Times" w:cs="Times New Roman"/>
          <w:lang w:val="bg-BG"/>
        </w:rPr>
        <w:t>ЗГП</w:t>
      </w:r>
      <w:r w:rsidRPr="007375EB">
        <w:rPr>
          <w:rFonts w:eastAsia="Times" w:cs="Times New Roman"/>
          <w:lang w:val="bg-BG"/>
        </w:rPr>
        <w:t xml:space="preserve"> въз основа на данните, предоставени от актуализирания План за управление на река Дунав, делтата на река Дунав, хидрографската зона на Добруджа и крайбрежните води</w:t>
      </w:r>
      <w:r w:rsidR="00943A3A" w:rsidRPr="007375EB">
        <w:rPr>
          <w:rFonts w:eastAsia="Times" w:cs="Times New Roman"/>
          <w:lang w:val="bg-BG"/>
        </w:rPr>
        <w:t xml:space="preserve"> (2022-2027</w:t>
      </w:r>
      <w:r w:rsidRPr="007375EB">
        <w:rPr>
          <w:rFonts w:eastAsia="Times" w:cs="Times New Roman"/>
          <w:lang w:val="bg-BG"/>
        </w:rPr>
        <w:t xml:space="preserve"> г.</w:t>
      </w:r>
      <w:r w:rsidR="00943A3A" w:rsidRPr="007375EB">
        <w:rPr>
          <w:rFonts w:eastAsia="Times" w:cs="Times New Roman"/>
          <w:lang w:val="bg-BG"/>
        </w:rPr>
        <w:t>):</w:t>
      </w:r>
    </w:p>
    <w:p w14:paraId="6C80D058" w14:textId="7EC55018" w:rsidR="00943A3A" w:rsidRPr="007375EB" w:rsidRDefault="001101CE" w:rsidP="00943A3A">
      <w:pPr>
        <w:pStyle w:val="Caption"/>
        <w:rPr>
          <w:sz w:val="16"/>
          <w:szCs w:val="16"/>
          <w:lang w:val="bg-BG"/>
        </w:rPr>
      </w:pPr>
      <w:r w:rsidRPr="007375EB">
        <w:rPr>
          <w:sz w:val="16"/>
          <w:szCs w:val="16"/>
          <w:lang w:val="bg-BG"/>
        </w:rPr>
        <w:lastRenderedPageBreak/>
        <w:t>Таблица 2 - 1: Екологично състояние на повърхностните водни обекти в районана обекта</w:t>
      </w:r>
    </w:p>
    <w:tbl>
      <w:tblPr>
        <w:tblW w:w="9356"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127"/>
        <w:gridCol w:w="1275"/>
        <w:gridCol w:w="1276"/>
        <w:gridCol w:w="1701"/>
        <w:gridCol w:w="851"/>
        <w:gridCol w:w="1275"/>
        <w:gridCol w:w="851"/>
      </w:tblGrid>
      <w:tr w:rsidR="00A234B0" w:rsidRPr="007375EB" w14:paraId="6D0DAB51" w14:textId="77777777" w:rsidTr="00E77266">
        <w:trPr>
          <w:tblHeader/>
        </w:trPr>
        <w:tc>
          <w:tcPr>
            <w:tcW w:w="212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F0"/>
            <w:vAlign w:val="center"/>
          </w:tcPr>
          <w:p w14:paraId="24C5B83B" w14:textId="2EFBDC03" w:rsidR="00943A3A" w:rsidRPr="007375EB" w:rsidRDefault="003753BD">
            <w:pPr>
              <w:spacing w:line="240" w:lineRule="auto"/>
              <w:jc w:val="center"/>
              <w:rPr>
                <w:rFonts w:eastAsia="Calibri" w:cs="Arial"/>
                <w:b/>
                <w:color w:val="FFFFFF"/>
                <w:sz w:val="14"/>
                <w:szCs w:val="14"/>
                <w:lang w:val="bg-BG" w:eastAsia="x-none"/>
              </w:rPr>
            </w:pPr>
            <w:r w:rsidRPr="007375EB">
              <w:rPr>
                <w:rFonts w:eastAsia="Calibri" w:cs="Arial"/>
                <w:b/>
                <w:color w:val="FFFFFF"/>
                <w:sz w:val="14"/>
                <w:szCs w:val="14"/>
                <w:lang w:val="bg-BG" w:eastAsia="x-none"/>
              </w:rPr>
              <w:t>Име на водния обект</w:t>
            </w:r>
          </w:p>
        </w:tc>
        <w:tc>
          <w:tcPr>
            <w:tcW w:w="127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F0"/>
            <w:vAlign w:val="center"/>
          </w:tcPr>
          <w:p w14:paraId="50397770" w14:textId="42EC4797" w:rsidR="00943A3A" w:rsidRPr="007375EB" w:rsidRDefault="003753BD">
            <w:pPr>
              <w:spacing w:line="240" w:lineRule="auto"/>
              <w:jc w:val="center"/>
              <w:rPr>
                <w:rFonts w:eastAsia="Calibri" w:cs="Arial"/>
                <w:b/>
                <w:color w:val="FFFFFF"/>
                <w:sz w:val="14"/>
                <w:szCs w:val="14"/>
                <w:lang w:val="bg-BG" w:eastAsia="x-none"/>
              </w:rPr>
            </w:pPr>
            <w:r w:rsidRPr="007375EB">
              <w:rPr>
                <w:rFonts w:eastAsia="Calibri" w:cs="Arial"/>
                <w:b/>
                <w:color w:val="FFFFFF"/>
                <w:sz w:val="14"/>
                <w:szCs w:val="14"/>
                <w:lang w:val="bg-BG" w:eastAsia="x-none"/>
              </w:rPr>
              <w:t>Категория на водния обект</w:t>
            </w:r>
          </w:p>
        </w:tc>
        <w:tc>
          <w:tcPr>
            <w:tcW w:w="127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F0"/>
          </w:tcPr>
          <w:p w14:paraId="47A7F2E2" w14:textId="6588824B" w:rsidR="00943A3A" w:rsidRPr="007375EB" w:rsidRDefault="003753BD">
            <w:pPr>
              <w:spacing w:line="240" w:lineRule="auto"/>
              <w:jc w:val="center"/>
              <w:rPr>
                <w:rFonts w:eastAsia="Times New Roman" w:cs="Arial"/>
                <w:b/>
                <w:color w:val="FFFFFF"/>
                <w:sz w:val="14"/>
                <w:szCs w:val="14"/>
                <w:lang w:val="bg-BG" w:eastAsia="da-DK"/>
              </w:rPr>
            </w:pPr>
            <w:r w:rsidRPr="007375EB">
              <w:rPr>
                <w:rFonts w:eastAsia="Times New Roman" w:cs="Arial"/>
                <w:b/>
                <w:color w:val="FFFFFF"/>
                <w:sz w:val="14"/>
                <w:szCs w:val="14"/>
                <w:lang w:val="bg-BG" w:eastAsia="da-DK"/>
              </w:rPr>
              <w:t xml:space="preserve">Типология на водните обекти </w:t>
            </w:r>
          </w:p>
        </w:tc>
        <w:tc>
          <w:tcPr>
            <w:tcW w:w="170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F0"/>
            <w:vAlign w:val="center"/>
          </w:tcPr>
          <w:p w14:paraId="111D90DC" w14:textId="18A3ADC2" w:rsidR="00943A3A" w:rsidRPr="007375EB" w:rsidRDefault="003753BD">
            <w:pPr>
              <w:spacing w:line="240" w:lineRule="auto"/>
              <w:jc w:val="center"/>
              <w:rPr>
                <w:rFonts w:eastAsia="Calibri" w:cs="Arial"/>
                <w:b/>
                <w:color w:val="FFFFFF"/>
                <w:sz w:val="14"/>
                <w:szCs w:val="14"/>
                <w:lang w:val="bg-BG" w:eastAsia="x-none"/>
              </w:rPr>
            </w:pPr>
            <w:r w:rsidRPr="007375EB">
              <w:rPr>
                <w:rFonts w:eastAsia="Times New Roman" w:cs="Arial"/>
                <w:b/>
                <w:color w:val="FFFFFF"/>
                <w:sz w:val="14"/>
                <w:szCs w:val="14"/>
                <w:lang w:val="bg-BG" w:eastAsia="da-DK"/>
              </w:rPr>
              <w:t>Код на повърхностния воден обект</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F0"/>
            <w:vAlign w:val="center"/>
          </w:tcPr>
          <w:p w14:paraId="364B09B6" w14:textId="488FFC6A" w:rsidR="00943A3A" w:rsidRPr="007375EB" w:rsidRDefault="003753BD">
            <w:pPr>
              <w:spacing w:line="240" w:lineRule="auto"/>
              <w:jc w:val="center"/>
              <w:rPr>
                <w:rFonts w:eastAsia="Calibri" w:cs="Arial"/>
                <w:b/>
                <w:color w:val="FFFFFF"/>
                <w:sz w:val="14"/>
                <w:szCs w:val="14"/>
                <w:lang w:val="bg-BG" w:eastAsia="x-none"/>
              </w:rPr>
            </w:pPr>
            <w:r w:rsidRPr="007375EB">
              <w:rPr>
                <w:rFonts w:eastAsia="Times New Roman" w:cs="Arial"/>
                <w:b/>
                <w:color w:val="FFFFFF"/>
                <w:sz w:val="14"/>
                <w:szCs w:val="14"/>
                <w:lang w:val="bg-BG" w:eastAsia="da-DK"/>
              </w:rPr>
              <w:t xml:space="preserve">Състояние/потенциал </w:t>
            </w:r>
            <w:r w:rsidR="00943A3A" w:rsidRPr="007375EB">
              <w:rPr>
                <w:rFonts w:eastAsia="Times New Roman" w:cs="Arial"/>
                <w:b/>
                <w:color w:val="FFFFFF"/>
                <w:sz w:val="14"/>
                <w:szCs w:val="14"/>
                <w:lang w:val="bg-BG" w:eastAsia="da-DK"/>
              </w:rPr>
              <w:t>(S/P)</w:t>
            </w:r>
          </w:p>
        </w:tc>
        <w:tc>
          <w:tcPr>
            <w:tcW w:w="127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F0"/>
            <w:vAlign w:val="center"/>
          </w:tcPr>
          <w:p w14:paraId="77C05106" w14:textId="56D34726" w:rsidR="00943A3A" w:rsidRPr="007375EB" w:rsidRDefault="003753BD">
            <w:pPr>
              <w:spacing w:line="240" w:lineRule="auto"/>
              <w:jc w:val="center"/>
              <w:rPr>
                <w:rFonts w:eastAsia="Calibri" w:cs="Arial"/>
                <w:b/>
                <w:color w:val="FFFFFF"/>
                <w:sz w:val="14"/>
                <w:szCs w:val="14"/>
                <w:lang w:val="bg-BG" w:eastAsia="x-none"/>
              </w:rPr>
            </w:pPr>
            <w:r w:rsidRPr="007375EB">
              <w:rPr>
                <w:rFonts w:eastAsia="Times New Roman" w:cs="Arial"/>
                <w:b/>
                <w:color w:val="FFFFFF"/>
                <w:sz w:val="14"/>
                <w:szCs w:val="14"/>
                <w:lang w:val="bg-BG" w:eastAsia="da-DK"/>
              </w:rPr>
              <w:t>Екологично състояние/ Екологичен потенциал</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F0"/>
            <w:vAlign w:val="center"/>
          </w:tcPr>
          <w:p w14:paraId="27F13F14" w14:textId="6DAC0B1D" w:rsidR="00943A3A" w:rsidRPr="007375EB" w:rsidRDefault="003753BD">
            <w:pPr>
              <w:spacing w:line="240" w:lineRule="auto"/>
              <w:jc w:val="center"/>
              <w:rPr>
                <w:rFonts w:eastAsia="Times New Roman" w:cs="Arial"/>
                <w:b/>
                <w:color w:val="FFFFFF"/>
                <w:sz w:val="14"/>
                <w:szCs w:val="14"/>
                <w:lang w:val="bg-BG" w:eastAsia="da-DK"/>
              </w:rPr>
            </w:pPr>
            <w:r w:rsidRPr="007375EB">
              <w:rPr>
                <w:rFonts w:eastAsia="Times New Roman" w:cs="Arial"/>
                <w:b/>
                <w:color w:val="FFFFFF"/>
                <w:sz w:val="14"/>
                <w:szCs w:val="14"/>
                <w:lang w:val="bg-BG" w:eastAsia="da-DK"/>
              </w:rPr>
              <w:t>Химичен статус</w:t>
            </w:r>
          </w:p>
        </w:tc>
      </w:tr>
      <w:tr w:rsidR="002D1F54" w:rsidRPr="007375EB" w14:paraId="0F15C184" w14:textId="77777777" w:rsidTr="00E77266">
        <w:tc>
          <w:tcPr>
            <w:tcW w:w="2127" w:type="dxa"/>
            <w:tcBorders>
              <w:top w:val="dotted" w:sz="4" w:space="0" w:color="A6A6A6" w:themeColor="background1" w:themeShade="A6"/>
            </w:tcBorders>
            <w:shd w:val="clear" w:color="auto" w:fill="auto"/>
            <w:vAlign w:val="center"/>
          </w:tcPr>
          <w:p w14:paraId="34B8B3E9" w14:textId="2A66F737" w:rsidR="00C43AAA" w:rsidRPr="007375EB" w:rsidRDefault="003753BD" w:rsidP="0027304A">
            <w:pPr>
              <w:spacing w:line="240" w:lineRule="auto"/>
              <w:rPr>
                <w:rFonts w:eastAsia="Times New Roman" w:cs="Arial"/>
                <w:sz w:val="14"/>
                <w:szCs w:val="14"/>
                <w:lang w:val="bg-BG" w:eastAsia="da-DK"/>
              </w:rPr>
            </w:pPr>
            <w:r w:rsidRPr="007375EB">
              <w:rPr>
                <w:rFonts w:eastAsia="Times New Roman" w:cs="Arial"/>
                <w:sz w:val="14"/>
                <w:szCs w:val="14"/>
                <w:lang w:val="bg-BG" w:eastAsia="da-DK"/>
              </w:rPr>
              <w:t>Мангалия</w:t>
            </w:r>
          </w:p>
        </w:tc>
        <w:tc>
          <w:tcPr>
            <w:tcW w:w="1275" w:type="dxa"/>
            <w:tcBorders>
              <w:top w:val="dotted" w:sz="4" w:space="0" w:color="A6A6A6" w:themeColor="background1" w:themeShade="A6"/>
            </w:tcBorders>
            <w:shd w:val="clear" w:color="auto" w:fill="auto"/>
            <w:vAlign w:val="center"/>
          </w:tcPr>
          <w:p w14:paraId="2CDAB921" w14:textId="3B4628BD" w:rsidR="00C43AAA" w:rsidRPr="007375EB" w:rsidRDefault="0027304A" w:rsidP="0027304A">
            <w:pPr>
              <w:spacing w:line="240" w:lineRule="auto"/>
              <w:rPr>
                <w:rFonts w:eastAsia="Times New Roman" w:cs="Arial"/>
                <w:sz w:val="14"/>
                <w:szCs w:val="14"/>
                <w:lang w:val="bg-BG" w:eastAsia="da-DK"/>
              </w:rPr>
            </w:pPr>
            <w:r w:rsidRPr="007375EB">
              <w:rPr>
                <w:rFonts w:eastAsia="Times New Roman" w:cs="Arial"/>
                <w:sz w:val="14"/>
                <w:szCs w:val="14"/>
                <w:lang w:val="bg-BG" w:eastAsia="da-DK"/>
              </w:rPr>
              <w:t>CW</w:t>
            </w:r>
          </w:p>
        </w:tc>
        <w:tc>
          <w:tcPr>
            <w:tcW w:w="1276" w:type="dxa"/>
            <w:tcBorders>
              <w:top w:val="dotted" w:sz="4" w:space="0" w:color="A6A6A6" w:themeColor="background1" w:themeShade="A6"/>
            </w:tcBorders>
            <w:shd w:val="clear" w:color="auto" w:fill="auto"/>
          </w:tcPr>
          <w:p w14:paraId="5DFCE567" w14:textId="11B06789" w:rsidR="00C43AAA" w:rsidRPr="007375EB" w:rsidRDefault="00B30E30" w:rsidP="0027304A">
            <w:pPr>
              <w:spacing w:line="240" w:lineRule="auto"/>
              <w:rPr>
                <w:rFonts w:eastAsia="Times New Roman" w:cs="Arial"/>
                <w:sz w:val="14"/>
                <w:szCs w:val="14"/>
                <w:lang w:val="bg-BG" w:eastAsia="da-DK"/>
              </w:rPr>
            </w:pPr>
            <w:r w:rsidRPr="007375EB">
              <w:rPr>
                <w:rFonts w:eastAsia="Times New Roman" w:cs="Arial"/>
                <w:sz w:val="14"/>
                <w:szCs w:val="14"/>
                <w:lang w:val="bg-BG" w:eastAsia="da-DK"/>
              </w:rPr>
              <w:t>ROCT01CAPM</w:t>
            </w:r>
          </w:p>
        </w:tc>
        <w:tc>
          <w:tcPr>
            <w:tcW w:w="1701" w:type="dxa"/>
            <w:tcBorders>
              <w:top w:val="dotted" w:sz="4" w:space="0" w:color="A6A6A6" w:themeColor="background1" w:themeShade="A6"/>
            </w:tcBorders>
            <w:shd w:val="clear" w:color="auto" w:fill="auto"/>
            <w:vAlign w:val="center"/>
          </w:tcPr>
          <w:p w14:paraId="49F98605" w14:textId="4A0D67C7" w:rsidR="00C43AAA" w:rsidRPr="007375EB" w:rsidRDefault="0027304A" w:rsidP="0027304A">
            <w:pPr>
              <w:spacing w:line="240" w:lineRule="auto"/>
              <w:rPr>
                <w:rFonts w:eastAsia="Times New Roman" w:cs="Arial"/>
                <w:sz w:val="14"/>
                <w:szCs w:val="14"/>
                <w:lang w:val="bg-BG" w:eastAsia="da-DK"/>
              </w:rPr>
            </w:pPr>
            <w:r w:rsidRPr="007375EB">
              <w:rPr>
                <w:rFonts w:eastAsia="Times New Roman" w:cs="Arial"/>
                <w:sz w:val="14"/>
                <w:szCs w:val="14"/>
                <w:lang w:val="bg-BG" w:eastAsia="da-DK"/>
              </w:rPr>
              <w:t>ROCT01_B2</w:t>
            </w:r>
          </w:p>
        </w:tc>
        <w:tc>
          <w:tcPr>
            <w:tcW w:w="851" w:type="dxa"/>
            <w:tcBorders>
              <w:top w:val="dotted" w:sz="4" w:space="0" w:color="A6A6A6" w:themeColor="background1" w:themeShade="A6"/>
            </w:tcBorders>
            <w:shd w:val="clear" w:color="auto" w:fill="auto"/>
            <w:vAlign w:val="center"/>
          </w:tcPr>
          <w:p w14:paraId="04975359" w14:textId="4693EF94" w:rsidR="00C43AAA" w:rsidRPr="007375EB" w:rsidRDefault="00820B43">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P</w:t>
            </w:r>
          </w:p>
        </w:tc>
        <w:tc>
          <w:tcPr>
            <w:tcW w:w="1275" w:type="dxa"/>
            <w:tcBorders>
              <w:top w:val="dotted" w:sz="4" w:space="0" w:color="A6A6A6" w:themeColor="background1" w:themeShade="A6"/>
            </w:tcBorders>
            <w:shd w:val="clear" w:color="auto" w:fill="auto"/>
            <w:vAlign w:val="center"/>
          </w:tcPr>
          <w:p w14:paraId="3C653587" w14:textId="3780B741" w:rsidR="00C43AAA" w:rsidRPr="007375EB" w:rsidRDefault="00B30E30">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5</w:t>
            </w:r>
          </w:p>
        </w:tc>
        <w:tc>
          <w:tcPr>
            <w:tcW w:w="851" w:type="dxa"/>
            <w:tcBorders>
              <w:top w:val="dotted" w:sz="4" w:space="0" w:color="A6A6A6" w:themeColor="background1" w:themeShade="A6"/>
            </w:tcBorders>
            <w:shd w:val="clear" w:color="auto" w:fill="auto"/>
            <w:vAlign w:val="center"/>
          </w:tcPr>
          <w:p w14:paraId="11C35EBA" w14:textId="1221F7BF" w:rsidR="00C43AAA" w:rsidRPr="007375EB" w:rsidRDefault="00E5518F">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r>
      <w:tr w:rsidR="00943A3A" w:rsidRPr="007375EB" w14:paraId="76E9F5BC" w14:textId="77777777" w:rsidTr="00EB101B">
        <w:tc>
          <w:tcPr>
            <w:tcW w:w="2127" w:type="dxa"/>
          </w:tcPr>
          <w:p w14:paraId="40724673" w14:textId="7004D056" w:rsidR="00943A3A" w:rsidRPr="007375EB" w:rsidRDefault="003753BD">
            <w:pPr>
              <w:spacing w:line="240" w:lineRule="auto"/>
              <w:jc w:val="both"/>
              <w:rPr>
                <w:rFonts w:eastAsia="Calibri" w:cs="Arial"/>
                <w:sz w:val="14"/>
                <w:szCs w:val="14"/>
                <w:lang w:val="bg-BG" w:eastAsia="x-none"/>
              </w:rPr>
            </w:pPr>
            <w:r w:rsidRPr="007375EB">
              <w:rPr>
                <w:rFonts w:eastAsia="Times New Roman" w:cs="Arial"/>
                <w:sz w:val="14"/>
                <w:szCs w:val="14"/>
                <w:lang w:val="bg-BG" w:eastAsia="da-DK"/>
              </w:rPr>
              <w:t>Ефорие Норд-Вама Веке</w:t>
            </w:r>
            <w:r w:rsidR="00943A3A" w:rsidRPr="007375EB">
              <w:rPr>
                <w:rFonts w:eastAsia="Times New Roman" w:cs="Arial"/>
                <w:sz w:val="14"/>
                <w:szCs w:val="14"/>
                <w:lang w:val="bg-BG" w:eastAsia="da-DK"/>
              </w:rPr>
              <w:t xml:space="preserve"> </w:t>
            </w:r>
          </w:p>
        </w:tc>
        <w:tc>
          <w:tcPr>
            <w:tcW w:w="1275" w:type="dxa"/>
            <w:shd w:val="clear" w:color="auto" w:fill="auto"/>
          </w:tcPr>
          <w:p w14:paraId="7B0585B6" w14:textId="77777777" w:rsidR="00943A3A" w:rsidRPr="007375EB" w:rsidRDefault="00943A3A">
            <w:pPr>
              <w:spacing w:line="240" w:lineRule="auto"/>
              <w:jc w:val="both"/>
              <w:rPr>
                <w:rFonts w:eastAsia="Times New Roman" w:cs="Arial"/>
                <w:sz w:val="14"/>
                <w:szCs w:val="14"/>
                <w:lang w:val="bg-BG" w:eastAsia="da-DK"/>
              </w:rPr>
            </w:pPr>
            <w:r w:rsidRPr="007375EB">
              <w:rPr>
                <w:rFonts w:eastAsia="Calibri" w:cs="Arial"/>
                <w:sz w:val="14"/>
                <w:szCs w:val="14"/>
                <w:lang w:val="bg-BG" w:eastAsia="x-none"/>
              </w:rPr>
              <w:t>CW</w:t>
            </w:r>
          </w:p>
        </w:tc>
        <w:tc>
          <w:tcPr>
            <w:tcW w:w="1276" w:type="dxa"/>
          </w:tcPr>
          <w:p w14:paraId="1DE79274" w14:textId="77777777" w:rsidR="00943A3A" w:rsidRPr="007375EB" w:rsidRDefault="00943A3A">
            <w:pPr>
              <w:spacing w:line="240" w:lineRule="auto"/>
              <w:jc w:val="both"/>
              <w:rPr>
                <w:rFonts w:eastAsia="Times New Roman" w:cs="Arial"/>
                <w:sz w:val="14"/>
                <w:szCs w:val="14"/>
                <w:lang w:val="bg-BG" w:eastAsia="da-DK"/>
              </w:rPr>
            </w:pPr>
            <w:r w:rsidRPr="007375EB">
              <w:rPr>
                <w:rFonts w:eastAsia="Times New Roman" w:cs="Arial"/>
                <w:sz w:val="14"/>
                <w:szCs w:val="14"/>
                <w:lang w:val="bg-BG" w:eastAsia="da-DK"/>
              </w:rPr>
              <w:t>ROCT02</w:t>
            </w:r>
          </w:p>
        </w:tc>
        <w:tc>
          <w:tcPr>
            <w:tcW w:w="1701" w:type="dxa"/>
            <w:shd w:val="clear" w:color="auto" w:fill="auto"/>
          </w:tcPr>
          <w:p w14:paraId="57EA1F04" w14:textId="77777777" w:rsidR="00943A3A" w:rsidRPr="007375EB" w:rsidRDefault="00943A3A">
            <w:pPr>
              <w:spacing w:line="240" w:lineRule="auto"/>
              <w:jc w:val="both"/>
              <w:rPr>
                <w:rFonts w:eastAsia="Times New Roman" w:cs="Arial"/>
                <w:sz w:val="14"/>
                <w:szCs w:val="14"/>
                <w:lang w:val="bg-BG" w:eastAsia="da-DK"/>
              </w:rPr>
            </w:pPr>
            <w:r w:rsidRPr="007375EB">
              <w:rPr>
                <w:rFonts w:eastAsia="Times New Roman" w:cs="Arial"/>
                <w:sz w:val="14"/>
                <w:szCs w:val="14"/>
                <w:lang w:val="bg-BG" w:eastAsia="da-DK"/>
              </w:rPr>
              <w:t>ROCT02_B2</w:t>
            </w:r>
          </w:p>
        </w:tc>
        <w:tc>
          <w:tcPr>
            <w:tcW w:w="851" w:type="dxa"/>
            <w:shd w:val="clear" w:color="auto" w:fill="auto"/>
            <w:vAlign w:val="center"/>
          </w:tcPr>
          <w:p w14:paraId="4BB4C31B" w14:textId="77777777" w:rsidR="00943A3A" w:rsidRPr="007375EB" w:rsidRDefault="00943A3A">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S</w:t>
            </w:r>
          </w:p>
        </w:tc>
        <w:tc>
          <w:tcPr>
            <w:tcW w:w="1275" w:type="dxa"/>
            <w:shd w:val="clear" w:color="auto" w:fill="auto"/>
            <w:vAlign w:val="center"/>
          </w:tcPr>
          <w:p w14:paraId="70ADB6CD" w14:textId="77777777" w:rsidR="00943A3A" w:rsidRPr="007375EB" w:rsidRDefault="00943A3A">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5</w:t>
            </w:r>
          </w:p>
        </w:tc>
        <w:tc>
          <w:tcPr>
            <w:tcW w:w="851" w:type="dxa"/>
            <w:vAlign w:val="center"/>
          </w:tcPr>
          <w:p w14:paraId="534AC810" w14:textId="77777777" w:rsidR="00943A3A" w:rsidRPr="007375EB" w:rsidRDefault="00943A3A">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r>
      <w:tr w:rsidR="00AE2153" w:rsidRPr="007375EB" w14:paraId="64DB5743" w14:textId="77777777" w:rsidTr="00EB101B">
        <w:tc>
          <w:tcPr>
            <w:tcW w:w="2127" w:type="dxa"/>
          </w:tcPr>
          <w:p w14:paraId="4EA6405F" w14:textId="48FFBE37" w:rsidR="00AE2153" w:rsidRPr="007375EB" w:rsidRDefault="003753BD" w:rsidP="00AE2153">
            <w:pPr>
              <w:spacing w:line="240" w:lineRule="auto"/>
              <w:jc w:val="both"/>
              <w:rPr>
                <w:rFonts w:eastAsia="Times New Roman" w:cs="Arial"/>
                <w:sz w:val="14"/>
                <w:szCs w:val="14"/>
                <w:lang w:val="bg-BG" w:eastAsia="da-DK"/>
              </w:rPr>
            </w:pPr>
            <w:r w:rsidRPr="007375EB">
              <w:rPr>
                <w:rFonts w:eastAsia="Times New Roman" w:cs="Arial"/>
                <w:sz w:val="14"/>
                <w:szCs w:val="14"/>
                <w:lang w:val="bg-BG" w:eastAsia="da-DK"/>
              </w:rPr>
              <w:t>Езерото Буджак</w:t>
            </w:r>
          </w:p>
        </w:tc>
        <w:tc>
          <w:tcPr>
            <w:tcW w:w="1275" w:type="dxa"/>
            <w:shd w:val="clear" w:color="auto" w:fill="auto"/>
          </w:tcPr>
          <w:p w14:paraId="5B00566D" w14:textId="79F8BCBE" w:rsidR="00AE2153" w:rsidRPr="007375EB" w:rsidRDefault="00AE2153" w:rsidP="00AE2153">
            <w:pPr>
              <w:spacing w:line="240" w:lineRule="auto"/>
              <w:jc w:val="both"/>
              <w:rPr>
                <w:rFonts w:eastAsia="Calibri" w:cs="Arial"/>
                <w:sz w:val="14"/>
                <w:szCs w:val="14"/>
                <w:lang w:val="bg-BG" w:eastAsia="x-none"/>
              </w:rPr>
            </w:pPr>
            <w:r w:rsidRPr="007375EB">
              <w:rPr>
                <w:rFonts w:eastAsia="Calibri" w:cs="Arial"/>
                <w:sz w:val="14"/>
                <w:szCs w:val="14"/>
                <w:lang w:val="bg-BG" w:eastAsia="x-none"/>
              </w:rPr>
              <w:t>LW</w:t>
            </w:r>
          </w:p>
        </w:tc>
        <w:tc>
          <w:tcPr>
            <w:tcW w:w="1276" w:type="dxa"/>
          </w:tcPr>
          <w:p w14:paraId="37006C3D" w14:textId="08E0DE52" w:rsidR="00AE2153" w:rsidRPr="007375EB" w:rsidRDefault="00AE2153" w:rsidP="00AE2153">
            <w:pPr>
              <w:spacing w:line="240" w:lineRule="auto"/>
              <w:jc w:val="both"/>
              <w:rPr>
                <w:rFonts w:eastAsia="Times New Roman" w:cs="Arial"/>
                <w:sz w:val="14"/>
                <w:szCs w:val="14"/>
                <w:lang w:val="bg-BG" w:eastAsia="da-DK"/>
              </w:rPr>
            </w:pPr>
            <w:r w:rsidRPr="007375EB">
              <w:rPr>
                <w:rFonts w:eastAsia="Times New Roman" w:cs="Arial"/>
                <w:sz w:val="14"/>
                <w:szCs w:val="14"/>
                <w:lang w:val="bg-BG" w:eastAsia="da-DK"/>
              </w:rPr>
              <w:t>ROLN0</w:t>
            </w:r>
            <w:r w:rsidR="005674A5" w:rsidRPr="007375EB">
              <w:rPr>
                <w:rFonts w:eastAsia="Times New Roman" w:cs="Arial"/>
                <w:sz w:val="14"/>
                <w:szCs w:val="14"/>
                <w:lang w:val="bg-BG" w:eastAsia="da-DK"/>
              </w:rPr>
              <w:t>2</w:t>
            </w:r>
          </w:p>
        </w:tc>
        <w:tc>
          <w:tcPr>
            <w:tcW w:w="1701" w:type="dxa"/>
            <w:shd w:val="clear" w:color="auto" w:fill="auto"/>
          </w:tcPr>
          <w:p w14:paraId="2645356E" w14:textId="6FC9593D" w:rsidR="00AE2153" w:rsidRPr="007375EB" w:rsidRDefault="00AE2153" w:rsidP="00AE2153">
            <w:pPr>
              <w:spacing w:line="240" w:lineRule="auto"/>
              <w:rPr>
                <w:rFonts w:eastAsia="Times New Roman" w:cs="Arial"/>
                <w:sz w:val="14"/>
                <w:szCs w:val="14"/>
                <w:lang w:val="bg-BG" w:eastAsia="da-DK"/>
              </w:rPr>
            </w:pPr>
            <w:r w:rsidRPr="007375EB">
              <w:rPr>
                <w:rFonts w:eastAsia="Times New Roman" w:cs="Arial"/>
                <w:sz w:val="14"/>
                <w:szCs w:val="14"/>
                <w:lang w:val="bg-BG" w:eastAsia="da-DK"/>
              </w:rPr>
              <w:t>ROLW14-1-37_B1</w:t>
            </w:r>
          </w:p>
        </w:tc>
        <w:tc>
          <w:tcPr>
            <w:tcW w:w="851" w:type="dxa"/>
            <w:shd w:val="clear" w:color="auto" w:fill="auto"/>
            <w:vAlign w:val="center"/>
          </w:tcPr>
          <w:p w14:paraId="481F8B90" w14:textId="1B0C4199" w:rsidR="00AE2153" w:rsidRPr="007375EB" w:rsidRDefault="00AE2153" w:rsidP="00AE2153">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S</w:t>
            </w:r>
          </w:p>
        </w:tc>
        <w:tc>
          <w:tcPr>
            <w:tcW w:w="1275" w:type="dxa"/>
            <w:shd w:val="clear" w:color="auto" w:fill="auto"/>
            <w:vAlign w:val="center"/>
          </w:tcPr>
          <w:p w14:paraId="7D39DB8A" w14:textId="403D3943" w:rsidR="00AE2153" w:rsidRPr="007375EB" w:rsidRDefault="00AE2153" w:rsidP="00AE2153">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c>
          <w:tcPr>
            <w:tcW w:w="851" w:type="dxa"/>
            <w:vAlign w:val="center"/>
          </w:tcPr>
          <w:p w14:paraId="2FA8413C" w14:textId="4CDD693C" w:rsidR="00AE2153" w:rsidRPr="007375EB" w:rsidRDefault="008E6B15" w:rsidP="00AE2153">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r>
      <w:tr w:rsidR="00AE2153" w:rsidRPr="007375EB" w14:paraId="29960A5B" w14:textId="77777777" w:rsidTr="00EB101B">
        <w:tc>
          <w:tcPr>
            <w:tcW w:w="2127" w:type="dxa"/>
          </w:tcPr>
          <w:p w14:paraId="26E6E557" w14:textId="39CB68C8" w:rsidR="00AE2153" w:rsidRPr="007375EB" w:rsidRDefault="003753BD" w:rsidP="00AE2153">
            <w:pPr>
              <w:spacing w:line="240" w:lineRule="auto"/>
              <w:jc w:val="both"/>
              <w:rPr>
                <w:rFonts w:eastAsia="Times New Roman" w:cs="Arial"/>
                <w:sz w:val="14"/>
                <w:szCs w:val="14"/>
                <w:lang w:val="bg-BG" w:eastAsia="da-DK"/>
              </w:rPr>
            </w:pPr>
            <w:r w:rsidRPr="007375EB">
              <w:rPr>
                <w:rFonts w:eastAsia="Times New Roman" w:cs="Arial"/>
                <w:sz w:val="14"/>
                <w:szCs w:val="14"/>
                <w:lang w:val="bg-BG" w:eastAsia="da-DK"/>
              </w:rPr>
              <w:t>Езеро Йортмак</w:t>
            </w:r>
          </w:p>
        </w:tc>
        <w:tc>
          <w:tcPr>
            <w:tcW w:w="1275" w:type="dxa"/>
            <w:shd w:val="clear" w:color="auto" w:fill="auto"/>
          </w:tcPr>
          <w:p w14:paraId="02F90EFB" w14:textId="4A012BF2" w:rsidR="00AE2153" w:rsidRPr="007375EB" w:rsidRDefault="00AE2153" w:rsidP="00AE2153">
            <w:pPr>
              <w:spacing w:line="240" w:lineRule="auto"/>
              <w:jc w:val="both"/>
              <w:rPr>
                <w:rFonts w:eastAsia="Calibri" w:cs="Arial"/>
                <w:sz w:val="14"/>
                <w:szCs w:val="14"/>
                <w:lang w:val="bg-BG" w:eastAsia="x-none"/>
              </w:rPr>
            </w:pPr>
            <w:r w:rsidRPr="007375EB">
              <w:rPr>
                <w:rFonts w:eastAsia="Calibri" w:cs="Arial"/>
                <w:sz w:val="14"/>
                <w:szCs w:val="14"/>
                <w:lang w:val="bg-BG" w:eastAsia="x-none"/>
              </w:rPr>
              <w:t>LW</w:t>
            </w:r>
          </w:p>
        </w:tc>
        <w:tc>
          <w:tcPr>
            <w:tcW w:w="1276" w:type="dxa"/>
          </w:tcPr>
          <w:p w14:paraId="27C05487" w14:textId="16FD8FD2" w:rsidR="00AE2153" w:rsidRPr="007375EB" w:rsidRDefault="00AE2153" w:rsidP="00AE2153">
            <w:pPr>
              <w:spacing w:line="240" w:lineRule="auto"/>
              <w:jc w:val="both"/>
              <w:rPr>
                <w:rFonts w:eastAsia="Times New Roman" w:cs="Arial"/>
                <w:sz w:val="14"/>
                <w:szCs w:val="14"/>
                <w:lang w:val="bg-BG" w:eastAsia="da-DK"/>
              </w:rPr>
            </w:pPr>
            <w:r w:rsidRPr="007375EB">
              <w:rPr>
                <w:rFonts w:eastAsia="Times New Roman" w:cs="Arial"/>
                <w:sz w:val="14"/>
                <w:szCs w:val="14"/>
                <w:lang w:val="bg-BG" w:eastAsia="da-DK"/>
              </w:rPr>
              <w:t>ROLN0</w:t>
            </w:r>
            <w:r w:rsidR="002D2307" w:rsidRPr="007375EB">
              <w:rPr>
                <w:rFonts w:eastAsia="Times New Roman" w:cs="Arial"/>
                <w:sz w:val="14"/>
                <w:szCs w:val="14"/>
                <w:lang w:val="bg-BG" w:eastAsia="da-DK"/>
              </w:rPr>
              <w:t>1</w:t>
            </w:r>
          </w:p>
        </w:tc>
        <w:tc>
          <w:tcPr>
            <w:tcW w:w="1701" w:type="dxa"/>
            <w:shd w:val="clear" w:color="auto" w:fill="auto"/>
          </w:tcPr>
          <w:p w14:paraId="1877925E" w14:textId="52E72112" w:rsidR="00AE2153" w:rsidRPr="007375EB" w:rsidRDefault="00AE2153" w:rsidP="00AE2153">
            <w:pPr>
              <w:spacing w:line="240" w:lineRule="auto"/>
              <w:rPr>
                <w:rFonts w:eastAsia="Times New Roman" w:cs="Arial"/>
                <w:sz w:val="14"/>
                <w:szCs w:val="14"/>
                <w:lang w:val="bg-BG" w:eastAsia="da-DK"/>
              </w:rPr>
            </w:pPr>
            <w:r w:rsidRPr="007375EB">
              <w:rPr>
                <w:rFonts w:eastAsia="Times New Roman" w:cs="Arial"/>
                <w:sz w:val="14"/>
                <w:szCs w:val="14"/>
                <w:lang w:val="bg-BG" w:eastAsia="da-DK"/>
              </w:rPr>
              <w:t>ROLW14-1-3</w:t>
            </w:r>
            <w:r w:rsidR="002D2307" w:rsidRPr="007375EB">
              <w:rPr>
                <w:rFonts w:eastAsia="Times New Roman" w:cs="Arial"/>
                <w:sz w:val="14"/>
                <w:szCs w:val="14"/>
                <w:lang w:val="bg-BG" w:eastAsia="da-DK"/>
              </w:rPr>
              <w:t>9</w:t>
            </w:r>
            <w:r w:rsidRPr="007375EB">
              <w:rPr>
                <w:rFonts w:eastAsia="Times New Roman" w:cs="Arial"/>
                <w:sz w:val="14"/>
                <w:szCs w:val="14"/>
                <w:lang w:val="bg-BG" w:eastAsia="da-DK"/>
              </w:rPr>
              <w:t>_B1</w:t>
            </w:r>
          </w:p>
        </w:tc>
        <w:tc>
          <w:tcPr>
            <w:tcW w:w="851" w:type="dxa"/>
            <w:shd w:val="clear" w:color="auto" w:fill="auto"/>
            <w:vAlign w:val="center"/>
          </w:tcPr>
          <w:p w14:paraId="3E36EA07" w14:textId="2EA3EF55" w:rsidR="00AE2153" w:rsidRPr="007375EB" w:rsidRDefault="00AE2153" w:rsidP="00AE2153">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S</w:t>
            </w:r>
          </w:p>
        </w:tc>
        <w:tc>
          <w:tcPr>
            <w:tcW w:w="1275" w:type="dxa"/>
            <w:shd w:val="clear" w:color="auto" w:fill="auto"/>
            <w:vAlign w:val="center"/>
          </w:tcPr>
          <w:p w14:paraId="5BBCEC21" w14:textId="62215B7B" w:rsidR="00AE2153" w:rsidRPr="007375EB" w:rsidRDefault="00AE2153" w:rsidP="00AE2153">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c>
          <w:tcPr>
            <w:tcW w:w="851" w:type="dxa"/>
            <w:vAlign w:val="center"/>
          </w:tcPr>
          <w:p w14:paraId="79BB82CE" w14:textId="32854A67" w:rsidR="00AE2153" w:rsidRPr="007375EB" w:rsidRDefault="008E6B15" w:rsidP="00AE2153">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r>
      <w:tr w:rsidR="00FC0F9D" w:rsidRPr="007375EB" w14:paraId="528D70B4" w14:textId="77777777" w:rsidTr="00EB101B">
        <w:tc>
          <w:tcPr>
            <w:tcW w:w="2127" w:type="dxa"/>
          </w:tcPr>
          <w:p w14:paraId="06A8408A" w14:textId="1E03E220" w:rsidR="00FC0F9D" w:rsidRPr="007375EB" w:rsidRDefault="003753BD" w:rsidP="00FC0F9D">
            <w:pPr>
              <w:spacing w:line="240" w:lineRule="auto"/>
              <w:jc w:val="both"/>
              <w:rPr>
                <w:rFonts w:eastAsia="Times New Roman" w:cs="Arial"/>
                <w:sz w:val="14"/>
                <w:szCs w:val="14"/>
                <w:lang w:val="bg-BG" w:eastAsia="da-DK"/>
              </w:rPr>
            </w:pPr>
            <w:r w:rsidRPr="007375EB">
              <w:rPr>
                <w:rFonts w:eastAsia="Times New Roman" w:cs="Arial"/>
                <w:sz w:val="14"/>
                <w:szCs w:val="14"/>
                <w:lang w:val="bg-BG" w:eastAsia="da-DK"/>
              </w:rPr>
              <w:t>Езеро Олтина</w:t>
            </w:r>
          </w:p>
        </w:tc>
        <w:tc>
          <w:tcPr>
            <w:tcW w:w="1275" w:type="dxa"/>
            <w:shd w:val="clear" w:color="auto" w:fill="auto"/>
          </w:tcPr>
          <w:p w14:paraId="7FC09671" w14:textId="041DB285" w:rsidR="00FC0F9D" w:rsidRPr="007375EB" w:rsidRDefault="00FC0F9D" w:rsidP="00FC0F9D">
            <w:pPr>
              <w:spacing w:line="240" w:lineRule="auto"/>
              <w:jc w:val="both"/>
              <w:rPr>
                <w:rFonts w:eastAsia="Calibri" w:cs="Arial"/>
                <w:sz w:val="14"/>
                <w:szCs w:val="14"/>
                <w:lang w:val="bg-BG" w:eastAsia="x-none"/>
              </w:rPr>
            </w:pPr>
            <w:r w:rsidRPr="007375EB">
              <w:rPr>
                <w:rFonts w:eastAsia="Calibri" w:cs="Arial"/>
                <w:sz w:val="14"/>
                <w:szCs w:val="14"/>
                <w:lang w:val="bg-BG" w:eastAsia="x-none"/>
              </w:rPr>
              <w:t>LW</w:t>
            </w:r>
          </w:p>
        </w:tc>
        <w:tc>
          <w:tcPr>
            <w:tcW w:w="1276" w:type="dxa"/>
          </w:tcPr>
          <w:p w14:paraId="1A58629E" w14:textId="0256510B" w:rsidR="00FC0F9D" w:rsidRPr="007375EB" w:rsidRDefault="00FC0F9D" w:rsidP="00FC0F9D">
            <w:pPr>
              <w:spacing w:line="240" w:lineRule="auto"/>
              <w:jc w:val="both"/>
              <w:rPr>
                <w:rFonts w:eastAsia="Times New Roman" w:cs="Arial"/>
                <w:sz w:val="14"/>
                <w:szCs w:val="14"/>
                <w:lang w:val="bg-BG" w:eastAsia="da-DK"/>
              </w:rPr>
            </w:pPr>
            <w:r w:rsidRPr="007375EB">
              <w:rPr>
                <w:rFonts w:eastAsia="Times New Roman" w:cs="Arial"/>
                <w:sz w:val="14"/>
                <w:szCs w:val="14"/>
                <w:lang w:val="bg-BG" w:eastAsia="da-DK"/>
              </w:rPr>
              <w:t>ROLN02</w:t>
            </w:r>
          </w:p>
        </w:tc>
        <w:tc>
          <w:tcPr>
            <w:tcW w:w="1701" w:type="dxa"/>
            <w:shd w:val="clear" w:color="auto" w:fill="auto"/>
          </w:tcPr>
          <w:p w14:paraId="4BCBFAB9" w14:textId="290D817F" w:rsidR="00FC0F9D" w:rsidRPr="007375EB" w:rsidRDefault="00FC0F9D" w:rsidP="00FC0F9D">
            <w:pPr>
              <w:spacing w:line="240" w:lineRule="auto"/>
              <w:rPr>
                <w:rFonts w:eastAsia="Times New Roman" w:cs="Arial"/>
                <w:sz w:val="14"/>
                <w:szCs w:val="14"/>
                <w:lang w:val="bg-BG" w:eastAsia="da-DK"/>
              </w:rPr>
            </w:pPr>
            <w:r w:rsidRPr="007375EB">
              <w:rPr>
                <w:sz w:val="14"/>
                <w:szCs w:val="14"/>
                <w:lang w:val="bg-BG"/>
              </w:rPr>
              <w:t>ROLW14-1-39-1_B1</w:t>
            </w:r>
          </w:p>
        </w:tc>
        <w:tc>
          <w:tcPr>
            <w:tcW w:w="851" w:type="dxa"/>
            <w:shd w:val="clear" w:color="auto" w:fill="auto"/>
            <w:vAlign w:val="center"/>
          </w:tcPr>
          <w:p w14:paraId="6B5E754E" w14:textId="345A7C12" w:rsidR="00FC0F9D" w:rsidRPr="007375EB" w:rsidRDefault="00FE65D9" w:rsidP="00FC0F9D">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S</w:t>
            </w:r>
          </w:p>
        </w:tc>
        <w:tc>
          <w:tcPr>
            <w:tcW w:w="1275" w:type="dxa"/>
            <w:shd w:val="clear" w:color="auto" w:fill="auto"/>
            <w:vAlign w:val="center"/>
          </w:tcPr>
          <w:p w14:paraId="21C712F8" w14:textId="0E569D1A" w:rsidR="00FC0F9D" w:rsidRPr="007375EB" w:rsidRDefault="00FE65D9" w:rsidP="00FC0F9D">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c>
          <w:tcPr>
            <w:tcW w:w="851" w:type="dxa"/>
            <w:vAlign w:val="center"/>
          </w:tcPr>
          <w:p w14:paraId="6D2F81A4" w14:textId="3E841CA5" w:rsidR="00FC0F9D" w:rsidRPr="007375EB" w:rsidRDefault="008E6B15" w:rsidP="00FC0F9D">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r>
      <w:tr w:rsidR="00541D11" w:rsidRPr="007375EB" w14:paraId="4E26456D" w14:textId="77777777" w:rsidTr="00EB101B">
        <w:tc>
          <w:tcPr>
            <w:tcW w:w="2127" w:type="dxa"/>
          </w:tcPr>
          <w:p w14:paraId="557DC9B7" w14:textId="6B1FCCCC" w:rsidR="00541D11" w:rsidRPr="007375EB" w:rsidRDefault="003753BD" w:rsidP="00541D11">
            <w:pPr>
              <w:spacing w:line="240" w:lineRule="auto"/>
              <w:jc w:val="both"/>
              <w:rPr>
                <w:rFonts w:eastAsia="Times New Roman" w:cs="Arial"/>
                <w:sz w:val="14"/>
                <w:szCs w:val="14"/>
                <w:lang w:val="bg-BG" w:eastAsia="da-DK"/>
              </w:rPr>
            </w:pPr>
            <w:r w:rsidRPr="007375EB">
              <w:rPr>
                <w:rFonts w:eastAsia="Times New Roman" w:cs="Arial"/>
                <w:sz w:val="14"/>
                <w:szCs w:val="14"/>
                <w:lang w:val="bg-BG" w:eastAsia="da-DK"/>
              </w:rPr>
              <w:t>Езеро Дунарени</w:t>
            </w:r>
          </w:p>
        </w:tc>
        <w:tc>
          <w:tcPr>
            <w:tcW w:w="1275" w:type="dxa"/>
            <w:shd w:val="clear" w:color="auto" w:fill="auto"/>
          </w:tcPr>
          <w:p w14:paraId="55B042C7" w14:textId="7DC025C2" w:rsidR="00541D11" w:rsidRPr="007375EB" w:rsidRDefault="00541D11" w:rsidP="00541D11">
            <w:pPr>
              <w:spacing w:line="240" w:lineRule="auto"/>
              <w:jc w:val="both"/>
              <w:rPr>
                <w:rFonts w:eastAsia="Calibri" w:cs="Arial"/>
                <w:sz w:val="14"/>
                <w:szCs w:val="14"/>
                <w:lang w:val="bg-BG" w:eastAsia="x-none"/>
              </w:rPr>
            </w:pPr>
            <w:r w:rsidRPr="007375EB">
              <w:rPr>
                <w:rFonts w:eastAsia="Calibri" w:cs="Arial"/>
                <w:sz w:val="14"/>
                <w:szCs w:val="14"/>
                <w:lang w:val="bg-BG" w:eastAsia="x-none"/>
              </w:rPr>
              <w:t>LW</w:t>
            </w:r>
          </w:p>
        </w:tc>
        <w:tc>
          <w:tcPr>
            <w:tcW w:w="1276" w:type="dxa"/>
          </w:tcPr>
          <w:p w14:paraId="65FEA934" w14:textId="4F758AA6" w:rsidR="00541D11" w:rsidRPr="007375EB" w:rsidRDefault="00541D11" w:rsidP="00541D11">
            <w:pPr>
              <w:spacing w:line="240" w:lineRule="auto"/>
              <w:jc w:val="both"/>
              <w:rPr>
                <w:rFonts w:eastAsia="Times New Roman" w:cs="Arial"/>
                <w:sz w:val="14"/>
                <w:szCs w:val="14"/>
                <w:lang w:val="bg-BG" w:eastAsia="da-DK"/>
              </w:rPr>
            </w:pPr>
            <w:r w:rsidRPr="007375EB">
              <w:rPr>
                <w:rFonts w:eastAsia="Times New Roman" w:cs="Arial"/>
                <w:sz w:val="14"/>
                <w:szCs w:val="14"/>
                <w:lang w:val="bg-BG" w:eastAsia="da-DK"/>
              </w:rPr>
              <w:t>ROLN01</w:t>
            </w:r>
          </w:p>
        </w:tc>
        <w:tc>
          <w:tcPr>
            <w:tcW w:w="1701" w:type="dxa"/>
            <w:shd w:val="clear" w:color="auto" w:fill="auto"/>
          </w:tcPr>
          <w:p w14:paraId="75AE12B8" w14:textId="6552D35F" w:rsidR="00541D11" w:rsidRPr="007375EB" w:rsidRDefault="00541D11" w:rsidP="00541D11">
            <w:pPr>
              <w:spacing w:line="240" w:lineRule="auto"/>
              <w:rPr>
                <w:rFonts w:eastAsia="Times New Roman" w:cs="Arial"/>
                <w:sz w:val="14"/>
                <w:szCs w:val="14"/>
                <w:lang w:val="bg-BG" w:eastAsia="da-DK"/>
              </w:rPr>
            </w:pPr>
            <w:r w:rsidRPr="007375EB">
              <w:rPr>
                <w:rFonts w:eastAsia="Times New Roman" w:cs="Arial"/>
                <w:sz w:val="14"/>
                <w:szCs w:val="14"/>
                <w:lang w:val="bg-BG" w:eastAsia="da-DK"/>
              </w:rPr>
              <w:t>ROLW14-1-39A_B1</w:t>
            </w:r>
          </w:p>
        </w:tc>
        <w:tc>
          <w:tcPr>
            <w:tcW w:w="851" w:type="dxa"/>
            <w:shd w:val="clear" w:color="auto" w:fill="auto"/>
            <w:vAlign w:val="center"/>
          </w:tcPr>
          <w:p w14:paraId="32110D16" w14:textId="4C8CBDEA" w:rsidR="00541D11" w:rsidRPr="007375EB" w:rsidRDefault="00541D11" w:rsidP="00541D11">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S</w:t>
            </w:r>
          </w:p>
        </w:tc>
        <w:tc>
          <w:tcPr>
            <w:tcW w:w="1275" w:type="dxa"/>
            <w:shd w:val="clear" w:color="auto" w:fill="auto"/>
            <w:vAlign w:val="center"/>
          </w:tcPr>
          <w:p w14:paraId="532FE2BA" w14:textId="4E5E97BF" w:rsidR="00541D11" w:rsidRPr="007375EB" w:rsidRDefault="00541D11" w:rsidP="00541D11">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c>
          <w:tcPr>
            <w:tcW w:w="851" w:type="dxa"/>
            <w:vAlign w:val="center"/>
          </w:tcPr>
          <w:p w14:paraId="6F19DC53" w14:textId="6D4BCDDD" w:rsidR="00541D11" w:rsidRPr="007375EB" w:rsidRDefault="008E6B15" w:rsidP="00541D11">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r>
      <w:tr w:rsidR="008F692F" w:rsidRPr="007375EB" w14:paraId="098A6F9D" w14:textId="77777777" w:rsidTr="00EB101B">
        <w:tc>
          <w:tcPr>
            <w:tcW w:w="2127" w:type="dxa"/>
          </w:tcPr>
          <w:p w14:paraId="335C8961" w14:textId="20160B84" w:rsidR="008F692F" w:rsidRPr="007375EB" w:rsidRDefault="003753BD" w:rsidP="008F692F">
            <w:pPr>
              <w:spacing w:line="240" w:lineRule="auto"/>
              <w:jc w:val="both"/>
              <w:rPr>
                <w:rFonts w:eastAsia="Times New Roman" w:cs="Arial"/>
                <w:sz w:val="14"/>
                <w:szCs w:val="14"/>
                <w:lang w:val="bg-BG" w:eastAsia="da-DK"/>
              </w:rPr>
            </w:pPr>
            <w:r w:rsidRPr="007375EB">
              <w:rPr>
                <w:rFonts w:eastAsia="Times New Roman" w:cs="Arial"/>
                <w:sz w:val="14"/>
                <w:szCs w:val="14"/>
                <w:lang w:val="bg-BG" w:eastAsia="da-DK"/>
              </w:rPr>
              <w:t>Езерото Ведероаса</w:t>
            </w:r>
          </w:p>
        </w:tc>
        <w:tc>
          <w:tcPr>
            <w:tcW w:w="1275" w:type="dxa"/>
            <w:shd w:val="clear" w:color="auto" w:fill="auto"/>
          </w:tcPr>
          <w:p w14:paraId="000F2469" w14:textId="19AD2B1E" w:rsidR="008F692F" w:rsidRPr="007375EB" w:rsidRDefault="008F692F" w:rsidP="008F692F">
            <w:pPr>
              <w:spacing w:line="240" w:lineRule="auto"/>
              <w:jc w:val="both"/>
              <w:rPr>
                <w:rFonts w:eastAsia="Calibri" w:cs="Arial"/>
                <w:sz w:val="14"/>
                <w:szCs w:val="14"/>
                <w:lang w:val="bg-BG" w:eastAsia="x-none"/>
              </w:rPr>
            </w:pPr>
            <w:r w:rsidRPr="007375EB">
              <w:rPr>
                <w:rFonts w:eastAsia="Calibri" w:cs="Arial"/>
                <w:sz w:val="14"/>
                <w:szCs w:val="14"/>
                <w:lang w:val="bg-BG" w:eastAsia="x-none"/>
              </w:rPr>
              <w:t>LW</w:t>
            </w:r>
          </w:p>
        </w:tc>
        <w:tc>
          <w:tcPr>
            <w:tcW w:w="1276" w:type="dxa"/>
          </w:tcPr>
          <w:p w14:paraId="5FF47F46" w14:textId="235BD26D" w:rsidR="008F692F" w:rsidRPr="007375EB" w:rsidRDefault="008F692F" w:rsidP="008F692F">
            <w:pPr>
              <w:spacing w:line="240" w:lineRule="auto"/>
              <w:jc w:val="both"/>
              <w:rPr>
                <w:rFonts w:eastAsia="Times New Roman" w:cs="Arial"/>
                <w:sz w:val="14"/>
                <w:szCs w:val="14"/>
                <w:lang w:val="bg-BG" w:eastAsia="da-DK"/>
              </w:rPr>
            </w:pPr>
            <w:r w:rsidRPr="007375EB">
              <w:rPr>
                <w:rFonts w:eastAsia="Times New Roman" w:cs="Arial"/>
                <w:sz w:val="14"/>
                <w:szCs w:val="14"/>
                <w:lang w:val="bg-BG" w:eastAsia="da-DK"/>
              </w:rPr>
              <w:t>ROLN02</w:t>
            </w:r>
          </w:p>
        </w:tc>
        <w:tc>
          <w:tcPr>
            <w:tcW w:w="1701" w:type="dxa"/>
            <w:shd w:val="clear" w:color="auto" w:fill="auto"/>
          </w:tcPr>
          <w:p w14:paraId="41C383F0" w14:textId="72F365F3" w:rsidR="008F692F" w:rsidRPr="007375EB" w:rsidRDefault="008F692F" w:rsidP="008F692F">
            <w:pPr>
              <w:spacing w:line="240" w:lineRule="auto"/>
              <w:rPr>
                <w:rFonts w:eastAsia="Times New Roman" w:cs="Arial"/>
                <w:sz w:val="14"/>
                <w:szCs w:val="14"/>
                <w:lang w:val="bg-BG" w:eastAsia="da-DK"/>
              </w:rPr>
            </w:pPr>
            <w:r w:rsidRPr="007375EB">
              <w:rPr>
                <w:rFonts w:eastAsia="Times New Roman" w:cs="Arial"/>
                <w:sz w:val="14"/>
                <w:szCs w:val="14"/>
                <w:lang w:val="bg-BG" w:eastAsia="da-DK"/>
              </w:rPr>
              <w:t>ROLW14-1-40_B1</w:t>
            </w:r>
          </w:p>
        </w:tc>
        <w:tc>
          <w:tcPr>
            <w:tcW w:w="851" w:type="dxa"/>
            <w:shd w:val="clear" w:color="auto" w:fill="auto"/>
            <w:vAlign w:val="center"/>
          </w:tcPr>
          <w:p w14:paraId="04A957B2" w14:textId="60C8514E" w:rsidR="008F692F" w:rsidRPr="007375EB" w:rsidRDefault="008F692F" w:rsidP="008F692F">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S</w:t>
            </w:r>
          </w:p>
        </w:tc>
        <w:tc>
          <w:tcPr>
            <w:tcW w:w="1275" w:type="dxa"/>
            <w:shd w:val="clear" w:color="auto" w:fill="auto"/>
            <w:vAlign w:val="center"/>
          </w:tcPr>
          <w:p w14:paraId="6F960268" w14:textId="7FE418AA" w:rsidR="008F692F" w:rsidRPr="007375EB" w:rsidRDefault="008F692F" w:rsidP="008F692F">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c>
          <w:tcPr>
            <w:tcW w:w="851" w:type="dxa"/>
            <w:vAlign w:val="center"/>
          </w:tcPr>
          <w:p w14:paraId="68E73934" w14:textId="10259505" w:rsidR="008F692F" w:rsidRPr="007375EB" w:rsidRDefault="008E6B15" w:rsidP="008F692F">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r>
      <w:tr w:rsidR="00541D11" w:rsidRPr="007375EB" w14:paraId="6E3678D0" w14:textId="77777777" w:rsidTr="00EB101B">
        <w:tc>
          <w:tcPr>
            <w:tcW w:w="2127" w:type="dxa"/>
          </w:tcPr>
          <w:p w14:paraId="1FA1EF17" w14:textId="4994AE6D" w:rsidR="00541D11" w:rsidRPr="007375EB" w:rsidRDefault="003753BD" w:rsidP="00541D11">
            <w:pPr>
              <w:spacing w:line="240" w:lineRule="auto"/>
              <w:jc w:val="both"/>
              <w:rPr>
                <w:rFonts w:eastAsia="Times New Roman" w:cs="Arial"/>
                <w:sz w:val="14"/>
                <w:szCs w:val="14"/>
                <w:lang w:val="bg-BG" w:eastAsia="da-DK"/>
              </w:rPr>
            </w:pPr>
            <w:r w:rsidRPr="007375EB">
              <w:rPr>
                <w:sz w:val="14"/>
                <w:szCs w:val="14"/>
                <w:lang w:val="bg-BG"/>
              </w:rPr>
              <w:t>Езерото Тихирхиол сладък</w:t>
            </w:r>
          </w:p>
        </w:tc>
        <w:tc>
          <w:tcPr>
            <w:tcW w:w="1275" w:type="dxa"/>
            <w:shd w:val="clear" w:color="auto" w:fill="auto"/>
          </w:tcPr>
          <w:p w14:paraId="225E026D" w14:textId="68B3E46C" w:rsidR="00541D11" w:rsidRPr="007375EB" w:rsidRDefault="000B7C57" w:rsidP="00541D11">
            <w:pPr>
              <w:spacing w:line="240" w:lineRule="auto"/>
              <w:jc w:val="both"/>
              <w:rPr>
                <w:rFonts w:eastAsia="Calibri" w:cs="Arial"/>
                <w:sz w:val="14"/>
                <w:szCs w:val="14"/>
                <w:lang w:val="bg-BG" w:eastAsia="x-none"/>
              </w:rPr>
            </w:pPr>
            <w:r w:rsidRPr="007375EB">
              <w:rPr>
                <w:rFonts w:eastAsia="Calibri" w:cs="Arial"/>
                <w:sz w:val="14"/>
                <w:szCs w:val="14"/>
                <w:lang w:val="bg-BG" w:eastAsia="x-none"/>
              </w:rPr>
              <w:t>LW</w:t>
            </w:r>
          </w:p>
        </w:tc>
        <w:tc>
          <w:tcPr>
            <w:tcW w:w="1276" w:type="dxa"/>
          </w:tcPr>
          <w:p w14:paraId="0B8FC480" w14:textId="1DC0534B" w:rsidR="00541D11" w:rsidRPr="007375EB" w:rsidRDefault="000B7C57" w:rsidP="00532EEF">
            <w:pPr>
              <w:spacing w:line="240" w:lineRule="auto"/>
              <w:rPr>
                <w:rFonts w:eastAsia="Times New Roman" w:cs="Arial"/>
                <w:sz w:val="14"/>
                <w:szCs w:val="14"/>
                <w:lang w:val="bg-BG" w:eastAsia="da-DK"/>
              </w:rPr>
            </w:pPr>
            <w:r w:rsidRPr="007375EB">
              <w:rPr>
                <w:rFonts w:eastAsia="Times New Roman" w:cs="Arial"/>
                <w:sz w:val="14"/>
                <w:szCs w:val="14"/>
                <w:lang w:val="bg-BG" w:eastAsia="da-DK"/>
              </w:rPr>
              <w:t>ROLN05</w:t>
            </w:r>
          </w:p>
        </w:tc>
        <w:tc>
          <w:tcPr>
            <w:tcW w:w="1701" w:type="dxa"/>
            <w:shd w:val="clear" w:color="auto" w:fill="auto"/>
          </w:tcPr>
          <w:p w14:paraId="25721F1E" w14:textId="26336E6C" w:rsidR="00541D11" w:rsidRPr="007375EB" w:rsidRDefault="00532EEF" w:rsidP="00532EEF">
            <w:pPr>
              <w:spacing w:line="240" w:lineRule="auto"/>
              <w:rPr>
                <w:rFonts w:eastAsia="Times New Roman" w:cs="Arial"/>
                <w:sz w:val="14"/>
                <w:szCs w:val="14"/>
                <w:lang w:val="bg-BG" w:eastAsia="da-DK"/>
              </w:rPr>
            </w:pPr>
            <w:r w:rsidRPr="007375EB">
              <w:rPr>
                <w:rFonts w:eastAsia="Times New Roman" w:cs="Arial"/>
                <w:sz w:val="14"/>
                <w:szCs w:val="14"/>
                <w:lang w:val="bg-BG" w:eastAsia="da-DK"/>
              </w:rPr>
              <w:t>ROLW15.1_B1</w:t>
            </w:r>
          </w:p>
        </w:tc>
        <w:tc>
          <w:tcPr>
            <w:tcW w:w="851" w:type="dxa"/>
            <w:shd w:val="clear" w:color="auto" w:fill="auto"/>
            <w:vAlign w:val="center"/>
          </w:tcPr>
          <w:p w14:paraId="262099B7" w14:textId="584F04C9" w:rsidR="00541D11" w:rsidRPr="007375EB" w:rsidRDefault="000B7C57" w:rsidP="00541D11">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S</w:t>
            </w:r>
          </w:p>
        </w:tc>
        <w:tc>
          <w:tcPr>
            <w:tcW w:w="1275" w:type="dxa"/>
            <w:shd w:val="clear" w:color="auto" w:fill="auto"/>
            <w:vAlign w:val="center"/>
          </w:tcPr>
          <w:p w14:paraId="4BB5D6D3" w14:textId="6A776F07" w:rsidR="00541D11" w:rsidRPr="007375EB" w:rsidRDefault="000B7C57" w:rsidP="00541D11">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c>
          <w:tcPr>
            <w:tcW w:w="851" w:type="dxa"/>
            <w:vAlign w:val="center"/>
          </w:tcPr>
          <w:p w14:paraId="19FF3239" w14:textId="0CD28C81" w:rsidR="00541D11" w:rsidRPr="007375EB" w:rsidRDefault="008E6B15" w:rsidP="00541D11">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r>
      <w:tr w:rsidR="00541D11" w:rsidRPr="007375EB" w14:paraId="3ED379E2" w14:textId="77777777" w:rsidTr="00EB101B">
        <w:tc>
          <w:tcPr>
            <w:tcW w:w="2127" w:type="dxa"/>
          </w:tcPr>
          <w:p w14:paraId="4C7EC290" w14:textId="6EB19814" w:rsidR="00541D11" w:rsidRPr="007375EB" w:rsidRDefault="003753BD" w:rsidP="00541D11">
            <w:pPr>
              <w:spacing w:line="240" w:lineRule="auto"/>
              <w:jc w:val="both"/>
              <w:rPr>
                <w:rFonts w:eastAsia="Times New Roman" w:cs="Arial"/>
                <w:sz w:val="14"/>
                <w:szCs w:val="14"/>
                <w:lang w:val="bg-BG" w:eastAsia="da-DK"/>
              </w:rPr>
            </w:pPr>
            <w:r w:rsidRPr="007375EB">
              <w:rPr>
                <w:sz w:val="14"/>
                <w:szCs w:val="14"/>
                <w:lang w:val="bg-BG"/>
              </w:rPr>
              <w:t>Езерото Тихирхиол солено</w:t>
            </w:r>
          </w:p>
        </w:tc>
        <w:tc>
          <w:tcPr>
            <w:tcW w:w="1275" w:type="dxa"/>
            <w:shd w:val="clear" w:color="auto" w:fill="auto"/>
          </w:tcPr>
          <w:p w14:paraId="35FAF2DE" w14:textId="04CFD41D" w:rsidR="00541D11" w:rsidRPr="007375EB" w:rsidRDefault="00520C03" w:rsidP="00541D11">
            <w:pPr>
              <w:spacing w:line="240" w:lineRule="auto"/>
              <w:jc w:val="both"/>
              <w:rPr>
                <w:rFonts w:eastAsia="Calibri" w:cs="Arial"/>
                <w:sz w:val="14"/>
                <w:szCs w:val="14"/>
                <w:lang w:val="bg-BG" w:eastAsia="x-none"/>
              </w:rPr>
            </w:pPr>
            <w:r w:rsidRPr="007375EB">
              <w:rPr>
                <w:rFonts w:eastAsia="Calibri" w:cs="Arial"/>
                <w:sz w:val="14"/>
                <w:szCs w:val="14"/>
                <w:lang w:val="bg-BG" w:eastAsia="x-none"/>
              </w:rPr>
              <w:t>H</w:t>
            </w:r>
            <w:r w:rsidR="002D521C" w:rsidRPr="007375EB">
              <w:rPr>
                <w:rFonts w:eastAsia="Calibri" w:cs="Arial"/>
                <w:sz w:val="14"/>
                <w:szCs w:val="14"/>
                <w:lang w:val="bg-BG" w:eastAsia="x-none"/>
              </w:rPr>
              <w:t>MWB</w:t>
            </w:r>
            <w:r w:rsidR="00D24E81" w:rsidRPr="007375EB">
              <w:rPr>
                <w:rFonts w:eastAsia="Calibri" w:cs="Arial"/>
                <w:sz w:val="14"/>
                <w:szCs w:val="14"/>
                <w:lang w:val="bg-BG" w:eastAsia="x-none"/>
              </w:rPr>
              <w:t xml:space="preserve"> - LW</w:t>
            </w:r>
          </w:p>
        </w:tc>
        <w:tc>
          <w:tcPr>
            <w:tcW w:w="1276" w:type="dxa"/>
          </w:tcPr>
          <w:p w14:paraId="7743FF58" w14:textId="69EDA1D7" w:rsidR="00541D11" w:rsidRPr="007375EB" w:rsidRDefault="00DE3328" w:rsidP="00532EEF">
            <w:pPr>
              <w:spacing w:line="240" w:lineRule="auto"/>
              <w:rPr>
                <w:rFonts w:eastAsia="Times New Roman" w:cs="Arial"/>
                <w:sz w:val="14"/>
                <w:szCs w:val="14"/>
                <w:lang w:val="bg-BG" w:eastAsia="da-DK"/>
              </w:rPr>
            </w:pPr>
            <w:r w:rsidRPr="007375EB">
              <w:rPr>
                <w:rFonts w:eastAsia="Times New Roman" w:cs="Arial"/>
                <w:sz w:val="14"/>
                <w:szCs w:val="14"/>
                <w:lang w:val="bg-BG" w:eastAsia="da-DK"/>
              </w:rPr>
              <w:t>ROLNPM01T</w:t>
            </w:r>
          </w:p>
        </w:tc>
        <w:tc>
          <w:tcPr>
            <w:tcW w:w="1701" w:type="dxa"/>
            <w:shd w:val="clear" w:color="auto" w:fill="auto"/>
          </w:tcPr>
          <w:p w14:paraId="06A7C4DD" w14:textId="66583E6A" w:rsidR="00541D11" w:rsidRPr="007375EB" w:rsidRDefault="00D02CEA" w:rsidP="00532EEF">
            <w:pPr>
              <w:spacing w:line="240" w:lineRule="auto"/>
              <w:rPr>
                <w:rFonts w:eastAsia="Times New Roman" w:cs="Arial"/>
                <w:sz w:val="14"/>
                <w:szCs w:val="14"/>
                <w:lang w:val="bg-BG" w:eastAsia="da-DK"/>
              </w:rPr>
            </w:pPr>
            <w:r w:rsidRPr="007375EB">
              <w:rPr>
                <w:rFonts w:eastAsia="Times New Roman" w:cs="Arial"/>
                <w:sz w:val="14"/>
                <w:szCs w:val="14"/>
                <w:lang w:val="bg-BG" w:eastAsia="da-DK"/>
              </w:rPr>
              <w:t>ROLW15-1_B2</w:t>
            </w:r>
          </w:p>
        </w:tc>
        <w:tc>
          <w:tcPr>
            <w:tcW w:w="851" w:type="dxa"/>
            <w:shd w:val="clear" w:color="auto" w:fill="auto"/>
            <w:vAlign w:val="center"/>
          </w:tcPr>
          <w:p w14:paraId="6D38095B" w14:textId="48BEF68C" w:rsidR="00541D11" w:rsidRPr="007375EB" w:rsidRDefault="00C914F9" w:rsidP="00541D11">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w:t>
            </w:r>
          </w:p>
        </w:tc>
        <w:tc>
          <w:tcPr>
            <w:tcW w:w="1275" w:type="dxa"/>
            <w:shd w:val="clear" w:color="auto" w:fill="auto"/>
            <w:vAlign w:val="center"/>
          </w:tcPr>
          <w:p w14:paraId="19CBD54F" w14:textId="6105455B" w:rsidR="00541D11" w:rsidRPr="007375EB" w:rsidRDefault="00C914F9" w:rsidP="00541D11">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w:t>
            </w:r>
          </w:p>
        </w:tc>
        <w:tc>
          <w:tcPr>
            <w:tcW w:w="851" w:type="dxa"/>
            <w:vAlign w:val="center"/>
          </w:tcPr>
          <w:p w14:paraId="3BC2E4E2" w14:textId="57D1E6EB" w:rsidR="00541D11" w:rsidRPr="007375EB" w:rsidRDefault="00D02CEA" w:rsidP="00541D11">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r>
      <w:tr w:rsidR="005959DE" w:rsidRPr="007375EB" w14:paraId="48BC97A0" w14:textId="77777777" w:rsidTr="00EB101B">
        <w:tc>
          <w:tcPr>
            <w:tcW w:w="2127" w:type="dxa"/>
          </w:tcPr>
          <w:p w14:paraId="42002AF3" w14:textId="0FC273C9" w:rsidR="005959DE" w:rsidRPr="007375EB" w:rsidRDefault="003753BD" w:rsidP="00541D11">
            <w:pPr>
              <w:spacing w:line="240" w:lineRule="auto"/>
              <w:jc w:val="both"/>
              <w:rPr>
                <w:rFonts w:eastAsia="Times New Roman" w:cs="Arial"/>
                <w:sz w:val="14"/>
                <w:szCs w:val="14"/>
                <w:lang w:val="bg-BG" w:eastAsia="da-DK"/>
              </w:rPr>
            </w:pPr>
            <w:r w:rsidRPr="007375EB">
              <w:rPr>
                <w:sz w:val="14"/>
                <w:szCs w:val="14"/>
                <w:lang w:val="bg-BG"/>
              </w:rPr>
              <w:t>Езерото Татладжак</w:t>
            </w:r>
          </w:p>
        </w:tc>
        <w:tc>
          <w:tcPr>
            <w:tcW w:w="1275" w:type="dxa"/>
            <w:shd w:val="clear" w:color="auto" w:fill="auto"/>
          </w:tcPr>
          <w:p w14:paraId="1B7C71F7" w14:textId="1BA413C1" w:rsidR="005959DE" w:rsidRPr="007375EB" w:rsidRDefault="00500507" w:rsidP="00541D11">
            <w:pPr>
              <w:spacing w:line="240" w:lineRule="auto"/>
              <w:jc w:val="both"/>
              <w:rPr>
                <w:rFonts w:eastAsia="Calibri" w:cs="Arial"/>
                <w:sz w:val="14"/>
                <w:szCs w:val="14"/>
                <w:lang w:val="bg-BG" w:eastAsia="x-none"/>
              </w:rPr>
            </w:pPr>
            <w:r w:rsidRPr="007375EB">
              <w:rPr>
                <w:rFonts w:eastAsia="Calibri" w:cs="Arial"/>
                <w:sz w:val="14"/>
                <w:szCs w:val="14"/>
                <w:lang w:val="bg-BG" w:eastAsia="x-none"/>
              </w:rPr>
              <w:t>LW</w:t>
            </w:r>
          </w:p>
        </w:tc>
        <w:tc>
          <w:tcPr>
            <w:tcW w:w="1276" w:type="dxa"/>
          </w:tcPr>
          <w:p w14:paraId="102CC15D" w14:textId="77A2C5ED" w:rsidR="005959DE" w:rsidRPr="007375EB" w:rsidRDefault="00500507" w:rsidP="00541D11">
            <w:pPr>
              <w:spacing w:line="240" w:lineRule="auto"/>
              <w:jc w:val="both"/>
              <w:rPr>
                <w:rFonts w:eastAsia="Times New Roman" w:cs="Arial"/>
                <w:sz w:val="14"/>
                <w:szCs w:val="14"/>
                <w:lang w:val="bg-BG" w:eastAsia="da-DK"/>
              </w:rPr>
            </w:pPr>
            <w:r w:rsidRPr="007375EB">
              <w:rPr>
                <w:rFonts w:eastAsia="Times New Roman" w:cs="Arial"/>
                <w:sz w:val="14"/>
                <w:szCs w:val="14"/>
                <w:lang w:val="bg-BG" w:eastAsia="da-DK"/>
              </w:rPr>
              <w:t>ROLN02</w:t>
            </w:r>
          </w:p>
        </w:tc>
        <w:tc>
          <w:tcPr>
            <w:tcW w:w="1701" w:type="dxa"/>
            <w:shd w:val="clear" w:color="auto" w:fill="auto"/>
          </w:tcPr>
          <w:p w14:paraId="2002BBD8" w14:textId="062A0E6A" w:rsidR="005959DE" w:rsidRPr="007375EB" w:rsidRDefault="005959DE" w:rsidP="00541D11">
            <w:pPr>
              <w:spacing w:line="240" w:lineRule="auto"/>
              <w:rPr>
                <w:rFonts w:eastAsia="Times New Roman" w:cs="Arial"/>
                <w:sz w:val="14"/>
                <w:szCs w:val="14"/>
                <w:lang w:val="bg-BG" w:eastAsia="da-DK"/>
              </w:rPr>
            </w:pPr>
            <w:bookmarkStart w:id="14" w:name="_Hlk167892942"/>
            <w:r w:rsidRPr="007375EB">
              <w:rPr>
                <w:rFonts w:eastAsia="Times New Roman" w:cs="Arial"/>
                <w:sz w:val="14"/>
                <w:szCs w:val="14"/>
                <w:lang w:val="bg-BG" w:eastAsia="da-DK"/>
              </w:rPr>
              <w:t>ROLW15-1_B9</w:t>
            </w:r>
            <w:bookmarkEnd w:id="14"/>
          </w:p>
        </w:tc>
        <w:tc>
          <w:tcPr>
            <w:tcW w:w="851" w:type="dxa"/>
            <w:shd w:val="clear" w:color="auto" w:fill="auto"/>
            <w:vAlign w:val="center"/>
          </w:tcPr>
          <w:p w14:paraId="23ED03A5" w14:textId="6C9EF716" w:rsidR="005959DE" w:rsidRPr="007375EB" w:rsidRDefault="00500507" w:rsidP="00541D11">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S</w:t>
            </w:r>
          </w:p>
        </w:tc>
        <w:tc>
          <w:tcPr>
            <w:tcW w:w="1275" w:type="dxa"/>
            <w:shd w:val="clear" w:color="auto" w:fill="auto"/>
            <w:vAlign w:val="center"/>
          </w:tcPr>
          <w:p w14:paraId="56B190EE" w14:textId="297A0672" w:rsidR="005959DE" w:rsidRPr="007375EB" w:rsidRDefault="00500507" w:rsidP="00541D11">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c>
          <w:tcPr>
            <w:tcW w:w="851" w:type="dxa"/>
            <w:vAlign w:val="center"/>
          </w:tcPr>
          <w:p w14:paraId="7511D8F1" w14:textId="0464E05F" w:rsidR="005959DE" w:rsidRPr="007375EB" w:rsidRDefault="008E6B15" w:rsidP="00541D11">
            <w:pPr>
              <w:spacing w:line="240" w:lineRule="auto"/>
              <w:jc w:val="center"/>
              <w:rPr>
                <w:rFonts w:eastAsia="Times New Roman" w:cs="Arial"/>
                <w:sz w:val="14"/>
                <w:szCs w:val="14"/>
                <w:lang w:val="bg-BG" w:eastAsia="da-DK"/>
              </w:rPr>
            </w:pPr>
            <w:r w:rsidRPr="007375EB">
              <w:rPr>
                <w:rFonts w:eastAsia="Times New Roman" w:cs="Arial"/>
                <w:sz w:val="14"/>
                <w:szCs w:val="14"/>
                <w:lang w:val="bg-BG" w:eastAsia="da-DK"/>
              </w:rPr>
              <w:t>2</w:t>
            </w:r>
          </w:p>
        </w:tc>
      </w:tr>
    </w:tbl>
    <w:p w14:paraId="033B42AA" w14:textId="66246D61" w:rsidR="00943A3A" w:rsidRPr="007375EB" w:rsidRDefault="00FC4E21" w:rsidP="005F597B">
      <w:pPr>
        <w:spacing w:line="240" w:lineRule="auto"/>
        <w:ind w:left="142"/>
        <w:jc w:val="both"/>
        <w:rPr>
          <w:rFonts w:eastAsia="Calibri" w:cs="Arial"/>
          <w:i/>
          <w:sz w:val="14"/>
          <w:szCs w:val="14"/>
          <w:lang w:val="bg-BG" w:eastAsia="x-none"/>
        </w:rPr>
      </w:pPr>
      <w:r w:rsidRPr="007375EB">
        <w:rPr>
          <w:rFonts w:eastAsia="Calibri" w:cs="Arial"/>
          <w:i/>
          <w:sz w:val="14"/>
          <w:szCs w:val="14"/>
          <w:lang w:val="bg-BG" w:eastAsia="x-none"/>
        </w:rPr>
        <w:t>Колона за категория на водния обект: RW - естествена река/ CAMP река/ изкуствена река, LW - естествено езеро/ резервоар/ силно модифицирано естествено езеро/ изкуствено езеро, CW - естествени/ силно модифицирани крайбрежни води, HMWB = силно модифициран воден обект</w:t>
      </w:r>
    </w:p>
    <w:p w14:paraId="25838F2D" w14:textId="77777777" w:rsidR="005F597B" w:rsidRPr="007375EB" w:rsidRDefault="005F597B" w:rsidP="005F597B">
      <w:pPr>
        <w:pStyle w:val="Caption"/>
        <w:spacing w:before="0" w:after="0" w:line="240" w:lineRule="auto"/>
        <w:ind w:left="142"/>
        <w:jc w:val="both"/>
        <w:rPr>
          <w:rFonts w:eastAsia="Calibri" w:cs="Arial"/>
          <w:b w:val="0"/>
          <w:bCs w:val="0"/>
          <w:i/>
          <w:color w:val="auto"/>
          <w:szCs w:val="14"/>
          <w:lang w:val="bg-BG" w:eastAsia="x-none"/>
        </w:rPr>
      </w:pPr>
      <w:r w:rsidRPr="007375EB">
        <w:rPr>
          <w:rFonts w:eastAsia="Calibri" w:cs="Arial"/>
          <w:b w:val="0"/>
          <w:bCs w:val="0"/>
          <w:i/>
          <w:color w:val="auto"/>
          <w:szCs w:val="14"/>
          <w:lang w:val="bg-BG" w:eastAsia="x-none"/>
        </w:rPr>
        <w:t xml:space="preserve">Колона състояние/потенциал: S - екологично състояние; P - екологичен потенциал </w:t>
      </w:r>
    </w:p>
    <w:p w14:paraId="1C2295D5" w14:textId="77777777" w:rsidR="005F597B" w:rsidRPr="007375EB" w:rsidRDefault="005F597B" w:rsidP="005F597B">
      <w:pPr>
        <w:pStyle w:val="Caption"/>
        <w:spacing w:before="0" w:after="0" w:line="240" w:lineRule="auto"/>
        <w:ind w:left="142"/>
        <w:jc w:val="both"/>
        <w:rPr>
          <w:rFonts w:eastAsia="Calibri" w:cs="Arial"/>
          <w:b w:val="0"/>
          <w:bCs w:val="0"/>
          <w:i/>
          <w:color w:val="auto"/>
          <w:szCs w:val="14"/>
          <w:lang w:val="bg-BG" w:eastAsia="x-none"/>
        </w:rPr>
      </w:pPr>
      <w:r w:rsidRPr="007375EB">
        <w:rPr>
          <w:rFonts w:eastAsia="Calibri" w:cs="Arial"/>
          <w:b w:val="0"/>
          <w:bCs w:val="0"/>
          <w:i/>
          <w:color w:val="auto"/>
          <w:szCs w:val="14"/>
          <w:lang w:val="bg-BG" w:eastAsia="x-none"/>
        </w:rPr>
        <w:t xml:space="preserve">Колона „Типология на водния обект“: ROCT02 - естествени крайбрежни води, </w:t>
      </w:r>
    </w:p>
    <w:p w14:paraId="505E7D83" w14:textId="77777777" w:rsidR="005F597B" w:rsidRPr="007375EB" w:rsidRDefault="005F597B" w:rsidP="005F597B">
      <w:pPr>
        <w:pStyle w:val="Caption"/>
        <w:spacing w:before="0" w:after="0" w:line="240" w:lineRule="auto"/>
        <w:ind w:left="142"/>
        <w:jc w:val="both"/>
        <w:rPr>
          <w:rFonts w:eastAsia="Calibri" w:cs="Arial"/>
          <w:b w:val="0"/>
          <w:bCs w:val="0"/>
          <w:i/>
          <w:color w:val="auto"/>
          <w:szCs w:val="14"/>
          <w:lang w:val="bg-BG" w:eastAsia="x-none"/>
        </w:rPr>
      </w:pPr>
      <w:r w:rsidRPr="007375EB">
        <w:rPr>
          <w:rFonts w:eastAsia="Calibri" w:cs="Arial"/>
          <w:b w:val="0"/>
          <w:bCs w:val="0"/>
          <w:i/>
          <w:color w:val="auto"/>
          <w:szCs w:val="14"/>
          <w:lang w:val="bg-BG" w:eastAsia="x-none"/>
        </w:rPr>
        <w:t xml:space="preserve">Колона „Екологично състояние/екологичен потенциал“: 1- много добър екологичен статус; 2- добър екологичен статус/максимален и добър потенциал; 3- умерен екологичен статус/умерен потенциал, 4- лош екологичен статус/лош потенциал; 5- лош екологичен статус/лош потенциал </w:t>
      </w:r>
    </w:p>
    <w:p w14:paraId="21CD5126" w14:textId="68E911D8" w:rsidR="00943A3A" w:rsidRPr="007375EB" w:rsidRDefault="005F597B" w:rsidP="005F597B">
      <w:pPr>
        <w:pStyle w:val="Caption"/>
        <w:spacing w:before="0" w:after="0" w:line="240" w:lineRule="auto"/>
        <w:ind w:left="142"/>
        <w:jc w:val="both"/>
        <w:rPr>
          <w:rFonts w:eastAsia="Calibri" w:cs="Arial"/>
          <w:b w:val="0"/>
          <w:bCs w:val="0"/>
          <w:i/>
          <w:color w:val="auto"/>
          <w:szCs w:val="14"/>
          <w:lang w:val="bg-BG" w:eastAsia="x-none"/>
        </w:rPr>
      </w:pPr>
      <w:r w:rsidRPr="007375EB">
        <w:rPr>
          <w:rFonts w:eastAsia="Calibri" w:cs="Arial"/>
          <w:b w:val="0"/>
          <w:bCs w:val="0"/>
          <w:i/>
          <w:color w:val="auto"/>
          <w:szCs w:val="14"/>
          <w:lang w:val="bg-BG" w:eastAsia="x-none"/>
        </w:rPr>
        <w:t>Колона за химично състояние: 2 = добро</w:t>
      </w:r>
    </w:p>
    <w:p w14:paraId="068D3A39" w14:textId="77777777" w:rsidR="005F597B" w:rsidRPr="007375EB" w:rsidRDefault="005F597B" w:rsidP="005F597B">
      <w:pPr>
        <w:pStyle w:val="Caption-Text"/>
        <w:rPr>
          <w:lang w:val="bg-BG" w:eastAsia="x-none"/>
        </w:rPr>
      </w:pPr>
    </w:p>
    <w:p w14:paraId="17AB506F" w14:textId="5D0DAB93" w:rsidR="00913536" w:rsidRPr="007375EB" w:rsidRDefault="003753BD" w:rsidP="003753BD">
      <w:pPr>
        <w:pStyle w:val="Caption"/>
        <w:spacing w:before="0" w:after="120" w:line="240" w:lineRule="auto"/>
        <w:jc w:val="both"/>
        <w:rPr>
          <w:sz w:val="16"/>
          <w:szCs w:val="16"/>
          <w:vertAlign w:val="subscript"/>
          <w:lang w:val="bg-BG"/>
        </w:rPr>
      </w:pPr>
      <w:bookmarkStart w:id="15" w:name="_Hlk166225867"/>
      <w:r w:rsidRPr="007375EB">
        <w:rPr>
          <w:sz w:val="16"/>
          <w:szCs w:val="16"/>
          <w:lang w:val="bg-BG"/>
        </w:rPr>
        <w:t>Фигура 2.1 Местоположение на изследвания периметър по отношение на повърхностните водни обекти</w:t>
      </w:r>
    </w:p>
    <w:bookmarkEnd w:id="15"/>
    <w:p w14:paraId="3AF3B840" w14:textId="6558AE20" w:rsidR="00943A3A" w:rsidRPr="007375EB" w:rsidRDefault="00C47460" w:rsidP="00585969">
      <w:pPr>
        <w:pStyle w:val="Caption-Text"/>
        <w:spacing w:after="120" w:line="360" w:lineRule="auto"/>
        <w:jc w:val="both"/>
        <w:rPr>
          <w:rFonts w:eastAsiaTheme="minorHAnsi" w:cstheme="minorBidi"/>
          <w:sz w:val="18"/>
          <w:lang w:val="bg-BG"/>
        </w:rPr>
      </w:pPr>
      <w:r w:rsidRPr="007375EB">
        <w:rPr>
          <w:rFonts w:eastAsiaTheme="minorHAnsi" w:cstheme="minorBidi"/>
          <w:sz w:val="18"/>
          <w:lang w:val="bg-BG"/>
        </w:rPr>
        <w:t xml:space="preserve">Съгласно Плана за управление на крайбрежния речен басейн на река Дунав на ниво речен басейн не са установени взаимозависимости между водните течения (не са очертани границите на повърхностните водни обекти на тези водни течения), които се намират в района, анализиран от </w:t>
      </w:r>
      <w:r w:rsidR="0014580E" w:rsidRPr="007375EB">
        <w:rPr>
          <w:rFonts w:eastAsiaTheme="minorHAnsi" w:cstheme="minorBidi"/>
          <w:sz w:val="18"/>
          <w:lang w:val="bg-BG"/>
        </w:rPr>
        <w:t>ЗГП</w:t>
      </w:r>
      <w:r w:rsidRPr="007375EB">
        <w:rPr>
          <w:rFonts w:eastAsiaTheme="minorHAnsi" w:cstheme="minorBidi"/>
          <w:sz w:val="18"/>
          <w:lang w:val="bg-BG"/>
        </w:rPr>
        <w:t>.</w:t>
      </w:r>
    </w:p>
    <w:p w14:paraId="32F03DED" w14:textId="6E1EBEC0" w:rsidR="00943A3A" w:rsidRPr="007375EB" w:rsidRDefault="00C47460" w:rsidP="0097000E">
      <w:pPr>
        <w:spacing w:after="120" w:line="360" w:lineRule="auto"/>
        <w:jc w:val="both"/>
        <w:rPr>
          <w:lang w:val="bg-BG"/>
        </w:rPr>
      </w:pPr>
      <w:r w:rsidRPr="007375EB">
        <w:rPr>
          <w:b/>
          <w:bCs/>
          <w:lang w:val="bg-BG"/>
        </w:rPr>
        <w:t>На фигура 2.2</w:t>
      </w:r>
      <w:r w:rsidRPr="007375EB">
        <w:rPr>
          <w:lang w:val="bg-BG"/>
        </w:rPr>
        <w:t xml:space="preserve"> се вижда, че изследваната от </w:t>
      </w:r>
      <w:r w:rsidR="0014580E" w:rsidRPr="007375EB">
        <w:rPr>
          <w:lang w:val="bg-BG"/>
        </w:rPr>
        <w:t>ЗГП</w:t>
      </w:r>
      <w:r w:rsidRPr="007375EB">
        <w:rPr>
          <w:lang w:val="bg-BG"/>
        </w:rPr>
        <w:t xml:space="preserve"> област се припокрива с 3 подземни водни тела в Румъния и е в съседство с две подземни водни тела в България.</w:t>
      </w:r>
      <w:r w:rsidR="00943A3A" w:rsidRPr="007375EB">
        <w:rPr>
          <w:lang w:val="bg-BG"/>
        </w:rPr>
        <w:t>:</w:t>
      </w:r>
    </w:p>
    <w:p w14:paraId="45847C4C" w14:textId="1B01F839" w:rsidR="00943A3A" w:rsidRPr="007375EB" w:rsidRDefault="00C47460" w:rsidP="00125F99">
      <w:pPr>
        <w:pStyle w:val="ListParagraph"/>
        <w:numPr>
          <w:ilvl w:val="0"/>
          <w:numId w:val="22"/>
        </w:numPr>
        <w:spacing w:after="120" w:line="360" w:lineRule="auto"/>
        <w:jc w:val="both"/>
        <w:rPr>
          <w:lang w:val="bg-BG"/>
        </w:rPr>
      </w:pPr>
      <w:r w:rsidRPr="007375EB">
        <w:rPr>
          <w:lang w:val="bg-BG"/>
        </w:rPr>
        <w:t>2 трансгранични дълбоки подземни водни тела (RODL04 Кобадин-Мангалия, RODL06 - Влашкото плато) и</w:t>
      </w:r>
    </w:p>
    <w:p w14:paraId="06A1493A" w14:textId="3ECCEE60" w:rsidR="00943A3A" w:rsidRPr="007375EB" w:rsidRDefault="00C47460" w:rsidP="00125F99">
      <w:pPr>
        <w:pStyle w:val="ListParagraph"/>
        <w:numPr>
          <w:ilvl w:val="0"/>
          <w:numId w:val="22"/>
        </w:numPr>
        <w:spacing w:after="120" w:line="360" w:lineRule="auto"/>
        <w:jc w:val="both"/>
        <w:rPr>
          <w:lang w:val="bg-BG"/>
        </w:rPr>
      </w:pPr>
      <w:r w:rsidRPr="007375EB">
        <w:rPr>
          <w:lang w:val="bg-BG"/>
        </w:rPr>
        <w:t>1 подземно водно тяло (RODL10 Южна Добруджа)</w:t>
      </w:r>
      <w:r w:rsidR="00943A3A" w:rsidRPr="007375EB">
        <w:rPr>
          <w:lang w:val="bg-BG"/>
        </w:rPr>
        <w:t xml:space="preserve"> </w:t>
      </w:r>
    </w:p>
    <w:p w14:paraId="7482F2D6" w14:textId="4D1B52C9" w:rsidR="00943A3A" w:rsidRPr="007375EB" w:rsidRDefault="00C47460" w:rsidP="00125F99">
      <w:pPr>
        <w:pStyle w:val="ListParagraph"/>
        <w:numPr>
          <w:ilvl w:val="0"/>
          <w:numId w:val="22"/>
        </w:numPr>
        <w:spacing w:after="120" w:line="360" w:lineRule="auto"/>
        <w:jc w:val="both"/>
        <w:rPr>
          <w:b/>
          <w:bCs/>
          <w:lang w:val="bg-BG"/>
        </w:rPr>
      </w:pPr>
      <w:r w:rsidRPr="007375EB">
        <w:rPr>
          <w:b/>
          <w:bCs/>
          <w:lang w:val="bg-BG"/>
        </w:rPr>
        <w:t xml:space="preserve">2 подземни водни тела, разположени на територията на България </w:t>
      </w:r>
      <w:r w:rsidR="00943A3A" w:rsidRPr="007375EB">
        <w:rPr>
          <w:b/>
          <w:bCs/>
          <w:lang w:val="bg-BG"/>
        </w:rPr>
        <w:t>(BG1G000000N049</w:t>
      </w:r>
      <w:r w:rsidR="002505B5" w:rsidRPr="007375EB">
        <w:rPr>
          <w:b/>
          <w:bCs/>
          <w:lang w:val="bg-BG"/>
        </w:rPr>
        <w:t xml:space="preserve"> </w:t>
      </w:r>
      <w:r w:rsidRPr="007375EB">
        <w:rPr>
          <w:b/>
          <w:bCs/>
          <w:lang w:val="bg-BG"/>
        </w:rPr>
        <w:t>и</w:t>
      </w:r>
      <w:r w:rsidR="002505B5" w:rsidRPr="007375EB">
        <w:rPr>
          <w:b/>
          <w:bCs/>
          <w:lang w:val="bg-BG"/>
        </w:rPr>
        <w:t xml:space="preserve"> </w:t>
      </w:r>
      <w:r w:rsidR="00D155FC" w:rsidRPr="007375EB">
        <w:rPr>
          <w:b/>
          <w:bCs/>
          <w:lang w:val="bg-BG"/>
        </w:rPr>
        <w:t>BG1G0000</w:t>
      </w:r>
      <w:r w:rsidR="00DA5399" w:rsidRPr="007375EB">
        <w:rPr>
          <w:b/>
          <w:bCs/>
          <w:lang w:val="bg-BG"/>
        </w:rPr>
        <w:t>J3</w:t>
      </w:r>
      <w:r w:rsidR="00D155FC" w:rsidRPr="007375EB">
        <w:rPr>
          <w:b/>
          <w:bCs/>
          <w:lang w:val="bg-BG"/>
        </w:rPr>
        <w:t>K051</w:t>
      </w:r>
      <w:r w:rsidR="00943A3A" w:rsidRPr="007375EB">
        <w:rPr>
          <w:b/>
          <w:bCs/>
          <w:lang w:val="bg-BG"/>
        </w:rPr>
        <w:t>)</w:t>
      </w:r>
    </w:p>
    <w:p w14:paraId="5EAAE17E" w14:textId="3C1B8AA7" w:rsidR="00943A3A" w:rsidRPr="007375EB" w:rsidRDefault="00646173" w:rsidP="00AF58BF">
      <w:pPr>
        <w:pStyle w:val="ListParagraph"/>
        <w:spacing w:after="120" w:line="240" w:lineRule="auto"/>
        <w:ind w:left="0"/>
        <w:jc w:val="center"/>
        <w:rPr>
          <w:rFonts w:ascii="Times New Roman" w:eastAsia="Times New Roman" w:hAnsi="Times New Roman" w:cs="Times New Roman"/>
          <w:sz w:val="24"/>
          <w:szCs w:val="24"/>
          <w:lang w:val="bg-BG" w:eastAsia="ro-RO"/>
        </w:rPr>
      </w:pPr>
      <w:r w:rsidRPr="007375EB">
        <w:rPr>
          <w:noProof/>
          <w:lang w:val="bg-BG" w:eastAsia="ro-RO"/>
        </w:rPr>
        <w:lastRenderedPageBreak/>
        <w:drawing>
          <wp:inline distT="0" distB="0" distL="0" distR="0" wp14:anchorId="0F40AD24" wp14:editId="7972008E">
            <wp:extent cx="6400800" cy="4525783"/>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421959" cy="4540743"/>
                    </a:xfrm>
                    <a:prstGeom prst="rect">
                      <a:avLst/>
                    </a:prstGeom>
                    <a:noFill/>
                    <a:ln>
                      <a:noFill/>
                    </a:ln>
                  </pic:spPr>
                </pic:pic>
              </a:graphicData>
            </a:graphic>
          </wp:inline>
        </w:drawing>
      </w:r>
    </w:p>
    <w:p w14:paraId="7BC10659" w14:textId="79FACFB6" w:rsidR="00913536" w:rsidRPr="007375EB" w:rsidRDefault="00C47460" w:rsidP="00AF58BF">
      <w:pPr>
        <w:pStyle w:val="Caption"/>
        <w:spacing w:before="0" w:after="120" w:line="240" w:lineRule="auto"/>
        <w:jc w:val="center"/>
        <w:rPr>
          <w:sz w:val="16"/>
          <w:szCs w:val="16"/>
          <w:vertAlign w:val="subscript"/>
          <w:lang w:val="bg-BG"/>
        </w:rPr>
      </w:pPr>
      <w:r w:rsidRPr="007375EB">
        <w:rPr>
          <w:sz w:val="16"/>
          <w:szCs w:val="16"/>
          <w:lang w:val="bg-BG"/>
        </w:rPr>
        <w:t>Фигура 2.2 Местоположение на изследвания периметър по отношение на подземните водни тела</w:t>
      </w:r>
    </w:p>
    <w:p w14:paraId="0A91C439" w14:textId="77777777" w:rsidR="00943A3A" w:rsidRPr="007375EB" w:rsidRDefault="00943A3A" w:rsidP="00943A3A">
      <w:pPr>
        <w:spacing w:after="120" w:line="240" w:lineRule="auto"/>
        <w:jc w:val="both"/>
        <w:rPr>
          <w:lang w:val="bg-BG"/>
        </w:rPr>
      </w:pPr>
    </w:p>
    <w:p w14:paraId="15217389" w14:textId="41719B3E" w:rsidR="00943A3A" w:rsidRPr="007375EB" w:rsidRDefault="00BF4952" w:rsidP="00943A3A">
      <w:pPr>
        <w:spacing w:line="360" w:lineRule="auto"/>
        <w:jc w:val="both"/>
        <w:rPr>
          <w:b/>
          <w:bCs/>
          <w:lang w:val="bg-BG"/>
        </w:rPr>
      </w:pPr>
      <w:r w:rsidRPr="007375EB">
        <w:rPr>
          <w:b/>
          <w:bCs/>
          <w:lang w:val="bg-BG"/>
        </w:rPr>
        <w:t>Подземно водно тяло RODL04 - Кобадин - Мангалия (трансгранично водно тяло</w:t>
      </w:r>
      <w:r w:rsidR="00943A3A" w:rsidRPr="007375EB">
        <w:rPr>
          <w:b/>
          <w:bCs/>
          <w:lang w:val="bg-BG"/>
        </w:rPr>
        <w:t>)</w:t>
      </w:r>
    </w:p>
    <w:p w14:paraId="3F5A046B" w14:textId="16A7D903" w:rsidR="00943A3A" w:rsidRPr="007375EB" w:rsidRDefault="00BF4952" w:rsidP="00943A3A">
      <w:pPr>
        <w:spacing w:after="120" w:line="360" w:lineRule="auto"/>
        <w:jc w:val="both"/>
        <w:rPr>
          <w:lang w:val="bg-BG"/>
        </w:rPr>
      </w:pPr>
      <w:r w:rsidRPr="007375EB">
        <w:rPr>
          <w:lang w:val="bg-BG"/>
        </w:rPr>
        <w:t>Дълбокото подземно водно тяло е натрупано в отложенията от оолитни и луминови сарматски (керсонски) варовици, разположени в крайната югоизточна част на Добруджа. Сарматските варовици образуват плоча с дебелина 10-150 м, леко наклонена на изток, която съдържа свободно течащи води, които са основният източник на водоснабдяване на крайбрежието южно от Ефорие Норд</w:t>
      </w:r>
      <w:r w:rsidR="00943A3A" w:rsidRPr="007375EB">
        <w:rPr>
          <w:lang w:val="bg-BG"/>
        </w:rPr>
        <w:t xml:space="preserve">. </w:t>
      </w:r>
    </w:p>
    <w:p w14:paraId="13841793" w14:textId="77777777" w:rsidR="00BF4952" w:rsidRPr="007375EB" w:rsidRDefault="00BF4952" w:rsidP="00943A3A">
      <w:pPr>
        <w:spacing w:after="120" w:line="360" w:lineRule="auto"/>
        <w:jc w:val="both"/>
        <w:rPr>
          <w:lang w:val="bg-BG"/>
        </w:rPr>
      </w:pPr>
      <w:r w:rsidRPr="007375EB">
        <w:rPr>
          <w:lang w:val="bg-BG"/>
        </w:rPr>
        <w:t xml:space="preserve">В основата на сарматските варовици се намира пакет от сенонски хребети, които образуват непропускливия слой на водоносния хоризонт. </w:t>
      </w:r>
    </w:p>
    <w:p w14:paraId="6D23D22A" w14:textId="2D7C4587" w:rsidR="00943A3A" w:rsidRPr="007375EB" w:rsidRDefault="00BF4952" w:rsidP="00943A3A">
      <w:pPr>
        <w:spacing w:after="120" w:line="360" w:lineRule="auto"/>
        <w:jc w:val="both"/>
        <w:rPr>
          <w:lang w:val="bg-BG"/>
        </w:rPr>
      </w:pPr>
      <w:r w:rsidRPr="007375EB">
        <w:rPr>
          <w:lang w:val="bg-BG"/>
        </w:rPr>
        <w:t>В горната си част сарматският водоносен комплекс като цяло е покрит от плейстоценски (средни и горни) водопропускливи льосовидни отложения, но на места се срещат и непропускливи глинести пластове с долноплейстоценска възраст</w:t>
      </w:r>
      <w:r w:rsidR="00943A3A" w:rsidRPr="007375EB">
        <w:rPr>
          <w:lang w:val="bg-BG"/>
        </w:rPr>
        <w:t>.</w:t>
      </w:r>
    </w:p>
    <w:p w14:paraId="124294DD" w14:textId="289DF0B1" w:rsidR="00943A3A" w:rsidRPr="007375EB" w:rsidRDefault="00BF4952" w:rsidP="00943A3A">
      <w:pPr>
        <w:spacing w:after="120" w:line="360" w:lineRule="auto"/>
        <w:jc w:val="both"/>
        <w:rPr>
          <w:lang w:val="bg-BG"/>
        </w:rPr>
      </w:pPr>
      <w:r w:rsidRPr="007375EB">
        <w:rPr>
          <w:lang w:val="bg-BG"/>
        </w:rPr>
        <w:t>По-голямата част от подземното водно тяло (85%) е покрита с обработваема земя</w:t>
      </w:r>
      <w:r w:rsidR="00943A3A" w:rsidRPr="007375EB">
        <w:rPr>
          <w:lang w:val="bg-BG"/>
        </w:rPr>
        <w:t xml:space="preserve">. </w:t>
      </w:r>
    </w:p>
    <w:p w14:paraId="334D9545" w14:textId="2178DBDA" w:rsidR="00943A3A" w:rsidRPr="007375EB" w:rsidRDefault="00BF4952" w:rsidP="00943A3A">
      <w:pPr>
        <w:spacing w:after="120" w:line="240" w:lineRule="auto"/>
        <w:jc w:val="both"/>
        <w:rPr>
          <w:lang w:val="bg-BG"/>
        </w:rPr>
      </w:pPr>
      <w:r w:rsidRPr="007375EB">
        <w:rPr>
          <w:b/>
          <w:bCs/>
          <w:lang w:val="bg-BG"/>
        </w:rPr>
        <w:t xml:space="preserve">Подземно водно тяло </w:t>
      </w:r>
      <w:r w:rsidR="00943A3A" w:rsidRPr="007375EB">
        <w:rPr>
          <w:b/>
          <w:bCs/>
          <w:lang w:val="bg-BG"/>
        </w:rPr>
        <w:t xml:space="preserve">RODL06 - </w:t>
      </w:r>
      <w:r w:rsidRPr="007375EB">
        <w:rPr>
          <w:b/>
          <w:bCs/>
          <w:lang w:val="bg-BG"/>
        </w:rPr>
        <w:t xml:space="preserve">Влашкото плато </w:t>
      </w:r>
      <w:r w:rsidR="00943A3A" w:rsidRPr="007375EB">
        <w:rPr>
          <w:b/>
          <w:bCs/>
          <w:lang w:val="bg-BG"/>
        </w:rPr>
        <w:t>(</w:t>
      </w:r>
      <w:r w:rsidRPr="007375EB">
        <w:rPr>
          <w:b/>
          <w:bCs/>
          <w:lang w:val="bg-BG"/>
        </w:rPr>
        <w:t>трансгранично водно тяло</w:t>
      </w:r>
      <w:r w:rsidR="00943A3A" w:rsidRPr="007375EB">
        <w:rPr>
          <w:b/>
          <w:bCs/>
          <w:lang w:val="bg-BG"/>
        </w:rPr>
        <w:t>)</w:t>
      </w:r>
    </w:p>
    <w:p w14:paraId="42643F2C" w14:textId="55822B95" w:rsidR="00943A3A" w:rsidRPr="007375EB" w:rsidRDefault="00BF4952" w:rsidP="00943A3A">
      <w:pPr>
        <w:spacing w:after="120" w:line="360" w:lineRule="auto"/>
        <w:jc w:val="both"/>
        <w:rPr>
          <w:lang w:val="bg-BG"/>
        </w:rPr>
      </w:pPr>
      <w:r w:rsidRPr="007375EB">
        <w:rPr>
          <w:lang w:val="bg-BG"/>
        </w:rPr>
        <w:t>Това дълбоко подземно водно тяло има голям обхват, обхващащ част от Влашкото плато, и е описано по-долу в две зони, които са с различна степен на познаване и експлоатация</w:t>
      </w:r>
      <w:r w:rsidR="00943A3A" w:rsidRPr="007375EB">
        <w:rPr>
          <w:lang w:val="bg-BG"/>
        </w:rPr>
        <w:t xml:space="preserve">: </w:t>
      </w:r>
    </w:p>
    <w:p w14:paraId="7A65BB5C" w14:textId="736E5A55" w:rsidR="00943A3A" w:rsidRPr="007375EB" w:rsidRDefault="00BF4952" w:rsidP="00943A3A">
      <w:pPr>
        <w:pStyle w:val="ListParagraph"/>
        <w:numPr>
          <w:ilvl w:val="0"/>
          <w:numId w:val="23"/>
        </w:numPr>
        <w:spacing w:after="120" w:line="360" w:lineRule="auto"/>
        <w:jc w:val="both"/>
        <w:rPr>
          <w:i/>
          <w:lang w:val="bg-BG"/>
        </w:rPr>
      </w:pPr>
      <w:r w:rsidRPr="007375EB">
        <w:rPr>
          <w:i/>
          <w:iCs/>
          <w:lang w:val="bg-BG"/>
        </w:rPr>
        <w:t>зона за развитие в Южна Добруджа</w:t>
      </w:r>
      <w:r w:rsidR="00E77266" w:rsidRPr="007375EB">
        <w:rPr>
          <w:i/>
          <w:iCs/>
          <w:lang w:val="bg-BG"/>
        </w:rPr>
        <w:t xml:space="preserve">: </w:t>
      </w:r>
      <w:r w:rsidRPr="007375EB">
        <w:rPr>
          <w:lang w:val="bg-BG"/>
        </w:rPr>
        <w:t xml:space="preserve">Дълбокият водоносен хоризонт, но отчасти и със свободно ниво (в сектора, разположен в непосредствена близост до река Дунав), е ограничен в юрски и баремски варовици и доломитни образувания, понякога напукани и </w:t>
      </w:r>
      <w:r w:rsidRPr="007375EB">
        <w:rPr>
          <w:lang w:val="bg-BG"/>
        </w:rPr>
        <w:lastRenderedPageBreak/>
        <w:t xml:space="preserve">карстови, с регионално разпространение (около 4500 </w:t>
      </w:r>
      <w:r w:rsidR="0034375E" w:rsidRPr="007375EB">
        <w:rPr>
          <w:lang w:val="bg-BG"/>
        </w:rPr>
        <w:t>км</w:t>
      </w:r>
      <w:r w:rsidRPr="007375EB">
        <w:rPr>
          <w:lang w:val="bg-BG"/>
        </w:rPr>
        <w:t>2 ) в цяла Южна Добруджа. Баремско-юрският водоносен хоризонт, наричан още долнобаремско-юрски водоносен хоризонт, е ограничен в напукани и карстифицирани карбонатни образувания с баремска и горно-юрска възраст (Титон, Кимериджик, Оксфорд). Пластовете с юрска и баремска възраст се характеризират с хидравлична комуникация чрез аквитар</w:t>
      </w:r>
    </w:p>
    <w:p w14:paraId="291D3302" w14:textId="21DA01A2" w:rsidR="00943A3A" w:rsidRPr="007375EB" w:rsidRDefault="00BF4952" w:rsidP="00E77266">
      <w:pPr>
        <w:pStyle w:val="ListParagraph"/>
        <w:numPr>
          <w:ilvl w:val="0"/>
          <w:numId w:val="23"/>
        </w:numPr>
        <w:spacing w:line="360" w:lineRule="auto"/>
        <w:jc w:val="both"/>
        <w:rPr>
          <w:i/>
          <w:lang w:val="bg-BG"/>
        </w:rPr>
      </w:pPr>
      <w:r w:rsidRPr="007375EB">
        <w:rPr>
          <w:i/>
          <w:iCs/>
          <w:lang w:val="bg-BG"/>
        </w:rPr>
        <w:t>зона Гюргево - Кълъраш</w:t>
      </w:r>
      <w:r w:rsidR="00E77266" w:rsidRPr="007375EB">
        <w:rPr>
          <w:i/>
          <w:iCs/>
          <w:lang w:val="bg-BG"/>
        </w:rPr>
        <w:t xml:space="preserve">: </w:t>
      </w:r>
      <w:r w:rsidR="0022750F" w:rsidRPr="007375EB">
        <w:rPr>
          <w:lang w:val="bg-BG"/>
        </w:rPr>
        <w:t>Серия от изследователски сондажи, които бяха изпълнени в района, граничещ с река Дунав, между Зимнич - на запад и Фетещ - на изток, прихванаха серия от карбонатни скали (компактни или напукани, белезникави или сиви варовици с чести кремъчни лещи) на Долна Кредна и юрска епоха, разположени между дълбочини от 200-400 метра. Този дълбок водоносен хоризонт е силно издигнат, като пиезометричното ниво се намира на дълбочини между 4 и 12 м, дебитите, получени чрез изпомпване, са между 20-60 л/с, като специфичните дебити са от порядъка на 10-25 л/с. В района на Гюргево под чакълите и камъните на ниската тераса на Дунав, на дълбочина между 15 и 25 м, се срещат редица отложения от сивкави, бели или зеленикави мергели и пясъчници, които се отнасят към горната креда (Турон - Сенон).</w:t>
      </w:r>
    </w:p>
    <w:p w14:paraId="603A91EA" w14:textId="5A823EB8" w:rsidR="00943A3A" w:rsidRPr="007375EB" w:rsidRDefault="0022750F" w:rsidP="00943A3A">
      <w:pPr>
        <w:spacing w:after="120" w:line="360" w:lineRule="auto"/>
        <w:jc w:val="both"/>
        <w:rPr>
          <w:lang w:val="bg-BG"/>
        </w:rPr>
      </w:pPr>
      <w:r w:rsidRPr="007375EB">
        <w:rPr>
          <w:lang w:val="bg-BG"/>
        </w:rPr>
        <w:t>Подземното водно тяло RODL06 е покрито със земеделски земи и ако върху тези земи се прилагат химически торове, това може да има отрицателно въздействие върху химическото състояние на подземното водно тяло.</w:t>
      </w:r>
    </w:p>
    <w:p w14:paraId="41FCB512" w14:textId="78F17167" w:rsidR="00943A3A" w:rsidRPr="007375EB" w:rsidRDefault="0022750F" w:rsidP="00943A3A">
      <w:pPr>
        <w:spacing w:after="120" w:line="240" w:lineRule="auto"/>
        <w:jc w:val="both"/>
        <w:rPr>
          <w:lang w:val="bg-BG"/>
        </w:rPr>
      </w:pPr>
      <w:r w:rsidRPr="007375EB">
        <w:rPr>
          <w:b/>
          <w:bCs/>
          <w:lang w:val="bg-BG"/>
        </w:rPr>
        <w:t xml:space="preserve">Подземно водно тяло </w:t>
      </w:r>
      <w:r w:rsidR="00943A3A" w:rsidRPr="007375EB">
        <w:rPr>
          <w:b/>
          <w:bCs/>
          <w:lang w:val="bg-BG"/>
        </w:rPr>
        <w:t xml:space="preserve">RODL10 - </w:t>
      </w:r>
      <w:r w:rsidRPr="007375EB">
        <w:rPr>
          <w:b/>
          <w:bCs/>
          <w:lang w:val="bg-BG"/>
        </w:rPr>
        <w:t xml:space="preserve">Южна Добруджа </w:t>
      </w:r>
      <w:r w:rsidR="00943A3A" w:rsidRPr="007375EB">
        <w:rPr>
          <w:b/>
          <w:bCs/>
          <w:lang w:val="bg-BG"/>
        </w:rPr>
        <w:t>(</w:t>
      </w:r>
      <w:r w:rsidRPr="007375EB">
        <w:rPr>
          <w:b/>
          <w:bCs/>
          <w:lang w:val="bg-BG"/>
        </w:rPr>
        <w:t>трансгранично водно тяло</w:t>
      </w:r>
      <w:r w:rsidR="00943A3A" w:rsidRPr="007375EB">
        <w:rPr>
          <w:b/>
          <w:bCs/>
          <w:lang w:val="bg-BG"/>
        </w:rPr>
        <w:t>)</w:t>
      </w:r>
    </w:p>
    <w:p w14:paraId="16BB3F12" w14:textId="2E4C68A3" w:rsidR="00943A3A" w:rsidRPr="007375EB" w:rsidRDefault="0022750F" w:rsidP="0022750F">
      <w:pPr>
        <w:spacing w:after="120" w:line="360" w:lineRule="auto"/>
        <w:jc w:val="both"/>
        <w:rPr>
          <w:lang w:val="bg-BG"/>
        </w:rPr>
      </w:pPr>
      <w:r w:rsidRPr="007375EB">
        <w:rPr>
          <w:lang w:val="bg-BG"/>
        </w:rPr>
        <w:t>Подземното водно тяло е фреатично, поресто-пропускливо или разломно, локализирано в текущи и субтекущи алувии (отнесени към холоцена), в льосови отложения (горен плейстоцен-холоцен), в льос (среден плейстоцен-горен плейстоцен), както и на границата между льос/лесоиди/червени глини (последните се отнасят към долния плейстоцен) и крайната част на сарматските (Образуване на Коту В</w:t>
      </w:r>
      <w:r w:rsidR="0077279B" w:rsidRPr="007375EB">
        <w:rPr>
          <w:lang w:val="bg-BG"/>
        </w:rPr>
        <w:t>ъ</w:t>
      </w:r>
      <w:r w:rsidRPr="007375EB">
        <w:rPr>
          <w:lang w:val="bg-BG"/>
        </w:rPr>
        <w:t>и), горния баденски (Образуване на Сеймени) или долнокредните отложения. Поради литоложкия си състав, геоморфологичните характеристики и структурно-тектонските условия тялото показва големи вариации в количеството и качеството, както в хоризонтално, така и във вертикално отношение.</w:t>
      </w:r>
    </w:p>
    <w:p w14:paraId="286F4C9D" w14:textId="11803E5B" w:rsidR="00943A3A" w:rsidRPr="007375EB" w:rsidRDefault="0022750F" w:rsidP="00943A3A">
      <w:pPr>
        <w:spacing w:after="120" w:line="360" w:lineRule="auto"/>
        <w:jc w:val="both"/>
        <w:rPr>
          <w:lang w:val="bg-BG"/>
        </w:rPr>
      </w:pPr>
      <w:r w:rsidRPr="007375EB">
        <w:rPr>
          <w:lang w:val="bg-BG"/>
        </w:rPr>
        <w:t xml:space="preserve">По-голямата част от повърхността на водоема е покрита със земеделски земи </w:t>
      </w:r>
      <w:r w:rsidR="00943A3A" w:rsidRPr="007375EB">
        <w:rPr>
          <w:lang w:val="bg-BG"/>
        </w:rPr>
        <w:t>(83 %).</w:t>
      </w:r>
    </w:p>
    <w:p w14:paraId="50DAE9EB" w14:textId="776C39AB" w:rsidR="00943A3A" w:rsidRPr="007375EB" w:rsidRDefault="0022750F" w:rsidP="00943A3A">
      <w:pPr>
        <w:spacing w:after="120" w:line="360" w:lineRule="auto"/>
        <w:jc w:val="both"/>
        <w:rPr>
          <w:lang w:val="bg-BG"/>
        </w:rPr>
      </w:pPr>
      <w:r w:rsidRPr="007375EB">
        <w:rPr>
          <w:lang w:val="bg-BG"/>
        </w:rPr>
        <w:t>Екологичните цели на подземните водни обекти, текущото количествено и химично състояние могат да бъдат намерени в следната таблица</w:t>
      </w:r>
      <w:r w:rsidR="00943A3A" w:rsidRPr="007375EB">
        <w:rPr>
          <w:lang w:val="bg-BG"/>
        </w:rPr>
        <w:t>:</w:t>
      </w:r>
    </w:p>
    <w:p w14:paraId="794CAFC3" w14:textId="08D6FE82" w:rsidR="00943A3A" w:rsidRPr="007375EB" w:rsidRDefault="0022750F" w:rsidP="0022750F">
      <w:pPr>
        <w:pStyle w:val="Caption"/>
        <w:jc w:val="both"/>
        <w:rPr>
          <w:rFonts w:eastAsia="Times New Roman" w:cs="Times New Roman"/>
          <w:bCs w:val="0"/>
          <w:sz w:val="16"/>
          <w:szCs w:val="16"/>
          <w:lang w:val="bg-BG"/>
        </w:rPr>
      </w:pPr>
      <w:r w:rsidRPr="007375EB">
        <w:rPr>
          <w:rFonts w:eastAsia="Times New Roman" w:cs="Times New Roman"/>
          <w:bCs w:val="0"/>
          <w:sz w:val="16"/>
          <w:szCs w:val="16"/>
          <w:lang w:val="bg-BG"/>
        </w:rPr>
        <w:t>Таблица 2 - 2 Екологични цели на подземните водни тела, текущо количествено и химично състояние</w:t>
      </w:r>
    </w:p>
    <w:tbl>
      <w:tblPr>
        <w:tblStyle w:val="TableGrid"/>
        <w:tblW w:w="9881"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1225"/>
        <w:gridCol w:w="1225"/>
        <w:gridCol w:w="1515"/>
        <w:gridCol w:w="1168"/>
        <w:gridCol w:w="1499"/>
        <w:gridCol w:w="1168"/>
        <w:gridCol w:w="1515"/>
        <w:gridCol w:w="1168"/>
      </w:tblGrid>
      <w:tr w:rsidR="0022750F" w:rsidRPr="007375EB" w14:paraId="6BBEAC28" w14:textId="77777777" w:rsidTr="0022750F">
        <w:trPr>
          <w:trHeight w:val="349"/>
        </w:trPr>
        <w:tc>
          <w:tcPr>
            <w:tcW w:w="1225" w:type="dxa"/>
            <w:vMerge w:val="restart"/>
            <w:shd w:val="clear" w:color="auto" w:fill="00B0F0"/>
          </w:tcPr>
          <w:p w14:paraId="0DFFD26A" w14:textId="5C9079B1" w:rsidR="0022750F" w:rsidRPr="007375EB" w:rsidRDefault="0022750F" w:rsidP="0022750F">
            <w:pPr>
              <w:spacing w:line="240" w:lineRule="auto"/>
              <w:jc w:val="center"/>
              <w:rPr>
                <w:b/>
                <w:bCs/>
                <w:color w:val="F8F8F8"/>
                <w:sz w:val="16"/>
                <w:szCs w:val="16"/>
                <w:lang w:val="bg-BG"/>
              </w:rPr>
            </w:pPr>
            <w:r w:rsidRPr="007375EB">
              <w:rPr>
                <w:b/>
                <w:bCs/>
                <w:color w:val="F8F8F8"/>
                <w:sz w:val="16"/>
                <w:szCs w:val="16"/>
                <w:lang w:val="bg-BG"/>
              </w:rPr>
              <w:t xml:space="preserve">Име на подземния воден обект </w:t>
            </w:r>
          </w:p>
        </w:tc>
        <w:tc>
          <w:tcPr>
            <w:tcW w:w="1225" w:type="dxa"/>
            <w:vMerge w:val="restart"/>
            <w:shd w:val="clear" w:color="auto" w:fill="00B0F0"/>
          </w:tcPr>
          <w:p w14:paraId="3DE60938" w14:textId="55B3FB7F" w:rsidR="0022750F" w:rsidRPr="007375EB" w:rsidRDefault="0022750F" w:rsidP="0022750F">
            <w:pPr>
              <w:spacing w:line="240" w:lineRule="auto"/>
              <w:jc w:val="center"/>
              <w:rPr>
                <w:b/>
                <w:bCs/>
                <w:color w:val="F8F8F8"/>
                <w:sz w:val="16"/>
                <w:szCs w:val="16"/>
                <w:lang w:val="bg-BG"/>
              </w:rPr>
            </w:pPr>
            <w:r w:rsidRPr="007375EB">
              <w:rPr>
                <w:b/>
                <w:bCs/>
                <w:color w:val="F8F8F8"/>
                <w:sz w:val="16"/>
                <w:szCs w:val="16"/>
                <w:lang w:val="bg-BG"/>
              </w:rPr>
              <w:t xml:space="preserve">Код на подземния воден обект </w:t>
            </w:r>
          </w:p>
        </w:tc>
        <w:tc>
          <w:tcPr>
            <w:tcW w:w="2683" w:type="dxa"/>
            <w:gridSpan w:val="2"/>
            <w:shd w:val="clear" w:color="auto" w:fill="00B0F0"/>
          </w:tcPr>
          <w:p w14:paraId="3CFC710D" w14:textId="5B2E5976" w:rsidR="0022750F" w:rsidRPr="007375EB" w:rsidRDefault="0022750F" w:rsidP="0022750F">
            <w:pPr>
              <w:spacing w:line="240" w:lineRule="auto"/>
              <w:jc w:val="center"/>
              <w:rPr>
                <w:b/>
                <w:color w:val="FFFFFF" w:themeColor="background1"/>
                <w:sz w:val="16"/>
                <w:szCs w:val="16"/>
                <w:lang w:val="bg-BG"/>
              </w:rPr>
            </w:pPr>
            <w:r w:rsidRPr="007375EB">
              <w:rPr>
                <w:b/>
                <w:color w:val="FFFFFF" w:themeColor="background1"/>
                <w:sz w:val="16"/>
                <w:szCs w:val="16"/>
                <w:lang w:val="bg-BG"/>
              </w:rPr>
              <w:t>Екологична цел</w:t>
            </w:r>
          </w:p>
        </w:tc>
        <w:tc>
          <w:tcPr>
            <w:tcW w:w="1499" w:type="dxa"/>
            <w:vMerge w:val="restart"/>
            <w:shd w:val="clear" w:color="auto" w:fill="00B0F0"/>
          </w:tcPr>
          <w:p w14:paraId="3B89D30B" w14:textId="68CE76EF" w:rsidR="0022750F" w:rsidRPr="007375EB" w:rsidRDefault="0022750F" w:rsidP="0022750F">
            <w:pPr>
              <w:spacing w:line="240" w:lineRule="auto"/>
              <w:jc w:val="center"/>
              <w:rPr>
                <w:b/>
                <w:color w:val="FFFFFF" w:themeColor="background1"/>
                <w:sz w:val="16"/>
                <w:szCs w:val="16"/>
                <w:lang w:val="bg-BG"/>
              </w:rPr>
            </w:pPr>
            <w:r w:rsidRPr="007375EB">
              <w:rPr>
                <w:b/>
                <w:bCs/>
                <w:color w:val="FFFFFF" w:themeColor="background1"/>
                <w:sz w:val="16"/>
                <w:szCs w:val="16"/>
                <w:lang w:val="bg-BG"/>
              </w:rPr>
              <w:t>Текущо количествено състояние</w:t>
            </w:r>
          </w:p>
        </w:tc>
        <w:tc>
          <w:tcPr>
            <w:tcW w:w="1168" w:type="dxa"/>
            <w:vMerge w:val="restart"/>
            <w:shd w:val="clear" w:color="auto" w:fill="00B0F0"/>
          </w:tcPr>
          <w:p w14:paraId="3172263D" w14:textId="41BC3CCB" w:rsidR="0022750F" w:rsidRPr="007375EB" w:rsidRDefault="0022750F" w:rsidP="0022750F">
            <w:pPr>
              <w:spacing w:line="240" w:lineRule="auto"/>
              <w:jc w:val="center"/>
              <w:rPr>
                <w:b/>
                <w:color w:val="FFFFFF" w:themeColor="background1"/>
                <w:sz w:val="16"/>
                <w:szCs w:val="16"/>
                <w:lang w:val="bg-BG"/>
              </w:rPr>
            </w:pPr>
            <w:r w:rsidRPr="007375EB">
              <w:rPr>
                <w:b/>
                <w:bCs/>
                <w:color w:val="FFFFFF" w:themeColor="background1"/>
                <w:sz w:val="16"/>
                <w:szCs w:val="16"/>
                <w:lang w:val="bg-BG"/>
              </w:rPr>
              <w:t>Текущо химично състояние</w:t>
            </w:r>
          </w:p>
        </w:tc>
        <w:tc>
          <w:tcPr>
            <w:tcW w:w="2081" w:type="dxa"/>
            <w:gridSpan w:val="2"/>
            <w:shd w:val="clear" w:color="auto" w:fill="00B0F0"/>
          </w:tcPr>
          <w:p w14:paraId="2497B9C6" w14:textId="28686405" w:rsidR="0022750F" w:rsidRPr="007375EB" w:rsidRDefault="0022750F" w:rsidP="0022750F">
            <w:pPr>
              <w:spacing w:line="240" w:lineRule="auto"/>
              <w:jc w:val="center"/>
              <w:rPr>
                <w:b/>
                <w:bCs/>
                <w:color w:val="FFFFFF" w:themeColor="background1"/>
                <w:sz w:val="16"/>
                <w:szCs w:val="16"/>
                <w:lang w:val="bg-BG"/>
              </w:rPr>
            </w:pPr>
            <w:r w:rsidRPr="007375EB">
              <w:rPr>
                <w:b/>
                <w:bCs/>
                <w:color w:val="FFFFFF" w:themeColor="background1"/>
                <w:sz w:val="16"/>
                <w:szCs w:val="16"/>
                <w:lang w:val="bg-BG"/>
              </w:rPr>
              <w:t>Крайният срок за постигане на екологичната цел</w:t>
            </w:r>
          </w:p>
        </w:tc>
      </w:tr>
      <w:tr w:rsidR="0022750F" w:rsidRPr="007375EB" w14:paraId="7C889BA5" w14:textId="77777777" w:rsidTr="0022750F">
        <w:trPr>
          <w:trHeight w:val="496"/>
        </w:trPr>
        <w:tc>
          <w:tcPr>
            <w:tcW w:w="1225" w:type="dxa"/>
            <w:vMerge/>
          </w:tcPr>
          <w:p w14:paraId="0CDF7977" w14:textId="77777777" w:rsidR="0022750F" w:rsidRPr="007375EB" w:rsidRDefault="0022750F" w:rsidP="0022750F">
            <w:pPr>
              <w:spacing w:line="240" w:lineRule="auto"/>
              <w:jc w:val="both"/>
              <w:rPr>
                <w:sz w:val="16"/>
                <w:szCs w:val="16"/>
                <w:lang w:val="bg-BG"/>
              </w:rPr>
            </w:pPr>
          </w:p>
        </w:tc>
        <w:tc>
          <w:tcPr>
            <w:tcW w:w="1225" w:type="dxa"/>
            <w:vMerge/>
          </w:tcPr>
          <w:p w14:paraId="74437250" w14:textId="77777777" w:rsidR="0022750F" w:rsidRPr="007375EB" w:rsidRDefault="0022750F" w:rsidP="0022750F">
            <w:pPr>
              <w:spacing w:line="240" w:lineRule="auto"/>
              <w:jc w:val="both"/>
              <w:rPr>
                <w:sz w:val="16"/>
                <w:szCs w:val="16"/>
                <w:lang w:val="bg-BG"/>
              </w:rPr>
            </w:pPr>
          </w:p>
        </w:tc>
        <w:tc>
          <w:tcPr>
            <w:tcW w:w="1515" w:type="dxa"/>
            <w:shd w:val="clear" w:color="auto" w:fill="00B0F0"/>
          </w:tcPr>
          <w:p w14:paraId="5A856E15" w14:textId="5D262A58" w:rsidR="0022750F" w:rsidRPr="007375EB" w:rsidRDefault="0022750F" w:rsidP="0022750F">
            <w:pPr>
              <w:spacing w:line="240" w:lineRule="auto"/>
              <w:jc w:val="center"/>
              <w:rPr>
                <w:b/>
                <w:color w:val="FFFFFF" w:themeColor="background1"/>
                <w:sz w:val="16"/>
                <w:szCs w:val="16"/>
                <w:lang w:val="bg-BG"/>
              </w:rPr>
            </w:pPr>
            <w:r w:rsidRPr="007375EB">
              <w:rPr>
                <w:b/>
                <w:bCs/>
                <w:color w:val="FFFFFF" w:themeColor="background1"/>
                <w:sz w:val="16"/>
                <w:szCs w:val="16"/>
                <w:lang w:val="bg-BG"/>
              </w:rPr>
              <w:t>Количествено състояние</w:t>
            </w:r>
          </w:p>
        </w:tc>
        <w:tc>
          <w:tcPr>
            <w:tcW w:w="1168" w:type="dxa"/>
            <w:shd w:val="clear" w:color="auto" w:fill="00B0F0"/>
          </w:tcPr>
          <w:p w14:paraId="4BDD01C1" w14:textId="722A6BE6" w:rsidR="0022750F" w:rsidRPr="007375EB" w:rsidRDefault="0022750F" w:rsidP="0022750F">
            <w:pPr>
              <w:spacing w:line="240" w:lineRule="auto"/>
              <w:jc w:val="center"/>
              <w:rPr>
                <w:b/>
                <w:color w:val="FFFFFF" w:themeColor="background1"/>
                <w:sz w:val="16"/>
                <w:szCs w:val="16"/>
                <w:lang w:val="bg-BG"/>
              </w:rPr>
            </w:pPr>
            <w:r w:rsidRPr="007375EB">
              <w:rPr>
                <w:b/>
                <w:bCs/>
                <w:color w:val="FFFFFF" w:themeColor="background1"/>
                <w:sz w:val="16"/>
                <w:szCs w:val="16"/>
                <w:lang w:val="bg-BG"/>
              </w:rPr>
              <w:t>Химично състояние</w:t>
            </w:r>
          </w:p>
        </w:tc>
        <w:tc>
          <w:tcPr>
            <w:tcW w:w="1499" w:type="dxa"/>
            <w:vMerge/>
          </w:tcPr>
          <w:p w14:paraId="7899390E" w14:textId="77777777" w:rsidR="0022750F" w:rsidRPr="007375EB" w:rsidRDefault="0022750F" w:rsidP="0022750F">
            <w:pPr>
              <w:spacing w:line="240" w:lineRule="auto"/>
              <w:jc w:val="both"/>
              <w:rPr>
                <w:sz w:val="16"/>
                <w:szCs w:val="16"/>
                <w:lang w:val="bg-BG"/>
              </w:rPr>
            </w:pPr>
          </w:p>
        </w:tc>
        <w:tc>
          <w:tcPr>
            <w:tcW w:w="1168" w:type="dxa"/>
            <w:vMerge/>
          </w:tcPr>
          <w:p w14:paraId="292EB62A" w14:textId="77777777" w:rsidR="0022750F" w:rsidRPr="007375EB" w:rsidRDefault="0022750F" w:rsidP="0022750F">
            <w:pPr>
              <w:spacing w:line="240" w:lineRule="auto"/>
              <w:jc w:val="both"/>
              <w:rPr>
                <w:sz w:val="16"/>
                <w:szCs w:val="16"/>
                <w:lang w:val="bg-BG"/>
              </w:rPr>
            </w:pPr>
          </w:p>
        </w:tc>
        <w:tc>
          <w:tcPr>
            <w:tcW w:w="1177" w:type="dxa"/>
            <w:shd w:val="clear" w:color="auto" w:fill="00B0F0"/>
          </w:tcPr>
          <w:p w14:paraId="000F2847" w14:textId="671A45C9" w:rsidR="0022750F" w:rsidRPr="007375EB" w:rsidRDefault="0022750F" w:rsidP="0022750F">
            <w:pPr>
              <w:spacing w:line="240" w:lineRule="auto"/>
              <w:jc w:val="center"/>
              <w:rPr>
                <w:sz w:val="16"/>
                <w:szCs w:val="16"/>
                <w:lang w:val="bg-BG"/>
              </w:rPr>
            </w:pPr>
            <w:r w:rsidRPr="007375EB">
              <w:rPr>
                <w:b/>
                <w:bCs/>
                <w:color w:val="FFFFFF" w:themeColor="background1"/>
                <w:sz w:val="16"/>
                <w:szCs w:val="16"/>
                <w:lang w:val="bg-BG"/>
              </w:rPr>
              <w:t>Количествено състояние</w:t>
            </w:r>
          </w:p>
        </w:tc>
        <w:tc>
          <w:tcPr>
            <w:tcW w:w="904" w:type="dxa"/>
            <w:shd w:val="clear" w:color="auto" w:fill="00B0F0"/>
          </w:tcPr>
          <w:p w14:paraId="6088D60D" w14:textId="333E5424" w:rsidR="0022750F" w:rsidRPr="007375EB" w:rsidRDefault="0022750F" w:rsidP="0022750F">
            <w:pPr>
              <w:spacing w:line="240" w:lineRule="auto"/>
              <w:jc w:val="center"/>
              <w:rPr>
                <w:sz w:val="16"/>
                <w:szCs w:val="16"/>
                <w:lang w:val="bg-BG"/>
              </w:rPr>
            </w:pPr>
            <w:r w:rsidRPr="007375EB">
              <w:rPr>
                <w:b/>
                <w:bCs/>
                <w:color w:val="FFFFFF" w:themeColor="background1"/>
                <w:sz w:val="16"/>
                <w:szCs w:val="16"/>
                <w:lang w:val="bg-BG"/>
              </w:rPr>
              <w:t>Химично състояние</w:t>
            </w:r>
          </w:p>
        </w:tc>
      </w:tr>
      <w:tr w:rsidR="00943A3A" w:rsidRPr="007375EB" w14:paraId="410CF896" w14:textId="77777777" w:rsidTr="0022750F">
        <w:tc>
          <w:tcPr>
            <w:tcW w:w="1225" w:type="dxa"/>
          </w:tcPr>
          <w:p w14:paraId="1FC7F823" w14:textId="48A0F970" w:rsidR="00943A3A" w:rsidRPr="007375EB" w:rsidRDefault="0022750F" w:rsidP="00E77266">
            <w:pPr>
              <w:spacing w:line="240" w:lineRule="auto"/>
              <w:rPr>
                <w:sz w:val="16"/>
                <w:szCs w:val="16"/>
                <w:lang w:val="bg-BG"/>
              </w:rPr>
            </w:pPr>
            <w:r w:rsidRPr="007375EB">
              <w:rPr>
                <w:sz w:val="16"/>
                <w:szCs w:val="16"/>
                <w:lang w:val="bg-BG"/>
              </w:rPr>
              <w:t>Кобадин-Мангалия</w:t>
            </w:r>
          </w:p>
        </w:tc>
        <w:tc>
          <w:tcPr>
            <w:tcW w:w="1225" w:type="dxa"/>
          </w:tcPr>
          <w:p w14:paraId="55871F78" w14:textId="77777777" w:rsidR="00943A3A" w:rsidRPr="007375EB" w:rsidRDefault="00943A3A" w:rsidP="00E77266">
            <w:pPr>
              <w:spacing w:line="240" w:lineRule="auto"/>
              <w:jc w:val="center"/>
              <w:rPr>
                <w:sz w:val="16"/>
                <w:szCs w:val="16"/>
                <w:lang w:val="bg-BG"/>
              </w:rPr>
            </w:pPr>
            <w:r w:rsidRPr="007375EB">
              <w:rPr>
                <w:sz w:val="16"/>
                <w:szCs w:val="16"/>
                <w:lang w:val="bg-BG"/>
              </w:rPr>
              <w:t>RODL04</w:t>
            </w:r>
          </w:p>
        </w:tc>
        <w:tc>
          <w:tcPr>
            <w:tcW w:w="1515" w:type="dxa"/>
          </w:tcPr>
          <w:p w14:paraId="3BCF26BF" w14:textId="77777777" w:rsidR="00943A3A" w:rsidRPr="007375EB" w:rsidRDefault="00943A3A" w:rsidP="00E77266">
            <w:pPr>
              <w:spacing w:line="240" w:lineRule="auto"/>
              <w:jc w:val="center"/>
              <w:rPr>
                <w:sz w:val="16"/>
                <w:szCs w:val="16"/>
                <w:lang w:val="bg-BG"/>
              </w:rPr>
            </w:pPr>
            <w:r w:rsidRPr="007375EB">
              <w:rPr>
                <w:sz w:val="16"/>
                <w:szCs w:val="16"/>
                <w:lang w:val="bg-BG"/>
              </w:rPr>
              <w:t>B</w:t>
            </w:r>
          </w:p>
        </w:tc>
        <w:tc>
          <w:tcPr>
            <w:tcW w:w="1168" w:type="dxa"/>
          </w:tcPr>
          <w:p w14:paraId="150E334C" w14:textId="77777777" w:rsidR="00943A3A" w:rsidRPr="007375EB" w:rsidRDefault="00943A3A" w:rsidP="00E77266">
            <w:pPr>
              <w:spacing w:line="240" w:lineRule="auto"/>
              <w:jc w:val="center"/>
              <w:rPr>
                <w:sz w:val="16"/>
                <w:szCs w:val="16"/>
                <w:lang w:val="bg-BG"/>
              </w:rPr>
            </w:pPr>
            <w:r w:rsidRPr="007375EB">
              <w:rPr>
                <w:sz w:val="16"/>
                <w:szCs w:val="16"/>
                <w:lang w:val="bg-BG"/>
              </w:rPr>
              <w:t>B</w:t>
            </w:r>
          </w:p>
        </w:tc>
        <w:tc>
          <w:tcPr>
            <w:tcW w:w="1499" w:type="dxa"/>
          </w:tcPr>
          <w:p w14:paraId="5CD2B024" w14:textId="77777777" w:rsidR="00943A3A" w:rsidRPr="007375EB" w:rsidRDefault="00943A3A" w:rsidP="00E77266">
            <w:pPr>
              <w:spacing w:line="240" w:lineRule="auto"/>
              <w:jc w:val="center"/>
              <w:rPr>
                <w:sz w:val="16"/>
                <w:szCs w:val="16"/>
                <w:lang w:val="bg-BG"/>
              </w:rPr>
            </w:pPr>
            <w:r w:rsidRPr="007375EB">
              <w:rPr>
                <w:sz w:val="16"/>
                <w:szCs w:val="16"/>
                <w:lang w:val="bg-BG"/>
              </w:rPr>
              <w:t>B</w:t>
            </w:r>
          </w:p>
        </w:tc>
        <w:tc>
          <w:tcPr>
            <w:tcW w:w="1168" w:type="dxa"/>
          </w:tcPr>
          <w:p w14:paraId="19BC4480" w14:textId="77777777" w:rsidR="00943A3A" w:rsidRPr="007375EB" w:rsidRDefault="00943A3A" w:rsidP="00E77266">
            <w:pPr>
              <w:spacing w:line="240" w:lineRule="auto"/>
              <w:jc w:val="center"/>
              <w:rPr>
                <w:sz w:val="16"/>
                <w:szCs w:val="16"/>
                <w:lang w:val="bg-BG"/>
              </w:rPr>
            </w:pPr>
            <w:r w:rsidRPr="007375EB">
              <w:rPr>
                <w:sz w:val="16"/>
                <w:szCs w:val="16"/>
                <w:lang w:val="bg-BG"/>
              </w:rPr>
              <w:t>S</w:t>
            </w:r>
          </w:p>
        </w:tc>
        <w:tc>
          <w:tcPr>
            <w:tcW w:w="1177" w:type="dxa"/>
          </w:tcPr>
          <w:p w14:paraId="669C99CC" w14:textId="77777777" w:rsidR="00943A3A" w:rsidRPr="007375EB" w:rsidRDefault="00943A3A" w:rsidP="00E77266">
            <w:pPr>
              <w:spacing w:line="240" w:lineRule="auto"/>
              <w:jc w:val="center"/>
              <w:rPr>
                <w:sz w:val="16"/>
                <w:szCs w:val="16"/>
                <w:lang w:val="bg-BG"/>
              </w:rPr>
            </w:pPr>
            <w:r w:rsidRPr="007375EB">
              <w:rPr>
                <w:sz w:val="16"/>
                <w:szCs w:val="16"/>
                <w:lang w:val="bg-BG"/>
              </w:rPr>
              <w:t xml:space="preserve">2020 </w:t>
            </w:r>
          </w:p>
        </w:tc>
        <w:tc>
          <w:tcPr>
            <w:tcW w:w="904" w:type="dxa"/>
          </w:tcPr>
          <w:p w14:paraId="20C502E6" w14:textId="77777777" w:rsidR="00943A3A" w:rsidRPr="007375EB" w:rsidRDefault="00943A3A" w:rsidP="00E77266">
            <w:pPr>
              <w:spacing w:line="240" w:lineRule="auto"/>
              <w:jc w:val="center"/>
              <w:rPr>
                <w:sz w:val="16"/>
                <w:szCs w:val="16"/>
                <w:lang w:val="bg-BG"/>
              </w:rPr>
            </w:pPr>
            <w:r w:rsidRPr="007375EB">
              <w:rPr>
                <w:sz w:val="16"/>
                <w:szCs w:val="16"/>
                <w:lang w:val="bg-BG"/>
              </w:rPr>
              <w:t xml:space="preserve">2027 </w:t>
            </w:r>
          </w:p>
        </w:tc>
      </w:tr>
      <w:tr w:rsidR="00943A3A" w:rsidRPr="007375EB" w14:paraId="0DD661AB" w14:textId="77777777" w:rsidTr="0022750F">
        <w:tc>
          <w:tcPr>
            <w:tcW w:w="1225" w:type="dxa"/>
          </w:tcPr>
          <w:p w14:paraId="29A973D3" w14:textId="7EEC2850" w:rsidR="00943A3A" w:rsidRPr="007375EB" w:rsidRDefault="0022750F" w:rsidP="00E77266">
            <w:pPr>
              <w:spacing w:line="240" w:lineRule="auto"/>
              <w:rPr>
                <w:sz w:val="16"/>
                <w:szCs w:val="16"/>
                <w:lang w:val="bg-BG"/>
              </w:rPr>
            </w:pPr>
            <w:r w:rsidRPr="007375EB">
              <w:rPr>
                <w:sz w:val="16"/>
                <w:szCs w:val="16"/>
                <w:lang w:val="bg-BG"/>
              </w:rPr>
              <w:t>Влашкото плато</w:t>
            </w:r>
          </w:p>
        </w:tc>
        <w:tc>
          <w:tcPr>
            <w:tcW w:w="1225" w:type="dxa"/>
          </w:tcPr>
          <w:p w14:paraId="64CD3D9E" w14:textId="77777777" w:rsidR="00943A3A" w:rsidRPr="007375EB" w:rsidRDefault="00943A3A" w:rsidP="00E77266">
            <w:pPr>
              <w:spacing w:line="240" w:lineRule="auto"/>
              <w:jc w:val="center"/>
              <w:rPr>
                <w:sz w:val="16"/>
                <w:szCs w:val="16"/>
                <w:lang w:val="bg-BG"/>
              </w:rPr>
            </w:pPr>
            <w:r w:rsidRPr="007375EB">
              <w:rPr>
                <w:sz w:val="16"/>
                <w:szCs w:val="16"/>
                <w:lang w:val="bg-BG"/>
              </w:rPr>
              <w:t>RODL06</w:t>
            </w:r>
          </w:p>
        </w:tc>
        <w:tc>
          <w:tcPr>
            <w:tcW w:w="1515" w:type="dxa"/>
          </w:tcPr>
          <w:p w14:paraId="30C1B9AE" w14:textId="77777777" w:rsidR="00943A3A" w:rsidRPr="007375EB" w:rsidRDefault="00943A3A" w:rsidP="00E77266">
            <w:pPr>
              <w:spacing w:line="240" w:lineRule="auto"/>
              <w:jc w:val="center"/>
              <w:rPr>
                <w:sz w:val="16"/>
                <w:szCs w:val="16"/>
                <w:lang w:val="bg-BG"/>
              </w:rPr>
            </w:pPr>
            <w:r w:rsidRPr="007375EB">
              <w:rPr>
                <w:sz w:val="16"/>
                <w:szCs w:val="16"/>
                <w:lang w:val="bg-BG"/>
              </w:rPr>
              <w:t>B</w:t>
            </w:r>
          </w:p>
        </w:tc>
        <w:tc>
          <w:tcPr>
            <w:tcW w:w="1168" w:type="dxa"/>
          </w:tcPr>
          <w:p w14:paraId="12FD158A" w14:textId="77777777" w:rsidR="00943A3A" w:rsidRPr="007375EB" w:rsidRDefault="00943A3A" w:rsidP="00E77266">
            <w:pPr>
              <w:spacing w:line="240" w:lineRule="auto"/>
              <w:jc w:val="center"/>
              <w:rPr>
                <w:sz w:val="16"/>
                <w:szCs w:val="16"/>
                <w:lang w:val="bg-BG"/>
              </w:rPr>
            </w:pPr>
            <w:r w:rsidRPr="007375EB">
              <w:rPr>
                <w:sz w:val="16"/>
                <w:szCs w:val="16"/>
                <w:lang w:val="bg-BG"/>
              </w:rPr>
              <w:t>B</w:t>
            </w:r>
          </w:p>
        </w:tc>
        <w:tc>
          <w:tcPr>
            <w:tcW w:w="1499" w:type="dxa"/>
          </w:tcPr>
          <w:p w14:paraId="123013FF" w14:textId="77777777" w:rsidR="00943A3A" w:rsidRPr="007375EB" w:rsidRDefault="00943A3A" w:rsidP="00E77266">
            <w:pPr>
              <w:spacing w:line="240" w:lineRule="auto"/>
              <w:jc w:val="center"/>
              <w:rPr>
                <w:sz w:val="16"/>
                <w:szCs w:val="16"/>
                <w:lang w:val="bg-BG"/>
              </w:rPr>
            </w:pPr>
            <w:r w:rsidRPr="007375EB">
              <w:rPr>
                <w:sz w:val="16"/>
                <w:szCs w:val="16"/>
                <w:lang w:val="bg-BG"/>
              </w:rPr>
              <w:t>B</w:t>
            </w:r>
          </w:p>
        </w:tc>
        <w:tc>
          <w:tcPr>
            <w:tcW w:w="1168" w:type="dxa"/>
          </w:tcPr>
          <w:p w14:paraId="597BCE57" w14:textId="77777777" w:rsidR="00943A3A" w:rsidRPr="007375EB" w:rsidRDefault="00943A3A" w:rsidP="00E77266">
            <w:pPr>
              <w:spacing w:line="240" w:lineRule="auto"/>
              <w:jc w:val="center"/>
              <w:rPr>
                <w:sz w:val="16"/>
                <w:szCs w:val="16"/>
                <w:lang w:val="bg-BG"/>
              </w:rPr>
            </w:pPr>
            <w:r w:rsidRPr="007375EB">
              <w:rPr>
                <w:sz w:val="16"/>
                <w:szCs w:val="16"/>
                <w:lang w:val="bg-BG"/>
              </w:rPr>
              <w:t>B</w:t>
            </w:r>
          </w:p>
        </w:tc>
        <w:tc>
          <w:tcPr>
            <w:tcW w:w="1177" w:type="dxa"/>
          </w:tcPr>
          <w:p w14:paraId="7DA7BBFD" w14:textId="77777777" w:rsidR="00943A3A" w:rsidRPr="007375EB" w:rsidRDefault="00943A3A" w:rsidP="00E77266">
            <w:pPr>
              <w:spacing w:line="240" w:lineRule="auto"/>
              <w:jc w:val="center"/>
              <w:rPr>
                <w:sz w:val="16"/>
                <w:szCs w:val="16"/>
                <w:lang w:val="bg-BG"/>
              </w:rPr>
            </w:pPr>
            <w:r w:rsidRPr="007375EB">
              <w:rPr>
                <w:sz w:val="16"/>
                <w:szCs w:val="16"/>
                <w:lang w:val="bg-BG"/>
              </w:rPr>
              <w:t>2020</w:t>
            </w:r>
          </w:p>
        </w:tc>
        <w:tc>
          <w:tcPr>
            <w:tcW w:w="904" w:type="dxa"/>
          </w:tcPr>
          <w:p w14:paraId="26E3D7B1" w14:textId="77777777" w:rsidR="00943A3A" w:rsidRPr="007375EB" w:rsidRDefault="00943A3A" w:rsidP="00E77266">
            <w:pPr>
              <w:spacing w:line="240" w:lineRule="auto"/>
              <w:jc w:val="center"/>
              <w:rPr>
                <w:sz w:val="16"/>
                <w:szCs w:val="16"/>
                <w:lang w:val="bg-BG"/>
              </w:rPr>
            </w:pPr>
            <w:r w:rsidRPr="007375EB">
              <w:rPr>
                <w:sz w:val="16"/>
                <w:szCs w:val="16"/>
                <w:lang w:val="bg-BG"/>
              </w:rPr>
              <w:t>2020</w:t>
            </w:r>
          </w:p>
        </w:tc>
      </w:tr>
      <w:tr w:rsidR="00943A3A" w:rsidRPr="007375EB" w14:paraId="4DADE3A4" w14:textId="77777777" w:rsidTr="0022750F">
        <w:tc>
          <w:tcPr>
            <w:tcW w:w="1225" w:type="dxa"/>
          </w:tcPr>
          <w:p w14:paraId="746D91B8" w14:textId="0BC18272" w:rsidR="00943A3A" w:rsidRPr="007375EB" w:rsidRDefault="0022750F" w:rsidP="00E77266">
            <w:pPr>
              <w:spacing w:line="240" w:lineRule="auto"/>
              <w:rPr>
                <w:sz w:val="16"/>
                <w:szCs w:val="16"/>
                <w:lang w:val="bg-BG"/>
              </w:rPr>
            </w:pPr>
            <w:r w:rsidRPr="007375EB">
              <w:rPr>
                <w:sz w:val="16"/>
                <w:szCs w:val="16"/>
                <w:lang w:val="bg-BG"/>
              </w:rPr>
              <w:t>Южна Добруджа</w:t>
            </w:r>
          </w:p>
        </w:tc>
        <w:tc>
          <w:tcPr>
            <w:tcW w:w="1225" w:type="dxa"/>
          </w:tcPr>
          <w:p w14:paraId="2A7C2D51" w14:textId="77777777" w:rsidR="00943A3A" w:rsidRPr="007375EB" w:rsidRDefault="00943A3A" w:rsidP="00E77266">
            <w:pPr>
              <w:spacing w:line="240" w:lineRule="auto"/>
              <w:jc w:val="center"/>
              <w:rPr>
                <w:sz w:val="16"/>
                <w:szCs w:val="16"/>
                <w:lang w:val="bg-BG"/>
              </w:rPr>
            </w:pPr>
            <w:r w:rsidRPr="007375EB">
              <w:rPr>
                <w:sz w:val="16"/>
                <w:szCs w:val="16"/>
                <w:lang w:val="bg-BG"/>
              </w:rPr>
              <w:t>RODL10</w:t>
            </w:r>
          </w:p>
        </w:tc>
        <w:tc>
          <w:tcPr>
            <w:tcW w:w="1515" w:type="dxa"/>
          </w:tcPr>
          <w:p w14:paraId="78E33E6F" w14:textId="77777777" w:rsidR="00943A3A" w:rsidRPr="007375EB" w:rsidRDefault="00943A3A" w:rsidP="00E77266">
            <w:pPr>
              <w:spacing w:line="240" w:lineRule="auto"/>
              <w:jc w:val="center"/>
              <w:rPr>
                <w:sz w:val="16"/>
                <w:szCs w:val="16"/>
                <w:lang w:val="bg-BG"/>
              </w:rPr>
            </w:pPr>
            <w:r w:rsidRPr="007375EB">
              <w:rPr>
                <w:sz w:val="16"/>
                <w:szCs w:val="16"/>
                <w:lang w:val="bg-BG"/>
              </w:rPr>
              <w:t>B</w:t>
            </w:r>
          </w:p>
        </w:tc>
        <w:tc>
          <w:tcPr>
            <w:tcW w:w="1168" w:type="dxa"/>
          </w:tcPr>
          <w:p w14:paraId="40DF2980" w14:textId="77777777" w:rsidR="00943A3A" w:rsidRPr="007375EB" w:rsidRDefault="00943A3A" w:rsidP="00E77266">
            <w:pPr>
              <w:spacing w:line="240" w:lineRule="auto"/>
              <w:jc w:val="center"/>
              <w:rPr>
                <w:sz w:val="16"/>
                <w:szCs w:val="16"/>
                <w:lang w:val="bg-BG"/>
              </w:rPr>
            </w:pPr>
            <w:r w:rsidRPr="007375EB">
              <w:rPr>
                <w:sz w:val="16"/>
                <w:szCs w:val="16"/>
                <w:lang w:val="bg-BG"/>
              </w:rPr>
              <w:t>B</w:t>
            </w:r>
          </w:p>
        </w:tc>
        <w:tc>
          <w:tcPr>
            <w:tcW w:w="1499" w:type="dxa"/>
          </w:tcPr>
          <w:p w14:paraId="4C47F308" w14:textId="77777777" w:rsidR="00943A3A" w:rsidRPr="007375EB" w:rsidRDefault="00943A3A" w:rsidP="00E77266">
            <w:pPr>
              <w:spacing w:line="240" w:lineRule="auto"/>
              <w:jc w:val="center"/>
              <w:rPr>
                <w:sz w:val="16"/>
                <w:szCs w:val="16"/>
                <w:lang w:val="bg-BG"/>
              </w:rPr>
            </w:pPr>
            <w:r w:rsidRPr="007375EB">
              <w:rPr>
                <w:sz w:val="16"/>
                <w:szCs w:val="16"/>
                <w:lang w:val="bg-BG"/>
              </w:rPr>
              <w:t>B</w:t>
            </w:r>
          </w:p>
        </w:tc>
        <w:tc>
          <w:tcPr>
            <w:tcW w:w="1168" w:type="dxa"/>
          </w:tcPr>
          <w:p w14:paraId="7F436A72" w14:textId="77777777" w:rsidR="00943A3A" w:rsidRPr="007375EB" w:rsidRDefault="00943A3A" w:rsidP="00E77266">
            <w:pPr>
              <w:spacing w:line="240" w:lineRule="auto"/>
              <w:jc w:val="center"/>
              <w:rPr>
                <w:sz w:val="16"/>
                <w:szCs w:val="16"/>
                <w:lang w:val="bg-BG"/>
              </w:rPr>
            </w:pPr>
            <w:r w:rsidRPr="007375EB">
              <w:rPr>
                <w:sz w:val="16"/>
                <w:szCs w:val="16"/>
                <w:lang w:val="bg-BG"/>
              </w:rPr>
              <w:t>S</w:t>
            </w:r>
          </w:p>
        </w:tc>
        <w:tc>
          <w:tcPr>
            <w:tcW w:w="1177" w:type="dxa"/>
          </w:tcPr>
          <w:p w14:paraId="585790DF" w14:textId="77777777" w:rsidR="00943A3A" w:rsidRPr="007375EB" w:rsidRDefault="00943A3A" w:rsidP="00E77266">
            <w:pPr>
              <w:spacing w:line="240" w:lineRule="auto"/>
              <w:jc w:val="center"/>
              <w:rPr>
                <w:sz w:val="16"/>
                <w:szCs w:val="16"/>
                <w:lang w:val="bg-BG"/>
              </w:rPr>
            </w:pPr>
            <w:r w:rsidRPr="007375EB">
              <w:rPr>
                <w:sz w:val="16"/>
                <w:szCs w:val="16"/>
                <w:lang w:val="bg-BG"/>
              </w:rPr>
              <w:t xml:space="preserve">2020 </w:t>
            </w:r>
          </w:p>
        </w:tc>
        <w:tc>
          <w:tcPr>
            <w:tcW w:w="904" w:type="dxa"/>
          </w:tcPr>
          <w:p w14:paraId="325DA5C9" w14:textId="77777777" w:rsidR="00943A3A" w:rsidRPr="007375EB" w:rsidRDefault="00943A3A" w:rsidP="00E77266">
            <w:pPr>
              <w:spacing w:line="240" w:lineRule="auto"/>
              <w:jc w:val="center"/>
              <w:rPr>
                <w:sz w:val="16"/>
                <w:szCs w:val="16"/>
                <w:lang w:val="bg-BG"/>
              </w:rPr>
            </w:pPr>
            <w:r w:rsidRPr="007375EB">
              <w:rPr>
                <w:sz w:val="16"/>
                <w:szCs w:val="16"/>
                <w:lang w:val="bg-BG"/>
              </w:rPr>
              <w:t xml:space="preserve">2027 </w:t>
            </w:r>
          </w:p>
        </w:tc>
      </w:tr>
    </w:tbl>
    <w:p w14:paraId="2302D954" w14:textId="0AF4E75B" w:rsidR="00943A3A" w:rsidRPr="007375EB" w:rsidRDefault="0022750F" w:rsidP="003E3B8B">
      <w:pPr>
        <w:spacing w:after="120" w:line="240" w:lineRule="auto"/>
        <w:jc w:val="both"/>
        <w:rPr>
          <w:sz w:val="16"/>
          <w:szCs w:val="16"/>
          <w:lang w:val="bg-BG"/>
        </w:rPr>
      </w:pPr>
      <w:r w:rsidRPr="007375EB">
        <w:rPr>
          <w:sz w:val="16"/>
          <w:szCs w:val="16"/>
          <w:lang w:val="bg-BG"/>
        </w:rPr>
        <w:t>Легенда</w:t>
      </w:r>
      <w:r w:rsidR="00943A3A" w:rsidRPr="007375EB">
        <w:rPr>
          <w:sz w:val="16"/>
          <w:szCs w:val="16"/>
          <w:lang w:val="bg-BG"/>
        </w:rPr>
        <w:t xml:space="preserve">: B – </w:t>
      </w:r>
      <w:r w:rsidR="00861A83" w:rsidRPr="007375EB">
        <w:rPr>
          <w:sz w:val="16"/>
          <w:szCs w:val="16"/>
          <w:lang w:val="bg-BG"/>
        </w:rPr>
        <w:t xml:space="preserve">добро състояние </w:t>
      </w:r>
      <w:r w:rsidR="00943A3A" w:rsidRPr="007375EB">
        <w:rPr>
          <w:sz w:val="16"/>
          <w:szCs w:val="16"/>
          <w:lang w:val="bg-BG"/>
        </w:rPr>
        <w:t xml:space="preserve">S – </w:t>
      </w:r>
      <w:r w:rsidR="00861A83" w:rsidRPr="007375EB">
        <w:rPr>
          <w:sz w:val="16"/>
          <w:szCs w:val="16"/>
          <w:lang w:val="bg-BG"/>
        </w:rPr>
        <w:t>лошо състояние</w:t>
      </w:r>
    </w:p>
    <w:p w14:paraId="3F5841AF" w14:textId="69A56254" w:rsidR="00943A3A" w:rsidRPr="007375EB" w:rsidRDefault="00861A83" w:rsidP="00943A3A">
      <w:pPr>
        <w:spacing w:line="360" w:lineRule="auto"/>
        <w:jc w:val="both"/>
        <w:rPr>
          <w:lang w:val="bg-BG"/>
        </w:rPr>
      </w:pPr>
      <w:r w:rsidRPr="007375EB">
        <w:rPr>
          <w:lang w:val="bg-BG"/>
        </w:rPr>
        <w:t xml:space="preserve">В района, проучен от PUZ, са идентифицирани 3 водни течения, </w:t>
      </w:r>
      <w:r w:rsidRPr="007375EB">
        <w:rPr>
          <w:b/>
          <w:bCs/>
          <w:lang w:val="bg-BG"/>
        </w:rPr>
        <w:t>виж фигура 2.3</w:t>
      </w:r>
      <w:r w:rsidR="00943A3A" w:rsidRPr="007375EB">
        <w:rPr>
          <w:lang w:val="bg-BG"/>
        </w:rPr>
        <w:t>:</w:t>
      </w:r>
    </w:p>
    <w:p w14:paraId="66E12B3C" w14:textId="77777777" w:rsidR="0097000E" w:rsidRPr="007375EB" w:rsidRDefault="0097000E" w:rsidP="00943A3A">
      <w:pPr>
        <w:spacing w:line="360" w:lineRule="auto"/>
        <w:jc w:val="both"/>
        <w:rPr>
          <w:lang w:val="bg-BG"/>
        </w:rPr>
      </w:pPr>
    </w:p>
    <w:p w14:paraId="37DCAC11" w14:textId="12BB1545" w:rsidR="00943A3A" w:rsidRPr="007375EB" w:rsidRDefault="00044848" w:rsidP="00943A3A">
      <w:pPr>
        <w:jc w:val="both"/>
        <w:rPr>
          <w:lang w:val="bg-BG"/>
        </w:rPr>
      </w:pPr>
      <w:r w:rsidRPr="007375EB">
        <w:rPr>
          <w:rFonts w:eastAsia="Times New Roman" w:cs="Calibri"/>
          <w:noProof/>
          <w:color w:val="444444"/>
          <w:lang w:val="bg-BG" w:eastAsia="en-GB"/>
        </w:rPr>
        <w:lastRenderedPageBreak/>
        <mc:AlternateContent>
          <mc:Choice Requires="wps">
            <w:drawing>
              <wp:anchor distT="0" distB="0" distL="114300" distR="114300" simplePos="0" relativeHeight="251661328" behindDoc="0" locked="0" layoutInCell="1" allowOverlap="1" wp14:anchorId="235505C3" wp14:editId="0AAD1447">
                <wp:simplePos x="0" y="0"/>
                <wp:positionH relativeFrom="column">
                  <wp:posOffset>828675</wp:posOffset>
                </wp:positionH>
                <wp:positionV relativeFrom="paragraph">
                  <wp:posOffset>6985</wp:posOffset>
                </wp:positionV>
                <wp:extent cx="5509260" cy="914400"/>
                <wp:effectExtent l="0" t="0" r="15240" b="19050"/>
                <wp:wrapNone/>
                <wp:docPr id="1241640826" name="Text Box 26"/>
                <wp:cNvGraphicFramePr/>
                <a:graphic xmlns:a="http://schemas.openxmlformats.org/drawingml/2006/main">
                  <a:graphicData uri="http://schemas.microsoft.com/office/word/2010/wordprocessingShape">
                    <wps:wsp>
                      <wps:cNvSpPr txBox="1"/>
                      <wps:spPr>
                        <a:xfrm>
                          <a:off x="0" y="0"/>
                          <a:ext cx="5509260" cy="914400"/>
                        </a:xfrm>
                        <a:prstGeom prst="rect">
                          <a:avLst/>
                        </a:prstGeom>
                        <a:solidFill>
                          <a:schemeClr val="lt1"/>
                        </a:solidFill>
                        <a:ln w="6350">
                          <a:solidFill>
                            <a:prstClr val="black"/>
                          </a:solidFill>
                        </a:ln>
                      </wps:spPr>
                      <wps:txbx>
                        <w:txbxContent>
                          <w:p w14:paraId="7C88DDCB" w14:textId="3F00041B" w:rsidR="00044848" w:rsidRPr="00044848" w:rsidRDefault="00044848">
                            <w:pPr>
                              <w:rPr>
                                <w:lang w:val="bg-BG"/>
                              </w:rPr>
                            </w:pPr>
                            <w:r w:rsidRPr="00044848">
                              <w:rPr>
                                <w:lang w:val="bg-BG"/>
                              </w:rPr>
                              <w:t>Река Чаир (код XIV_1.40.1) на 2,89 км от западната граница на анализирания обект</w:t>
                            </w:r>
                          </w:p>
                          <w:p w14:paraId="06198DC7" w14:textId="0F3412F7" w:rsidR="00044848" w:rsidRPr="00044848" w:rsidRDefault="00044848">
                            <w:pPr>
                              <w:rPr>
                                <w:lang w:val="bg-BG"/>
                              </w:rPr>
                            </w:pPr>
                            <w:r w:rsidRPr="00044848">
                              <w:rPr>
                                <w:lang w:val="bg-BG"/>
                              </w:rPr>
                              <w:t>Река Магура (приток на река Чаир) пресича западната граница на анализирания обект</w:t>
                            </w:r>
                          </w:p>
                          <w:p w14:paraId="2BFB6DA3" w14:textId="1AA37615" w:rsidR="00044848" w:rsidRPr="00044848" w:rsidRDefault="00044848">
                            <w:pPr>
                              <w:rPr>
                                <w:lang w:val="bg-BG"/>
                              </w:rPr>
                            </w:pPr>
                            <w:r w:rsidRPr="00044848">
                              <w:rPr>
                                <w:lang w:val="bg-BG"/>
                              </w:rPr>
                              <w:t>Река Черкезу (код XIV_1.40.1.1.1.1), приток на река Чаир, пресича анализирания обект от север на юг.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35505C3" id="Text Box 26" o:spid="_x0000_s1032" type="#_x0000_t202" style="position:absolute;left:0;text-align:left;margin-left:65.25pt;margin-top:.55pt;width:433.8pt;height:1in;z-index:251661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" fillcolor="white [3201]" strokeweight=".5pt">
                <v:textbox>
                  <w:txbxContent>
                    <w:p w14:paraId="7C88DDCB" w14:textId="3F00041B" w:rsidR="00044848" w:rsidRPr="00044848" w:rsidRDefault="00044848">
                      <w:pPr>
                        <w:rPr>
                          <w:lang w:val="bg-BG"/>
                        </w:rPr>
                      </w:pPr>
                      <w:r w:rsidRPr="00044848">
                        <w:rPr>
                          <w:lang w:val="bg-BG"/>
                        </w:rPr>
                        <w:t>Река Чаир (код XIV_1.40.1) на 2,89 км от западната граница на анализирания обект</w:t>
                      </w:r>
                    </w:p>
                    <w:p w14:paraId="06198DC7" w14:textId="0F3412F7" w:rsidR="00044848" w:rsidRPr="00044848" w:rsidRDefault="00044848">
                      <w:pPr>
                        <w:rPr>
                          <w:lang w:val="bg-BG"/>
                        </w:rPr>
                      </w:pPr>
                      <w:r w:rsidRPr="00044848">
                        <w:rPr>
                          <w:lang w:val="bg-BG"/>
                        </w:rPr>
                        <w:t>Река Магура (приток на река Чаир) пресича западната граница на анализирания обект</w:t>
                      </w:r>
                    </w:p>
                    <w:p w14:paraId="2BFB6DA3" w14:textId="1AA37615" w:rsidR="00044848" w:rsidRPr="00044848" w:rsidRDefault="00044848">
                      <w:pPr>
                        <w:rPr>
                          <w:lang w:val="bg-BG"/>
                        </w:rPr>
                      </w:pPr>
                      <w:r w:rsidRPr="00044848">
                        <w:rPr>
                          <w:lang w:val="bg-BG"/>
                        </w:rPr>
                        <w:t>Река Черкезу (код XIV_1.40.1.1.1.1), приток на река Чаир, пресича анализирания обект от север на юг.</w:t>
                      </w:r>
                    </w:p>
                  </w:txbxContent>
                </v:textbox>
              </v:shape>
            </w:pict>
          </mc:Fallback>
        </mc:AlternateContent>
      </w:r>
      <w:r w:rsidR="00943A3A" w:rsidRPr="007375EB">
        <w:rPr>
          <w:rFonts w:eastAsia="Times New Roman" w:cs="Calibri"/>
          <w:noProof/>
          <w:color w:val="444444"/>
          <w:lang w:val="bg-BG" w:eastAsia="en-GB"/>
        </w:rPr>
        <w:drawing>
          <wp:inline distT="0" distB="0" distL="0" distR="0" wp14:anchorId="3950DA87" wp14:editId="21A4E72D">
            <wp:extent cx="6325789" cy="839972"/>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479075" cy="860326"/>
                    </a:xfrm>
                    <a:prstGeom prst="rect">
                      <a:avLst/>
                    </a:prstGeom>
                    <a:noFill/>
                  </pic:spPr>
                </pic:pic>
              </a:graphicData>
            </a:graphic>
          </wp:inline>
        </w:drawing>
      </w:r>
    </w:p>
    <w:p w14:paraId="5F50BBEC" w14:textId="3A456186" w:rsidR="00943A3A" w:rsidRPr="007375EB" w:rsidRDefault="00943A3A" w:rsidP="00943A3A">
      <w:pPr>
        <w:jc w:val="both"/>
        <w:rPr>
          <w:lang w:val="bg-BG"/>
        </w:rPr>
      </w:pPr>
    </w:p>
    <w:p w14:paraId="0AB5E450" w14:textId="2057C7C3" w:rsidR="00943A3A" w:rsidRPr="007375EB" w:rsidRDefault="00385386" w:rsidP="001C603B">
      <w:pPr>
        <w:spacing w:after="120" w:line="240" w:lineRule="auto"/>
        <w:rPr>
          <w:rFonts w:ascii="Times New Roman" w:eastAsia="Times New Roman" w:hAnsi="Times New Roman" w:cs="Times New Roman"/>
          <w:sz w:val="24"/>
          <w:szCs w:val="24"/>
          <w:lang w:val="bg-BG" w:eastAsia="ro-RO"/>
        </w:rPr>
      </w:pPr>
      <w:r w:rsidRPr="007375EB">
        <w:rPr>
          <w:noProof/>
          <w:lang w:val="bg-BG"/>
        </w:rPr>
        <w:drawing>
          <wp:inline distT="0" distB="0" distL="0" distR="0" wp14:anchorId="0CB3CD7D" wp14:editId="6B438AEA">
            <wp:extent cx="6387090" cy="4518837"/>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391878" cy="4522225"/>
                    </a:xfrm>
                    <a:prstGeom prst="rect">
                      <a:avLst/>
                    </a:prstGeom>
                    <a:noFill/>
                    <a:ln>
                      <a:noFill/>
                    </a:ln>
                  </pic:spPr>
                </pic:pic>
              </a:graphicData>
            </a:graphic>
          </wp:inline>
        </w:drawing>
      </w:r>
    </w:p>
    <w:p w14:paraId="1E665307" w14:textId="0DE2C730" w:rsidR="00913536" w:rsidRPr="007375EB" w:rsidRDefault="00861A83" w:rsidP="001C603B">
      <w:pPr>
        <w:pStyle w:val="Caption"/>
        <w:spacing w:before="0" w:after="120" w:line="240" w:lineRule="auto"/>
        <w:jc w:val="center"/>
        <w:rPr>
          <w:sz w:val="16"/>
          <w:szCs w:val="16"/>
          <w:vertAlign w:val="subscript"/>
          <w:lang w:val="bg-BG"/>
        </w:rPr>
      </w:pPr>
      <w:r w:rsidRPr="007375EB">
        <w:rPr>
          <w:sz w:val="16"/>
          <w:szCs w:val="16"/>
          <w:lang w:val="bg-BG"/>
        </w:rPr>
        <w:t>Фигура 2. 3 Разположение на изследвания периметър спрямо водните течения</w:t>
      </w:r>
    </w:p>
    <w:p w14:paraId="6281EC3A" w14:textId="77777777" w:rsidR="00943A3A" w:rsidRPr="007375EB" w:rsidRDefault="00943A3A" w:rsidP="00943A3A">
      <w:pPr>
        <w:jc w:val="both"/>
        <w:rPr>
          <w:lang w:val="bg-BG"/>
        </w:rPr>
      </w:pPr>
    </w:p>
    <w:p w14:paraId="2D505CF1" w14:textId="15A39139" w:rsidR="00943A3A" w:rsidRPr="007375EB" w:rsidRDefault="00861A83" w:rsidP="00943A3A">
      <w:pPr>
        <w:spacing w:after="120" w:line="360" w:lineRule="auto"/>
        <w:jc w:val="both"/>
        <w:rPr>
          <w:lang w:val="bg-BG"/>
        </w:rPr>
      </w:pPr>
      <w:r w:rsidRPr="007375EB">
        <w:rPr>
          <w:lang w:val="bg-BG"/>
        </w:rPr>
        <w:t xml:space="preserve">За изпълнението на </w:t>
      </w:r>
      <w:r w:rsidR="0014580E" w:rsidRPr="007375EB">
        <w:rPr>
          <w:lang w:val="bg-BG"/>
        </w:rPr>
        <w:t>ЗГП</w:t>
      </w:r>
      <w:r w:rsidRPr="007375EB">
        <w:rPr>
          <w:lang w:val="bg-BG"/>
        </w:rPr>
        <w:t xml:space="preserve"> е необходимо да се пресекат реките Черкез (2) и Магура (2), както е показано на фигура 3. Работите ще бъдат извършени чрез технология за хоризонтално сондиране на дълбочина 1 m между горния генератор на защитния тръбопровод и насипа на водното течение. След приключване на работите засегнатите зони ще бъдат възстановени в първоначалното им състояние</w:t>
      </w:r>
      <w:r w:rsidR="00943A3A" w:rsidRPr="007375EB">
        <w:rPr>
          <w:lang w:val="bg-BG"/>
        </w:rPr>
        <w:t>.</w:t>
      </w:r>
    </w:p>
    <w:p w14:paraId="31C02847" w14:textId="3EB54A44" w:rsidR="00943A3A" w:rsidRPr="007375EB" w:rsidRDefault="00BA1AB0" w:rsidP="00943A3A">
      <w:pPr>
        <w:pStyle w:val="Caption"/>
        <w:jc w:val="center"/>
        <w:rPr>
          <w:lang w:val="bg-BG"/>
        </w:rPr>
      </w:pPr>
      <w:r w:rsidRPr="007375EB">
        <w:rPr>
          <w:noProof/>
          <w:lang w:val="bg-BG"/>
        </w:rPr>
        <w:lastRenderedPageBreak/>
        <w:drawing>
          <wp:inline distT="0" distB="0" distL="0" distR="0" wp14:anchorId="7E620985" wp14:editId="65E2F2B8">
            <wp:extent cx="5904865" cy="4175760"/>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04865" cy="4175760"/>
                    </a:xfrm>
                    <a:prstGeom prst="rect">
                      <a:avLst/>
                    </a:prstGeom>
                    <a:noFill/>
                    <a:ln>
                      <a:noFill/>
                    </a:ln>
                  </pic:spPr>
                </pic:pic>
              </a:graphicData>
            </a:graphic>
          </wp:inline>
        </w:drawing>
      </w:r>
    </w:p>
    <w:p w14:paraId="3E4FD294" w14:textId="4F41FC27" w:rsidR="00913536" w:rsidRPr="007375EB" w:rsidRDefault="000566BB" w:rsidP="00913536">
      <w:pPr>
        <w:pStyle w:val="Caption"/>
        <w:jc w:val="center"/>
        <w:rPr>
          <w:sz w:val="16"/>
          <w:szCs w:val="16"/>
          <w:vertAlign w:val="subscript"/>
          <w:lang w:val="bg-BG"/>
        </w:rPr>
      </w:pPr>
      <w:r w:rsidRPr="007375EB">
        <w:rPr>
          <w:sz w:val="16"/>
          <w:szCs w:val="16"/>
          <w:lang w:val="bg-BG"/>
        </w:rPr>
        <w:t>Фигура 2.4 Местоположение на пресичанията на водните течения</w:t>
      </w:r>
    </w:p>
    <w:p w14:paraId="3275429D" w14:textId="2302C0F2" w:rsidR="00943A3A" w:rsidRPr="007375EB" w:rsidRDefault="000566BB" w:rsidP="00943A3A">
      <w:pPr>
        <w:spacing w:line="360" w:lineRule="auto"/>
        <w:jc w:val="both"/>
        <w:rPr>
          <w:lang w:val="bg-BG"/>
        </w:rPr>
      </w:pPr>
      <w:r w:rsidRPr="007375EB">
        <w:rPr>
          <w:lang w:val="bg-BG"/>
        </w:rPr>
        <w:t>В района, в близост до вятърни централи Т1, Т4, Т12, Т26, Т27 и Т28 има нефункциониращи напоителни канали.</w:t>
      </w:r>
    </w:p>
    <w:p w14:paraId="57895448" w14:textId="19E26469" w:rsidR="00943A3A" w:rsidRPr="007375EB" w:rsidRDefault="0018181D" w:rsidP="007F2750">
      <w:pPr>
        <w:spacing w:line="240" w:lineRule="auto"/>
        <w:jc w:val="center"/>
        <w:rPr>
          <w:lang w:val="bg-BG"/>
        </w:rPr>
      </w:pPr>
      <w:r w:rsidRPr="007375EB">
        <w:rPr>
          <w:noProof/>
          <w:lang w:val="bg-BG"/>
        </w:rPr>
        <w:drawing>
          <wp:inline distT="0" distB="0" distL="0" distR="0" wp14:anchorId="38D5A54F" wp14:editId="4EB4007B">
            <wp:extent cx="5904865" cy="4174490"/>
            <wp:effectExtent l="0" t="0" r="63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04865" cy="4174490"/>
                    </a:xfrm>
                    <a:prstGeom prst="rect">
                      <a:avLst/>
                    </a:prstGeom>
                    <a:noFill/>
                    <a:ln>
                      <a:noFill/>
                    </a:ln>
                  </pic:spPr>
                </pic:pic>
              </a:graphicData>
            </a:graphic>
          </wp:inline>
        </w:drawing>
      </w:r>
    </w:p>
    <w:p w14:paraId="0FE00BCC" w14:textId="1DA0346E" w:rsidR="00851668" w:rsidRPr="007375EB" w:rsidRDefault="000566BB" w:rsidP="007F2750">
      <w:pPr>
        <w:pStyle w:val="Caption"/>
        <w:spacing w:before="0" w:after="0" w:line="240" w:lineRule="auto"/>
        <w:jc w:val="center"/>
        <w:rPr>
          <w:sz w:val="16"/>
          <w:szCs w:val="16"/>
          <w:lang w:val="bg-BG"/>
        </w:rPr>
      </w:pPr>
      <w:bookmarkStart w:id="16" w:name="_Hlk167264332"/>
      <w:r w:rsidRPr="007375EB">
        <w:rPr>
          <w:sz w:val="16"/>
          <w:szCs w:val="16"/>
          <w:lang w:val="bg-BG"/>
        </w:rPr>
        <w:t>Фигура 2. 5 Разположение на изследвания периметър спрямо напоителните канали</w:t>
      </w:r>
    </w:p>
    <w:bookmarkEnd w:id="16"/>
    <w:p w14:paraId="22D355F8" w14:textId="6EFE5151" w:rsidR="00E37E64" w:rsidRPr="007375EB" w:rsidRDefault="000566BB" w:rsidP="00125F99">
      <w:pPr>
        <w:pStyle w:val="ListParagraph"/>
        <w:numPr>
          <w:ilvl w:val="2"/>
          <w:numId w:val="21"/>
        </w:numPr>
        <w:spacing w:after="120" w:line="360" w:lineRule="auto"/>
        <w:jc w:val="both"/>
        <w:outlineLvl w:val="2"/>
        <w:rPr>
          <w:rFonts w:cs="Arial"/>
          <w:b/>
          <w:i/>
          <w:color w:val="00B0F0"/>
          <w:lang w:val="bg-BG"/>
        </w:rPr>
      </w:pPr>
      <w:r w:rsidRPr="007375EB">
        <w:rPr>
          <w:rFonts w:cs="Arial"/>
          <w:b/>
          <w:i/>
          <w:color w:val="00B0F0"/>
          <w:lang w:val="bg-BG"/>
        </w:rPr>
        <w:lastRenderedPageBreak/>
        <w:t>Въздух</w:t>
      </w:r>
    </w:p>
    <w:p w14:paraId="153DAA8C" w14:textId="3F09AA7C" w:rsidR="000361C4" w:rsidRPr="007375EB" w:rsidRDefault="000566BB" w:rsidP="00125F99">
      <w:pPr>
        <w:pStyle w:val="ListParagraph"/>
        <w:numPr>
          <w:ilvl w:val="3"/>
          <w:numId w:val="21"/>
        </w:numPr>
        <w:spacing w:after="120" w:line="360" w:lineRule="auto"/>
        <w:ind w:left="1418" w:hanging="851"/>
        <w:jc w:val="both"/>
        <w:outlineLvl w:val="3"/>
        <w:rPr>
          <w:b/>
          <w:bCs/>
          <w:color w:val="00B0F0"/>
          <w:lang w:val="bg-BG" w:eastAsia="ro-RO"/>
        </w:rPr>
      </w:pPr>
      <w:r w:rsidRPr="007375EB">
        <w:rPr>
          <w:b/>
          <w:bCs/>
          <w:color w:val="00B0F0"/>
          <w:lang w:val="bg-BG" w:eastAsia="ro-RO"/>
        </w:rPr>
        <w:t>Източници на замърсяване на въздуха на местно ниво</w:t>
      </w:r>
    </w:p>
    <w:p w14:paraId="2A7F8FBF" w14:textId="6001EAB8" w:rsidR="00F67FCF" w:rsidRPr="007375EB" w:rsidRDefault="000566BB" w:rsidP="00FF6B90">
      <w:pPr>
        <w:spacing w:after="120" w:line="360" w:lineRule="auto"/>
        <w:jc w:val="both"/>
        <w:rPr>
          <w:lang w:val="bg-BG" w:eastAsia="ro-RO"/>
        </w:rPr>
      </w:pPr>
      <w:r w:rsidRPr="007375EB">
        <w:rPr>
          <w:lang w:val="bg-BG" w:eastAsia="ro-RO"/>
        </w:rPr>
        <w:t>Основните източници на замърсяване на въздуха в община Черкезу са представени от транспортни дейности, дейности по строителство/разрушаване, дифузни източници на горене, селскостопански дейности, промишлени дейности</w:t>
      </w:r>
      <w:r w:rsidR="00BC2F5A" w:rsidRPr="007375EB">
        <w:rPr>
          <w:lang w:val="bg-BG" w:eastAsia="ro-RO"/>
        </w:rPr>
        <w:t>.</w:t>
      </w:r>
    </w:p>
    <w:p w14:paraId="669C03A9" w14:textId="2F5E64C0" w:rsidR="00BD109F" w:rsidRPr="007375EB" w:rsidRDefault="000566BB" w:rsidP="00FF6B90">
      <w:pPr>
        <w:pStyle w:val="BodyTextIndent"/>
        <w:spacing w:line="360" w:lineRule="auto"/>
        <w:ind w:left="0"/>
        <w:jc w:val="both"/>
        <w:rPr>
          <w:lang w:val="bg-BG" w:eastAsia="ro-RO"/>
        </w:rPr>
      </w:pPr>
      <w:r w:rsidRPr="007375EB">
        <w:rPr>
          <w:b/>
          <w:bCs/>
          <w:iCs/>
          <w:color w:val="00B0F0"/>
          <w:lang w:val="bg-BG" w:eastAsia="ro-RO"/>
        </w:rPr>
        <w:t xml:space="preserve">Транспортните дейности </w:t>
      </w:r>
      <w:r w:rsidRPr="007375EB">
        <w:rPr>
          <w:iCs/>
          <w:lang w:val="bg-BG" w:eastAsia="ro-RO"/>
        </w:rPr>
        <w:t>на ниво община Черкезу включват само автомобилен трафик, в района няма железопътни транспортни линии. Пътният трафик се осъществява предимно по</w:t>
      </w:r>
      <w:r w:rsidR="00BD109F" w:rsidRPr="007375EB">
        <w:rPr>
          <w:lang w:val="bg-BG" w:eastAsia="ro-RO"/>
        </w:rPr>
        <w:t>:</w:t>
      </w:r>
    </w:p>
    <w:p w14:paraId="70E036D9" w14:textId="445357F7" w:rsidR="000566BB" w:rsidRPr="007375EB" w:rsidRDefault="000566BB" w:rsidP="000566BB">
      <w:pPr>
        <w:pStyle w:val="BodyTextIndent"/>
        <w:numPr>
          <w:ilvl w:val="0"/>
          <w:numId w:val="23"/>
        </w:numPr>
        <w:spacing w:line="360" w:lineRule="auto"/>
        <w:jc w:val="both"/>
        <w:rPr>
          <w:lang w:val="bg-BG" w:eastAsia="ro-RO"/>
        </w:rPr>
      </w:pPr>
      <w:r w:rsidRPr="007375EB">
        <w:rPr>
          <w:lang w:val="bg-BG" w:eastAsia="ro-RO"/>
        </w:rPr>
        <w:t>• окръжен път DJ391 Мангалия – Негру Вода – Кобадин – Тузла, път, който пресича община Черкезу и осигурява връзката с другите населени места на ниво окръг;</w:t>
      </w:r>
    </w:p>
    <w:p w14:paraId="64A51D6A" w14:textId="1A93B862" w:rsidR="000566BB" w:rsidRPr="007375EB" w:rsidRDefault="000566BB" w:rsidP="000566BB">
      <w:pPr>
        <w:pStyle w:val="BodyTextIndent"/>
        <w:numPr>
          <w:ilvl w:val="0"/>
          <w:numId w:val="23"/>
        </w:numPr>
        <w:spacing w:line="360" w:lineRule="auto"/>
        <w:jc w:val="both"/>
        <w:rPr>
          <w:lang w:val="bg-BG" w:eastAsia="ro-RO"/>
        </w:rPr>
      </w:pPr>
      <w:r w:rsidRPr="007375EB">
        <w:rPr>
          <w:lang w:val="bg-BG" w:eastAsia="ro-RO"/>
        </w:rPr>
        <w:t>• общи пътища DC19 Магура – Черкезу, DC18 Вироага – Магура, DC17 Кирногень-Вироага, DC16 DN38-Кимоген-Плопен-Негрещ, DC13 DN38-Пелину;</w:t>
      </w:r>
    </w:p>
    <w:p w14:paraId="4BFC59B1" w14:textId="2D664BA4" w:rsidR="00AE555A" w:rsidRPr="007375EB" w:rsidRDefault="000566BB" w:rsidP="000566BB">
      <w:pPr>
        <w:pStyle w:val="BodyTextIndent"/>
        <w:numPr>
          <w:ilvl w:val="0"/>
          <w:numId w:val="23"/>
        </w:numPr>
        <w:spacing w:line="360" w:lineRule="auto"/>
        <w:jc w:val="both"/>
        <w:rPr>
          <w:lang w:val="bg-BG" w:eastAsia="ro-RO"/>
        </w:rPr>
      </w:pPr>
      <w:r w:rsidRPr="007375EB">
        <w:rPr>
          <w:lang w:val="bg-BG" w:eastAsia="ro-RO"/>
        </w:rPr>
        <w:t>• по вътрешните улици на общината, свързващи се с главните пътища</w:t>
      </w:r>
      <w:r w:rsidR="00E430C1" w:rsidRPr="007375EB">
        <w:rPr>
          <w:lang w:val="bg-BG"/>
        </w:rPr>
        <w:t>.</w:t>
      </w:r>
    </w:p>
    <w:p w14:paraId="6323DED0" w14:textId="035AA2F0" w:rsidR="00C24766" w:rsidRPr="007375EB" w:rsidRDefault="000566BB" w:rsidP="00FF6B90">
      <w:pPr>
        <w:pStyle w:val="BodyTextIndent"/>
        <w:spacing w:line="360" w:lineRule="auto"/>
        <w:ind w:left="0"/>
        <w:jc w:val="both"/>
        <w:rPr>
          <w:lang w:val="bg-BG" w:eastAsia="ro-RO"/>
        </w:rPr>
      </w:pPr>
      <w:r w:rsidRPr="007375EB">
        <w:rPr>
          <w:lang w:val="bg-BG" w:eastAsia="ro-RO"/>
        </w:rPr>
        <w:t>Пътният трафик, като мобилен източник на замърсяване, има най-голям дял в замърсяването на въздуха в района на община Черкезу, като най-голям принос има пътният трафик</w:t>
      </w:r>
      <w:r w:rsidR="00C24766" w:rsidRPr="007375EB">
        <w:rPr>
          <w:lang w:val="bg-BG" w:eastAsia="ro-RO"/>
        </w:rPr>
        <w:t>.</w:t>
      </w:r>
    </w:p>
    <w:p w14:paraId="0CDC3CB0" w14:textId="4109787B" w:rsidR="00F67FCF" w:rsidRPr="007375EB" w:rsidRDefault="000566BB" w:rsidP="00FF6B90">
      <w:pPr>
        <w:spacing w:after="120" w:line="360" w:lineRule="auto"/>
        <w:jc w:val="both"/>
        <w:rPr>
          <w:lang w:val="bg-BG" w:eastAsia="ro-RO"/>
        </w:rPr>
      </w:pPr>
      <w:r w:rsidRPr="007375EB">
        <w:rPr>
          <w:lang w:val="bg-BG" w:eastAsia="ro-RO"/>
        </w:rPr>
        <w:t xml:space="preserve">Основните специфични замърсители, произтичащи от дейността на автомобилния транспорт, са: </w:t>
      </w:r>
      <w:r w:rsidRPr="007375EB">
        <w:rPr>
          <w:b/>
          <w:bCs/>
          <w:lang w:val="bg-BG" w:eastAsia="ro-RO"/>
        </w:rPr>
        <w:t>азотни оксиди (NOx), серен диоксид (SO2), въглеродни оксиди (COx), суспендирани частици (PM10, PM2.5), летливи органични съединения</w:t>
      </w:r>
      <w:r w:rsidRPr="007375EB">
        <w:rPr>
          <w:lang w:val="bg-BG" w:eastAsia="ro-RO"/>
        </w:rPr>
        <w:t xml:space="preserve"> </w:t>
      </w:r>
      <w:r w:rsidR="00F67FCF" w:rsidRPr="007375EB">
        <w:rPr>
          <w:b/>
          <w:bCs/>
          <w:lang w:val="bg-BG" w:eastAsia="ro-RO"/>
        </w:rPr>
        <w:t>(COV)</w:t>
      </w:r>
      <w:r w:rsidR="00F67FCF" w:rsidRPr="007375EB">
        <w:rPr>
          <w:lang w:val="bg-BG" w:eastAsia="ro-RO"/>
        </w:rPr>
        <w:t>.</w:t>
      </w:r>
    </w:p>
    <w:p w14:paraId="7810E5EE" w14:textId="0609E4E5" w:rsidR="00F67FCF" w:rsidRPr="007375EB" w:rsidRDefault="000566BB" w:rsidP="00FF6B90">
      <w:pPr>
        <w:spacing w:after="120" w:line="360" w:lineRule="auto"/>
        <w:jc w:val="both"/>
        <w:rPr>
          <w:lang w:val="bg-BG" w:eastAsia="ro-RO"/>
        </w:rPr>
      </w:pPr>
      <w:r w:rsidRPr="007375EB">
        <w:rPr>
          <w:lang w:val="bg-BG" w:eastAsia="ro-RO"/>
        </w:rPr>
        <w:t xml:space="preserve">Според последното преброяване на трафика, извършено през 2022 г. от CESTRIN - Центърът за пътнотехнически и информатични изследвания в рамките на CNAIR (Национална компания за управление на пътната инфраструктура), на участък от път DN38 (най-близък до Черкезу) с дължина 53 817 </w:t>
      </w:r>
      <w:r w:rsidR="0034375E" w:rsidRPr="007375EB">
        <w:rPr>
          <w:lang w:val="bg-BG" w:eastAsia="ro-RO"/>
        </w:rPr>
        <w:t>км</w:t>
      </w:r>
      <w:r w:rsidRPr="007375EB">
        <w:rPr>
          <w:lang w:val="bg-BG" w:eastAsia="ro-RO"/>
        </w:rPr>
        <w:t xml:space="preserve">, средният дневен брой превозни средства е около 3750 </w:t>
      </w:r>
      <w:r w:rsidRPr="007375EB">
        <w:rPr>
          <w:b/>
          <w:bCs/>
          <w:lang w:val="bg-BG" w:eastAsia="ro-RO"/>
        </w:rPr>
        <w:t>превозни средства на ден</w:t>
      </w:r>
      <w:r w:rsidRPr="007375EB">
        <w:rPr>
          <w:lang w:val="bg-BG" w:eastAsia="ro-RO"/>
        </w:rPr>
        <w:t>, от които: 2740 леки превозни средства (автомобили), 433 трактора, 218 камиона и специални превозни средства 98 автобуса, микробуси 98, 24 камиона и деривати, 18 трактора, 29 велосипеда и 14 мотоциклета</w:t>
      </w:r>
      <w:r w:rsidR="00F67FCF" w:rsidRPr="007375EB">
        <w:rPr>
          <w:lang w:val="bg-BG" w:eastAsia="ro-RO"/>
        </w:rPr>
        <w:t xml:space="preserve">. </w:t>
      </w:r>
    </w:p>
    <w:p w14:paraId="3B51CBEE" w14:textId="1C1B0EB4" w:rsidR="00F67FCF" w:rsidRPr="007375EB" w:rsidRDefault="000566BB" w:rsidP="00FF6B90">
      <w:pPr>
        <w:spacing w:after="120" w:line="360" w:lineRule="auto"/>
        <w:jc w:val="both"/>
        <w:rPr>
          <w:lang w:val="bg-BG" w:eastAsia="ro-RO"/>
        </w:rPr>
      </w:pPr>
      <w:r w:rsidRPr="007375EB">
        <w:rPr>
          <w:lang w:val="bg-BG" w:eastAsia="ro-RO"/>
        </w:rPr>
        <w:t>Най-замърсени са зоните покрай пътя и в зоната на кръстовищата, особено когато има застъпване на трафика на тежкотоварни автомобили. Други експонирани зони са центрове от общ интерес - транзитни точки</w:t>
      </w:r>
      <w:r w:rsidR="00F67FCF" w:rsidRPr="007375EB">
        <w:rPr>
          <w:lang w:val="bg-BG" w:eastAsia="ro-RO"/>
        </w:rPr>
        <w:t>.</w:t>
      </w:r>
    </w:p>
    <w:p w14:paraId="4C0935AA" w14:textId="7133C0BA" w:rsidR="00F67FCF" w:rsidRPr="007375EB" w:rsidRDefault="000566BB" w:rsidP="00FF6B90">
      <w:pPr>
        <w:spacing w:after="120" w:line="360" w:lineRule="auto"/>
        <w:jc w:val="both"/>
        <w:rPr>
          <w:lang w:val="bg-BG" w:eastAsia="ro-RO"/>
        </w:rPr>
      </w:pPr>
      <w:r w:rsidRPr="007375EB">
        <w:rPr>
          <w:lang w:val="bg-BG" w:eastAsia="ro-RO"/>
        </w:rPr>
        <w:t>Нивото на замърсяване на въздуха, генерирано от автомобилния транспорт, е променливо във времето и пространството. Нивото на замърсяване зависи от вида на превозните средства, възрастта на превозното средство, интензивността на трафика, вида на използваното гориво, техническото състояние на пътя и превозното средство. Най-голямо е въздействието най-вече в населените места и с натоварени пътни артерии. Концентрациите на атмосферни замърсители са по-високи в райони с пътни артерии, охранявани от високи сгради (тип блокове) в компактна форма, които предотвратяват разпръскването на замърсители в атмосферата - ситуация, която не е специфична за община Черкезу</w:t>
      </w:r>
      <w:r w:rsidR="00F67FCF" w:rsidRPr="007375EB">
        <w:rPr>
          <w:lang w:val="bg-BG" w:eastAsia="ro-RO"/>
        </w:rPr>
        <w:t>.</w:t>
      </w:r>
    </w:p>
    <w:p w14:paraId="77F9B34C" w14:textId="20D44744" w:rsidR="0006671E" w:rsidRPr="007375EB" w:rsidRDefault="000566BB" w:rsidP="00FF6B90">
      <w:pPr>
        <w:spacing w:after="120" w:line="360" w:lineRule="auto"/>
        <w:jc w:val="both"/>
        <w:rPr>
          <w:lang w:val="bg-BG" w:eastAsia="ro-RO"/>
        </w:rPr>
      </w:pPr>
      <w:r w:rsidRPr="007375EB">
        <w:rPr>
          <w:b/>
          <w:bCs/>
          <w:iCs/>
          <w:color w:val="00B0F0"/>
          <w:lang w:val="bg-BG" w:eastAsia="ro-RO"/>
        </w:rPr>
        <w:t xml:space="preserve">Дейностите по строителство/разрушаване </w:t>
      </w:r>
      <w:r w:rsidRPr="007375EB">
        <w:rPr>
          <w:iCs/>
          <w:lang w:val="bg-BG" w:eastAsia="ro-RO"/>
        </w:rPr>
        <w:t>на ниво община Черкезу могат да представляват източници на замърсяване на въздуха чрез</w:t>
      </w:r>
      <w:r w:rsidR="00253574" w:rsidRPr="007375EB">
        <w:rPr>
          <w:lang w:val="bg-BG" w:eastAsia="ro-RO"/>
        </w:rPr>
        <w:t xml:space="preserve">: </w:t>
      </w:r>
    </w:p>
    <w:p w14:paraId="499F5282" w14:textId="32C3F6DE" w:rsidR="00F67FCF" w:rsidRPr="007375EB" w:rsidRDefault="000566BB" w:rsidP="00125F99">
      <w:pPr>
        <w:pStyle w:val="BodyTextIndent"/>
        <w:numPr>
          <w:ilvl w:val="0"/>
          <w:numId w:val="23"/>
        </w:numPr>
        <w:spacing w:line="360" w:lineRule="auto"/>
        <w:jc w:val="both"/>
        <w:rPr>
          <w:lang w:val="bg-BG" w:eastAsia="ro-RO"/>
        </w:rPr>
      </w:pPr>
      <w:r w:rsidRPr="007375EB">
        <w:rPr>
          <w:lang w:val="bg-BG" w:eastAsia="ro-RO"/>
        </w:rPr>
        <w:t xml:space="preserve">дейностите по обработка на земни маси (изкоп на плодородна почва, изкопи, насипи, подравняване, товаро-разтоварни дейности, транспорт), на някои строителни материали и </w:t>
      </w:r>
      <w:r w:rsidRPr="007375EB">
        <w:rPr>
          <w:lang w:val="bg-BG" w:eastAsia="ro-RO"/>
        </w:rPr>
        <w:lastRenderedPageBreak/>
        <w:t xml:space="preserve">строителни отпадъци - ненасочени стационарни източници. Получените специфични замърсители са: </w:t>
      </w:r>
      <w:r w:rsidRPr="007375EB">
        <w:rPr>
          <w:b/>
          <w:bCs/>
          <w:lang w:val="bg-BG" w:eastAsia="ro-RO"/>
        </w:rPr>
        <w:t>прахове</w:t>
      </w:r>
      <w:r w:rsidR="00F67FCF" w:rsidRPr="007375EB">
        <w:rPr>
          <w:lang w:val="bg-BG" w:eastAsia="ro-RO"/>
        </w:rPr>
        <w:t>;</w:t>
      </w:r>
    </w:p>
    <w:p w14:paraId="002D14CE" w14:textId="621723E3" w:rsidR="00F67FCF" w:rsidRPr="007375EB" w:rsidRDefault="000566BB" w:rsidP="00125F99">
      <w:pPr>
        <w:pStyle w:val="BodyTextIndent"/>
        <w:numPr>
          <w:ilvl w:val="0"/>
          <w:numId w:val="23"/>
        </w:numPr>
        <w:spacing w:line="360" w:lineRule="auto"/>
        <w:jc w:val="both"/>
        <w:rPr>
          <w:lang w:val="bg-BG" w:eastAsia="ro-RO"/>
        </w:rPr>
      </w:pPr>
      <w:r w:rsidRPr="007375EB">
        <w:rPr>
          <w:lang w:val="bg-BG" w:eastAsia="ro-RO"/>
        </w:rPr>
        <w:t xml:space="preserve">транспортни средства и машини, които участват в усвояването на територията и транспортирането на материали и оборудване, необходими за изпълнение на строителните работи (багери, компактори, кранове, електрогенератори) – извънпътни мобилни източници. Основните произтичащи специфични замърсители са: </w:t>
      </w:r>
      <w:r w:rsidRPr="007375EB">
        <w:rPr>
          <w:b/>
          <w:bCs/>
          <w:lang w:val="bg-BG" w:eastAsia="ro-RO"/>
        </w:rPr>
        <w:t>NOx, SOx, CO</w:t>
      </w:r>
      <w:r w:rsidRPr="007375EB">
        <w:rPr>
          <w:lang w:val="bg-BG" w:eastAsia="ro-RO"/>
        </w:rPr>
        <w:t xml:space="preserve">, </w:t>
      </w:r>
      <w:r w:rsidRPr="007375EB">
        <w:rPr>
          <w:b/>
          <w:bCs/>
          <w:lang w:val="bg-BG" w:eastAsia="ro-RO"/>
        </w:rPr>
        <w:t>прахове</w:t>
      </w:r>
      <w:r w:rsidR="00C938E7" w:rsidRPr="007375EB">
        <w:rPr>
          <w:lang w:val="bg-BG" w:eastAsia="ro-RO"/>
        </w:rPr>
        <w:t>.</w:t>
      </w:r>
    </w:p>
    <w:p w14:paraId="4831D334" w14:textId="5052A654" w:rsidR="00F67FCF" w:rsidRPr="007375EB" w:rsidRDefault="005E0CF0" w:rsidP="00FF6B90">
      <w:pPr>
        <w:spacing w:after="120" w:line="360" w:lineRule="auto"/>
        <w:jc w:val="both"/>
        <w:rPr>
          <w:lang w:val="bg-BG" w:eastAsia="ro-RO"/>
        </w:rPr>
      </w:pPr>
      <w:r w:rsidRPr="007375EB">
        <w:rPr>
          <w:lang w:val="bg-BG" w:eastAsia="ro-RO"/>
        </w:rPr>
        <w:t>По данни на местната администрация</w:t>
      </w:r>
      <w:r w:rsidRPr="007375EB">
        <w:rPr>
          <w:vertAlign w:val="superscript"/>
          <w:lang w:val="bg-BG" w:eastAsia="ro-RO"/>
        </w:rPr>
        <w:t>1</w:t>
      </w:r>
      <w:r w:rsidRPr="007375EB">
        <w:rPr>
          <w:lang w:val="bg-BG" w:eastAsia="ro-RO"/>
        </w:rPr>
        <w:t xml:space="preserve"> в периода 2019-2023 г. в района на община Черкесу се извършват следните категории работи</w:t>
      </w:r>
      <w:r w:rsidR="00F67FCF" w:rsidRPr="007375EB">
        <w:rPr>
          <w:lang w:val="bg-BG" w:eastAsia="ro-RO"/>
        </w:rPr>
        <w:t>:</w:t>
      </w:r>
    </w:p>
    <w:p w14:paraId="3811C972" w14:textId="40CE9836" w:rsidR="005E0CF0" w:rsidRPr="007375EB" w:rsidRDefault="005E0CF0" w:rsidP="005E0CF0">
      <w:pPr>
        <w:pStyle w:val="BodyTextIndent"/>
        <w:numPr>
          <w:ilvl w:val="0"/>
          <w:numId w:val="23"/>
        </w:numPr>
        <w:spacing w:line="360" w:lineRule="auto"/>
        <w:jc w:val="both"/>
        <w:rPr>
          <w:lang w:val="bg-BG" w:eastAsia="ro-RO"/>
        </w:rPr>
      </w:pPr>
      <w:r w:rsidRPr="007375EB">
        <w:rPr>
          <w:lang w:val="bg-BG" w:eastAsia="ro-RO"/>
        </w:rPr>
        <w:t>Рехабилитация и модернизация на пътната инфраструктура;</w:t>
      </w:r>
    </w:p>
    <w:p w14:paraId="1D69FCF2" w14:textId="029BA0D2" w:rsidR="005E0CF0" w:rsidRPr="007375EB" w:rsidRDefault="005E0CF0" w:rsidP="005E0CF0">
      <w:pPr>
        <w:pStyle w:val="BodyTextIndent"/>
        <w:numPr>
          <w:ilvl w:val="0"/>
          <w:numId w:val="23"/>
        </w:numPr>
        <w:spacing w:line="360" w:lineRule="auto"/>
        <w:jc w:val="both"/>
        <w:rPr>
          <w:lang w:val="bg-BG" w:eastAsia="ro-RO"/>
        </w:rPr>
      </w:pPr>
      <w:r w:rsidRPr="007375EB">
        <w:rPr>
          <w:lang w:val="bg-BG" w:eastAsia="ro-RO"/>
        </w:rPr>
        <w:t>работи за модернизиране на местните селскостопански пътища;</w:t>
      </w:r>
    </w:p>
    <w:p w14:paraId="0619A44A" w14:textId="5C04D790" w:rsidR="005E0CF0" w:rsidRPr="007375EB" w:rsidRDefault="005E0CF0" w:rsidP="005E0CF0">
      <w:pPr>
        <w:pStyle w:val="BodyTextIndent"/>
        <w:numPr>
          <w:ilvl w:val="0"/>
          <w:numId w:val="23"/>
        </w:numPr>
        <w:spacing w:line="360" w:lineRule="auto"/>
        <w:jc w:val="both"/>
        <w:rPr>
          <w:lang w:val="bg-BG" w:eastAsia="ro-RO"/>
        </w:rPr>
      </w:pPr>
      <w:r w:rsidRPr="007375EB">
        <w:rPr>
          <w:lang w:val="bg-BG" w:eastAsia="ro-RO"/>
        </w:rPr>
        <w:t>дейности по рехабилитация на училища;</w:t>
      </w:r>
    </w:p>
    <w:p w14:paraId="20C04C3A" w14:textId="5FA22B84" w:rsidR="005E0CF0" w:rsidRPr="007375EB" w:rsidRDefault="005E0CF0" w:rsidP="005E0CF0">
      <w:pPr>
        <w:pStyle w:val="BodyTextIndent"/>
        <w:numPr>
          <w:ilvl w:val="0"/>
          <w:numId w:val="23"/>
        </w:numPr>
        <w:spacing w:line="360" w:lineRule="auto"/>
        <w:jc w:val="both"/>
        <w:rPr>
          <w:lang w:val="bg-BG" w:eastAsia="ro-RO"/>
        </w:rPr>
      </w:pPr>
      <w:r w:rsidRPr="007375EB">
        <w:rPr>
          <w:lang w:val="bg-BG" w:eastAsia="ro-RO"/>
        </w:rPr>
        <w:t>работи по изграждане на разпределителни системи за природен газ;</w:t>
      </w:r>
    </w:p>
    <w:p w14:paraId="0C392065" w14:textId="36CA11B5" w:rsidR="005E0CF0" w:rsidRPr="007375EB" w:rsidRDefault="005E0CF0" w:rsidP="005E0CF0">
      <w:pPr>
        <w:pStyle w:val="BodyTextIndent"/>
        <w:numPr>
          <w:ilvl w:val="0"/>
          <w:numId w:val="23"/>
        </w:numPr>
        <w:spacing w:line="360" w:lineRule="auto"/>
        <w:jc w:val="both"/>
        <w:rPr>
          <w:lang w:val="bg-BG" w:eastAsia="ro-RO"/>
        </w:rPr>
      </w:pPr>
      <w:r w:rsidRPr="007375EB">
        <w:rPr>
          <w:lang w:val="bg-BG" w:eastAsia="ro-RO"/>
        </w:rPr>
        <w:t>работи за развитие на спортната инфраструктура;</w:t>
      </w:r>
    </w:p>
    <w:p w14:paraId="58F7F52E" w14:textId="47FBFC1A" w:rsidR="00F67FCF" w:rsidRPr="007375EB" w:rsidRDefault="005E0CF0" w:rsidP="005E0CF0">
      <w:pPr>
        <w:pStyle w:val="BodyTextIndent"/>
        <w:numPr>
          <w:ilvl w:val="0"/>
          <w:numId w:val="23"/>
        </w:numPr>
        <w:spacing w:line="360" w:lineRule="auto"/>
        <w:jc w:val="both"/>
        <w:rPr>
          <w:lang w:val="bg-BG" w:eastAsia="ro-RO"/>
        </w:rPr>
      </w:pPr>
      <w:r w:rsidRPr="007375EB">
        <w:rPr>
          <w:lang w:val="bg-BG" w:eastAsia="ro-RO"/>
        </w:rPr>
        <w:t>Работи за изграждане на детска градина</w:t>
      </w:r>
      <w:r w:rsidR="0094065A" w:rsidRPr="007375EB">
        <w:rPr>
          <w:lang w:val="bg-BG" w:eastAsia="ro-RO"/>
        </w:rPr>
        <w:t>.</w:t>
      </w:r>
    </w:p>
    <w:p w14:paraId="00491887" w14:textId="4AC03017" w:rsidR="00F67FCF" w:rsidRPr="007375EB" w:rsidRDefault="005E0CF0" w:rsidP="00FF6B90">
      <w:pPr>
        <w:spacing w:after="120" w:line="360" w:lineRule="auto"/>
        <w:jc w:val="both"/>
        <w:rPr>
          <w:lang w:val="bg-BG" w:eastAsia="ro-RO"/>
        </w:rPr>
      </w:pPr>
      <w:r w:rsidRPr="007375EB">
        <w:rPr>
          <w:lang w:val="bg-BG" w:eastAsia="ro-RO"/>
        </w:rPr>
        <w:t>Въздействието, предизвикано от дейностите по строителство/извеждане от експлоатация, обикновено е временно и локално. Най-силно засегнатите зони са в близост до работните фронтове и организациите на строителната площадка</w:t>
      </w:r>
      <w:r w:rsidR="00F67FCF" w:rsidRPr="007375EB">
        <w:rPr>
          <w:lang w:val="bg-BG" w:eastAsia="ro-RO"/>
        </w:rPr>
        <w:t>.</w:t>
      </w:r>
    </w:p>
    <w:p w14:paraId="78BFC422" w14:textId="2B7ABDBB" w:rsidR="00083396" w:rsidRPr="007375EB" w:rsidRDefault="005E0CF0" w:rsidP="00FF6B90">
      <w:pPr>
        <w:spacing w:after="120" w:line="360" w:lineRule="auto"/>
        <w:jc w:val="both"/>
        <w:rPr>
          <w:b/>
          <w:bCs/>
          <w:iCs/>
          <w:color w:val="00B0F0"/>
          <w:lang w:val="bg-BG" w:eastAsia="ro-RO"/>
        </w:rPr>
      </w:pPr>
      <w:r w:rsidRPr="007375EB">
        <w:rPr>
          <w:b/>
          <w:bCs/>
          <w:iCs/>
          <w:color w:val="00B0F0"/>
          <w:lang w:val="bg-BG" w:eastAsia="ro-RO"/>
        </w:rPr>
        <w:t>Дифузни източници на горене</w:t>
      </w:r>
    </w:p>
    <w:p w14:paraId="7C0B9326" w14:textId="77777777" w:rsidR="005E0CF0" w:rsidRPr="007375EB" w:rsidRDefault="005E0CF0" w:rsidP="005E0CF0">
      <w:pPr>
        <w:spacing w:after="120" w:line="360" w:lineRule="auto"/>
        <w:jc w:val="both"/>
        <w:rPr>
          <w:lang w:val="bg-BG" w:eastAsia="ro-RO"/>
        </w:rPr>
      </w:pPr>
      <w:r w:rsidRPr="007375EB">
        <w:rPr>
          <w:lang w:val="bg-BG" w:eastAsia="ro-RO"/>
        </w:rPr>
        <w:t>Отоплението на жилищни и институционални сгради, представлявано от индивидуални източници на отопление (централни отоплителни инсталации, печки), които използват твърди горива (дърва) и нямат подходящи комини за отвеждане на димните газове, за да се осигури разсейването на замърсителите във въздуха, може да бъде източник на замърсяване на въздуха.</w:t>
      </w:r>
    </w:p>
    <w:p w14:paraId="73D3B4B1" w14:textId="715A83F9" w:rsidR="00FF6B90" w:rsidRPr="007375EB" w:rsidRDefault="005E0CF0" w:rsidP="005E0CF0">
      <w:pPr>
        <w:spacing w:after="120" w:line="360" w:lineRule="auto"/>
        <w:jc w:val="both"/>
        <w:rPr>
          <w:lang w:val="bg-BG" w:eastAsia="ro-RO"/>
        </w:rPr>
      </w:pPr>
      <w:r w:rsidRPr="007375EB">
        <w:rPr>
          <w:lang w:val="bg-BG" w:eastAsia="ro-RO"/>
        </w:rPr>
        <w:t>Към това може да се добави неразрешеното изгаряне на открито на битови отпадъци, употребявани гуми, пластмаси, улични отпадъци в периметъра на градовете, неподдържане на обществената канализация, неправилно изхвърляне на битови отпадъци. Тези източници представляват в кумулативен план постоянен глобален източник на замърсяване с материален прах, различни газообразни замърсители, неприятни миризми, които са особено забележими при неблагоприятни метеорологични условия (мъгла, атмосферно затишие, температурна инверсия</w:t>
      </w:r>
      <w:r w:rsidR="00982CFA" w:rsidRPr="007375EB">
        <w:rPr>
          <w:lang w:val="bg-BG" w:eastAsia="ro-RO"/>
        </w:rPr>
        <w:t>).</w:t>
      </w:r>
    </w:p>
    <w:p w14:paraId="626CAF82" w14:textId="43EB8629" w:rsidR="00F67FCF" w:rsidRPr="007375EB" w:rsidRDefault="005E0CF0" w:rsidP="00FF6B90">
      <w:pPr>
        <w:spacing w:after="120" w:line="360" w:lineRule="auto"/>
        <w:jc w:val="both"/>
        <w:rPr>
          <w:iCs/>
          <w:lang w:val="bg-BG"/>
        </w:rPr>
      </w:pPr>
      <w:r w:rsidRPr="007375EB">
        <w:rPr>
          <w:iCs/>
          <w:lang w:val="bg-BG"/>
        </w:rPr>
        <w:t>Основните замърсители от тези източници са</w:t>
      </w:r>
      <w:r w:rsidR="00F67FCF" w:rsidRPr="007375EB">
        <w:rPr>
          <w:iCs/>
          <w:lang w:val="bg-BG"/>
        </w:rPr>
        <w:t xml:space="preserve">: </w:t>
      </w:r>
      <w:r w:rsidR="00F67FCF" w:rsidRPr="007375EB">
        <w:rPr>
          <w:b/>
          <w:bCs/>
          <w:iCs/>
          <w:lang w:val="bg-BG"/>
        </w:rPr>
        <w:t>CO, SO</w:t>
      </w:r>
      <w:r w:rsidR="00F67FCF" w:rsidRPr="007375EB">
        <w:rPr>
          <w:b/>
          <w:bCs/>
          <w:iCs/>
          <w:vertAlign w:val="subscript"/>
          <w:lang w:val="bg-BG"/>
        </w:rPr>
        <w:t>2</w:t>
      </w:r>
      <w:r w:rsidR="00F67FCF" w:rsidRPr="007375EB">
        <w:rPr>
          <w:b/>
          <w:bCs/>
          <w:iCs/>
          <w:lang w:val="bg-BG"/>
        </w:rPr>
        <w:t>, NO</w:t>
      </w:r>
      <w:r w:rsidR="00F67FCF" w:rsidRPr="007375EB">
        <w:rPr>
          <w:b/>
          <w:bCs/>
          <w:iCs/>
          <w:vertAlign w:val="subscript"/>
          <w:lang w:val="bg-BG"/>
        </w:rPr>
        <w:t>2</w:t>
      </w:r>
      <w:r w:rsidR="00F67FCF" w:rsidRPr="007375EB">
        <w:rPr>
          <w:b/>
          <w:bCs/>
          <w:iCs/>
          <w:lang w:val="bg-BG"/>
        </w:rPr>
        <w:t>,O</w:t>
      </w:r>
      <w:r w:rsidR="00F67FCF" w:rsidRPr="007375EB">
        <w:rPr>
          <w:b/>
          <w:bCs/>
          <w:iCs/>
          <w:vertAlign w:val="subscript"/>
          <w:lang w:val="bg-BG"/>
        </w:rPr>
        <w:t>3</w:t>
      </w:r>
      <w:r w:rsidR="00F67FCF" w:rsidRPr="007375EB">
        <w:rPr>
          <w:b/>
          <w:bCs/>
          <w:iCs/>
          <w:lang w:val="bg-BG"/>
        </w:rPr>
        <w:t>, PM</w:t>
      </w:r>
      <w:r w:rsidR="00F67FCF" w:rsidRPr="007375EB">
        <w:rPr>
          <w:b/>
          <w:bCs/>
          <w:iCs/>
          <w:vertAlign w:val="subscript"/>
          <w:lang w:val="bg-BG"/>
        </w:rPr>
        <w:t>10</w:t>
      </w:r>
      <w:r w:rsidR="00F67FCF" w:rsidRPr="007375EB">
        <w:rPr>
          <w:b/>
          <w:bCs/>
          <w:iCs/>
          <w:lang w:val="bg-BG"/>
        </w:rPr>
        <w:t xml:space="preserve"> , PM </w:t>
      </w:r>
      <w:r w:rsidR="00F67FCF" w:rsidRPr="007375EB">
        <w:rPr>
          <w:b/>
          <w:bCs/>
          <w:iCs/>
          <w:vertAlign w:val="subscript"/>
          <w:lang w:val="bg-BG"/>
        </w:rPr>
        <w:t>2,5</w:t>
      </w:r>
      <w:r w:rsidR="00F67FCF" w:rsidRPr="007375EB">
        <w:rPr>
          <w:b/>
          <w:bCs/>
          <w:iCs/>
          <w:lang w:val="bg-BG"/>
        </w:rPr>
        <w:t>, NO</w:t>
      </w:r>
      <w:r w:rsidR="00F67FCF" w:rsidRPr="007375EB">
        <w:rPr>
          <w:b/>
          <w:bCs/>
          <w:iCs/>
          <w:vertAlign w:val="subscript"/>
          <w:lang w:val="bg-BG"/>
        </w:rPr>
        <w:t>2</w:t>
      </w:r>
      <w:r w:rsidR="00F67FCF" w:rsidRPr="007375EB">
        <w:rPr>
          <w:iCs/>
          <w:lang w:val="bg-BG"/>
        </w:rPr>
        <w:t>.</w:t>
      </w:r>
    </w:p>
    <w:p w14:paraId="65F26398" w14:textId="77777777" w:rsidR="005E0CF0" w:rsidRPr="007375EB" w:rsidRDefault="005E0CF0" w:rsidP="00117609">
      <w:pPr>
        <w:spacing w:after="120" w:line="360" w:lineRule="auto"/>
        <w:jc w:val="both"/>
        <w:rPr>
          <w:b/>
          <w:bCs/>
          <w:iCs/>
          <w:color w:val="00B0F0"/>
          <w:lang w:val="bg-BG" w:eastAsia="ro-RO"/>
        </w:rPr>
      </w:pPr>
      <w:r w:rsidRPr="007375EB">
        <w:rPr>
          <w:b/>
          <w:bCs/>
          <w:iCs/>
          <w:color w:val="00B0F0"/>
          <w:lang w:val="bg-BG" w:eastAsia="ro-RO"/>
        </w:rPr>
        <w:t xml:space="preserve">Селско стопанство </w:t>
      </w:r>
    </w:p>
    <w:p w14:paraId="27089356" w14:textId="77777777" w:rsidR="005E0CF0" w:rsidRPr="007375EB" w:rsidRDefault="005E0CF0" w:rsidP="005E0CF0">
      <w:pPr>
        <w:spacing w:after="120" w:line="360" w:lineRule="auto"/>
        <w:jc w:val="both"/>
        <w:rPr>
          <w:iCs/>
          <w:lang w:val="bg-BG"/>
        </w:rPr>
      </w:pPr>
      <w:r w:rsidRPr="007375EB">
        <w:rPr>
          <w:iCs/>
          <w:lang w:val="bg-BG"/>
        </w:rPr>
        <w:t>Емисиите във въздуха, свързани със селскостопанския сектор, се състоят основно от NH3, прахови частици, NOx, CH4 от животновъдството (управление на оборския тор, ентерална ферментация) и отглеждането на растения.</w:t>
      </w:r>
    </w:p>
    <w:p w14:paraId="2257832D" w14:textId="0F090224" w:rsidR="00091DE1" w:rsidRPr="007375EB" w:rsidRDefault="005E0CF0" w:rsidP="005E0CF0">
      <w:pPr>
        <w:spacing w:after="120" w:line="360" w:lineRule="auto"/>
        <w:jc w:val="both"/>
        <w:rPr>
          <w:iCs/>
          <w:lang w:val="bg-BG"/>
        </w:rPr>
      </w:pPr>
      <w:r w:rsidRPr="007375EB">
        <w:rPr>
          <w:iCs/>
          <w:lang w:val="bg-BG"/>
        </w:rPr>
        <w:t>На ниво окръг Констанца, според Годишния доклад за състоянието на околната среда за 2022 г., няма налична информация за количественото определяне на приноса на селското стопанство за емисиите в атмосферата</w:t>
      </w:r>
      <w:r w:rsidR="00091DE1" w:rsidRPr="007375EB">
        <w:rPr>
          <w:iCs/>
          <w:lang w:val="bg-BG"/>
        </w:rPr>
        <w:t>.</w:t>
      </w:r>
    </w:p>
    <w:p w14:paraId="2BD7C1C6" w14:textId="79A2F38E" w:rsidR="00341023" w:rsidRPr="007375EB" w:rsidRDefault="005E0CF0" w:rsidP="00117609">
      <w:pPr>
        <w:spacing w:after="120" w:line="360" w:lineRule="auto"/>
        <w:jc w:val="both"/>
        <w:rPr>
          <w:iCs/>
          <w:lang w:val="bg-BG"/>
        </w:rPr>
      </w:pPr>
      <w:r w:rsidRPr="007375EB">
        <w:rPr>
          <w:iCs/>
          <w:lang w:val="bg-BG"/>
        </w:rPr>
        <w:t xml:space="preserve">Община Черчезу е част от Местната инициативна група Югозападна Добруджа (GAL) заедно с още 9 други общини. Селското стопанство е една от основните сфери на дейност в района на GAL, </w:t>
      </w:r>
      <w:r w:rsidRPr="007375EB">
        <w:rPr>
          <w:iCs/>
          <w:lang w:val="bg-BG"/>
        </w:rPr>
        <w:lastRenderedPageBreak/>
        <w:t>характеризираща се със зърнени и технически култури, плодове и зеленчуци, лозя, пчеларство и животновъдство. Селскостопанските дейности се извършват или а) в големи стопанства, състоящи се от големи имоти, но също така и от малки парцели, които се комбинират чрез отдаване под наем, и се състоят в отглеждане на зърнени култури, или б) на полупазарно и натурално ниво, на сравнително малки площи, до около 10 ха. В този по-малък мащаб селскостопанското производство може да бъде по-разнообразно, включително зеленчуци в градинските парцели, производство на разсад за местния пазар и за домашна консумация</w:t>
      </w:r>
      <w:r w:rsidR="00341023" w:rsidRPr="007375EB">
        <w:rPr>
          <w:iCs/>
          <w:lang w:val="bg-BG"/>
        </w:rPr>
        <w:t>.</w:t>
      </w:r>
    </w:p>
    <w:p w14:paraId="53240656" w14:textId="77777777" w:rsidR="005E0CF0" w:rsidRPr="007375EB" w:rsidRDefault="005E0CF0" w:rsidP="005E0CF0">
      <w:pPr>
        <w:spacing w:after="120" w:line="360" w:lineRule="auto"/>
        <w:jc w:val="both"/>
        <w:rPr>
          <w:iCs/>
          <w:lang w:val="bg-BG"/>
        </w:rPr>
      </w:pPr>
      <w:r w:rsidRPr="007375EB">
        <w:rPr>
          <w:iCs/>
          <w:lang w:val="bg-BG"/>
        </w:rPr>
        <w:t>Липсата на напоителна инфраструктура ограничава производството до култури, които са устойчиви на ниските валежи в района.</w:t>
      </w:r>
    </w:p>
    <w:p w14:paraId="085344F4" w14:textId="78DB7BD9" w:rsidR="00117609" w:rsidRPr="007375EB" w:rsidRDefault="005E0CF0" w:rsidP="005E0CF0">
      <w:pPr>
        <w:spacing w:after="120" w:line="360" w:lineRule="auto"/>
        <w:jc w:val="both"/>
        <w:rPr>
          <w:iCs/>
          <w:lang w:val="bg-BG"/>
        </w:rPr>
      </w:pPr>
      <w:r w:rsidRPr="007375EB">
        <w:rPr>
          <w:iCs/>
          <w:lang w:val="bg-BG"/>
        </w:rPr>
        <w:t>За община Черкезу не са налични данни за селскостопанските дейности</w:t>
      </w:r>
      <w:r w:rsidR="00091DE1" w:rsidRPr="007375EB">
        <w:rPr>
          <w:iCs/>
          <w:lang w:val="bg-BG"/>
        </w:rPr>
        <w:t>.</w:t>
      </w:r>
    </w:p>
    <w:p w14:paraId="78AE68D8" w14:textId="0E71007A" w:rsidR="004C081E" w:rsidRPr="007375EB" w:rsidRDefault="005E0CF0" w:rsidP="004C081E">
      <w:pPr>
        <w:spacing w:after="120" w:line="360" w:lineRule="auto"/>
        <w:jc w:val="both"/>
        <w:rPr>
          <w:b/>
          <w:bCs/>
          <w:iCs/>
          <w:color w:val="00B0F0"/>
          <w:lang w:val="bg-BG" w:eastAsia="ro-RO"/>
        </w:rPr>
      </w:pPr>
      <w:r w:rsidRPr="007375EB">
        <w:rPr>
          <w:b/>
          <w:bCs/>
          <w:iCs/>
          <w:color w:val="00B0F0"/>
          <w:lang w:val="bg-BG" w:eastAsia="ro-RO"/>
        </w:rPr>
        <w:t>Промишлени дейности</w:t>
      </w:r>
    </w:p>
    <w:p w14:paraId="5514CC51" w14:textId="77777777" w:rsidR="005E0CF0" w:rsidRPr="007375EB" w:rsidRDefault="005E0CF0" w:rsidP="005E0CF0">
      <w:pPr>
        <w:spacing w:after="120" w:line="360" w:lineRule="auto"/>
        <w:jc w:val="both"/>
        <w:rPr>
          <w:iCs/>
          <w:lang w:val="bg-BG"/>
        </w:rPr>
      </w:pPr>
      <w:r w:rsidRPr="007375EB">
        <w:rPr>
          <w:iCs/>
          <w:lang w:val="bg-BG"/>
        </w:rPr>
        <w:t>Според Стратегията за местно развитие 2014-2020 г. , изменена през 2023 г., много икономически предприятия в района се сблъскват с липсата на капитал за инвестиции. Поради тази причина иновациите - често свързани с риск от загуби - проникват бавно, независимо дали става въпрос за нови технологии за отглеждане или методи за преработка, промоция или продажба на продукти.</w:t>
      </w:r>
    </w:p>
    <w:p w14:paraId="19EF337E" w14:textId="28F780E6" w:rsidR="005E0CF0" w:rsidRPr="007375EB" w:rsidRDefault="005E0CF0" w:rsidP="005E0CF0">
      <w:pPr>
        <w:spacing w:after="120" w:line="360" w:lineRule="auto"/>
        <w:jc w:val="both"/>
        <w:rPr>
          <w:iCs/>
          <w:lang w:val="bg-BG"/>
        </w:rPr>
      </w:pPr>
      <w:r w:rsidRPr="007375EB">
        <w:rPr>
          <w:iCs/>
          <w:lang w:val="bg-BG"/>
        </w:rPr>
        <w:t>В община Черкесу регистрираните фирми, работещи в областите Отглеждане на зърнени култури (без ориз), бобови растения и маслодайни култури, Търговия на дребно в неспециализирани магазини, с преобладаваща продажба на храни, напитки и тютюневи изделия, Туризъм и Морски риболов, не попадат в категорията на тези, които водят до значително замърсяване на въздуха.</w:t>
      </w:r>
    </w:p>
    <w:p w14:paraId="5DBD3CB0" w14:textId="08972A1D" w:rsidR="00F67FCF" w:rsidRPr="007375EB" w:rsidRDefault="005E0CF0" w:rsidP="005E0CF0">
      <w:pPr>
        <w:spacing w:after="120" w:line="360" w:lineRule="auto"/>
        <w:jc w:val="both"/>
        <w:rPr>
          <w:iCs/>
          <w:lang w:val="bg-BG"/>
        </w:rPr>
      </w:pPr>
      <w:r w:rsidRPr="007375EB">
        <w:rPr>
          <w:iCs/>
          <w:lang w:val="bg-BG"/>
        </w:rPr>
        <w:t xml:space="preserve">Понастоящем в община Черчесу няма промишлени цели, които да са предмет на Директивата за емисиите от промишлеността (Директива </w:t>
      </w:r>
      <w:r w:rsidR="00F67FCF" w:rsidRPr="007375EB">
        <w:rPr>
          <w:iCs/>
          <w:lang w:val="bg-BG"/>
        </w:rPr>
        <w:t>IED).</w:t>
      </w:r>
    </w:p>
    <w:p w14:paraId="2D49C84C" w14:textId="77777777" w:rsidR="00093738" w:rsidRPr="007375EB" w:rsidRDefault="00093738" w:rsidP="009B6B86">
      <w:pPr>
        <w:spacing w:after="120" w:line="360" w:lineRule="auto"/>
        <w:jc w:val="both"/>
        <w:rPr>
          <w:iCs/>
          <w:lang w:val="bg-BG"/>
        </w:rPr>
      </w:pPr>
    </w:p>
    <w:p w14:paraId="179370C6" w14:textId="2943E3E1" w:rsidR="00093738" w:rsidRPr="007375EB" w:rsidRDefault="005E0CF0" w:rsidP="00125F99">
      <w:pPr>
        <w:pStyle w:val="ListParagraph"/>
        <w:numPr>
          <w:ilvl w:val="3"/>
          <w:numId w:val="21"/>
        </w:numPr>
        <w:spacing w:after="120" w:line="360" w:lineRule="auto"/>
        <w:ind w:left="1418" w:hanging="851"/>
        <w:contextualSpacing w:val="0"/>
        <w:jc w:val="both"/>
        <w:outlineLvl w:val="3"/>
        <w:rPr>
          <w:b/>
          <w:bCs/>
          <w:color w:val="00B0F0"/>
          <w:lang w:val="bg-BG" w:eastAsia="ro-RO"/>
        </w:rPr>
      </w:pPr>
      <w:r w:rsidRPr="007375EB">
        <w:rPr>
          <w:b/>
          <w:bCs/>
          <w:color w:val="00B0F0"/>
          <w:lang w:val="bg-BG" w:eastAsia="ro-RO"/>
        </w:rPr>
        <w:t>Качество на въздуха на местно ниво</w:t>
      </w:r>
    </w:p>
    <w:p w14:paraId="318E9AE7" w14:textId="5DB26EF4" w:rsidR="00943A3A" w:rsidRPr="007375EB" w:rsidRDefault="005E0CF0" w:rsidP="009B6B86">
      <w:pPr>
        <w:spacing w:after="120" w:line="360" w:lineRule="auto"/>
        <w:jc w:val="both"/>
        <w:rPr>
          <w:rFonts w:cs="Arial"/>
          <w:lang w:val="bg-BG"/>
        </w:rPr>
      </w:pPr>
      <w:r w:rsidRPr="007375EB">
        <w:rPr>
          <w:iCs/>
          <w:lang w:val="bg-BG"/>
        </w:rPr>
        <w:t>Мониторингът на качеството на въздуха в окръг Констанца се извършва чрез автоматичната система за мониторинг на качеството на въздуха, включена в RNMCA, състояща се от 8 станции, разположени в съответствие със специфичните критерии, предвидени понастоящем в Закон 104/2011 за качеството на въздуха. Структурата на тази мрежа е</w:t>
      </w:r>
      <w:r w:rsidR="00B00B6A" w:rsidRPr="007375EB">
        <w:rPr>
          <w:rFonts w:cs="Arial"/>
          <w:lang w:val="bg-BG"/>
        </w:rPr>
        <w:t>:</w:t>
      </w:r>
    </w:p>
    <w:p w14:paraId="7F9E0E72" w14:textId="41DCCD88" w:rsidR="00591796" w:rsidRPr="007375EB" w:rsidRDefault="005E0CF0" w:rsidP="00125F99">
      <w:pPr>
        <w:pStyle w:val="BodyTextIndent"/>
        <w:numPr>
          <w:ilvl w:val="0"/>
          <w:numId w:val="58"/>
        </w:numPr>
        <w:tabs>
          <w:tab w:val="left" w:pos="993"/>
        </w:tabs>
        <w:spacing w:line="360" w:lineRule="auto"/>
        <w:ind w:left="993" w:hanging="567"/>
        <w:jc w:val="both"/>
        <w:rPr>
          <w:lang w:val="bg-BG" w:eastAsia="ro-RO"/>
        </w:rPr>
      </w:pPr>
      <w:r w:rsidRPr="007375EB">
        <w:rPr>
          <w:lang w:val="bg-BG" w:eastAsia="ro-RO"/>
        </w:rPr>
        <w:t>станция</w:t>
      </w:r>
      <w:r w:rsidR="00591796" w:rsidRPr="007375EB">
        <w:rPr>
          <w:lang w:val="bg-BG" w:eastAsia="ro-RO"/>
        </w:rPr>
        <w:t xml:space="preserve"> </w:t>
      </w:r>
      <w:r w:rsidR="009B49F9" w:rsidRPr="007375EB">
        <w:rPr>
          <w:lang w:val="bg-BG" w:eastAsia="ro-RO"/>
        </w:rPr>
        <w:t>CT</w:t>
      </w:r>
      <w:r w:rsidR="00591796" w:rsidRPr="007375EB">
        <w:rPr>
          <w:lang w:val="bg-BG" w:eastAsia="ro-RO"/>
        </w:rPr>
        <w:t xml:space="preserve">-1- </w:t>
      </w:r>
      <w:r w:rsidRPr="007375EB">
        <w:rPr>
          <w:lang w:val="bg-BG" w:eastAsia="ro-RO"/>
        </w:rPr>
        <w:t xml:space="preserve">пътна станция, разположена в Констанца, Дом на културата, като съответното място е представително по отношение на трафика (радиус на зоната на представителност максимум 100 м); наблюдаваните замърсители са </w:t>
      </w:r>
      <w:r w:rsidR="00591796" w:rsidRPr="007375EB">
        <w:rPr>
          <w:lang w:val="bg-BG" w:eastAsia="ro-RO"/>
        </w:rPr>
        <w:t>SO</w:t>
      </w:r>
      <w:r w:rsidR="00591796" w:rsidRPr="007375EB">
        <w:rPr>
          <w:vertAlign w:val="subscript"/>
          <w:lang w:val="bg-BG" w:eastAsia="ro-RO"/>
        </w:rPr>
        <w:t>2</w:t>
      </w:r>
      <w:r w:rsidR="00591796" w:rsidRPr="007375EB">
        <w:rPr>
          <w:lang w:val="bg-BG" w:eastAsia="ro-RO"/>
        </w:rPr>
        <w:t>, NO</w:t>
      </w:r>
      <w:r w:rsidR="00591796" w:rsidRPr="007375EB">
        <w:rPr>
          <w:vertAlign w:val="subscript"/>
          <w:lang w:val="bg-BG" w:eastAsia="ro-RO"/>
        </w:rPr>
        <w:t>2</w:t>
      </w:r>
      <w:r w:rsidR="00591796" w:rsidRPr="007375EB">
        <w:rPr>
          <w:lang w:val="bg-BG" w:eastAsia="ro-RO"/>
        </w:rPr>
        <w:t>, NO</w:t>
      </w:r>
      <w:r w:rsidR="00591796" w:rsidRPr="007375EB">
        <w:rPr>
          <w:vertAlign w:val="subscript"/>
          <w:lang w:val="bg-BG" w:eastAsia="ro-RO"/>
        </w:rPr>
        <w:t>x</w:t>
      </w:r>
      <w:r w:rsidR="00591796" w:rsidRPr="007375EB">
        <w:rPr>
          <w:lang w:val="bg-BG" w:eastAsia="ro-RO"/>
        </w:rPr>
        <w:t>, PM</w:t>
      </w:r>
      <w:r w:rsidR="00591796" w:rsidRPr="007375EB">
        <w:rPr>
          <w:vertAlign w:val="subscript"/>
          <w:lang w:val="bg-BG" w:eastAsia="ro-RO"/>
        </w:rPr>
        <w:t>10</w:t>
      </w:r>
      <w:r w:rsidR="00591796" w:rsidRPr="007375EB">
        <w:rPr>
          <w:lang w:val="bg-BG" w:eastAsia="ro-RO"/>
        </w:rPr>
        <w:t xml:space="preserve"> </w:t>
      </w:r>
      <w:r w:rsidR="003D1469" w:rsidRPr="007375EB">
        <w:rPr>
          <w:lang w:val="bg-BG" w:eastAsia="ro-RO"/>
        </w:rPr>
        <w:t>Pb, C</w:t>
      </w:r>
      <w:r w:rsidR="003D1469" w:rsidRPr="007375EB">
        <w:rPr>
          <w:vertAlign w:val="subscript"/>
          <w:lang w:val="bg-BG" w:eastAsia="ro-RO"/>
        </w:rPr>
        <w:t>6</w:t>
      </w:r>
      <w:r w:rsidR="003D1469" w:rsidRPr="007375EB">
        <w:rPr>
          <w:lang w:val="bg-BG" w:eastAsia="ro-RO"/>
        </w:rPr>
        <w:t>H</w:t>
      </w:r>
      <w:r w:rsidR="003D1469" w:rsidRPr="007375EB">
        <w:rPr>
          <w:vertAlign w:val="subscript"/>
          <w:lang w:val="bg-BG" w:eastAsia="ro-RO"/>
        </w:rPr>
        <w:t>6</w:t>
      </w:r>
      <w:r w:rsidR="003D1469" w:rsidRPr="007375EB">
        <w:rPr>
          <w:lang w:val="bg-BG" w:eastAsia="ro-RO"/>
        </w:rPr>
        <w:t>, CO, Ni, Cd</w:t>
      </w:r>
      <w:r w:rsidR="00591796" w:rsidRPr="007375EB">
        <w:rPr>
          <w:lang w:val="bg-BG" w:eastAsia="ro-RO"/>
        </w:rPr>
        <w:t xml:space="preserve">; </w:t>
      </w:r>
    </w:p>
    <w:p w14:paraId="6D9D1A9B" w14:textId="75BE2AA4" w:rsidR="00591796" w:rsidRPr="007375EB" w:rsidRDefault="005E0CF0" w:rsidP="00125F99">
      <w:pPr>
        <w:pStyle w:val="BodyTextIndent"/>
        <w:numPr>
          <w:ilvl w:val="0"/>
          <w:numId w:val="58"/>
        </w:numPr>
        <w:tabs>
          <w:tab w:val="left" w:pos="993"/>
        </w:tabs>
        <w:spacing w:line="360" w:lineRule="auto"/>
        <w:jc w:val="both"/>
        <w:rPr>
          <w:lang w:val="bg-BG" w:eastAsia="ro-RO"/>
        </w:rPr>
      </w:pPr>
      <w:r w:rsidRPr="007375EB">
        <w:rPr>
          <w:lang w:val="bg-BG" w:eastAsia="ro-RO"/>
        </w:rPr>
        <w:t xml:space="preserve">станция </w:t>
      </w:r>
      <w:r w:rsidR="003D1469" w:rsidRPr="007375EB">
        <w:rPr>
          <w:lang w:val="bg-BG" w:eastAsia="ro-RO"/>
        </w:rPr>
        <w:t>CT</w:t>
      </w:r>
      <w:r w:rsidR="00591796" w:rsidRPr="007375EB">
        <w:rPr>
          <w:lang w:val="bg-BG" w:eastAsia="ro-RO"/>
        </w:rPr>
        <w:t xml:space="preserve">-2- </w:t>
      </w:r>
      <w:r w:rsidRPr="007375EB">
        <w:rPr>
          <w:lang w:val="bg-BG" w:eastAsia="ro-RO"/>
        </w:rPr>
        <w:t>- Парк на кметството, по-малко засегната от трафика и промишлеността; наблюдавани замърсители SO2, NO2, NOx, CO, PM2.5, O3, бензен толуен, o,m,pxylen, етилбензен, Метеорологични параметри</w:t>
      </w:r>
      <w:r w:rsidR="00591796" w:rsidRPr="007375EB">
        <w:rPr>
          <w:lang w:val="bg-BG" w:eastAsia="ro-RO"/>
        </w:rPr>
        <w:t xml:space="preserve">; </w:t>
      </w:r>
    </w:p>
    <w:p w14:paraId="3F129B6D" w14:textId="1B76CFCA" w:rsidR="00591796" w:rsidRPr="007375EB" w:rsidRDefault="005E0CF0" w:rsidP="00125F99">
      <w:pPr>
        <w:pStyle w:val="BodyTextIndent"/>
        <w:numPr>
          <w:ilvl w:val="0"/>
          <w:numId w:val="58"/>
        </w:numPr>
        <w:tabs>
          <w:tab w:val="left" w:pos="993"/>
        </w:tabs>
        <w:spacing w:line="360" w:lineRule="auto"/>
        <w:ind w:left="993" w:hanging="567"/>
        <w:jc w:val="both"/>
        <w:rPr>
          <w:lang w:val="bg-BG" w:eastAsia="ro-RO"/>
        </w:rPr>
      </w:pPr>
      <w:r w:rsidRPr="007375EB">
        <w:rPr>
          <w:lang w:val="bg-BG" w:eastAsia="ro-RO"/>
        </w:rPr>
        <w:t xml:space="preserve">станция </w:t>
      </w:r>
      <w:r w:rsidR="009813AF" w:rsidRPr="007375EB">
        <w:rPr>
          <w:lang w:val="bg-BG" w:eastAsia="ro-RO"/>
        </w:rPr>
        <w:t>CT</w:t>
      </w:r>
      <w:r w:rsidR="00591796" w:rsidRPr="007375EB">
        <w:rPr>
          <w:lang w:val="bg-BG" w:eastAsia="ro-RO"/>
        </w:rPr>
        <w:t xml:space="preserve">-3- </w:t>
      </w:r>
      <w:r w:rsidRPr="007375EB">
        <w:rPr>
          <w:lang w:val="bg-BG" w:eastAsia="ro-RO"/>
        </w:rPr>
        <w:t xml:space="preserve">крайградска фонова станция, разположена в крайградска среда, в градския район Нъводари Лагер Виктория (зона на представителност 25-150 км), за да се оценят средните нива на замърсяване в голям градски район, дължащи се на явления, които се случват в града, с възможен значителен </w:t>
      </w:r>
      <w:r w:rsidR="00CF714E" w:rsidRPr="007375EB">
        <w:rPr>
          <w:lang w:val="bg-BG" w:eastAsia="ro-RO"/>
        </w:rPr>
        <w:t xml:space="preserve">градска фонова станция, разположена в района на Фантазио </w:t>
      </w:r>
      <w:r w:rsidRPr="007375EB">
        <w:rPr>
          <w:lang w:val="bg-BG" w:eastAsia="ro-RO"/>
        </w:rPr>
        <w:t xml:space="preserve">принос, дължащ се на транспортни явления, </w:t>
      </w:r>
      <w:r w:rsidRPr="007375EB">
        <w:rPr>
          <w:lang w:val="bg-BG" w:eastAsia="ro-RO"/>
        </w:rPr>
        <w:lastRenderedPageBreak/>
        <w:t>произхождащи извън града</w:t>
      </w:r>
      <w:r w:rsidR="00591796" w:rsidRPr="007375EB">
        <w:rPr>
          <w:lang w:val="bg-BG" w:eastAsia="ro-RO"/>
        </w:rPr>
        <w:t xml:space="preserve">; </w:t>
      </w:r>
      <w:r w:rsidRPr="007375EB">
        <w:rPr>
          <w:lang w:val="bg-BG" w:eastAsia="ro-RO"/>
        </w:rPr>
        <w:t xml:space="preserve">наблюдавани замърсители </w:t>
      </w:r>
      <w:r w:rsidR="00357B99" w:rsidRPr="007375EB">
        <w:rPr>
          <w:lang w:val="bg-BG" w:eastAsia="ro-RO"/>
        </w:rPr>
        <w:t>SO</w:t>
      </w:r>
      <w:r w:rsidR="00357B99" w:rsidRPr="007375EB">
        <w:rPr>
          <w:vertAlign w:val="subscript"/>
          <w:lang w:val="bg-BG" w:eastAsia="ro-RO"/>
        </w:rPr>
        <w:t>2</w:t>
      </w:r>
      <w:r w:rsidR="00357B99" w:rsidRPr="007375EB">
        <w:rPr>
          <w:lang w:val="bg-BG" w:eastAsia="ro-RO"/>
        </w:rPr>
        <w:t>, NO</w:t>
      </w:r>
      <w:r w:rsidR="00357B99" w:rsidRPr="007375EB">
        <w:rPr>
          <w:vertAlign w:val="subscript"/>
          <w:lang w:val="bg-BG" w:eastAsia="ro-RO"/>
        </w:rPr>
        <w:t>2</w:t>
      </w:r>
      <w:r w:rsidR="00357B99" w:rsidRPr="007375EB">
        <w:rPr>
          <w:lang w:val="bg-BG" w:eastAsia="ro-RO"/>
        </w:rPr>
        <w:t>, NO</w:t>
      </w:r>
      <w:r w:rsidR="00357B99" w:rsidRPr="007375EB">
        <w:rPr>
          <w:vertAlign w:val="subscript"/>
          <w:lang w:val="bg-BG" w:eastAsia="ro-RO"/>
        </w:rPr>
        <w:t>x</w:t>
      </w:r>
      <w:r w:rsidR="00357B99" w:rsidRPr="007375EB">
        <w:rPr>
          <w:lang w:val="bg-BG" w:eastAsia="ro-RO"/>
        </w:rPr>
        <w:t>, CO, O</w:t>
      </w:r>
      <w:r w:rsidR="00357B99" w:rsidRPr="007375EB">
        <w:rPr>
          <w:vertAlign w:val="subscript"/>
          <w:lang w:val="bg-BG" w:eastAsia="ro-RO"/>
        </w:rPr>
        <w:t>3</w:t>
      </w:r>
      <w:r w:rsidR="00357B99" w:rsidRPr="007375EB">
        <w:rPr>
          <w:lang w:val="bg-BG" w:eastAsia="ro-RO"/>
        </w:rPr>
        <w:t>,</w:t>
      </w:r>
      <w:r w:rsidR="004C70DC" w:rsidRPr="007375EB">
        <w:rPr>
          <w:lang w:val="bg-BG" w:eastAsia="ro-RO"/>
        </w:rPr>
        <w:t xml:space="preserve"> Ni, Cd,</w:t>
      </w:r>
      <w:r w:rsidR="00357B99" w:rsidRPr="007375EB">
        <w:rPr>
          <w:lang w:val="bg-BG" w:eastAsia="ro-RO"/>
        </w:rPr>
        <w:t xml:space="preserve"> </w:t>
      </w:r>
      <w:r w:rsidRPr="007375EB">
        <w:rPr>
          <w:lang w:val="bg-BG" w:eastAsia="ro-RO"/>
        </w:rPr>
        <w:t>бензен толуен</w:t>
      </w:r>
      <w:r w:rsidR="00357B99" w:rsidRPr="007375EB">
        <w:rPr>
          <w:lang w:val="bg-BG" w:eastAsia="ro-RO"/>
        </w:rPr>
        <w:t xml:space="preserve">, o,m,pxylen, </w:t>
      </w:r>
      <w:r w:rsidRPr="007375EB">
        <w:rPr>
          <w:lang w:val="bg-BG" w:eastAsia="ro-RO"/>
        </w:rPr>
        <w:t>етилбензен</w:t>
      </w:r>
      <w:r w:rsidR="004C70DC" w:rsidRPr="007375EB">
        <w:rPr>
          <w:lang w:val="bg-BG" w:eastAsia="ro-RO"/>
        </w:rPr>
        <w:t xml:space="preserve">, </w:t>
      </w:r>
      <w:r w:rsidRPr="007375EB">
        <w:rPr>
          <w:lang w:val="bg-BG" w:eastAsia="ro-RO"/>
        </w:rPr>
        <w:t>Метеорологични параметри</w:t>
      </w:r>
      <w:r w:rsidR="00591796" w:rsidRPr="007375EB">
        <w:rPr>
          <w:lang w:val="bg-BG" w:eastAsia="ro-RO"/>
        </w:rPr>
        <w:t xml:space="preserve">; </w:t>
      </w:r>
    </w:p>
    <w:p w14:paraId="47E18CD3" w14:textId="1B9BB6A1" w:rsidR="00591796" w:rsidRPr="007375EB" w:rsidRDefault="00CF714E" w:rsidP="00125F99">
      <w:pPr>
        <w:pStyle w:val="BodyTextIndent"/>
        <w:numPr>
          <w:ilvl w:val="0"/>
          <w:numId w:val="58"/>
        </w:numPr>
        <w:tabs>
          <w:tab w:val="left" w:pos="993"/>
        </w:tabs>
        <w:spacing w:line="360" w:lineRule="auto"/>
        <w:ind w:left="993" w:hanging="567"/>
        <w:jc w:val="both"/>
        <w:rPr>
          <w:lang w:val="bg-BG" w:eastAsia="ro-RO"/>
        </w:rPr>
      </w:pPr>
      <w:r w:rsidRPr="007375EB">
        <w:rPr>
          <w:lang w:val="bg-BG" w:eastAsia="ro-RO"/>
        </w:rPr>
        <w:t>Станция</w:t>
      </w:r>
      <w:r w:rsidR="00591796" w:rsidRPr="007375EB">
        <w:rPr>
          <w:lang w:val="bg-BG" w:eastAsia="ro-RO"/>
        </w:rPr>
        <w:t xml:space="preserve"> </w:t>
      </w:r>
      <w:r w:rsidR="004C70DC" w:rsidRPr="007375EB">
        <w:rPr>
          <w:lang w:val="bg-BG" w:eastAsia="ro-RO"/>
        </w:rPr>
        <w:t>CT</w:t>
      </w:r>
      <w:r w:rsidR="00591796" w:rsidRPr="007375EB">
        <w:rPr>
          <w:lang w:val="bg-BG" w:eastAsia="ro-RO"/>
        </w:rPr>
        <w:t xml:space="preserve">-4- </w:t>
      </w:r>
      <w:r w:rsidRPr="007375EB">
        <w:rPr>
          <w:lang w:val="bg-BG" w:eastAsia="ro-RO"/>
        </w:rPr>
        <w:t xml:space="preserve">пътна станция, разположена в Мангалия, в градска среда </w:t>
      </w:r>
      <w:r w:rsidR="00FB6B91" w:rsidRPr="007375EB">
        <w:rPr>
          <w:lang w:val="bg-BG" w:eastAsia="ro-RO"/>
        </w:rPr>
        <w:t>(</w:t>
      </w:r>
      <w:r w:rsidRPr="007375EB">
        <w:rPr>
          <w:lang w:val="bg-BG" w:eastAsia="ro-RO"/>
        </w:rPr>
        <w:t xml:space="preserve">зона на представителност </w:t>
      </w:r>
      <w:r w:rsidR="00FB6B91" w:rsidRPr="007375EB">
        <w:rPr>
          <w:lang w:val="bg-BG" w:eastAsia="ro-RO"/>
        </w:rPr>
        <w:t xml:space="preserve">10-100 </w:t>
      </w:r>
      <w:r w:rsidRPr="007375EB">
        <w:rPr>
          <w:lang w:val="bg-BG" w:eastAsia="ro-RO"/>
        </w:rPr>
        <w:t>км</w:t>
      </w:r>
      <w:r w:rsidR="00FB6B91" w:rsidRPr="007375EB">
        <w:rPr>
          <w:lang w:val="bg-BG" w:eastAsia="ro-RO"/>
        </w:rPr>
        <w:t>)</w:t>
      </w:r>
      <w:r w:rsidR="00591796" w:rsidRPr="007375EB">
        <w:rPr>
          <w:lang w:val="bg-BG" w:eastAsia="ro-RO"/>
        </w:rPr>
        <w:t xml:space="preserve">; </w:t>
      </w:r>
      <w:r w:rsidRPr="007375EB">
        <w:rPr>
          <w:lang w:val="bg-BG" w:eastAsia="ro-RO"/>
        </w:rPr>
        <w:t xml:space="preserve">наблюдавани замърсители </w:t>
      </w:r>
      <w:r w:rsidR="00C46849" w:rsidRPr="007375EB">
        <w:rPr>
          <w:lang w:val="bg-BG" w:eastAsia="ro-RO"/>
        </w:rPr>
        <w:t>SO</w:t>
      </w:r>
      <w:r w:rsidR="00C46849" w:rsidRPr="007375EB">
        <w:rPr>
          <w:vertAlign w:val="subscript"/>
          <w:lang w:val="bg-BG" w:eastAsia="ro-RO"/>
        </w:rPr>
        <w:t>2</w:t>
      </w:r>
      <w:r w:rsidR="00C46849" w:rsidRPr="007375EB">
        <w:rPr>
          <w:lang w:val="bg-BG" w:eastAsia="ro-RO"/>
        </w:rPr>
        <w:t>, NO</w:t>
      </w:r>
      <w:r w:rsidR="00C46849" w:rsidRPr="007375EB">
        <w:rPr>
          <w:vertAlign w:val="subscript"/>
          <w:lang w:val="bg-BG" w:eastAsia="ro-RO"/>
        </w:rPr>
        <w:t>2</w:t>
      </w:r>
      <w:r w:rsidR="00C46849" w:rsidRPr="007375EB">
        <w:rPr>
          <w:lang w:val="bg-BG" w:eastAsia="ro-RO"/>
        </w:rPr>
        <w:t>, NO</w:t>
      </w:r>
      <w:r w:rsidR="00C46849" w:rsidRPr="007375EB">
        <w:rPr>
          <w:vertAlign w:val="subscript"/>
          <w:lang w:val="bg-BG" w:eastAsia="ro-RO"/>
        </w:rPr>
        <w:t>x</w:t>
      </w:r>
      <w:r w:rsidR="00C46849" w:rsidRPr="007375EB">
        <w:rPr>
          <w:lang w:val="bg-BG" w:eastAsia="ro-RO"/>
        </w:rPr>
        <w:t>, CO, PM</w:t>
      </w:r>
      <w:r w:rsidR="00C46849" w:rsidRPr="007375EB">
        <w:rPr>
          <w:vertAlign w:val="subscript"/>
          <w:lang w:val="bg-BG" w:eastAsia="ro-RO"/>
        </w:rPr>
        <w:t>10</w:t>
      </w:r>
      <w:r w:rsidR="00C46849" w:rsidRPr="007375EB">
        <w:rPr>
          <w:lang w:val="bg-BG" w:eastAsia="ro-RO"/>
        </w:rPr>
        <w:t xml:space="preserve"> Pb, C</w:t>
      </w:r>
      <w:r w:rsidR="00C46849" w:rsidRPr="007375EB">
        <w:rPr>
          <w:vertAlign w:val="subscript"/>
          <w:lang w:val="bg-BG" w:eastAsia="ro-RO"/>
        </w:rPr>
        <w:t>6</w:t>
      </w:r>
      <w:r w:rsidR="00C46849" w:rsidRPr="007375EB">
        <w:rPr>
          <w:lang w:val="bg-BG" w:eastAsia="ro-RO"/>
        </w:rPr>
        <w:t>H</w:t>
      </w:r>
      <w:r w:rsidR="00C46849" w:rsidRPr="007375EB">
        <w:rPr>
          <w:vertAlign w:val="subscript"/>
          <w:lang w:val="bg-BG" w:eastAsia="ro-RO"/>
        </w:rPr>
        <w:t>6</w:t>
      </w:r>
      <w:r w:rsidR="00591796" w:rsidRPr="007375EB">
        <w:rPr>
          <w:lang w:val="bg-BG" w:eastAsia="ro-RO"/>
        </w:rPr>
        <w:t xml:space="preserve">; </w:t>
      </w:r>
    </w:p>
    <w:p w14:paraId="24EFF099" w14:textId="663BF6B3" w:rsidR="00AC5E35" w:rsidRPr="007375EB" w:rsidRDefault="00CF714E" w:rsidP="00125F99">
      <w:pPr>
        <w:pStyle w:val="BodyTextIndent"/>
        <w:numPr>
          <w:ilvl w:val="0"/>
          <w:numId w:val="58"/>
        </w:numPr>
        <w:tabs>
          <w:tab w:val="left" w:pos="993"/>
        </w:tabs>
        <w:spacing w:line="360" w:lineRule="auto"/>
        <w:ind w:left="993" w:hanging="567"/>
        <w:jc w:val="both"/>
        <w:rPr>
          <w:lang w:val="bg-BG" w:eastAsia="ro-RO"/>
        </w:rPr>
      </w:pPr>
      <w:r w:rsidRPr="007375EB">
        <w:rPr>
          <w:lang w:val="bg-BG" w:eastAsia="ro-RO"/>
        </w:rPr>
        <w:t>станция</w:t>
      </w:r>
      <w:r w:rsidR="00AC5E35" w:rsidRPr="007375EB">
        <w:rPr>
          <w:lang w:val="bg-BG" w:eastAsia="ro-RO"/>
        </w:rPr>
        <w:t xml:space="preserve"> CT-5- </w:t>
      </w:r>
      <w:r w:rsidRPr="007375EB">
        <w:rPr>
          <w:lang w:val="bg-BG" w:eastAsia="ro-RO"/>
        </w:rPr>
        <w:t>станция от индустриален тип, разположена в Констанца, в градска среда на улица Прелунгиреа Лилиакулуй</w:t>
      </w:r>
      <w:r w:rsidR="00720E7D" w:rsidRPr="007375EB">
        <w:rPr>
          <w:lang w:val="bg-BG" w:eastAsia="ro-RO"/>
        </w:rPr>
        <w:t xml:space="preserve"> </w:t>
      </w:r>
      <w:r w:rsidR="003633CF" w:rsidRPr="007375EB">
        <w:rPr>
          <w:lang w:val="bg-BG" w:eastAsia="ro-RO"/>
        </w:rPr>
        <w:t>(</w:t>
      </w:r>
      <w:r w:rsidRPr="007375EB">
        <w:rPr>
          <w:lang w:val="bg-BG" w:eastAsia="ro-RO"/>
        </w:rPr>
        <w:t xml:space="preserve">зона на представителност </w:t>
      </w:r>
      <w:r w:rsidR="00720E7D" w:rsidRPr="007375EB">
        <w:rPr>
          <w:lang w:val="bg-BG" w:eastAsia="ro-RO"/>
        </w:rPr>
        <w:t>1</w:t>
      </w:r>
      <w:r w:rsidR="003633CF" w:rsidRPr="007375EB">
        <w:rPr>
          <w:lang w:val="bg-BG" w:eastAsia="ro-RO"/>
        </w:rPr>
        <w:t xml:space="preserve"> </w:t>
      </w:r>
      <w:r w:rsidRPr="007375EB">
        <w:rPr>
          <w:lang w:val="bg-BG" w:eastAsia="ro-RO"/>
        </w:rPr>
        <w:t>км</w:t>
      </w:r>
      <w:r w:rsidR="003633CF" w:rsidRPr="007375EB">
        <w:rPr>
          <w:lang w:val="bg-BG" w:eastAsia="ro-RO"/>
        </w:rPr>
        <w:t>)</w:t>
      </w:r>
      <w:r w:rsidR="00AC5E35" w:rsidRPr="007375EB">
        <w:rPr>
          <w:lang w:val="bg-BG" w:eastAsia="ro-RO"/>
        </w:rPr>
        <w:t xml:space="preserve">; </w:t>
      </w:r>
      <w:r w:rsidRPr="007375EB">
        <w:rPr>
          <w:lang w:val="bg-BG" w:eastAsia="ro-RO"/>
        </w:rPr>
        <w:t xml:space="preserve">наблюдавани замърсители </w:t>
      </w:r>
      <w:r w:rsidR="00BF74C3" w:rsidRPr="007375EB">
        <w:rPr>
          <w:lang w:val="bg-BG" w:eastAsia="ro-RO"/>
        </w:rPr>
        <w:t>SO</w:t>
      </w:r>
      <w:r w:rsidR="00BF74C3" w:rsidRPr="007375EB">
        <w:rPr>
          <w:vertAlign w:val="subscript"/>
          <w:lang w:val="bg-BG" w:eastAsia="ro-RO"/>
        </w:rPr>
        <w:t>2</w:t>
      </w:r>
      <w:r w:rsidR="00BF74C3" w:rsidRPr="007375EB">
        <w:rPr>
          <w:lang w:val="bg-BG" w:eastAsia="ro-RO"/>
        </w:rPr>
        <w:t>, NO</w:t>
      </w:r>
      <w:r w:rsidR="00BF74C3" w:rsidRPr="007375EB">
        <w:rPr>
          <w:vertAlign w:val="subscript"/>
          <w:lang w:val="bg-BG" w:eastAsia="ro-RO"/>
        </w:rPr>
        <w:t>2</w:t>
      </w:r>
      <w:r w:rsidR="00BF74C3" w:rsidRPr="007375EB">
        <w:rPr>
          <w:lang w:val="bg-BG" w:eastAsia="ro-RO"/>
        </w:rPr>
        <w:t>, NO</w:t>
      </w:r>
      <w:r w:rsidR="00BF74C3" w:rsidRPr="007375EB">
        <w:rPr>
          <w:vertAlign w:val="subscript"/>
          <w:lang w:val="bg-BG" w:eastAsia="ro-RO"/>
        </w:rPr>
        <w:t>x</w:t>
      </w:r>
      <w:r w:rsidR="00BF74C3" w:rsidRPr="007375EB">
        <w:rPr>
          <w:lang w:val="bg-BG" w:eastAsia="ro-RO"/>
        </w:rPr>
        <w:t>, PM</w:t>
      </w:r>
      <w:r w:rsidR="00BF74C3" w:rsidRPr="007375EB">
        <w:rPr>
          <w:vertAlign w:val="subscript"/>
          <w:lang w:val="bg-BG" w:eastAsia="ro-RO"/>
        </w:rPr>
        <w:t>10</w:t>
      </w:r>
      <w:r w:rsidR="00BF74C3" w:rsidRPr="007375EB">
        <w:rPr>
          <w:lang w:val="bg-BG" w:eastAsia="ro-RO"/>
        </w:rPr>
        <w:t xml:space="preserve"> Pb, C</w:t>
      </w:r>
      <w:r w:rsidR="00BF74C3" w:rsidRPr="007375EB">
        <w:rPr>
          <w:vertAlign w:val="subscript"/>
          <w:lang w:val="bg-BG" w:eastAsia="ro-RO"/>
        </w:rPr>
        <w:t>6</w:t>
      </w:r>
      <w:r w:rsidR="00BF74C3" w:rsidRPr="007375EB">
        <w:rPr>
          <w:lang w:val="bg-BG" w:eastAsia="ro-RO"/>
        </w:rPr>
        <w:t>H</w:t>
      </w:r>
      <w:r w:rsidR="00BF74C3" w:rsidRPr="007375EB">
        <w:rPr>
          <w:vertAlign w:val="subscript"/>
          <w:lang w:val="bg-BG" w:eastAsia="ro-RO"/>
        </w:rPr>
        <w:t>6</w:t>
      </w:r>
      <w:r w:rsidR="00BF74C3" w:rsidRPr="007375EB">
        <w:rPr>
          <w:lang w:val="bg-BG" w:eastAsia="ro-RO"/>
        </w:rPr>
        <w:t>, CO, O</w:t>
      </w:r>
      <w:r w:rsidR="00BF74C3" w:rsidRPr="007375EB">
        <w:rPr>
          <w:vertAlign w:val="subscript"/>
          <w:lang w:val="bg-BG" w:eastAsia="ro-RO"/>
        </w:rPr>
        <w:t>3</w:t>
      </w:r>
      <w:r w:rsidR="00BF74C3" w:rsidRPr="007375EB">
        <w:rPr>
          <w:lang w:val="bg-BG" w:eastAsia="ro-RO"/>
        </w:rPr>
        <w:t>, Ni, Cd</w:t>
      </w:r>
      <w:r w:rsidR="00B64920" w:rsidRPr="007375EB">
        <w:rPr>
          <w:lang w:val="bg-BG" w:eastAsia="ro-RO"/>
        </w:rPr>
        <w:t xml:space="preserve">, </w:t>
      </w:r>
      <w:r w:rsidRPr="007375EB">
        <w:rPr>
          <w:lang w:val="bg-BG" w:eastAsia="ro-RO"/>
        </w:rPr>
        <w:t>Метеорологични параметри</w:t>
      </w:r>
      <w:r w:rsidR="00AC5E35" w:rsidRPr="007375EB">
        <w:rPr>
          <w:lang w:val="bg-BG" w:eastAsia="ro-RO"/>
        </w:rPr>
        <w:t xml:space="preserve">; </w:t>
      </w:r>
    </w:p>
    <w:p w14:paraId="6ED770AD" w14:textId="60D73BF2" w:rsidR="00BF74C3" w:rsidRPr="007375EB" w:rsidRDefault="00CF714E" w:rsidP="00125F99">
      <w:pPr>
        <w:pStyle w:val="BodyTextIndent"/>
        <w:numPr>
          <w:ilvl w:val="0"/>
          <w:numId w:val="58"/>
        </w:numPr>
        <w:tabs>
          <w:tab w:val="left" w:pos="993"/>
        </w:tabs>
        <w:spacing w:line="360" w:lineRule="auto"/>
        <w:ind w:left="993" w:hanging="567"/>
        <w:jc w:val="both"/>
        <w:rPr>
          <w:lang w:val="bg-BG" w:eastAsia="ro-RO"/>
        </w:rPr>
      </w:pPr>
      <w:r w:rsidRPr="007375EB">
        <w:rPr>
          <w:lang w:val="bg-BG" w:eastAsia="ro-RO"/>
        </w:rPr>
        <w:t>станция</w:t>
      </w:r>
      <w:r w:rsidR="00BF74C3" w:rsidRPr="007375EB">
        <w:rPr>
          <w:lang w:val="bg-BG" w:eastAsia="ro-RO"/>
        </w:rPr>
        <w:t xml:space="preserve"> CT-</w:t>
      </w:r>
      <w:r w:rsidR="00DF3D5B" w:rsidRPr="007375EB">
        <w:rPr>
          <w:lang w:val="bg-BG" w:eastAsia="ro-RO"/>
        </w:rPr>
        <w:t>6</w:t>
      </w:r>
      <w:r w:rsidR="00BF74C3" w:rsidRPr="007375EB">
        <w:rPr>
          <w:lang w:val="bg-BG" w:eastAsia="ro-RO"/>
        </w:rPr>
        <w:t xml:space="preserve">- </w:t>
      </w:r>
      <w:r w:rsidRPr="007375EB">
        <w:rPr>
          <w:lang w:val="bg-BG" w:eastAsia="ro-RO"/>
        </w:rPr>
        <w:t>станция от индустриален тип</w:t>
      </w:r>
      <w:r w:rsidR="00BF74C3" w:rsidRPr="007375EB">
        <w:rPr>
          <w:lang w:val="bg-BG" w:eastAsia="ro-RO"/>
        </w:rPr>
        <w:t xml:space="preserve">, </w:t>
      </w:r>
      <w:r w:rsidRPr="007375EB">
        <w:rPr>
          <w:lang w:val="bg-BG" w:eastAsia="ro-RO"/>
        </w:rPr>
        <w:t>разположена в град Нъводари</w:t>
      </w:r>
      <w:r w:rsidR="00BF74C3" w:rsidRPr="007375EB">
        <w:rPr>
          <w:lang w:val="bg-BG" w:eastAsia="ro-RO"/>
        </w:rPr>
        <w:t xml:space="preserve">, </w:t>
      </w:r>
      <w:r w:rsidRPr="007375EB">
        <w:rPr>
          <w:lang w:val="bg-BG" w:eastAsia="ro-RO"/>
        </w:rPr>
        <w:t>в градска среда</w:t>
      </w:r>
      <w:r w:rsidR="00DF3D5B" w:rsidRPr="007375EB">
        <w:rPr>
          <w:lang w:val="bg-BG" w:eastAsia="ro-RO"/>
        </w:rPr>
        <w:t>,</w:t>
      </w:r>
      <w:r w:rsidR="00BF74C3" w:rsidRPr="007375EB">
        <w:rPr>
          <w:lang w:val="bg-BG" w:eastAsia="ro-RO"/>
        </w:rPr>
        <w:t xml:space="preserve"> </w:t>
      </w:r>
      <w:r w:rsidRPr="007375EB">
        <w:rPr>
          <w:lang w:val="bg-BG" w:eastAsia="ro-RO"/>
        </w:rPr>
        <w:t xml:space="preserve">в района на гимназия Лазар Еделяну </w:t>
      </w:r>
      <w:r w:rsidR="00BF74C3" w:rsidRPr="007375EB">
        <w:rPr>
          <w:lang w:val="bg-BG" w:eastAsia="ro-RO"/>
        </w:rPr>
        <w:t>(</w:t>
      </w:r>
      <w:r w:rsidRPr="007375EB">
        <w:rPr>
          <w:lang w:val="bg-BG" w:eastAsia="ro-RO"/>
        </w:rPr>
        <w:t xml:space="preserve">зона на представителност </w:t>
      </w:r>
      <w:r w:rsidR="00BF74C3" w:rsidRPr="007375EB">
        <w:rPr>
          <w:lang w:val="bg-BG" w:eastAsia="ro-RO"/>
        </w:rPr>
        <w:t xml:space="preserve">1 </w:t>
      </w:r>
      <w:r w:rsidRPr="007375EB">
        <w:rPr>
          <w:lang w:val="bg-BG" w:eastAsia="ro-RO"/>
        </w:rPr>
        <w:t>км</w:t>
      </w:r>
      <w:r w:rsidR="00BF74C3" w:rsidRPr="007375EB">
        <w:rPr>
          <w:lang w:val="bg-BG" w:eastAsia="ro-RO"/>
        </w:rPr>
        <w:t xml:space="preserve">); </w:t>
      </w:r>
      <w:r w:rsidRPr="007375EB">
        <w:rPr>
          <w:lang w:val="bg-BG" w:eastAsia="ro-RO"/>
        </w:rPr>
        <w:t xml:space="preserve">наблюдавани замърсители </w:t>
      </w:r>
      <w:r w:rsidR="007810AF" w:rsidRPr="007375EB">
        <w:rPr>
          <w:lang w:val="bg-BG" w:eastAsia="ro-RO"/>
        </w:rPr>
        <w:t>SO</w:t>
      </w:r>
      <w:r w:rsidR="007810AF" w:rsidRPr="007375EB">
        <w:rPr>
          <w:vertAlign w:val="subscript"/>
          <w:lang w:val="bg-BG" w:eastAsia="ro-RO"/>
        </w:rPr>
        <w:t>2</w:t>
      </w:r>
      <w:r w:rsidR="007810AF" w:rsidRPr="007375EB">
        <w:rPr>
          <w:lang w:val="bg-BG" w:eastAsia="ro-RO"/>
        </w:rPr>
        <w:t>, NO</w:t>
      </w:r>
      <w:r w:rsidR="007810AF" w:rsidRPr="007375EB">
        <w:rPr>
          <w:vertAlign w:val="subscript"/>
          <w:lang w:val="bg-BG" w:eastAsia="ro-RO"/>
        </w:rPr>
        <w:t>2</w:t>
      </w:r>
      <w:r w:rsidR="007810AF" w:rsidRPr="007375EB">
        <w:rPr>
          <w:lang w:val="bg-BG" w:eastAsia="ro-RO"/>
        </w:rPr>
        <w:t>, NO</w:t>
      </w:r>
      <w:r w:rsidR="007810AF" w:rsidRPr="007375EB">
        <w:rPr>
          <w:vertAlign w:val="subscript"/>
          <w:lang w:val="bg-BG" w:eastAsia="ro-RO"/>
        </w:rPr>
        <w:t>x</w:t>
      </w:r>
      <w:r w:rsidR="007810AF" w:rsidRPr="007375EB">
        <w:rPr>
          <w:lang w:val="bg-BG" w:eastAsia="ro-RO"/>
        </w:rPr>
        <w:t>, CO, PM</w:t>
      </w:r>
      <w:r w:rsidR="008B6FEC" w:rsidRPr="007375EB">
        <w:rPr>
          <w:vertAlign w:val="subscript"/>
          <w:lang w:val="bg-BG" w:eastAsia="ro-RO"/>
        </w:rPr>
        <w:t>10</w:t>
      </w:r>
      <w:r w:rsidR="007810AF" w:rsidRPr="007375EB">
        <w:rPr>
          <w:lang w:val="bg-BG" w:eastAsia="ro-RO"/>
        </w:rPr>
        <w:t>, O</w:t>
      </w:r>
      <w:r w:rsidR="007810AF" w:rsidRPr="007375EB">
        <w:rPr>
          <w:vertAlign w:val="subscript"/>
          <w:lang w:val="bg-BG" w:eastAsia="ro-RO"/>
        </w:rPr>
        <w:t>3</w:t>
      </w:r>
      <w:r w:rsidR="007810AF" w:rsidRPr="007375EB">
        <w:rPr>
          <w:lang w:val="bg-BG" w:eastAsia="ro-RO"/>
        </w:rPr>
        <w:t xml:space="preserve">, </w:t>
      </w:r>
      <w:r w:rsidR="002535E6" w:rsidRPr="007375EB">
        <w:rPr>
          <w:lang w:val="bg-BG" w:eastAsia="ro-RO"/>
        </w:rPr>
        <w:t>benzen</w:t>
      </w:r>
      <w:r w:rsidR="00B436BE" w:rsidRPr="007375EB">
        <w:rPr>
          <w:lang w:val="bg-BG" w:eastAsia="ro-RO"/>
        </w:rPr>
        <w:t xml:space="preserve">, </w:t>
      </w:r>
      <w:r w:rsidRPr="007375EB">
        <w:rPr>
          <w:lang w:val="bg-BG" w:eastAsia="ro-RO"/>
        </w:rPr>
        <w:t>Метеорологични параметри</w:t>
      </w:r>
      <w:r w:rsidR="00BF74C3" w:rsidRPr="007375EB">
        <w:rPr>
          <w:lang w:val="bg-BG" w:eastAsia="ro-RO"/>
        </w:rPr>
        <w:t xml:space="preserve">; </w:t>
      </w:r>
    </w:p>
    <w:p w14:paraId="3493C872" w14:textId="614124B4" w:rsidR="00B436BE" w:rsidRPr="007375EB" w:rsidRDefault="00CF714E" w:rsidP="00125F99">
      <w:pPr>
        <w:pStyle w:val="BodyTextIndent"/>
        <w:numPr>
          <w:ilvl w:val="0"/>
          <w:numId w:val="58"/>
        </w:numPr>
        <w:tabs>
          <w:tab w:val="left" w:pos="993"/>
        </w:tabs>
        <w:spacing w:line="360" w:lineRule="auto"/>
        <w:ind w:left="993" w:hanging="567"/>
        <w:jc w:val="both"/>
        <w:rPr>
          <w:lang w:val="bg-BG" w:eastAsia="ro-RO"/>
        </w:rPr>
      </w:pPr>
      <w:r w:rsidRPr="007375EB">
        <w:rPr>
          <w:lang w:val="bg-BG" w:eastAsia="ro-RO"/>
        </w:rPr>
        <w:t>станция</w:t>
      </w:r>
      <w:r w:rsidR="00B436BE" w:rsidRPr="007375EB">
        <w:rPr>
          <w:lang w:val="bg-BG" w:eastAsia="ro-RO"/>
        </w:rPr>
        <w:t xml:space="preserve"> CT-7- </w:t>
      </w:r>
      <w:r w:rsidRPr="007375EB">
        <w:rPr>
          <w:lang w:val="bg-BG" w:eastAsia="ro-RO"/>
        </w:rPr>
        <w:t>станция от индустриален тип</w:t>
      </w:r>
      <w:r w:rsidR="00B436BE" w:rsidRPr="007375EB">
        <w:rPr>
          <w:lang w:val="bg-BG" w:eastAsia="ro-RO"/>
        </w:rPr>
        <w:t xml:space="preserve">, </w:t>
      </w:r>
      <w:r w:rsidRPr="007375EB">
        <w:rPr>
          <w:lang w:val="bg-BG" w:eastAsia="ro-RO"/>
        </w:rPr>
        <w:t>разположена в градска среда в района на кметството на Меджидия</w:t>
      </w:r>
      <w:r w:rsidR="00B436BE" w:rsidRPr="007375EB">
        <w:rPr>
          <w:lang w:val="bg-BG" w:eastAsia="ro-RO"/>
        </w:rPr>
        <w:t xml:space="preserve"> (</w:t>
      </w:r>
      <w:r w:rsidRPr="007375EB">
        <w:rPr>
          <w:lang w:val="bg-BG" w:eastAsia="ro-RO"/>
        </w:rPr>
        <w:t>зона на представителност</w:t>
      </w:r>
      <w:r w:rsidR="00B436BE" w:rsidRPr="007375EB">
        <w:rPr>
          <w:lang w:val="bg-BG" w:eastAsia="ro-RO"/>
        </w:rPr>
        <w:t xml:space="preserve"> 1 </w:t>
      </w:r>
      <w:r w:rsidRPr="007375EB">
        <w:rPr>
          <w:lang w:val="bg-BG" w:eastAsia="ro-RO"/>
        </w:rPr>
        <w:t>км</w:t>
      </w:r>
      <w:r w:rsidR="00B436BE" w:rsidRPr="007375EB">
        <w:rPr>
          <w:lang w:val="bg-BG" w:eastAsia="ro-RO"/>
        </w:rPr>
        <w:t xml:space="preserve">); </w:t>
      </w:r>
      <w:r w:rsidRPr="007375EB">
        <w:rPr>
          <w:lang w:val="bg-BG" w:eastAsia="ro-RO"/>
        </w:rPr>
        <w:t xml:space="preserve">наблюдавани замърсители </w:t>
      </w:r>
      <w:r w:rsidR="00B436BE" w:rsidRPr="007375EB">
        <w:rPr>
          <w:lang w:val="bg-BG" w:eastAsia="ro-RO"/>
        </w:rPr>
        <w:t>SO</w:t>
      </w:r>
      <w:r w:rsidR="00B436BE" w:rsidRPr="007375EB">
        <w:rPr>
          <w:vertAlign w:val="subscript"/>
          <w:lang w:val="bg-BG" w:eastAsia="ro-RO"/>
        </w:rPr>
        <w:t>2</w:t>
      </w:r>
      <w:r w:rsidR="00B436BE" w:rsidRPr="007375EB">
        <w:rPr>
          <w:lang w:val="bg-BG" w:eastAsia="ro-RO"/>
        </w:rPr>
        <w:t>, NO</w:t>
      </w:r>
      <w:r w:rsidR="00B436BE" w:rsidRPr="007375EB">
        <w:rPr>
          <w:vertAlign w:val="subscript"/>
          <w:lang w:val="bg-BG" w:eastAsia="ro-RO"/>
        </w:rPr>
        <w:t>2</w:t>
      </w:r>
      <w:r w:rsidR="00B436BE" w:rsidRPr="007375EB">
        <w:rPr>
          <w:lang w:val="bg-BG" w:eastAsia="ro-RO"/>
        </w:rPr>
        <w:t>, NO</w:t>
      </w:r>
      <w:r w:rsidR="00B436BE" w:rsidRPr="007375EB">
        <w:rPr>
          <w:vertAlign w:val="subscript"/>
          <w:lang w:val="bg-BG" w:eastAsia="ro-RO"/>
        </w:rPr>
        <w:t>x</w:t>
      </w:r>
      <w:r w:rsidR="00B436BE" w:rsidRPr="007375EB">
        <w:rPr>
          <w:lang w:val="bg-BG" w:eastAsia="ro-RO"/>
        </w:rPr>
        <w:t>, PM</w:t>
      </w:r>
      <w:r w:rsidR="00B436BE" w:rsidRPr="007375EB">
        <w:rPr>
          <w:vertAlign w:val="subscript"/>
          <w:lang w:val="bg-BG" w:eastAsia="ro-RO"/>
        </w:rPr>
        <w:t>10</w:t>
      </w:r>
      <w:r w:rsidR="00B436BE" w:rsidRPr="007375EB">
        <w:rPr>
          <w:lang w:val="bg-BG" w:eastAsia="ro-RO"/>
        </w:rPr>
        <w:t xml:space="preserve"> Pb, CO, O</w:t>
      </w:r>
      <w:r w:rsidR="00B436BE" w:rsidRPr="007375EB">
        <w:rPr>
          <w:vertAlign w:val="subscript"/>
          <w:lang w:val="bg-BG" w:eastAsia="ro-RO"/>
        </w:rPr>
        <w:t>3</w:t>
      </w:r>
      <w:r w:rsidR="00B436BE" w:rsidRPr="007375EB">
        <w:rPr>
          <w:lang w:val="bg-BG" w:eastAsia="ro-RO"/>
        </w:rPr>
        <w:t xml:space="preserve">, </w:t>
      </w:r>
      <w:r w:rsidRPr="007375EB">
        <w:rPr>
          <w:lang w:val="bg-BG" w:eastAsia="ro-RO"/>
        </w:rPr>
        <w:t>Метеорологични параметри</w:t>
      </w:r>
      <w:r w:rsidR="00B436BE" w:rsidRPr="007375EB">
        <w:rPr>
          <w:lang w:val="bg-BG" w:eastAsia="ro-RO"/>
        </w:rPr>
        <w:t xml:space="preserve">; </w:t>
      </w:r>
    </w:p>
    <w:p w14:paraId="26A77EB8" w14:textId="13FA151C" w:rsidR="00A8087C" w:rsidRPr="007375EB" w:rsidRDefault="00CF714E" w:rsidP="00125F99">
      <w:pPr>
        <w:pStyle w:val="BodyTextIndent"/>
        <w:numPr>
          <w:ilvl w:val="0"/>
          <w:numId w:val="58"/>
        </w:numPr>
        <w:tabs>
          <w:tab w:val="left" w:pos="993"/>
        </w:tabs>
        <w:spacing w:line="360" w:lineRule="auto"/>
        <w:ind w:left="993" w:hanging="567"/>
        <w:jc w:val="both"/>
        <w:rPr>
          <w:lang w:val="bg-BG" w:eastAsia="ro-RO"/>
        </w:rPr>
      </w:pPr>
      <w:r w:rsidRPr="007375EB">
        <w:rPr>
          <w:lang w:val="bg-BG" w:eastAsia="ro-RO"/>
        </w:rPr>
        <w:t>станция</w:t>
      </w:r>
      <w:r w:rsidR="00A8087C" w:rsidRPr="007375EB">
        <w:rPr>
          <w:lang w:val="bg-BG" w:eastAsia="ro-RO"/>
        </w:rPr>
        <w:t xml:space="preserve"> CT-8- </w:t>
      </w:r>
      <w:r w:rsidRPr="007375EB">
        <w:rPr>
          <w:lang w:val="bg-BG" w:eastAsia="ro-RO"/>
        </w:rPr>
        <w:t xml:space="preserve">градска фонова станция, разположена в градска среда в град Мангалия, улица Кришаней </w:t>
      </w:r>
      <w:r w:rsidR="00A8087C" w:rsidRPr="007375EB">
        <w:rPr>
          <w:lang w:val="bg-BG" w:eastAsia="ro-RO"/>
        </w:rPr>
        <w:t>(</w:t>
      </w:r>
      <w:r w:rsidRPr="007375EB">
        <w:rPr>
          <w:lang w:val="bg-BG" w:eastAsia="ro-RO"/>
        </w:rPr>
        <w:t>зона на представителност 1 км</w:t>
      </w:r>
      <w:r w:rsidR="00A8087C" w:rsidRPr="007375EB">
        <w:rPr>
          <w:lang w:val="bg-BG" w:eastAsia="ro-RO"/>
        </w:rPr>
        <w:t xml:space="preserve">); </w:t>
      </w:r>
      <w:r w:rsidRPr="007375EB">
        <w:rPr>
          <w:lang w:val="bg-BG" w:eastAsia="ro-RO"/>
        </w:rPr>
        <w:t xml:space="preserve">наблюдавани замърсители </w:t>
      </w:r>
      <w:r w:rsidR="00A8087C" w:rsidRPr="007375EB">
        <w:rPr>
          <w:lang w:val="bg-BG" w:eastAsia="ro-RO"/>
        </w:rPr>
        <w:t>NO</w:t>
      </w:r>
      <w:r w:rsidR="00A8087C" w:rsidRPr="007375EB">
        <w:rPr>
          <w:vertAlign w:val="subscript"/>
          <w:lang w:val="bg-BG" w:eastAsia="ro-RO"/>
        </w:rPr>
        <w:t>2</w:t>
      </w:r>
      <w:r w:rsidR="00A8087C" w:rsidRPr="007375EB">
        <w:rPr>
          <w:lang w:val="bg-BG" w:eastAsia="ro-RO"/>
        </w:rPr>
        <w:t>, NO</w:t>
      </w:r>
      <w:r w:rsidR="00A8087C" w:rsidRPr="007375EB">
        <w:rPr>
          <w:vertAlign w:val="subscript"/>
          <w:lang w:val="bg-BG" w:eastAsia="ro-RO"/>
        </w:rPr>
        <w:t>x</w:t>
      </w:r>
      <w:r w:rsidR="00A8087C" w:rsidRPr="007375EB">
        <w:rPr>
          <w:lang w:val="bg-BG" w:eastAsia="ro-RO"/>
        </w:rPr>
        <w:t>, PM</w:t>
      </w:r>
      <w:r w:rsidR="00A8087C" w:rsidRPr="007375EB">
        <w:rPr>
          <w:vertAlign w:val="subscript"/>
          <w:lang w:val="bg-BG" w:eastAsia="ro-RO"/>
        </w:rPr>
        <w:t>10</w:t>
      </w:r>
      <w:r w:rsidR="00A8087C" w:rsidRPr="007375EB">
        <w:rPr>
          <w:lang w:val="bg-BG" w:eastAsia="ro-RO"/>
        </w:rPr>
        <w:t xml:space="preserve"> </w:t>
      </w:r>
      <w:r w:rsidRPr="007375EB">
        <w:rPr>
          <w:lang w:val="bg-BG" w:eastAsia="ro-RO"/>
        </w:rPr>
        <w:t>Метеорологични параметри</w:t>
      </w:r>
      <w:r w:rsidR="00A8087C" w:rsidRPr="007375EB">
        <w:rPr>
          <w:lang w:val="bg-BG" w:eastAsia="ro-RO"/>
        </w:rPr>
        <w:t xml:space="preserve">; </w:t>
      </w:r>
    </w:p>
    <w:p w14:paraId="5B35398D" w14:textId="6DD026BA" w:rsidR="00CF714E" w:rsidRPr="007375EB" w:rsidRDefault="00CF714E" w:rsidP="00CF714E">
      <w:pPr>
        <w:spacing w:after="120" w:line="360" w:lineRule="auto"/>
        <w:jc w:val="both"/>
        <w:rPr>
          <w:iCs/>
          <w:lang w:val="bg-BG"/>
        </w:rPr>
      </w:pPr>
      <w:r w:rsidRPr="007375EB">
        <w:rPr>
          <w:iCs/>
          <w:lang w:val="bg-BG"/>
        </w:rPr>
        <w:t xml:space="preserve">Община Черкезу не попада в радиуса на влияние на тези станции за мониторинг и в нейния район няма станции за измерване на качеството на въздуха в реално време (автомобилен транспорт). </w:t>
      </w:r>
    </w:p>
    <w:p w14:paraId="23EDC711" w14:textId="0D125A2A" w:rsidR="00CF714E" w:rsidRPr="007375EB" w:rsidRDefault="00CF714E" w:rsidP="00CF714E">
      <w:pPr>
        <w:spacing w:after="120" w:line="360" w:lineRule="auto"/>
        <w:jc w:val="both"/>
        <w:rPr>
          <w:iCs/>
          <w:lang w:val="bg-BG"/>
        </w:rPr>
      </w:pPr>
      <w:r w:rsidRPr="007375EB">
        <w:rPr>
          <w:iCs/>
          <w:lang w:val="bg-BG"/>
        </w:rPr>
        <w:t>Към момента на изготвяне на настоящия Доклад за околната среда не е налична информация за определянето на качеството на въздуха в община Черчесу.</w:t>
      </w:r>
    </w:p>
    <w:p w14:paraId="42658EC8" w14:textId="73FA9FC7" w:rsidR="005A762F" w:rsidRPr="007375EB" w:rsidRDefault="00CF714E" w:rsidP="00CF714E">
      <w:pPr>
        <w:spacing w:after="120" w:line="360" w:lineRule="auto"/>
        <w:jc w:val="both"/>
        <w:rPr>
          <w:rFonts w:eastAsia="Times New Roman" w:cs="Times New Roman"/>
          <w:lang w:val="bg-BG" w:eastAsia="ro-RO"/>
        </w:rPr>
      </w:pPr>
      <w:r w:rsidRPr="007375EB">
        <w:rPr>
          <w:iCs/>
          <w:lang w:val="bg-BG"/>
        </w:rPr>
        <w:t>За да се установи актуалната ситуация с качеството на въздуха в района на предложения план, беше извършен анализ на картите за качеството на въздуха за показателите PM10, PM2,5, NO2 и O3, налични на европейско ниво</w:t>
      </w:r>
      <w:r w:rsidR="005A762F" w:rsidRPr="007375EB">
        <w:rPr>
          <w:rFonts w:eastAsia="Times New Roman" w:cs="Times New Roman"/>
          <w:lang w:val="bg-BG" w:eastAsia="ro-RO"/>
        </w:rPr>
        <w:t>.</w:t>
      </w:r>
    </w:p>
    <w:p w14:paraId="55374379" w14:textId="5051F10F" w:rsidR="00DA68B0" w:rsidRPr="007375EB" w:rsidRDefault="00DA68B0" w:rsidP="00D649E5">
      <w:pPr>
        <w:spacing w:line="240" w:lineRule="auto"/>
        <w:jc w:val="both"/>
        <w:rPr>
          <w:iCs/>
          <w:lang w:val="bg-BG"/>
        </w:rPr>
      </w:pPr>
      <w:r w:rsidRPr="007375EB">
        <w:rPr>
          <w:noProof/>
          <w:lang w:val="bg-BG"/>
        </w:rPr>
        <w:lastRenderedPageBreak/>
        <w:drawing>
          <wp:inline distT="0" distB="0" distL="0" distR="0" wp14:anchorId="171BA3A9" wp14:editId="78083E2B">
            <wp:extent cx="6145218" cy="4347714"/>
            <wp:effectExtent l="0" t="0" r="825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48113" cy="4349762"/>
                    </a:xfrm>
                    <a:prstGeom prst="rect">
                      <a:avLst/>
                    </a:prstGeom>
                    <a:noFill/>
                    <a:ln>
                      <a:noFill/>
                    </a:ln>
                  </pic:spPr>
                </pic:pic>
              </a:graphicData>
            </a:graphic>
          </wp:inline>
        </w:drawing>
      </w:r>
    </w:p>
    <w:p w14:paraId="0F5C2E22" w14:textId="78EB9E31" w:rsidR="00833177" w:rsidRPr="007375EB" w:rsidRDefault="00CF714E" w:rsidP="00D649E5">
      <w:pPr>
        <w:spacing w:line="240" w:lineRule="auto"/>
        <w:jc w:val="both"/>
        <w:rPr>
          <w:iCs/>
          <w:lang w:val="bg-BG"/>
        </w:rPr>
      </w:pPr>
      <w:r w:rsidRPr="007375EB">
        <w:rPr>
          <w:i/>
          <w:iCs/>
          <w:color w:val="009DF0" w:themeColor="text2"/>
          <w:sz w:val="14"/>
          <w:lang w:val="bg-BG"/>
        </w:rPr>
        <w:t>Източник: обработка по Европейската агенция по околна среда</w:t>
      </w:r>
    </w:p>
    <w:p w14:paraId="7D07F809" w14:textId="00586D70" w:rsidR="0009662E" w:rsidRPr="007375EB" w:rsidRDefault="00CF714E" w:rsidP="00D649E5">
      <w:pPr>
        <w:pStyle w:val="Caption"/>
        <w:spacing w:before="0" w:after="0" w:line="240" w:lineRule="auto"/>
        <w:jc w:val="center"/>
        <w:rPr>
          <w:iCs/>
          <w:sz w:val="16"/>
          <w:szCs w:val="16"/>
          <w:lang w:val="bg-BG"/>
        </w:rPr>
      </w:pPr>
      <w:r w:rsidRPr="007375EB">
        <w:rPr>
          <w:sz w:val="16"/>
          <w:szCs w:val="16"/>
          <w:lang w:val="bg-BG"/>
        </w:rPr>
        <w:t xml:space="preserve">Фигура 2. 6 Средногодишна стойност за параметъра </w:t>
      </w:r>
      <w:r w:rsidR="0009662E" w:rsidRPr="007375EB">
        <w:rPr>
          <w:sz w:val="16"/>
          <w:szCs w:val="16"/>
          <w:lang w:val="bg-BG"/>
        </w:rPr>
        <w:t>PM</w:t>
      </w:r>
      <w:r w:rsidR="0009662E" w:rsidRPr="007375EB">
        <w:rPr>
          <w:sz w:val="16"/>
          <w:szCs w:val="16"/>
          <w:vertAlign w:val="subscript"/>
          <w:lang w:val="bg-BG"/>
        </w:rPr>
        <w:t>10</w:t>
      </w:r>
    </w:p>
    <w:p w14:paraId="24EA9420" w14:textId="56C29406" w:rsidR="006A0230" w:rsidRPr="007375EB" w:rsidRDefault="00BA4409" w:rsidP="00BA4409">
      <w:pPr>
        <w:spacing w:line="240" w:lineRule="auto"/>
        <w:jc w:val="both"/>
        <w:rPr>
          <w:iCs/>
          <w:lang w:val="bg-BG"/>
        </w:rPr>
      </w:pPr>
      <w:r w:rsidRPr="007375EB">
        <w:rPr>
          <w:noProof/>
          <w:lang w:val="bg-BG"/>
        </w:rPr>
        <w:drawing>
          <wp:inline distT="0" distB="0" distL="0" distR="0" wp14:anchorId="01B58C1D" wp14:editId="080A63D6">
            <wp:extent cx="5828044" cy="4123314"/>
            <wp:effectExtent l="0" t="0" r="127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31100" cy="4125476"/>
                    </a:xfrm>
                    <a:prstGeom prst="rect">
                      <a:avLst/>
                    </a:prstGeom>
                    <a:noFill/>
                    <a:ln>
                      <a:noFill/>
                    </a:ln>
                  </pic:spPr>
                </pic:pic>
              </a:graphicData>
            </a:graphic>
          </wp:inline>
        </w:drawing>
      </w:r>
    </w:p>
    <w:p w14:paraId="4E428CED" w14:textId="77777777" w:rsidR="00CF714E" w:rsidRPr="007375EB" w:rsidRDefault="00CF714E" w:rsidP="00CF714E">
      <w:pPr>
        <w:spacing w:line="240" w:lineRule="auto"/>
        <w:jc w:val="both"/>
        <w:rPr>
          <w:iCs/>
          <w:lang w:val="bg-BG"/>
        </w:rPr>
      </w:pPr>
      <w:r w:rsidRPr="007375EB">
        <w:rPr>
          <w:i/>
          <w:iCs/>
          <w:color w:val="009DF0" w:themeColor="text2"/>
          <w:sz w:val="14"/>
          <w:lang w:val="bg-BG"/>
        </w:rPr>
        <w:t>Източник: обработка по Европейската агенция по околна среда</w:t>
      </w:r>
    </w:p>
    <w:p w14:paraId="287FD4CA" w14:textId="491204F5" w:rsidR="0009662E" w:rsidRPr="007375EB" w:rsidRDefault="00CF714E" w:rsidP="00BA4409">
      <w:pPr>
        <w:pStyle w:val="Caption"/>
        <w:spacing w:before="0" w:after="0" w:line="240" w:lineRule="auto"/>
        <w:jc w:val="center"/>
        <w:rPr>
          <w:sz w:val="16"/>
          <w:szCs w:val="16"/>
          <w:vertAlign w:val="subscript"/>
          <w:lang w:val="bg-BG"/>
        </w:rPr>
      </w:pPr>
      <w:r w:rsidRPr="007375EB">
        <w:rPr>
          <w:sz w:val="16"/>
          <w:szCs w:val="16"/>
          <w:lang w:val="bg-BG"/>
        </w:rPr>
        <w:t xml:space="preserve">Фигура </w:t>
      </w:r>
      <w:r w:rsidR="00D57884" w:rsidRPr="007375EB">
        <w:rPr>
          <w:sz w:val="16"/>
          <w:szCs w:val="16"/>
          <w:lang w:val="bg-BG"/>
        </w:rPr>
        <w:t xml:space="preserve">2. </w:t>
      </w:r>
      <w:r w:rsidR="00D57884" w:rsidRPr="007375EB">
        <w:rPr>
          <w:sz w:val="16"/>
          <w:szCs w:val="16"/>
          <w:lang w:val="bg-BG"/>
        </w:rPr>
        <w:fldChar w:fldCharType="begin"/>
      </w:r>
      <w:r w:rsidR="00D57884" w:rsidRPr="007375EB">
        <w:rPr>
          <w:sz w:val="16"/>
          <w:szCs w:val="16"/>
          <w:lang w:val="bg-BG"/>
        </w:rPr>
        <w:instrText xml:space="preserve"> SEQ Figura_2. \* ARABIC </w:instrText>
      </w:r>
      <w:r w:rsidR="00D57884" w:rsidRPr="007375EB">
        <w:rPr>
          <w:sz w:val="16"/>
          <w:szCs w:val="16"/>
          <w:lang w:val="bg-BG"/>
        </w:rPr>
        <w:fldChar w:fldCharType="separate"/>
      </w:r>
      <w:r w:rsidR="00913536" w:rsidRPr="007375EB">
        <w:rPr>
          <w:noProof/>
          <w:sz w:val="16"/>
          <w:szCs w:val="16"/>
          <w:lang w:val="bg-BG"/>
        </w:rPr>
        <w:t>7</w:t>
      </w:r>
      <w:r w:rsidR="00D57884" w:rsidRPr="007375EB">
        <w:rPr>
          <w:sz w:val="16"/>
          <w:szCs w:val="16"/>
          <w:lang w:val="bg-BG"/>
        </w:rPr>
        <w:fldChar w:fldCharType="end"/>
      </w:r>
      <w:r w:rsidR="00D57884" w:rsidRPr="007375EB">
        <w:rPr>
          <w:sz w:val="16"/>
          <w:szCs w:val="16"/>
          <w:lang w:val="bg-BG"/>
        </w:rPr>
        <w:t xml:space="preserve"> </w:t>
      </w:r>
      <w:r w:rsidRPr="007375EB">
        <w:rPr>
          <w:sz w:val="16"/>
          <w:szCs w:val="16"/>
          <w:lang w:val="bg-BG"/>
        </w:rPr>
        <w:t xml:space="preserve">Средногодишна стойност за параметъра </w:t>
      </w:r>
      <w:r w:rsidR="00024FA5" w:rsidRPr="007375EB">
        <w:rPr>
          <w:sz w:val="16"/>
          <w:szCs w:val="16"/>
          <w:lang w:val="bg-BG"/>
        </w:rPr>
        <w:t>PM</w:t>
      </w:r>
      <w:r w:rsidR="00024FA5" w:rsidRPr="007375EB">
        <w:rPr>
          <w:sz w:val="16"/>
          <w:szCs w:val="16"/>
          <w:vertAlign w:val="subscript"/>
          <w:lang w:val="bg-BG"/>
        </w:rPr>
        <w:t>2,5</w:t>
      </w:r>
    </w:p>
    <w:p w14:paraId="5F2C9EC9" w14:textId="77777777" w:rsidR="00D649E5" w:rsidRPr="007375EB" w:rsidRDefault="00D649E5" w:rsidP="00D649E5">
      <w:pPr>
        <w:pStyle w:val="Caption-Text"/>
        <w:rPr>
          <w:lang w:val="bg-BG"/>
        </w:rPr>
      </w:pPr>
    </w:p>
    <w:p w14:paraId="2A3E5C0D" w14:textId="541B4E62" w:rsidR="00833177" w:rsidRPr="007375EB" w:rsidRDefault="00D649E5" w:rsidP="00833177">
      <w:pPr>
        <w:spacing w:line="240" w:lineRule="auto"/>
        <w:jc w:val="both"/>
        <w:rPr>
          <w:iCs/>
          <w:lang w:val="bg-BG"/>
        </w:rPr>
      </w:pPr>
      <w:r w:rsidRPr="007375EB">
        <w:rPr>
          <w:noProof/>
          <w:lang w:val="bg-BG"/>
        </w:rPr>
        <w:lastRenderedPageBreak/>
        <w:drawing>
          <wp:inline distT="0" distB="0" distL="0" distR="0" wp14:anchorId="0B73FC77" wp14:editId="32BAD030">
            <wp:extent cx="5904865" cy="4177665"/>
            <wp:effectExtent l="0" t="0" r="63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04865" cy="4177665"/>
                    </a:xfrm>
                    <a:prstGeom prst="rect">
                      <a:avLst/>
                    </a:prstGeom>
                    <a:noFill/>
                    <a:ln>
                      <a:noFill/>
                    </a:ln>
                  </pic:spPr>
                </pic:pic>
              </a:graphicData>
            </a:graphic>
          </wp:inline>
        </w:drawing>
      </w:r>
      <w:r w:rsidR="00833177" w:rsidRPr="007375EB">
        <w:rPr>
          <w:i/>
          <w:iCs/>
          <w:color w:val="009DF0" w:themeColor="text2"/>
          <w:sz w:val="14"/>
          <w:lang w:val="bg-BG"/>
        </w:rPr>
        <w:t xml:space="preserve"> </w:t>
      </w:r>
      <w:r w:rsidR="00CF714E" w:rsidRPr="007375EB">
        <w:rPr>
          <w:i/>
          <w:iCs/>
          <w:color w:val="009DF0" w:themeColor="text2"/>
          <w:sz w:val="14"/>
          <w:lang w:val="bg-BG"/>
        </w:rPr>
        <w:t>Източник: обработка по Европейската агенция по околна среда</w:t>
      </w:r>
    </w:p>
    <w:p w14:paraId="719A9F37" w14:textId="5FC0C8D4" w:rsidR="008B0DF5" w:rsidRPr="007375EB" w:rsidRDefault="00CF714E" w:rsidP="00BA4409">
      <w:pPr>
        <w:pStyle w:val="Caption"/>
        <w:spacing w:before="0" w:after="0" w:line="240" w:lineRule="auto"/>
        <w:jc w:val="center"/>
        <w:rPr>
          <w:sz w:val="16"/>
          <w:szCs w:val="16"/>
          <w:vertAlign w:val="subscript"/>
          <w:lang w:val="bg-BG"/>
        </w:rPr>
      </w:pPr>
      <w:r w:rsidRPr="007375EB">
        <w:rPr>
          <w:sz w:val="16"/>
          <w:szCs w:val="16"/>
          <w:lang w:val="bg-BG"/>
        </w:rPr>
        <w:t>Фигура</w:t>
      </w:r>
      <w:r w:rsidR="00D57884" w:rsidRPr="007375EB">
        <w:rPr>
          <w:sz w:val="16"/>
          <w:szCs w:val="16"/>
          <w:lang w:val="bg-BG"/>
        </w:rPr>
        <w:t xml:space="preserve"> 2. </w:t>
      </w:r>
      <w:r w:rsidR="00D57884" w:rsidRPr="007375EB">
        <w:rPr>
          <w:sz w:val="16"/>
          <w:szCs w:val="16"/>
          <w:lang w:val="bg-BG"/>
        </w:rPr>
        <w:fldChar w:fldCharType="begin"/>
      </w:r>
      <w:r w:rsidR="00D57884" w:rsidRPr="007375EB">
        <w:rPr>
          <w:sz w:val="16"/>
          <w:szCs w:val="16"/>
          <w:lang w:val="bg-BG"/>
        </w:rPr>
        <w:instrText xml:space="preserve"> SEQ Figura_2. \* ARABIC </w:instrText>
      </w:r>
      <w:r w:rsidR="00D57884" w:rsidRPr="007375EB">
        <w:rPr>
          <w:sz w:val="16"/>
          <w:szCs w:val="16"/>
          <w:lang w:val="bg-BG"/>
        </w:rPr>
        <w:fldChar w:fldCharType="separate"/>
      </w:r>
      <w:r w:rsidR="00913536" w:rsidRPr="007375EB">
        <w:rPr>
          <w:noProof/>
          <w:sz w:val="16"/>
          <w:szCs w:val="16"/>
          <w:lang w:val="bg-BG"/>
        </w:rPr>
        <w:t>8</w:t>
      </w:r>
      <w:r w:rsidR="00D57884" w:rsidRPr="007375EB">
        <w:rPr>
          <w:sz w:val="16"/>
          <w:szCs w:val="16"/>
          <w:lang w:val="bg-BG"/>
        </w:rPr>
        <w:fldChar w:fldCharType="end"/>
      </w:r>
      <w:r w:rsidR="00D57884" w:rsidRPr="007375EB">
        <w:rPr>
          <w:sz w:val="16"/>
          <w:szCs w:val="16"/>
          <w:lang w:val="bg-BG"/>
        </w:rPr>
        <w:t xml:space="preserve"> </w:t>
      </w:r>
      <w:r w:rsidRPr="007375EB">
        <w:rPr>
          <w:sz w:val="16"/>
          <w:szCs w:val="16"/>
          <w:lang w:val="bg-BG"/>
        </w:rPr>
        <w:t xml:space="preserve">Средногодишна стойност за параметъра </w:t>
      </w:r>
      <w:r w:rsidR="008B0DF5" w:rsidRPr="007375EB">
        <w:rPr>
          <w:sz w:val="16"/>
          <w:szCs w:val="16"/>
          <w:lang w:val="bg-BG"/>
        </w:rPr>
        <w:t>NO</w:t>
      </w:r>
      <w:r w:rsidR="008B0DF5" w:rsidRPr="007375EB">
        <w:rPr>
          <w:sz w:val="16"/>
          <w:szCs w:val="16"/>
          <w:vertAlign w:val="subscript"/>
          <w:lang w:val="bg-BG"/>
        </w:rPr>
        <w:t>2</w:t>
      </w:r>
    </w:p>
    <w:p w14:paraId="59A0D716" w14:textId="77777777" w:rsidR="00D649E5" w:rsidRPr="007375EB" w:rsidRDefault="00D649E5" w:rsidP="00D649E5">
      <w:pPr>
        <w:pStyle w:val="Caption-Text"/>
        <w:rPr>
          <w:lang w:val="bg-BG"/>
        </w:rPr>
      </w:pPr>
    </w:p>
    <w:p w14:paraId="535B8529" w14:textId="3B573CE2" w:rsidR="00BA4409" w:rsidRPr="007375EB" w:rsidRDefault="00BA4409" w:rsidP="00BA4409">
      <w:pPr>
        <w:spacing w:line="240" w:lineRule="auto"/>
        <w:jc w:val="both"/>
        <w:rPr>
          <w:lang w:val="bg-BG"/>
        </w:rPr>
      </w:pPr>
      <w:r w:rsidRPr="007375EB">
        <w:rPr>
          <w:noProof/>
          <w:lang w:val="bg-BG"/>
        </w:rPr>
        <w:drawing>
          <wp:inline distT="0" distB="0" distL="0" distR="0" wp14:anchorId="1CC78C90" wp14:editId="7F6C6E8A">
            <wp:extent cx="5904865" cy="417766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04865" cy="4177665"/>
                    </a:xfrm>
                    <a:prstGeom prst="rect">
                      <a:avLst/>
                    </a:prstGeom>
                    <a:noFill/>
                    <a:ln>
                      <a:noFill/>
                    </a:ln>
                  </pic:spPr>
                </pic:pic>
              </a:graphicData>
            </a:graphic>
          </wp:inline>
        </w:drawing>
      </w:r>
    </w:p>
    <w:p w14:paraId="55BDF9D7" w14:textId="48E67D56" w:rsidR="00833177" w:rsidRPr="007375EB" w:rsidRDefault="00CF714E" w:rsidP="00833177">
      <w:pPr>
        <w:spacing w:line="240" w:lineRule="auto"/>
        <w:jc w:val="both"/>
        <w:rPr>
          <w:iCs/>
          <w:lang w:val="bg-BG"/>
        </w:rPr>
      </w:pPr>
      <w:r w:rsidRPr="007375EB">
        <w:rPr>
          <w:i/>
          <w:iCs/>
          <w:color w:val="009DF0" w:themeColor="text2"/>
          <w:sz w:val="14"/>
          <w:lang w:val="bg-BG"/>
        </w:rPr>
        <w:t>Източник: обработка по Европейската агенция по околна среда</w:t>
      </w:r>
    </w:p>
    <w:p w14:paraId="575355B2" w14:textId="24C617FD" w:rsidR="00B861E0" w:rsidRPr="007375EB" w:rsidRDefault="00CF714E" w:rsidP="00BA4409">
      <w:pPr>
        <w:pStyle w:val="Caption"/>
        <w:spacing w:before="0" w:after="0" w:line="240" w:lineRule="auto"/>
        <w:jc w:val="center"/>
        <w:rPr>
          <w:sz w:val="16"/>
          <w:szCs w:val="16"/>
          <w:vertAlign w:val="subscript"/>
          <w:lang w:val="bg-BG"/>
        </w:rPr>
      </w:pPr>
      <w:r w:rsidRPr="007375EB">
        <w:rPr>
          <w:sz w:val="16"/>
          <w:szCs w:val="16"/>
          <w:lang w:val="bg-BG"/>
        </w:rPr>
        <w:t>Фигура</w:t>
      </w:r>
      <w:r w:rsidR="00D57884" w:rsidRPr="007375EB">
        <w:rPr>
          <w:sz w:val="16"/>
          <w:szCs w:val="16"/>
          <w:lang w:val="bg-BG"/>
        </w:rPr>
        <w:t xml:space="preserve"> 2. </w:t>
      </w:r>
      <w:r w:rsidR="00D57884" w:rsidRPr="007375EB">
        <w:rPr>
          <w:sz w:val="16"/>
          <w:szCs w:val="16"/>
          <w:lang w:val="bg-BG"/>
        </w:rPr>
        <w:fldChar w:fldCharType="begin"/>
      </w:r>
      <w:r w:rsidR="00D57884" w:rsidRPr="007375EB">
        <w:rPr>
          <w:sz w:val="16"/>
          <w:szCs w:val="16"/>
          <w:lang w:val="bg-BG"/>
        </w:rPr>
        <w:instrText xml:space="preserve"> SEQ Figura_2. \* ARABIC </w:instrText>
      </w:r>
      <w:r w:rsidR="00D57884" w:rsidRPr="007375EB">
        <w:rPr>
          <w:sz w:val="16"/>
          <w:szCs w:val="16"/>
          <w:lang w:val="bg-BG"/>
        </w:rPr>
        <w:fldChar w:fldCharType="separate"/>
      </w:r>
      <w:r w:rsidR="00913536" w:rsidRPr="007375EB">
        <w:rPr>
          <w:noProof/>
          <w:sz w:val="16"/>
          <w:szCs w:val="16"/>
          <w:lang w:val="bg-BG"/>
        </w:rPr>
        <w:t>9</w:t>
      </w:r>
      <w:r w:rsidR="00D57884" w:rsidRPr="007375EB">
        <w:rPr>
          <w:sz w:val="16"/>
          <w:szCs w:val="16"/>
          <w:lang w:val="bg-BG"/>
        </w:rPr>
        <w:fldChar w:fldCharType="end"/>
      </w:r>
      <w:r w:rsidR="00D57884" w:rsidRPr="007375EB">
        <w:rPr>
          <w:sz w:val="16"/>
          <w:szCs w:val="16"/>
          <w:lang w:val="bg-BG"/>
        </w:rPr>
        <w:t xml:space="preserve"> </w:t>
      </w:r>
      <w:r w:rsidRPr="007375EB">
        <w:rPr>
          <w:sz w:val="16"/>
          <w:szCs w:val="16"/>
          <w:lang w:val="bg-BG"/>
        </w:rPr>
        <w:t xml:space="preserve">Средногодишна стойност за параметъра </w:t>
      </w:r>
      <w:r w:rsidR="0078721C" w:rsidRPr="007375EB">
        <w:rPr>
          <w:sz w:val="16"/>
          <w:szCs w:val="16"/>
          <w:lang w:val="bg-BG"/>
        </w:rPr>
        <w:t>NO</w:t>
      </w:r>
      <w:r w:rsidR="0078721C" w:rsidRPr="007375EB">
        <w:rPr>
          <w:sz w:val="16"/>
          <w:szCs w:val="16"/>
          <w:vertAlign w:val="subscript"/>
          <w:lang w:val="bg-BG"/>
        </w:rPr>
        <w:t>x</w:t>
      </w:r>
    </w:p>
    <w:p w14:paraId="2D82808A" w14:textId="77777777" w:rsidR="00024FA5" w:rsidRPr="007375EB" w:rsidRDefault="00024FA5" w:rsidP="00472C23">
      <w:pPr>
        <w:spacing w:after="120" w:line="360" w:lineRule="auto"/>
        <w:jc w:val="both"/>
        <w:rPr>
          <w:iCs/>
          <w:lang w:val="bg-BG"/>
        </w:rPr>
      </w:pPr>
    </w:p>
    <w:p w14:paraId="619CE74A" w14:textId="1C1EED91" w:rsidR="006A0230" w:rsidRPr="007375EB" w:rsidRDefault="00CF714E" w:rsidP="009B6B86">
      <w:pPr>
        <w:spacing w:after="120" w:line="360" w:lineRule="auto"/>
        <w:jc w:val="both"/>
        <w:rPr>
          <w:rFonts w:eastAsia="Times New Roman" w:cs="Times New Roman"/>
          <w:lang w:val="bg-BG" w:eastAsia="ro-RO"/>
        </w:rPr>
      </w:pPr>
      <w:r w:rsidRPr="007375EB">
        <w:rPr>
          <w:rFonts w:eastAsia="Times New Roman" w:cs="Times New Roman"/>
          <w:lang w:val="bg-BG" w:eastAsia="ro-RO"/>
        </w:rPr>
        <w:lastRenderedPageBreak/>
        <w:t>Както може да се види на картите по-горе, в района на изпълнение на проекта няма нарушения на граничните стойности, установени от действащото законодателство (Закон № 104/2011 за качеството на атмосферния въздух</w:t>
      </w:r>
      <w:r w:rsidR="006A0230" w:rsidRPr="007375EB">
        <w:rPr>
          <w:rFonts w:eastAsia="Times New Roman" w:cs="Times New Roman"/>
          <w:lang w:val="bg-BG" w:eastAsia="ro-RO"/>
        </w:rPr>
        <w:t>).</w:t>
      </w:r>
    </w:p>
    <w:p w14:paraId="606A0812" w14:textId="1D492763" w:rsidR="00472C23" w:rsidRPr="007375EB" w:rsidRDefault="00CF714E" w:rsidP="009B6B86">
      <w:pPr>
        <w:spacing w:after="120" w:line="360" w:lineRule="auto"/>
        <w:jc w:val="both"/>
        <w:rPr>
          <w:b/>
          <w:bCs/>
          <w:iCs/>
          <w:lang w:val="bg-BG"/>
        </w:rPr>
      </w:pPr>
      <w:r w:rsidRPr="007375EB">
        <w:rPr>
          <w:b/>
          <w:bCs/>
          <w:iCs/>
          <w:lang w:val="bg-BG"/>
        </w:rPr>
        <w:t>В района на община Черкезу, като се вземат предвид дейностите, които се извършват в момента, качеството на въздуха може да се счита за добро като открит селски район, който не е пренаселен от градско строителство и без интензивни промишлени дейности</w:t>
      </w:r>
      <w:r w:rsidR="00472C23" w:rsidRPr="007375EB">
        <w:rPr>
          <w:b/>
          <w:bCs/>
          <w:iCs/>
          <w:lang w:val="bg-BG"/>
        </w:rPr>
        <w:t xml:space="preserve">. </w:t>
      </w:r>
    </w:p>
    <w:p w14:paraId="6A7BFF2E" w14:textId="77777777" w:rsidR="000F08E5" w:rsidRPr="007375EB" w:rsidRDefault="000F08E5" w:rsidP="0011570C">
      <w:pPr>
        <w:spacing w:after="120" w:line="360" w:lineRule="auto"/>
        <w:jc w:val="both"/>
        <w:rPr>
          <w:iCs/>
          <w:lang w:val="bg-BG"/>
        </w:rPr>
      </w:pPr>
    </w:p>
    <w:p w14:paraId="3C5385D5" w14:textId="56A8663A" w:rsidR="00575357" w:rsidRPr="007375EB" w:rsidRDefault="00CF714E" w:rsidP="00160129">
      <w:pPr>
        <w:pStyle w:val="ListParagraph"/>
        <w:numPr>
          <w:ilvl w:val="2"/>
          <w:numId w:val="21"/>
        </w:numPr>
        <w:spacing w:after="120" w:line="360" w:lineRule="auto"/>
        <w:jc w:val="both"/>
        <w:outlineLvl w:val="2"/>
        <w:rPr>
          <w:rFonts w:cs="Arial"/>
          <w:b/>
          <w:i/>
          <w:color w:val="00B0F0"/>
          <w:lang w:val="bg-BG"/>
        </w:rPr>
      </w:pPr>
      <w:r w:rsidRPr="007375EB">
        <w:rPr>
          <w:rFonts w:cs="Arial"/>
          <w:b/>
          <w:i/>
          <w:color w:val="00B0F0"/>
          <w:lang w:val="bg-BG"/>
        </w:rPr>
        <w:t>Почва/подпочва</w:t>
      </w:r>
    </w:p>
    <w:p w14:paraId="65A5F8AF" w14:textId="77777777" w:rsidR="00471E23" w:rsidRPr="007375EB" w:rsidRDefault="00471E23" w:rsidP="00215A3E">
      <w:pPr>
        <w:spacing w:after="120" w:line="360" w:lineRule="auto"/>
        <w:jc w:val="both"/>
        <w:rPr>
          <w:b/>
          <w:bCs/>
          <w:iCs/>
          <w:color w:val="00B0F0"/>
          <w:lang w:val="bg-BG" w:eastAsia="ro-RO"/>
        </w:rPr>
      </w:pPr>
      <w:r w:rsidRPr="007375EB">
        <w:rPr>
          <w:b/>
          <w:bCs/>
          <w:iCs/>
          <w:color w:val="00B0F0"/>
          <w:lang w:val="bg-BG" w:eastAsia="ro-RO"/>
        </w:rPr>
        <w:t>Характеристики на почвата</w:t>
      </w:r>
    </w:p>
    <w:p w14:paraId="603490F8" w14:textId="08A14E6E" w:rsidR="00471E23" w:rsidRPr="007375EB" w:rsidRDefault="00471E23" w:rsidP="00471E23">
      <w:pPr>
        <w:spacing w:after="120" w:line="360" w:lineRule="auto"/>
        <w:jc w:val="both"/>
        <w:rPr>
          <w:iCs/>
          <w:lang w:val="bg-BG"/>
        </w:rPr>
      </w:pPr>
      <w:r w:rsidRPr="007375EB">
        <w:rPr>
          <w:iCs/>
          <w:lang w:val="bg-BG"/>
        </w:rPr>
        <w:t xml:space="preserve">От геоложка гледна точка земите в района на </w:t>
      </w:r>
      <w:r w:rsidR="0014580E" w:rsidRPr="007375EB">
        <w:rPr>
          <w:iCs/>
          <w:lang w:val="bg-BG"/>
        </w:rPr>
        <w:t>ЗГП</w:t>
      </w:r>
      <w:r w:rsidRPr="007375EB">
        <w:rPr>
          <w:iCs/>
          <w:lang w:val="bg-BG"/>
        </w:rPr>
        <w:t xml:space="preserve"> принадлежат към Южнодобруджанската платформа, между Среднодобруджанския масив, Влашката платформа и държавната граница с България. </w:t>
      </w:r>
    </w:p>
    <w:p w14:paraId="14FD2F98" w14:textId="5BAA6517" w:rsidR="00943A3A" w:rsidRPr="007375EB" w:rsidRDefault="00471E23" w:rsidP="00471E23">
      <w:pPr>
        <w:spacing w:after="120" w:line="360" w:lineRule="auto"/>
        <w:jc w:val="both"/>
        <w:rPr>
          <w:iCs/>
          <w:lang w:val="bg-BG"/>
        </w:rPr>
      </w:pPr>
      <w:r w:rsidRPr="007375EB">
        <w:rPr>
          <w:iCs/>
          <w:lang w:val="bg-BG"/>
        </w:rPr>
        <w:t>Добруджанското плато се представя като относително твърдо плато, образувано върху стари скали (зелени шисти, гранити), мезозойски и неозойски седиментни отлагания, силно ерозирани от дълготрайното действие на външни фактори, с полегат, слабо вълнист релеф и относително ниска надморска височина (200-300м</w:t>
      </w:r>
      <w:r w:rsidR="00943A3A" w:rsidRPr="007375EB">
        <w:rPr>
          <w:iCs/>
          <w:lang w:val="bg-BG"/>
        </w:rPr>
        <w:t>).</w:t>
      </w:r>
    </w:p>
    <w:p w14:paraId="50178993" w14:textId="1AA8B7D9" w:rsidR="00943A3A" w:rsidRPr="007375EB" w:rsidRDefault="00471E23" w:rsidP="00286D97">
      <w:pPr>
        <w:spacing w:after="120" w:line="360" w:lineRule="auto"/>
        <w:jc w:val="both"/>
        <w:rPr>
          <w:b/>
          <w:bCs/>
          <w:iCs/>
          <w:color w:val="00B0F0"/>
          <w:lang w:val="bg-BG" w:eastAsia="ro-RO"/>
        </w:rPr>
      </w:pPr>
      <w:r w:rsidRPr="007375EB">
        <w:rPr>
          <w:b/>
          <w:bCs/>
          <w:iCs/>
          <w:color w:val="00B0F0"/>
          <w:lang w:val="bg-BG" w:eastAsia="ro-RO"/>
        </w:rPr>
        <w:t>Критични зони по отношение на увреждане на почвата</w:t>
      </w:r>
    </w:p>
    <w:p w14:paraId="55612C0F" w14:textId="0796077B" w:rsidR="00471E23" w:rsidRPr="007375EB" w:rsidRDefault="00471E23" w:rsidP="00471E23">
      <w:pPr>
        <w:spacing w:after="120" w:line="360" w:lineRule="auto"/>
        <w:ind w:left="-23" w:right="-23"/>
        <w:jc w:val="both"/>
        <w:rPr>
          <w:rFonts w:eastAsia="Verdana" w:cs="Verdana"/>
          <w:lang w:val="bg-BG"/>
        </w:rPr>
      </w:pPr>
      <w:r w:rsidRPr="007375EB">
        <w:rPr>
          <w:rFonts w:eastAsia="Verdana" w:cs="Verdana"/>
          <w:lang w:val="bg-BG"/>
        </w:rPr>
        <w:t>Според наличните публични източници на административната територия на община Черкезу няма исторически или потенциално замърсени обекти.</w:t>
      </w:r>
    </w:p>
    <w:p w14:paraId="39A6D4ED" w14:textId="04FA373E" w:rsidR="00943A3A" w:rsidRPr="007375EB" w:rsidRDefault="00471E23" w:rsidP="00471E23">
      <w:pPr>
        <w:spacing w:after="120" w:line="360" w:lineRule="auto"/>
        <w:ind w:left="-23" w:right="-23"/>
        <w:jc w:val="both"/>
        <w:rPr>
          <w:rFonts w:eastAsia="Verdana" w:cs="Verdana"/>
          <w:lang w:val="bg-BG"/>
        </w:rPr>
      </w:pPr>
      <w:r w:rsidRPr="007375EB">
        <w:rPr>
          <w:rFonts w:eastAsia="Verdana" w:cs="Verdana"/>
          <w:lang w:val="bg-BG"/>
        </w:rPr>
        <w:t>Понастоящем в административната територия на община Черкезу качеството на почвата не се влияе от промишлени дейности. Зоните с потенциален риск от замърсяване на почвата са представени от селскостопански дейности. Неправилното използване на торове може да доведе до излишък на нитрати и фосфати, с ефект върху почвената микрофлора и натрупването им в растителността</w:t>
      </w:r>
      <w:r w:rsidR="00943A3A" w:rsidRPr="007375EB">
        <w:rPr>
          <w:rFonts w:eastAsia="Verdana" w:cs="Verdana"/>
          <w:lang w:val="bg-BG"/>
        </w:rPr>
        <w:t>.</w:t>
      </w:r>
    </w:p>
    <w:p w14:paraId="504355B9" w14:textId="2F9B7BA4" w:rsidR="00943A3A" w:rsidRPr="007375EB" w:rsidRDefault="00471E23" w:rsidP="00215A3E">
      <w:pPr>
        <w:spacing w:after="120" w:line="360" w:lineRule="auto"/>
        <w:ind w:left="-23" w:right="-23"/>
        <w:jc w:val="both"/>
        <w:rPr>
          <w:rFonts w:eastAsia="Verdana" w:cs="Verdana"/>
          <w:lang w:val="bg-BG"/>
        </w:rPr>
      </w:pPr>
      <w:r w:rsidRPr="007375EB">
        <w:rPr>
          <w:lang w:val="bg-BG"/>
        </w:rPr>
        <w:t>Според окръжния доклад за състоянието на околната среда, година 2022 на окръг Констанца, от общата площ от 707129 ха, регистрирана в статистическия регистър на земята според данните, изпратени от DAJ Констанца, почти 80% са земеделски земи (558204 ха), останалите 20% са неземеделски земи</w:t>
      </w:r>
      <w:r w:rsidR="008E6FD0" w:rsidRPr="007375EB">
        <w:rPr>
          <w:lang w:val="bg-BG"/>
        </w:rPr>
        <w:t>.</w:t>
      </w:r>
    </w:p>
    <w:p w14:paraId="25453623" w14:textId="6360EC50" w:rsidR="00943A3A" w:rsidRPr="007375EB" w:rsidRDefault="00471E23" w:rsidP="00286D97">
      <w:pPr>
        <w:spacing w:after="120" w:line="360" w:lineRule="auto"/>
        <w:jc w:val="both"/>
        <w:rPr>
          <w:b/>
          <w:bCs/>
          <w:iCs/>
          <w:color w:val="00B0F0"/>
          <w:lang w:val="bg-BG" w:eastAsia="ro-RO"/>
        </w:rPr>
      </w:pPr>
      <w:r w:rsidRPr="007375EB">
        <w:rPr>
          <w:b/>
          <w:bCs/>
          <w:iCs/>
          <w:color w:val="00B0F0"/>
          <w:lang w:val="bg-BG" w:eastAsia="ro-RO"/>
        </w:rPr>
        <w:t>Земеползване</w:t>
      </w:r>
    </w:p>
    <w:p w14:paraId="3AD87EED" w14:textId="77777777" w:rsidR="00471E23" w:rsidRPr="007375EB" w:rsidRDefault="00471E23" w:rsidP="00471E23">
      <w:pPr>
        <w:spacing w:after="120" w:line="360" w:lineRule="auto"/>
        <w:ind w:left="-23" w:right="-23"/>
        <w:jc w:val="both"/>
        <w:rPr>
          <w:rFonts w:eastAsia="Verdana" w:cs="Verdana"/>
          <w:lang w:val="bg-BG"/>
        </w:rPr>
      </w:pPr>
      <w:r w:rsidRPr="007375EB">
        <w:rPr>
          <w:rFonts w:eastAsia="Verdana" w:cs="Verdana"/>
          <w:lang w:val="bg-BG"/>
        </w:rPr>
        <w:t xml:space="preserve">Земите, върху които ще бъде извършена предложената инвестиция чрез PUZ, са частна собственост на физически/юридически лица, с които бенефициентът на инвестицията SOUTH WIND SRL има сключени договори за преотстъпване и земя. </w:t>
      </w:r>
    </w:p>
    <w:p w14:paraId="0FAD4672" w14:textId="266218F9" w:rsidR="00943A3A" w:rsidRPr="007375EB" w:rsidRDefault="00471E23" w:rsidP="00471E23">
      <w:pPr>
        <w:spacing w:after="120" w:line="360" w:lineRule="auto"/>
        <w:ind w:left="-23" w:right="-23"/>
        <w:jc w:val="both"/>
        <w:rPr>
          <w:rFonts w:eastAsia="Times New Roman" w:cs="Calibri"/>
          <w:color w:val="444444"/>
          <w:lang w:val="bg-BG" w:eastAsia="en-GB"/>
        </w:rPr>
      </w:pPr>
      <w:r w:rsidRPr="007375EB">
        <w:rPr>
          <w:rFonts w:eastAsia="Verdana" w:cs="Verdana"/>
          <w:lang w:val="bg-BG"/>
        </w:rPr>
        <w:t>Общата площ на предложения план е от</w:t>
      </w:r>
      <w:r w:rsidRPr="007375EB">
        <w:rPr>
          <w:rFonts w:eastAsia="Verdana" w:cs="Verdana"/>
          <w:b/>
          <w:color w:val="009DF0" w:themeColor="text2"/>
          <w:lang w:val="bg-BG" w:eastAsia="en-GB"/>
        </w:rPr>
        <w:t xml:space="preserve"> </w:t>
      </w:r>
      <w:r w:rsidR="00943A3A" w:rsidRPr="007375EB">
        <w:rPr>
          <w:rFonts w:eastAsia="Times New Roman" w:cs="Calibri"/>
          <w:b/>
          <w:color w:val="009DF0" w:themeColor="text2"/>
          <w:lang w:val="bg-BG" w:eastAsia="en-GB"/>
        </w:rPr>
        <w:t xml:space="preserve">3.027,77 </w:t>
      </w:r>
      <w:r w:rsidRPr="007375EB">
        <w:rPr>
          <w:rFonts w:eastAsia="Times New Roman" w:cs="Calibri"/>
          <w:b/>
          <w:color w:val="009DF0" w:themeColor="text2"/>
          <w:lang w:val="bg-BG" w:eastAsia="en-GB"/>
        </w:rPr>
        <w:t>ха</w:t>
      </w:r>
      <w:r w:rsidR="00943A3A" w:rsidRPr="007375EB">
        <w:rPr>
          <w:rFonts w:eastAsia="Times New Roman" w:cs="Calibri"/>
          <w:color w:val="444444"/>
          <w:lang w:val="bg-BG" w:eastAsia="en-GB"/>
        </w:rPr>
        <w:t>.</w:t>
      </w:r>
    </w:p>
    <w:p w14:paraId="05743F83" w14:textId="6BC9D5BD" w:rsidR="00943A3A" w:rsidRPr="007375EB" w:rsidRDefault="00471E23" w:rsidP="00215A3E">
      <w:pPr>
        <w:spacing w:after="120" w:line="360" w:lineRule="auto"/>
        <w:ind w:left="-23" w:right="-23"/>
        <w:jc w:val="both"/>
        <w:rPr>
          <w:rFonts w:eastAsia="Verdana" w:cs="Verdana"/>
          <w:lang w:val="bg-BG"/>
        </w:rPr>
      </w:pPr>
      <w:r w:rsidRPr="007375EB">
        <w:rPr>
          <w:rFonts w:eastAsia="Verdana" w:cs="Verdana"/>
          <w:lang w:val="bg-BG"/>
        </w:rPr>
        <w:t>Районът, изследван за изпълнението на целта, включва земеделски земи за обработваеми земи и земи със специално предназначение - експлоатационни пътища в публичната собственост на териториално-административната единица община Черкезу, управлявана от местния съвет на община Черкезу, и публична собственост от окръжен интерес</w:t>
      </w:r>
      <w:r w:rsidR="00943A3A" w:rsidRPr="007375EB">
        <w:rPr>
          <w:rFonts w:eastAsia="Verdana" w:cs="Verdana"/>
          <w:lang w:val="bg-BG"/>
        </w:rPr>
        <w:t>.</w:t>
      </w:r>
    </w:p>
    <w:p w14:paraId="57B52BA0" w14:textId="0D28574E" w:rsidR="00943A3A" w:rsidRPr="007375EB" w:rsidRDefault="00471E23" w:rsidP="00215A3E">
      <w:pPr>
        <w:shd w:val="clear" w:color="auto" w:fill="FFFFFF"/>
        <w:spacing w:after="120" w:line="360" w:lineRule="auto"/>
        <w:jc w:val="both"/>
        <w:rPr>
          <w:rFonts w:eastAsia="Verdana" w:cs="Verdana"/>
          <w:lang w:val="bg-BG"/>
        </w:rPr>
      </w:pPr>
      <w:r w:rsidRPr="007375EB">
        <w:rPr>
          <w:rFonts w:eastAsia="Verdana" w:cs="Verdana"/>
          <w:lang w:val="bg-BG"/>
        </w:rPr>
        <w:lastRenderedPageBreak/>
        <w:t xml:space="preserve">Основното предназначение на изследваната територия е селскостопанска, като земеделската земя с настояща обработваема функция е с площ от </w:t>
      </w:r>
      <w:r w:rsidRPr="007375EB">
        <w:rPr>
          <w:rFonts w:eastAsia="Verdana" w:cs="Verdana"/>
          <w:b/>
          <w:bCs/>
          <w:color w:val="007BB8"/>
          <w:lang w:val="bg-BG"/>
        </w:rPr>
        <w:t>2908,24 ха</w:t>
      </w:r>
      <w:r w:rsidRPr="007375EB">
        <w:rPr>
          <w:rFonts w:eastAsia="Verdana" w:cs="Verdana"/>
          <w:lang w:val="bg-BG"/>
        </w:rPr>
        <w:t xml:space="preserve">, представляваща </w:t>
      </w:r>
      <w:r w:rsidRPr="007375EB">
        <w:rPr>
          <w:rFonts w:eastAsia="Verdana" w:cs="Verdana"/>
          <w:b/>
          <w:bCs/>
          <w:color w:val="007BB8"/>
          <w:lang w:val="bg-BG"/>
        </w:rPr>
        <w:t>96,05%</w:t>
      </w:r>
      <w:r w:rsidRPr="007375EB">
        <w:rPr>
          <w:rFonts w:eastAsia="Verdana" w:cs="Verdana"/>
          <w:color w:val="007BB8"/>
          <w:lang w:val="bg-BG"/>
        </w:rPr>
        <w:t xml:space="preserve"> </w:t>
      </w:r>
      <w:r w:rsidRPr="007375EB">
        <w:rPr>
          <w:rFonts w:eastAsia="Verdana" w:cs="Verdana"/>
          <w:lang w:val="bg-BG"/>
        </w:rPr>
        <w:t>от общата изследвана площ. Категориите земеползване са представени в следващата таблица и фигура</w:t>
      </w:r>
      <w:r w:rsidR="00943A3A" w:rsidRPr="007375EB">
        <w:rPr>
          <w:rFonts w:eastAsia="Verdana" w:cs="Verdana"/>
          <w:lang w:val="bg-BG"/>
        </w:rPr>
        <w:t>.</w:t>
      </w:r>
    </w:p>
    <w:tbl>
      <w:tblPr>
        <w:tblStyle w:val="TableGrid"/>
        <w:tblW w:w="92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83"/>
        <w:gridCol w:w="3416"/>
      </w:tblGrid>
      <w:tr w:rsidR="00215A3E" w:rsidRPr="007375EB" w14:paraId="2D5795FE" w14:textId="77777777" w:rsidTr="00DD7BAD">
        <w:tc>
          <w:tcPr>
            <w:tcW w:w="5821" w:type="dxa"/>
          </w:tcPr>
          <w:p w14:paraId="2C7F0312" w14:textId="0E5A1F69" w:rsidR="00215A3E" w:rsidRPr="007375EB" w:rsidRDefault="00215A3E" w:rsidP="00215A3E">
            <w:pPr>
              <w:spacing w:after="120" w:line="360" w:lineRule="auto"/>
              <w:jc w:val="both"/>
              <w:rPr>
                <w:rFonts w:eastAsia="Verdana" w:cs="Verdana"/>
                <w:lang w:val="bg-BG"/>
              </w:rPr>
            </w:pPr>
            <w:r w:rsidRPr="007375EB">
              <w:rPr>
                <w:noProof/>
                <w:lang w:val="bg-BG" w:eastAsia="en-GB"/>
              </w:rPr>
              <w:drawing>
                <wp:inline distT="0" distB="0" distL="0" distR="0" wp14:anchorId="3273C3EE" wp14:editId="30BD8805">
                  <wp:extent cx="3678865" cy="252440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6976" r="5098" b="4615"/>
                          <a:stretch/>
                        </pic:blipFill>
                        <pic:spPr bwMode="auto">
                          <a:xfrm>
                            <a:off x="0" y="0"/>
                            <a:ext cx="3723250" cy="255486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478" w:type="dxa"/>
          </w:tcPr>
          <w:p w14:paraId="16B6172C" w14:textId="77777777" w:rsidR="00215A3E" w:rsidRPr="007375EB" w:rsidRDefault="00215A3E" w:rsidP="00215A3E">
            <w:pPr>
              <w:spacing w:after="120" w:line="360" w:lineRule="auto"/>
              <w:jc w:val="both"/>
              <w:rPr>
                <w:rFonts w:eastAsia="Verdana" w:cs="Verdana"/>
                <w:lang w:val="bg-BG"/>
              </w:rPr>
            </w:pPr>
          </w:p>
          <w:p w14:paraId="3C49C220" w14:textId="77777777" w:rsidR="00215A3E" w:rsidRPr="007375EB" w:rsidRDefault="00215A3E" w:rsidP="00215A3E">
            <w:pPr>
              <w:spacing w:after="120" w:line="360" w:lineRule="auto"/>
              <w:jc w:val="both"/>
              <w:rPr>
                <w:rFonts w:eastAsia="Verdana" w:cs="Verdana"/>
                <w:lang w:val="bg-BG"/>
              </w:rPr>
            </w:pPr>
          </w:p>
          <w:tbl>
            <w:tblPr>
              <w:tblpPr w:leftFromText="180" w:rightFromText="180" w:vertAnchor="text" w:horzAnchor="page" w:tblpX="7422" w:tblpY="118"/>
              <w:tblW w:w="3252"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04"/>
              <w:gridCol w:w="886"/>
            </w:tblGrid>
            <w:tr w:rsidR="00215A3E" w:rsidRPr="007375EB" w14:paraId="15F97276" w14:textId="77777777" w:rsidTr="00471E23">
              <w:trPr>
                <w:trHeight w:val="274"/>
              </w:trPr>
              <w:tc>
                <w:tcPr>
                  <w:tcW w:w="2351" w:type="dxa"/>
                  <w:shd w:val="clear" w:color="auto" w:fill="00B0F0"/>
                  <w:noWrap/>
                  <w:hideMark/>
                </w:tcPr>
                <w:p w14:paraId="74A91306" w14:textId="7D5C0538" w:rsidR="00215A3E" w:rsidRPr="007375EB" w:rsidRDefault="00471E23" w:rsidP="00215A3E">
                  <w:pPr>
                    <w:spacing w:line="240" w:lineRule="auto"/>
                    <w:rPr>
                      <w:rFonts w:asciiTheme="majorHAnsi" w:eastAsia="Times New Roman" w:hAnsiTheme="majorHAnsi" w:cs="Calibri"/>
                      <w:b/>
                      <w:bCs/>
                      <w:color w:val="FFFFFF" w:themeColor="background1"/>
                      <w:sz w:val="14"/>
                      <w:szCs w:val="14"/>
                      <w:lang w:val="bg-BG" w:eastAsia="ro-RO"/>
                    </w:rPr>
                  </w:pPr>
                  <w:r w:rsidRPr="007375EB">
                    <w:rPr>
                      <w:rFonts w:asciiTheme="majorHAnsi" w:eastAsia="Times New Roman" w:hAnsiTheme="majorHAnsi" w:cs="Calibri"/>
                      <w:b/>
                      <w:bCs/>
                      <w:color w:val="FFFFFF" w:themeColor="background1"/>
                      <w:sz w:val="14"/>
                      <w:szCs w:val="14"/>
                      <w:lang w:val="bg-BG" w:eastAsia="ro-RO"/>
                    </w:rPr>
                    <w:t>Категории на използване</w:t>
                  </w:r>
                </w:p>
              </w:tc>
              <w:tc>
                <w:tcPr>
                  <w:tcW w:w="901" w:type="dxa"/>
                  <w:shd w:val="clear" w:color="auto" w:fill="00B0F0"/>
                  <w:noWrap/>
                  <w:hideMark/>
                </w:tcPr>
                <w:p w14:paraId="154BBF60" w14:textId="4A7C09EF" w:rsidR="00215A3E" w:rsidRPr="007375EB" w:rsidRDefault="00471E23" w:rsidP="00215A3E">
                  <w:pPr>
                    <w:spacing w:line="240" w:lineRule="auto"/>
                    <w:rPr>
                      <w:rFonts w:asciiTheme="majorHAnsi" w:eastAsia="Times New Roman" w:hAnsiTheme="majorHAnsi" w:cs="Calibri"/>
                      <w:b/>
                      <w:bCs/>
                      <w:color w:val="FFFFFF" w:themeColor="background1"/>
                      <w:sz w:val="14"/>
                      <w:szCs w:val="14"/>
                      <w:lang w:val="bg-BG" w:eastAsia="ro-RO"/>
                    </w:rPr>
                  </w:pPr>
                  <w:r w:rsidRPr="007375EB">
                    <w:rPr>
                      <w:rFonts w:asciiTheme="majorHAnsi" w:eastAsia="Times New Roman" w:hAnsiTheme="majorHAnsi" w:cs="Calibri"/>
                      <w:b/>
                      <w:bCs/>
                      <w:color w:val="FFFFFF" w:themeColor="background1"/>
                      <w:sz w:val="14"/>
                      <w:szCs w:val="14"/>
                      <w:lang w:val="bg-BG" w:eastAsia="ro-RO"/>
                    </w:rPr>
                    <w:t>ха</w:t>
                  </w:r>
                </w:p>
              </w:tc>
            </w:tr>
            <w:tr w:rsidR="00215A3E" w:rsidRPr="007375EB" w14:paraId="389C17B4" w14:textId="77777777" w:rsidTr="00471E23">
              <w:trPr>
                <w:trHeight w:val="96"/>
              </w:trPr>
              <w:tc>
                <w:tcPr>
                  <w:tcW w:w="2351" w:type="dxa"/>
                  <w:shd w:val="clear" w:color="auto" w:fill="auto"/>
                  <w:noWrap/>
                  <w:vAlign w:val="center"/>
                  <w:hideMark/>
                </w:tcPr>
                <w:p w14:paraId="1DA8CF44" w14:textId="41B364F2" w:rsidR="00215A3E" w:rsidRPr="007375EB" w:rsidRDefault="00471E23" w:rsidP="00215A3E">
                  <w:pPr>
                    <w:spacing w:line="240" w:lineRule="auto"/>
                    <w:rPr>
                      <w:rFonts w:asciiTheme="minorHAnsi" w:eastAsia="Times New Roman" w:hAnsiTheme="minorHAnsi" w:cs="Calibri"/>
                      <w:color w:val="000000"/>
                      <w:sz w:val="14"/>
                      <w:szCs w:val="14"/>
                      <w:lang w:val="bg-BG" w:eastAsia="ro-RO"/>
                    </w:rPr>
                  </w:pPr>
                  <w:r w:rsidRPr="007375EB">
                    <w:rPr>
                      <w:rFonts w:asciiTheme="minorHAnsi" w:eastAsia="Times New Roman" w:hAnsiTheme="minorHAnsi" w:cs="Calibri"/>
                      <w:color w:val="000000"/>
                      <w:sz w:val="14"/>
                      <w:szCs w:val="14"/>
                      <w:lang w:val="bg-BG" w:eastAsia="ro-RO"/>
                    </w:rPr>
                    <w:t>Пасище</w:t>
                  </w:r>
                </w:p>
              </w:tc>
              <w:tc>
                <w:tcPr>
                  <w:tcW w:w="901" w:type="dxa"/>
                  <w:shd w:val="clear" w:color="auto" w:fill="F2F2F2" w:themeFill="background1" w:themeFillShade="F2"/>
                  <w:noWrap/>
                  <w:vAlign w:val="center"/>
                  <w:hideMark/>
                </w:tcPr>
                <w:p w14:paraId="70243898" w14:textId="77777777" w:rsidR="00215A3E" w:rsidRPr="007375EB" w:rsidRDefault="00215A3E" w:rsidP="00215A3E">
                  <w:pPr>
                    <w:spacing w:line="240" w:lineRule="auto"/>
                    <w:rPr>
                      <w:rFonts w:asciiTheme="majorHAnsi" w:eastAsia="Times New Roman" w:hAnsiTheme="majorHAnsi" w:cs="Calibri"/>
                      <w:color w:val="000000"/>
                      <w:sz w:val="14"/>
                      <w:szCs w:val="14"/>
                      <w:lang w:val="bg-BG" w:eastAsia="ro-RO"/>
                    </w:rPr>
                  </w:pPr>
                  <w:r w:rsidRPr="007375EB">
                    <w:rPr>
                      <w:rFonts w:asciiTheme="majorHAnsi" w:eastAsia="Times New Roman" w:hAnsiTheme="majorHAnsi" w:cs="Calibri"/>
                      <w:color w:val="000000"/>
                      <w:sz w:val="14"/>
                      <w:szCs w:val="14"/>
                      <w:lang w:val="bg-BG" w:eastAsia="ro-RO"/>
                    </w:rPr>
                    <w:t>64</w:t>
                  </w:r>
                </w:p>
              </w:tc>
            </w:tr>
            <w:tr w:rsidR="00215A3E" w:rsidRPr="007375EB" w14:paraId="0C15F3D4" w14:textId="77777777" w:rsidTr="00471E23">
              <w:trPr>
                <w:trHeight w:val="84"/>
              </w:trPr>
              <w:tc>
                <w:tcPr>
                  <w:tcW w:w="2351" w:type="dxa"/>
                  <w:shd w:val="clear" w:color="auto" w:fill="auto"/>
                  <w:noWrap/>
                  <w:vAlign w:val="center"/>
                  <w:hideMark/>
                </w:tcPr>
                <w:p w14:paraId="5746313A" w14:textId="01E491AB" w:rsidR="00215A3E" w:rsidRPr="007375EB" w:rsidRDefault="00471E23" w:rsidP="00215A3E">
                  <w:pPr>
                    <w:spacing w:line="240" w:lineRule="auto"/>
                    <w:rPr>
                      <w:rFonts w:asciiTheme="minorHAnsi" w:eastAsia="Times New Roman" w:hAnsiTheme="minorHAnsi" w:cs="Calibri"/>
                      <w:color w:val="000000"/>
                      <w:sz w:val="14"/>
                      <w:szCs w:val="14"/>
                      <w:lang w:val="bg-BG" w:eastAsia="ro-RO"/>
                    </w:rPr>
                  </w:pPr>
                  <w:r w:rsidRPr="007375EB">
                    <w:rPr>
                      <w:rFonts w:asciiTheme="minorHAnsi" w:eastAsia="Times New Roman" w:hAnsiTheme="minorHAnsi" w:cs="Calibri"/>
                      <w:color w:val="000000"/>
                      <w:sz w:val="14"/>
                      <w:szCs w:val="14"/>
                      <w:lang w:val="bg-BG" w:eastAsia="ro-RO"/>
                    </w:rPr>
                    <w:t>Напоителен канал</w:t>
                  </w:r>
                </w:p>
              </w:tc>
              <w:tc>
                <w:tcPr>
                  <w:tcW w:w="901" w:type="dxa"/>
                  <w:shd w:val="clear" w:color="auto" w:fill="F2F2F2" w:themeFill="background1" w:themeFillShade="F2"/>
                  <w:noWrap/>
                  <w:vAlign w:val="center"/>
                  <w:hideMark/>
                </w:tcPr>
                <w:p w14:paraId="3ADB59EF" w14:textId="77777777" w:rsidR="00215A3E" w:rsidRPr="007375EB" w:rsidRDefault="00215A3E" w:rsidP="00215A3E">
                  <w:pPr>
                    <w:spacing w:line="240" w:lineRule="auto"/>
                    <w:rPr>
                      <w:rFonts w:asciiTheme="majorHAnsi" w:eastAsia="Times New Roman" w:hAnsiTheme="majorHAnsi" w:cs="Calibri"/>
                      <w:color w:val="000000"/>
                      <w:sz w:val="14"/>
                      <w:szCs w:val="14"/>
                      <w:lang w:val="bg-BG" w:eastAsia="ro-RO"/>
                    </w:rPr>
                  </w:pPr>
                  <w:r w:rsidRPr="007375EB">
                    <w:rPr>
                      <w:rFonts w:asciiTheme="majorHAnsi" w:eastAsia="Times New Roman" w:hAnsiTheme="majorHAnsi" w:cs="Calibri"/>
                      <w:color w:val="000000"/>
                      <w:sz w:val="14"/>
                      <w:szCs w:val="14"/>
                      <w:lang w:val="bg-BG" w:eastAsia="ro-RO"/>
                    </w:rPr>
                    <w:t>11,77</w:t>
                  </w:r>
                </w:p>
              </w:tc>
            </w:tr>
            <w:tr w:rsidR="00215A3E" w:rsidRPr="007375EB" w14:paraId="6A5C89E2" w14:textId="77777777" w:rsidTr="00471E23">
              <w:trPr>
                <w:trHeight w:val="186"/>
              </w:trPr>
              <w:tc>
                <w:tcPr>
                  <w:tcW w:w="2351" w:type="dxa"/>
                  <w:shd w:val="clear" w:color="auto" w:fill="auto"/>
                  <w:noWrap/>
                  <w:vAlign w:val="center"/>
                  <w:hideMark/>
                </w:tcPr>
                <w:p w14:paraId="4137C2DD" w14:textId="3216B101" w:rsidR="00215A3E" w:rsidRPr="007375EB" w:rsidRDefault="00471E23" w:rsidP="00215A3E">
                  <w:pPr>
                    <w:spacing w:line="240" w:lineRule="auto"/>
                    <w:rPr>
                      <w:rFonts w:asciiTheme="minorHAnsi" w:eastAsia="Times New Roman" w:hAnsiTheme="minorHAnsi" w:cs="Calibri"/>
                      <w:color w:val="000000"/>
                      <w:sz w:val="14"/>
                      <w:szCs w:val="14"/>
                      <w:lang w:val="bg-BG" w:eastAsia="ro-RO"/>
                    </w:rPr>
                  </w:pPr>
                  <w:r w:rsidRPr="007375EB">
                    <w:rPr>
                      <w:rFonts w:asciiTheme="minorHAnsi" w:eastAsia="Times New Roman" w:hAnsiTheme="minorHAnsi" w:cs="Calibri"/>
                      <w:color w:val="000000"/>
                      <w:sz w:val="14"/>
                      <w:szCs w:val="14"/>
                      <w:lang w:val="bg-BG" w:eastAsia="ro-RO"/>
                    </w:rPr>
                    <w:t xml:space="preserve">Интензивен трафик </w:t>
                  </w:r>
                  <w:r w:rsidR="00215A3E" w:rsidRPr="007375EB">
                    <w:rPr>
                      <w:rFonts w:asciiTheme="minorHAnsi" w:eastAsia="Times New Roman" w:hAnsiTheme="minorHAnsi" w:cs="Calibri"/>
                      <w:color w:val="000000"/>
                      <w:sz w:val="14"/>
                      <w:szCs w:val="14"/>
                      <w:lang w:val="bg-BG" w:eastAsia="ro-RO"/>
                    </w:rPr>
                    <w:t>(DN+Dc)</w:t>
                  </w:r>
                </w:p>
              </w:tc>
              <w:tc>
                <w:tcPr>
                  <w:tcW w:w="901" w:type="dxa"/>
                  <w:shd w:val="clear" w:color="auto" w:fill="F2F2F2" w:themeFill="background1" w:themeFillShade="F2"/>
                  <w:noWrap/>
                  <w:vAlign w:val="center"/>
                  <w:hideMark/>
                </w:tcPr>
                <w:p w14:paraId="133B70A1" w14:textId="77777777" w:rsidR="00215A3E" w:rsidRPr="007375EB" w:rsidRDefault="00215A3E" w:rsidP="00215A3E">
                  <w:pPr>
                    <w:spacing w:line="240" w:lineRule="auto"/>
                    <w:rPr>
                      <w:rFonts w:asciiTheme="majorHAnsi" w:eastAsia="Times New Roman" w:hAnsiTheme="majorHAnsi" w:cs="Calibri"/>
                      <w:color w:val="000000"/>
                      <w:sz w:val="14"/>
                      <w:szCs w:val="14"/>
                      <w:lang w:val="bg-BG" w:eastAsia="ro-RO"/>
                    </w:rPr>
                  </w:pPr>
                  <w:r w:rsidRPr="007375EB">
                    <w:rPr>
                      <w:rFonts w:asciiTheme="majorHAnsi" w:eastAsia="Times New Roman" w:hAnsiTheme="majorHAnsi" w:cs="Calibri"/>
                      <w:color w:val="000000"/>
                      <w:sz w:val="14"/>
                      <w:szCs w:val="14"/>
                      <w:lang w:val="bg-BG" w:eastAsia="ro-RO"/>
                    </w:rPr>
                    <w:t>5,24</w:t>
                  </w:r>
                </w:p>
              </w:tc>
            </w:tr>
            <w:tr w:rsidR="00471E23" w:rsidRPr="007375EB" w14:paraId="0E368772" w14:textId="77777777" w:rsidTr="00471E23">
              <w:trPr>
                <w:trHeight w:val="114"/>
              </w:trPr>
              <w:tc>
                <w:tcPr>
                  <w:tcW w:w="2351" w:type="dxa"/>
                  <w:shd w:val="clear" w:color="auto" w:fill="auto"/>
                  <w:noWrap/>
                  <w:hideMark/>
                </w:tcPr>
                <w:p w14:paraId="7B22822F" w14:textId="3EEC2948" w:rsidR="00471E23" w:rsidRPr="007375EB" w:rsidRDefault="00471E23" w:rsidP="00471E23">
                  <w:pPr>
                    <w:spacing w:line="240" w:lineRule="auto"/>
                    <w:rPr>
                      <w:rFonts w:asciiTheme="minorHAnsi" w:eastAsia="Times New Roman" w:hAnsiTheme="minorHAnsi" w:cs="Calibri"/>
                      <w:color w:val="000000"/>
                      <w:sz w:val="14"/>
                      <w:szCs w:val="14"/>
                      <w:lang w:val="bg-BG" w:eastAsia="ro-RO"/>
                    </w:rPr>
                  </w:pPr>
                  <w:r w:rsidRPr="007375EB">
                    <w:rPr>
                      <w:rFonts w:asciiTheme="minorHAnsi" w:hAnsiTheme="minorHAnsi"/>
                      <w:sz w:val="14"/>
                      <w:szCs w:val="14"/>
                      <w:lang w:val="bg-BG"/>
                    </w:rPr>
                    <w:t>Пътища за земеделски стопанства (De)</w:t>
                  </w:r>
                </w:p>
              </w:tc>
              <w:tc>
                <w:tcPr>
                  <w:tcW w:w="901" w:type="dxa"/>
                  <w:shd w:val="clear" w:color="auto" w:fill="F2F2F2" w:themeFill="background1" w:themeFillShade="F2"/>
                  <w:noWrap/>
                  <w:vAlign w:val="center"/>
                  <w:hideMark/>
                </w:tcPr>
                <w:p w14:paraId="75E9322B" w14:textId="77777777" w:rsidR="00471E23" w:rsidRPr="007375EB" w:rsidRDefault="00471E23" w:rsidP="00471E23">
                  <w:pPr>
                    <w:spacing w:line="240" w:lineRule="auto"/>
                    <w:rPr>
                      <w:rFonts w:asciiTheme="majorHAnsi" w:eastAsia="Times New Roman" w:hAnsiTheme="majorHAnsi" w:cs="Calibri"/>
                      <w:color w:val="000000"/>
                      <w:sz w:val="14"/>
                      <w:szCs w:val="14"/>
                      <w:lang w:val="bg-BG" w:eastAsia="ro-RO"/>
                    </w:rPr>
                  </w:pPr>
                  <w:r w:rsidRPr="007375EB">
                    <w:rPr>
                      <w:rFonts w:asciiTheme="majorHAnsi" w:eastAsia="Times New Roman" w:hAnsiTheme="majorHAnsi" w:cs="Calibri"/>
                      <w:color w:val="000000"/>
                      <w:sz w:val="14"/>
                      <w:szCs w:val="14"/>
                      <w:lang w:val="bg-BG" w:eastAsia="ro-RO"/>
                    </w:rPr>
                    <w:t>36,65</w:t>
                  </w:r>
                </w:p>
              </w:tc>
            </w:tr>
            <w:tr w:rsidR="00471E23" w:rsidRPr="007375EB" w14:paraId="07155177" w14:textId="77777777" w:rsidTr="00471E23">
              <w:trPr>
                <w:trHeight w:val="178"/>
              </w:trPr>
              <w:tc>
                <w:tcPr>
                  <w:tcW w:w="2351" w:type="dxa"/>
                  <w:shd w:val="clear" w:color="auto" w:fill="auto"/>
                  <w:noWrap/>
                  <w:hideMark/>
                </w:tcPr>
                <w:p w14:paraId="5CF6E293" w14:textId="7C67A763" w:rsidR="00471E23" w:rsidRPr="007375EB" w:rsidRDefault="00471E23" w:rsidP="00471E23">
                  <w:pPr>
                    <w:spacing w:line="240" w:lineRule="auto"/>
                    <w:rPr>
                      <w:rFonts w:asciiTheme="minorHAnsi" w:eastAsia="Times New Roman" w:hAnsiTheme="minorHAnsi" w:cs="Calibri"/>
                      <w:color w:val="000000"/>
                      <w:sz w:val="14"/>
                      <w:szCs w:val="14"/>
                      <w:lang w:val="bg-BG" w:eastAsia="ro-RO"/>
                    </w:rPr>
                  </w:pPr>
                  <w:r w:rsidRPr="007375EB">
                    <w:rPr>
                      <w:rFonts w:asciiTheme="minorHAnsi" w:hAnsiTheme="minorHAnsi"/>
                      <w:sz w:val="14"/>
                      <w:szCs w:val="14"/>
                      <w:lang w:val="bg-BG"/>
                    </w:rPr>
                    <w:t>Непродуктивна земя</w:t>
                  </w:r>
                </w:p>
              </w:tc>
              <w:tc>
                <w:tcPr>
                  <w:tcW w:w="901" w:type="dxa"/>
                  <w:shd w:val="clear" w:color="auto" w:fill="F2F2F2" w:themeFill="background1" w:themeFillShade="F2"/>
                  <w:noWrap/>
                  <w:vAlign w:val="center"/>
                  <w:hideMark/>
                </w:tcPr>
                <w:p w14:paraId="065F0A28" w14:textId="77777777" w:rsidR="00471E23" w:rsidRPr="007375EB" w:rsidRDefault="00471E23" w:rsidP="00471E23">
                  <w:pPr>
                    <w:spacing w:line="240" w:lineRule="auto"/>
                    <w:rPr>
                      <w:rFonts w:asciiTheme="majorHAnsi" w:eastAsia="Times New Roman" w:hAnsiTheme="majorHAnsi" w:cs="Calibri"/>
                      <w:color w:val="000000"/>
                      <w:sz w:val="14"/>
                      <w:szCs w:val="14"/>
                      <w:lang w:val="bg-BG" w:eastAsia="ro-RO"/>
                    </w:rPr>
                  </w:pPr>
                  <w:r w:rsidRPr="007375EB">
                    <w:rPr>
                      <w:rFonts w:asciiTheme="majorHAnsi" w:eastAsia="Times New Roman" w:hAnsiTheme="majorHAnsi" w:cs="Calibri"/>
                      <w:color w:val="000000"/>
                      <w:sz w:val="14"/>
                      <w:szCs w:val="14"/>
                      <w:lang w:val="bg-BG" w:eastAsia="ro-RO"/>
                    </w:rPr>
                    <w:t>1,87</w:t>
                  </w:r>
                </w:p>
              </w:tc>
            </w:tr>
            <w:tr w:rsidR="00215A3E" w:rsidRPr="007375EB" w14:paraId="08BCC8C0" w14:textId="77777777" w:rsidTr="00471E23">
              <w:trPr>
                <w:trHeight w:val="139"/>
              </w:trPr>
              <w:tc>
                <w:tcPr>
                  <w:tcW w:w="2351" w:type="dxa"/>
                  <w:shd w:val="clear" w:color="auto" w:fill="auto"/>
                  <w:noWrap/>
                  <w:vAlign w:val="center"/>
                  <w:hideMark/>
                </w:tcPr>
                <w:p w14:paraId="57E2E6CB" w14:textId="63FF158A" w:rsidR="00215A3E" w:rsidRPr="007375EB" w:rsidRDefault="0052389F" w:rsidP="00215A3E">
                  <w:pPr>
                    <w:spacing w:line="240" w:lineRule="auto"/>
                    <w:rPr>
                      <w:rFonts w:asciiTheme="minorHAnsi" w:eastAsia="Times New Roman" w:hAnsiTheme="minorHAnsi" w:cs="Calibri"/>
                      <w:color w:val="000000"/>
                      <w:sz w:val="14"/>
                      <w:szCs w:val="14"/>
                      <w:lang w:val="bg-BG" w:eastAsia="ro-RO"/>
                    </w:rPr>
                  </w:pPr>
                  <w:r w:rsidRPr="007375EB">
                    <w:rPr>
                      <w:rFonts w:asciiTheme="minorHAnsi" w:eastAsia="Times New Roman" w:hAnsiTheme="minorHAnsi" w:cs="Calibri"/>
                      <w:color w:val="000000"/>
                      <w:sz w:val="14"/>
                      <w:szCs w:val="14"/>
                      <w:lang w:val="bg-BG" w:eastAsia="ro-RO"/>
                    </w:rPr>
                    <w:t>Обработваема земя</w:t>
                  </w:r>
                </w:p>
              </w:tc>
              <w:tc>
                <w:tcPr>
                  <w:tcW w:w="901" w:type="dxa"/>
                  <w:shd w:val="clear" w:color="auto" w:fill="F2F2F2" w:themeFill="background1" w:themeFillShade="F2"/>
                  <w:noWrap/>
                  <w:vAlign w:val="center"/>
                  <w:hideMark/>
                </w:tcPr>
                <w:p w14:paraId="36BCEC2A" w14:textId="77777777" w:rsidR="00215A3E" w:rsidRPr="007375EB" w:rsidRDefault="00215A3E" w:rsidP="00215A3E">
                  <w:pPr>
                    <w:spacing w:line="240" w:lineRule="auto"/>
                    <w:rPr>
                      <w:rFonts w:asciiTheme="majorHAnsi" w:eastAsia="Times New Roman" w:hAnsiTheme="majorHAnsi" w:cs="Calibri"/>
                      <w:color w:val="000000"/>
                      <w:sz w:val="14"/>
                      <w:szCs w:val="14"/>
                      <w:lang w:val="bg-BG" w:eastAsia="ro-RO"/>
                    </w:rPr>
                  </w:pPr>
                  <w:r w:rsidRPr="007375EB">
                    <w:rPr>
                      <w:rFonts w:asciiTheme="majorHAnsi" w:eastAsia="Times New Roman" w:hAnsiTheme="majorHAnsi" w:cs="Calibri"/>
                      <w:color w:val="000000"/>
                      <w:sz w:val="14"/>
                      <w:szCs w:val="14"/>
                      <w:lang w:val="bg-BG" w:eastAsia="ro-RO"/>
                    </w:rPr>
                    <w:t>2908,24</w:t>
                  </w:r>
                </w:p>
              </w:tc>
            </w:tr>
            <w:tr w:rsidR="00215A3E" w:rsidRPr="007375EB" w14:paraId="15725731" w14:textId="77777777" w:rsidTr="00471E23">
              <w:trPr>
                <w:trHeight w:val="169"/>
              </w:trPr>
              <w:tc>
                <w:tcPr>
                  <w:tcW w:w="2351" w:type="dxa"/>
                  <w:shd w:val="clear" w:color="auto" w:fill="009DF0" w:themeFill="text2"/>
                  <w:noWrap/>
                  <w:hideMark/>
                </w:tcPr>
                <w:p w14:paraId="4D6E17C9" w14:textId="0D693DEA" w:rsidR="00215A3E" w:rsidRPr="007375EB" w:rsidRDefault="0052389F" w:rsidP="00215A3E">
                  <w:pPr>
                    <w:spacing w:line="240" w:lineRule="auto"/>
                    <w:rPr>
                      <w:rFonts w:asciiTheme="majorHAnsi" w:eastAsia="Times New Roman" w:hAnsiTheme="majorHAnsi" w:cs="Calibri"/>
                      <w:b/>
                      <w:bCs/>
                      <w:color w:val="000000"/>
                      <w:sz w:val="14"/>
                      <w:szCs w:val="14"/>
                      <w:lang w:val="bg-BG" w:eastAsia="ro-RO"/>
                    </w:rPr>
                  </w:pPr>
                  <w:r w:rsidRPr="007375EB">
                    <w:rPr>
                      <w:rFonts w:asciiTheme="majorHAnsi" w:eastAsia="Times New Roman" w:hAnsiTheme="majorHAnsi" w:cs="Calibri"/>
                      <w:b/>
                      <w:bCs/>
                      <w:color w:val="000000"/>
                      <w:sz w:val="14"/>
                      <w:szCs w:val="14"/>
                      <w:lang w:val="bg-BG" w:eastAsia="ro-RO"/>
                    </w:rPr>
                    <w:t>Общо</w:t>
                  </w:r>
                </w:p>
              </w:tc>
              <w:tc>
                <w:tcPr>
                  <w:tcW w:w="901" w:type="dxa"/>
                  <w:shd w:val="clear" w:color="auto" w:fill="F2F2F2" w:themeFill="background1" w:themeFillShade="F2"/>
                  <w:noWrap/>
                  <w:hideMark/>
                </w:tcPr>
                <w:p w14:paraId="1393500A" w14:textId="77777777" w:rsidR="00215A3E" w:rsidRPr="007375EB" w:rsidRDefault="00215A3E" w:rsidP="00215A3E">
                  <w:pPr>
                    <w:spacing w:line="240" w:lineRule="auto"/>
                    <w:rPr>
                      <w:rFonts w:asciiTheme="majorHAnsi" w:eastAsia="Times New Roman" w:hAnsiTheme="majorHAnsi" w:cs="Calibri"/>
                      <w:b/>
                      <w:bCs/>
                      <w:color w:val="000000"/>
                      <w:sz w:val="14"/>
                      <w:szCs w:val="14"/>
                      <w:lang w:val="bg-BG" w:eastAsia="ro-RO"/>
                    </w:rPr>
                  </w:pPr>
                  <w:r w:rsidRPr="007375EB">
                    <w:rPr>
                      <w:rFonts w:asciiTheme="majorHAnsi" w:eastAsia="Times New Roman" w:hAnsiTheme="majorHAnsi" w:cs="Calibri"/>
                      <w:b/>
                      <w:bCs/>
                      <w:color w:val="009DF0" w:themeColor="text2"/>
                      <w:sz w:val="14"/>
                      <w:szCs w:val="14"/>
                      <w:lang w:val="bg-BG" w:eastAsia="ro-RO"/>
                    </w:rPr>
                    <w:t>3027,77</w:t>
                  </w:r>
                </w:p>
              </w:tc>
            </w:tr>
          </w:tbl>
          <w:p w14:paraId="1FA58E7A" w14:textId="77777777" w:rsidR="00215A3E" w:rsidRPr="007375EB" w:rsidRDefault="00215A3E" w:rsidP="00215A3E">
            <w:pPr>
              <w:spacing w:after="120" w:line="360" w:lineRule="auto"/>
              <w:jc w:val="both"/>
              <w:rPr>
                <w:rFonts w:eastAsia="Verdana" w:cs="Verdana"/>
                <w:lang w:val="bg-BG"/>
              </w:rPr>
            </w:pPr>
          </w:p>
        </w:tc>
      </w:tr>
    </w:tbl>
    <w:p w14:paraId="1A34F51A" w14:textId="2F72927B" w:rsidR="00DD7BAD" w:rsidRPr="007375EB" w:rsidRDefault="0052389F" w:rsidP="00DD7BAD">
      <w:pPr>
        <w:pStyle w:val="Caption"/>
        <w:jc w:val="center"/>
        <w:rPr>
          <w:sz w:val="16"/>
          <w:szCs w:val="16"/>
          <w:vertAlign w:val="subscript"/>
          <w:lang w:val="bg-BG"/>
        </w:rPr>
      </w:pPr>
      <w:r w:rsidRPr="007375EB">
        <w:rPr>
          <w:sz w:val="16"/>
          <w:szCs w:val="16"/>
          <w:lang w:val="bg-BG"/>
        </w:rPr>
        <w:t>Фигура</w:t>
      </w:r>
      <w:r w:rsidR="00DD7BAD" w:rsidRPr="007375EB">
        <w:rPr>
          <w:sz w:val="16"/>
          <w:szCs w:val="16"/>
          <w:lang w:val="bg-BG"/>
        </w:rPr>
        <w:t xml:space="preserve"> 2. </w:t>
      </w:r>
      <w:r w:rsidR="00DD7BAD" w:rsidRPr="007375EB">
        <w:rPr>
          <w:sz w:val="16"/>
          <w:szCs w:val="16"/>
          <w:lang w:val="bg-BG"/>
        </w:rPr>
        <w:fldChar w:fldCharType="begin"/>
      </w:r>
      <w:r w:rsidR="00DD7BAD" w:rsidRPr="007375EB">
        <w:rPr>
          <w:sz w:val="16"/>
          <w:szCs w:val="16"/>
          <w:lang w:val="bg-BG"/>
        </w:rPr>
        <w:instrText xml:space="preserve"> SEQ Figura_2. \* ARABIC </w:instrText>
      </w:r>
      <w:r w:rsidR="00DD7BAD" w:rsidRPr="007375EB">
        <w:rPr>
          <w:sz w:val="16"/>
          <w:szCs w:val="16"/>
          <w:lang w:val="bg-BG"/>
        </w:rPr>
        <w:fldChar w:fldCharType="separate"/>
      </w:r>
      <w:r w:rsidR="00833177" w:rsidRPr="007375EB">
        <w:rPr>
          <w:noProof/>
          <w:sz w:val="16"/>
          <w:szCs w:val="16"/>
          <w:lang w:val="bg-BG"/>
        </w:rPr>
        <w:t>10</w:t>
      </w:r>
      <w:r w:rsidR="00DD7BAD" w:rsidRPr="007375EB">
        <w:rPr>
          <w:sz w:val="16"/>
          <w:szCs w:val="16"/>
          <w:lang w:val="bg-BG"/>
        </w:rPr>
        <w:fldChar w:fldCharType="end"/>
      </w:r>
      <w:r w:rsidR="00DD7BAD" w:rsidRPr="007375EB">
        <w:rPr>
          <w:sz w:val="16"/>
          <w:szCs w:val="16"/>
          <w:lang w:val="bg-BG"/>
        </w:rPr>
        <w:t xml:space="preserve"> </w:t>
      </w:r>
      <w:r w:rsidRPr="007375EB">
        <w:rPr>
          <w:sz w:val="16"/>
          <w:szCs w:val="16"/>
          <w:lang w:val="bg-BG"/>
        </w:rPr>
        <w:t>Категории на използване на земята</w:t>
      </w:r>
    </w:p>
    <w:p w14:paraId="0F7DCF5B" w14:textId="77777777" w:rsidR="00215A3E" w:rsidRPr="007375EB" w:rsidRDefault="00215A3E" w:rsidP="00DD7BAD">
      <w:pPr>
        <w:spacing w:after="120" w:line="360" w:lineRule="auto"/>
        <w:jc w:val="both"/>
        <w:rPr>
          <w:iCs/>
          <w:lang w:val="bg-BG"/>
        </w:rPr>
      </w:pPr>
    </w:p>
    <w:p w14:paraId="32956BFB" w14:textId="68C316FC" w:rsidR="00676F05" w:rsidRPr="007375EB" w:rsidRDefault="00676F05" w:rsidP="00676F05">
      <w:pPr>
        <w:spacing w:after="120" w:line="360" w:lineRule="auto"/>
        <w:jc w:val="both"/>
        <w:rPr>
          <w:iCs/>
          <w:lang w:val="bg-BG"/>
        </w:rPr>
      </w:pPr>
      <w:r w:rsidRPr="007375EB">
        <w:rPr>
          <w:iCs/>
          <w:lang w:val="bg-BG"/>
        </w:rPr>
        <w:t xml:space="preserve">За всеки парцел, на който ще бъдат издигнати вятърните турбини, етапът DTAC ще изисква окончателно изваждане от земеделската верига на площите, заети от основата на стълба, пътищата за достъп до електроцентралата и платформите за поддръжка. Енергийният парк ще доведе до окончателното изваждане от земеделската верига на площ от около 30 хектара. </w:t>
      </w:r>
    </w:p>
    <w:p w14:paraId="2C27FBF8" w14:textId="295C41DE" w:rsidR="00E52C0B" w:rsidRPr="007375EB" w:rsidRDefault="00676F05" w:rsidP="00676F05">
      <w:pPr>
        <w:spacing w:after="120" w:line="360" w:lineRule="auto"/>
        <w:jc w:val="both"/>
        <w:rPr>
          <w:iCs/>
          <w:lang w:val="bg-BG"/>
        </w:rPr>
      </w:pPr>
      <w:r w:rsidRPr="007375EB">
        <w:rPr>
          <w:iCs/>
          <w:lang w:val="bg-BG"/>
        </w:rPr>
        <w:t>За площите, заети от платформите за складиране на компонентите и сглобяване на кранове, ще се наложи временното отделяне на съответните площи. Енергийният парк ще доведе до временното извеждане от употреба на около 70 ха</w:t>
      </w:r>
      <w:r w:rsidR="00E52C0B" w:rsidRPr="007375EB">
        <w:rPr>
          <w:rFonts w:eastAsia="Verdana" w:cs="Verdana"/>
          <w:lang w:val="bg-BG"/>
        </w:rPr>
        <w:t>.</w:t>
      </w:r>
    </w:p>
    <w:p w14:paraId="3B090E24" w14:textId="58859D24" w:rsidR="00943A3A" w:rsidRPr="007375EB" w:rsidRDefault="00676F05" w:rsidP="00DD7BAD">
      <w:pPr>
        <w:spacing w:after="120" w:line="360" w:lineRule="auto"/>
        <w:jc w:val="both"/>
        <w:rPr>
          <w:iCs/>
          <w:lang w:val="bg-BG"/>
        </w:rPr>
      </w:pPr>
      <w:r w:rsidRPr="007375EB">
        <w:rPr>
          <w:iCs/>
          <w:lang w:val="bg-BG"/>
        </w:rPr>
        <w:t>Класовете на качество и точките за добро качество на земеделските земи са тясно свързани с оценката на плодородието и продуктивността на почвата. По този начин земеделските почви се групират в 5 класа на качество, които се различават по средната оценка за добро качество (клас I: 81-100 точки, клас V: 1-20 точки</w:t>
      </w:r>
      <w:r w:rsidR="00943A3A" w:rsidRPr="007375EB">
        <w:rPr>
          <w:iCs/>
          <w:lang w:val="bg-BG"/>
        </w:rPr>
        <w:t>).</w:t>
      </w:r>
    </w:p>
    <w:p w14:paraId="685283B1" w14:textId="38C44121" w:rsidR="00DC1A91" w:rsidRPr="007375EB" w:rsidRDefault="00676F05" w:rsidP="00DD7BAD">
      <w:pPr>
        <w:spacing w:after="120" w:line="360" w:lineRule="auto"/>
        <w:jc w:val="both"/>
        <w:rPr>
          <w:iCs/>
          <w:lang w:val="bg-BG"/>
        </w:rPr>
      </w:pPr>
      <w:r w:rsidRPr="007375EB">
        <w:rPr>
          <w:iCs/>
          <w:lang w:val="bg-BG"/>
        </w:rPr>
        <w:t>Земята, върху която ще се развиват инвестициите в извънградската територия на община Cerchezu, е с клас на качество III (по скалата от I до V), т.е. средно плодородна почва, умерено засегната от деградация.</w:t>
      </w:r>
    </w:p>
    <w:p w14:paraId="0C0AE2EC" w14:textId="7E5A8288" w:rsidR="00943A3A" w:rsidRPr="007375EB" w:rsidRDefault="00676F05" w:rsidP="00DD7BAD">
      <w:pPr>
        <w:spacing w:after="120" w:line="360" w:lineRule="auto"/>
        <w:rPr>
          <w:rFonts w:eastAsiaTheme="majorEastAsia" w:cstheme="majorBidi"/>
          <w:b/>
          <w:iCs/>
          <w:color w:val="009DF0"/>
          <w:lang w:val="bg-BG"/>
        </w:rPr>
      </w:pPr>
      <w:r w:rsidRPr="007375EB">
        <w:rPr>
          <w:rFonts w:eastAsiaTheme="majorEastAsia" w:cstheme="majorBidi"/>
          <w:b/>
          <w:iCs/>
          <w:color w:val="009DF0"/>
          <w:lang w:val="bg-BG"/>
        </w:rPr>
        <w:t>Категории почви в изследвания район</w:t>
      </w:r>
    </w:p>
    <w:p w14:paraId="1AE14183" w14:textId="3586321D" w:rsidR="00676F05" w:rsidRPr="007375EB" w:rsidRDefault="00676F05" w:rsidP="00676F05">
      <w:pPr>
        <w:spacing w:after="120" w:line="360" w:lineRule="auto"/>
        <w:jc w:val="both"/>
        <w:rPr>
          <w:iCs/>
          <w:lang w:val="bg-BG"/>
        </w:rPr>
      </w:pPr>
      <w:r w:rsidRPr="007375EB">
        <w:rPr>
          <w:iCs/>
          <w:lang w:val="bg-BG"/>
        </w:rPr>
        <w:t xml:space="preserve">Формирането и географското разпределение на почвите на територията на община Черкезу са повлияни от физико-природни фактори, релеф, литология и климат. </w:t>
      </w:r>
    </w:p>
    <w:p w14:paraId="4E9B0612" w14:textId="77777777" w:rsidR="00676F05" w:rsidRPr="007375EB" w:rsidRDefault="00676F05" w:rsidP="00676F05">
      <w:pPr>
        <w:spacing w:after="120" w:line="360" w:lineRule="auto"/>
        <w:jc w:val="both"/>
        <w:rPr>
          <w:iCs/>
          <w:lang w:val="bg-BG"/>
        </w:rPr>
      </w:pPr>
      <w:r w:rsidRPr="007375EB">
        <w:rPr>
          <w:iCs/>
          <w:lang w:val="bg-BG"/>
        </w:rPr>
        <w:t xml:space="preserve">Многобройните класове и типове почви се отличават със своите свойства, продуктивност и мерки за поддържане и повишаване на плодородието им. </w:t>
      </w:r>
    </w:p>
    <w:p w14:paraId="4A862F5C" w14:textId="2C44C552" w:rsidR="00943A3A" w:rsidRPr="007375EB" w:rsidRDefault="00676F05" w:rsidP="00676F05">
      <w:pPr>
        <w:spacing w:after="120" w:line="360" w:lineRule="auto"/>
        <w:jc w:val="both"/>
        <w:rPr>
          <w:iCs/>
          <w:lang w:val="bg-BG"/>
        </w:rPr>
      </w:pPr>
      <w:r w:rsidRPr="007375EB">
        <w:rPr>
          <w:iCs/>
          <w:lang w:val="bg-BG"/>
        </w:rPr>
        <w:t>На следващата фигура е показана картата на почвите в района на предложения проект</w:t>
      </w:r>
      <w:r w:rsidR="00943A3A" w:rsidRPr="007375EB">
        <w:rPr>
          <w:iCs/>
          <w:lang w:val="bg-BG"/>
        </w:rPr>
        <w:t>:</w:t>
      </w:r>
    </w:p>
    <w:p w14:paraId="3D827789" w14:textId="7059D512" w:rsidR="00315BB4" w:rsidRPr="007375EB" w:rsidRDefault="00315BB4" w:rsidP="00FE516F">
      <w:pPr>
        <w:spacing w:before="100" w:beforeAutospacing="1" w:line="240" w:lineRule="auto"/>
        <w:rPr>
          <w:rFonts w:ascii="Times New Roman" w:eastAsia="Times New Roman" w:hAnsi="Times New Roman" w:cs="Times New Roman"/>
          <w:sz w:val="24"/>
          <w:szCs w:val="24"/>
          <w:lang w:val="bg-BG" w:eastAsia="ro-RO"/>
        </w:rPr>
      </w:pPr>
      <w:r w:rsidRPr="007375EB">
        <w:rPr>
          <w:rFonts w:ascii="Times New Roman" w:eastAsia="Times New Roman" w:hAnsi="Times New Roman" w:cs="Times New Roman"/>
          <w:noProof/>
          <w:sz w:val="24"/>
          <w:szCs w:val="24"/>
          <w:lang w:val="bg-BG" w:eastAsia="ro-RO"/>
        </w:rPr>
        <w:lastRenderedPageBreak/>
        <w:drawing>
          <wp:inline distT="0" distB="0" distL="0" distR="0" wp14:anchorId="5CD048B7" wp14:editId="5E15167E">
            <wp:extent cx="6667701" cy="4715933"/>
            <wp:effectExtent l="0" t="0" r="0" b="889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703392" cy="4741176"/>
                    </a:xfrm>
                    <a:prstGeom prst="rect">
                      <a:avLst/>
                    </a:prstGeom>
                    <a:noFill/>
                    <a:ln>
                      <a:noFill/>
                    </a:ln>
                  </pic:spPr>
                </pic:pic>
              </a:graphicData>
            </a:graphic>
          </wp:inline>
        </w:drawing>
      </w:r>
    </w:p>
    <w:p w14:paraId="4202BA24" w14:textId="587DD067" w:rsidR="001D72CD" w:rsidRPr="007375EB" w:rsidRDefault="00676F05" w:rsidP="00FE516F">
      <w:pPr>
        <w:pStyle w:val="Caption"/>
        <w:spacing w:after="0" w:line="240" w:lineRule="auto"/>
        <w:jc w:val="center"/>
        <w:rPr>
          <w:sz w:val="16"/>
          <w:szCs w:val="16"/>
          <w:vertAlign w:val="subscript"/>
          <w:lang w:val="bg-BG"/>
        </w:rPr>
      </w:pPr>
      <w:bookmarkStart w:id="17" w:name="_Hlk167203639"/>
      <w:r w:rsidRPr="007375EB">
        <w:rPr>
          <w:sz w:val="16"/>
          <w:szCs w:val="16"/>
          <w:lang w:val="bg-BG"/>
        </w:rPr>
        <w:t>Фигура</w:t>
      </w:r>
      <w:r w:rsidR="001D72CD" w:rsidRPr="007375EB">
        <w:rPr>
          <w:sz w:val="16"/>
          <w:szCs w:val="16"/>
          <w:lang w:val="bg-BG"/>
        </w:rPr>
        <w:t xml:space="preserve"> 2. </w:t>
      </w:r>
      <w:r w:rsidR="001D72CD" w:rsidRPr="007375EB">
        <w:rPr>
          <w:sz w:val="16"/>
          <w:szCs w:val="16"/>
          <w:lang w:val="bg-BG"/>
        </w:rPr>
        <w:fldChar w:fldCharType="begin"/>
      </w:r>
      <w:r w:rsidR="001D72CD" w:rsidRPr="007375EB">
        <w:rPr>
          <w:sz w:val="16"/>
          <w:szCs w:val="16"/>
          <w:lang w:val="bg-BG"/>
        </w:rPr>
        <w:instrText xml:space="preserve"> SEQ Figura_2. \* ARABIC </w:instrText>
      </w:r>
      <w:r w:rsidR="001D72CD" w:rsidRPr="007375EB">
        <w:rPr>
          <w:sz w:val="16"/>
          <w:szCs w:val="16"/>
          <w:lang w:val="bg-BG"/>
        </w:rPr>
        <w:fldChar w:fldCharType="separate"/>
      </w:r>
      <w:r w:rsidR="00DD7BAD" w:rsidRPr="007375EB">
        <w:rPr>
          <w:noProof/>
          <w:sz w:val="16"/>
          <w:szCs w:val="16"/>
          <w:lang w:val="bg-BG"/>
        </w:rPr>
        <w:t>11</w:t>
      </w:r>
      <w:r w:rsidR="001D72CD" w:rsidRPr="007375EB">
        <w:rPr>
          <w:sz w:val="16"/>
          <w:szCs w:val="16"/>
          <w:lang w:val="bg-BG"/>
        </w:rPr>
        <w:fldChar w:fldCharType="end"/>
      </w:r>
      <w:r w:rsidR="001D72CD" w:rsidRPr="007375EB">
        <w:rPr>
          <w:sz w:val="16"/>
          <w:szCs w:val="16"/>
          <w:lang w:val="bg-BG"/>
        </w:rPr>
        <w:t xml:space="preserve"> </w:t>
      </w:r>
      <w:r w:rsidRPr="007375EB">
        <w:rPr>
          <w:sz w:val="16"/>
          <w:szCs w:val="16"/>
          <w:lang w:val="bg-BG"/>
        </w:rPr>
        <w:t xml:space="preserve">Карта на почвите в района, обхванат от </w:t>
      </w:r>
      <w:r w:rsidR="0014580E" w:rsidRPr="007375EB">
        <w:rPr>
          <w:sz w:val="16"/>
          <w:szCs w:val="16"/>
          <w:lang w:val="bg-BG"/>
        </w:rPr>
        <w:t>ЗГП</w:t>
      </w:r>
    </w:p>
    <w:bookmarkEnd w:id="17"/>
    <w:p w14:paraId="11F52EC4" w14:textId="77777777" w:rsidR="00943A3A" w:rsidRPr="007375EB" w:rsidRDefault="00943A3A" w:rsidP="00943A3A">
      <w:pPr>
        <w:spacing w:after="120" w:line="360" w:lineRule="auto"/>
        <w:ind w:left="-23" w:right="-23"/>
        <w:jc w:val="both"/>
        <w:rPr>
          <w:rFonts w:eastAsia="Verdana" w:cs="Verdana"/>
          <w:lang w:val="bg-BG"/>
        </w:rPr>
      </w:pPr>
    </w:p>
    <w:p w14:paraId="060FC9CF" w14:textId="455188C8" w:rsidR="00943A3A" w:rsidRPr="007375EB" w:rsidRDefault="00676F05" w:rsidP="00943A3A">
      <w:pPr>
        <w:spacing w:after="120" w:line="360" w:lineRule="auto"/>
        <w:ind w:left="-23" w:right="-23"/>
        <w:jc w:val="both"/>
        <w:rPr>
          <w:rFonts w:eastAsia="Verdana" w:cs="Verdana"/>
          <w:lang w:val="bg-BG"/>
        </w:rPr>
      </w:pPr>
      <w:r w:rsidRPr="007375EB">
        <w:rPr>
          <w:rFonts w:eastAsia="Verdana" w:cs="Verdana"/>
          <w:lang w:val="bg-BG"/>
        </w:rPr>
        <w:t xml:space="preserve">Анализирайки картата на почвите, може да се види, че преобладаващият почвен клас в района на изпълнение на проекта е този на церизолите (черноземи), около 90 % от общата площ на </w:t>
      </w:r>
      <w:r w:rsidR="0014580E" w:rsidRPr="007375EB">
        <w:rPr>
          <w:rFonts w:eastAsia="Verdana" w:cs="Verdana"/>
          <w:lang w:val="bg-BG"/>
        </w:rPr>
        <w:t>ЗГП</w:t>
      </w:r>
      <w:r w:rsidR="00943A3A" w:rsidRPr="007375EB">
        <w:rPr>
          <w:rFonts w:eastAsia="Verdana" w:cs="Verdana"/>
          <w:lang w:val="bg-BG"/>
        </w:rPr>
        <w:t>.</w:t>
      </w:r>
    </w:p>
    <w:p w14:paraId="26BDAAF2" w14:textId="6B00EEE9" w:rsidR="00943A3A" w:rsidRPr="007375EB" w:rsidRDefault="00676F05" w:rsidP="00943A3A">
      <w:pPr>
        <w:spacing w:after="120" w:line="360" w:lineRule="auto"/>
        <w:ind w:left="-20" w:right="-20"/>
        <w:jc w:val="both"/>
        <w:rPr>
          <w:lang w:val="bg-BG"/>
        </w:rPr>
      </w:pPr>
      <w:r w:rsidRPr="007375EB">
        <w:rPr>
          <w:rFonts w:eastAsia="Verdana" w:cs="Verdana"/>
          <w:lang w:val="bg-BG"/>
        </w:rPr>
        <w:t xml:space="preserve">Картата с разпределението на категориите земеползване в района, обхванат от </w:t>
      </w:r>
      <w:r w:rsidR="0014580E" w:rsidRPr="007375EB">
        <w:rPr>
          <w:rFonts w:eastAsia="Verdana" w:cs="Verdana"/>
          <w:lang w:val="bg-BG"/>
        </w:rPr>
        <w:t>ЗГП</w:t>
      </w:r>
      <w:r w:rsidRPr="007375EB">
        <w:rPr>
          <w:rFonts w:eastAsia="Verdana" w:cs="Verdana"/>
          <w:lang w:val="bg-BG"/>
        </w:rPr>
        <w:t>, е представена на фигурата по-долу</w:t>
      </w:r>
      <w:r w:rsidR="00943A3A" w:rsidRPr="007375EB">
        <w:rPr>
          <w:rFonts w:eastAsia="Verdana" w:cs="Verdana"/>
          <w:lang w:val="bg-BG"/>
        </w:rPr>
        <w:t xml:space="preserve">. </w:t>
      </w:r>
    </w:p>
    <w:p w14:paraId="259A553C" w14:textId="12952B53" w:rsidR="004B3C71" w:rsidRPr="007375EB" w:rsidRDefault="004B3C71" w:rsidP="004B3C71">
      <w:pPr>
        <w:spacing w:before="100" w:beforeAutospacing="1" w:after="100" w:afterAutospacing="1" w:line="240" w:lineRule="auto"/>
        <w:rPr>
          <w:rFonts w:ascii="Times New Roman" w:eastAsia="Times New Roman" w:hAnsi="Times New Roman" w:cs="Times New Roman"/>
          <w:sz w:val="24"/>
          <w:szCs w:val="24"/>
          <w:lang w:val="bg-BG" w:eastAsia="ro-RO"/>
        </w:rPr>
      </w:pPr>
      <w:r w:rsidRPr="007375EB">
        <w:rPr>
          <w:rFonts w:ascii="Times New Roman" w:eastAsia="Times New Roman" w:hAnsi="Times New Roman" w:cs="Times New Roman"/>
          <w:noProof/>
          <w:sz w:val="24"/>
          <w:szCs w:val="24"/>
          <w:lang w:val="bg-BG" w:eastAsia="ro-RO"/>
        </w:rPr>
        <w:lastRenderedPageBreak/>
        <w:drawing>
          <wp:inline distT="0" distB="0" distL="0" distR="0" wp14:anchorId="33502B4F" wp14:editId="027C9A6C">
            <wp:extent cx="6486298" cy="4587631"/>
            <wp:effectExtent l="0" t="0" r="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495085" cy="4593846"/>
                    </a:xfrm>
                    <a:prstGeom prst="rect">
                      <a:avLst/>
                    </a:prstGeom>
                    <a:noFill/>
                    <a:ln>
                      <a:noFill/>
                    </a:ln>
                  </pic:spPr>
                </pic:pic>
              </a:graphicData>
            </a:graphic>
          </wp:inline>
        </w:drawing>
      </w:r>
    </w:p>
    <w:p w14:paraId="5553C7DA" w14:textId="77943C4C" w:rsidR="00943A3A" w:rsidRPr="007375EB" w:rsidRDefault="00943A3A" w:rsidP="00EA1CF0">
      <w:pPr>
        <w:spacing w:after="120" w:line="240" w:lineRule="auto"/>
        <w:ind w:left="-23" w:right="-23"/>
        <w:jc w:val="both"/>
        <w:rPr>
          <w:rFonts w:eastAsia="Verdana" w:cs="Verdana"/>
          <w:lang w:val="bg-BG"/>
        </w:rPr>
      </w:pPr>
    </w:p>
    <w:p w14:paraId="0A26CA0B" w14:textId="17AAFB07" w:rsidR="00943A3A" w:rsidRPr="007375EB" w:rsidRDefault="00676F05" w:rsidP="00EA1CF0">
      <w:pPr>
        <w:spacing w:after="120" w:line="240" w:lineRule="auto"/>
        <w:ind w:left="-20" w:right="-20"/>
        <w:jc w:val="center"/>
        <w:rPr>
          <w:i/>
          <w:iCs/>
          <w:color w:val="009DF0" w:themeColor="text2"/>
          <w:sz w:val="14"/>
          <w:lang w:val="bg-BG"/>
        </w:rPr>
      </w:pPr>
      <w:bookmarkStart w:id="18" w:name="_Hlk162950280"/>
      <w:r w:rsidRPr="007375EB">
        <w:rPr>
          <w:i/>
          <w:iCs/>
          <w:color w:val="009DF0" w:themeColor="text2"/>
          <w:sz w:val="14"/>
          <w:lang w:val="bg-BG"/>
        </w:rPr>
        <w:t>Източник:</w:t>
      </w:r>
      <w:r w:rsidR="00943A3A" w:rsidRPr="007375EB">
        <w:rPr>
          <w:i/>
          <w:iCs/>
          <w:color w:val="009DF0" w:themeColor="text2"/>
          <w:sz w:val="14"/>
          <w:lang w:val="bg-BG"/>
        </w:rPr>
        <w:t>: CORINE Land Cover, 2018,  Version 2020_20u1mDate of publication: Jun 14, 2019 Revision date: May 13, 2020</w:t>
      </w:r>
    </w:p>
    <w:p w14:paraId="49F907B8" w14:textId="5B44134A" w:rsidR="008E6FD0" w:rsidRPr="007375EB" w:rsidRDefault="00676F05" w:rsidP="00EA1CF0">
      <w:pPr>
        <w:pStyle w:val="Caption"/>
        <w:spacing w:before="0" w:after="120" w:line="240" w:lineRule="auto"/>
        <w:jc w:val="center"/>
        <w:rPr>
          <w:sz w:val="16"/>
          <w:szCs w:val="16"/>
          <w:vertAlign w:val="subscript"/>
          <w:lang w:val="bg-BG"/>
        </w:rPr>
      </w:pPr>
      <w:r w:rsidRPr="007375EB">
        <w:rPr>
          <w:sz w:val="16"/>
          <w:szCs w:val="16"/>
          <w:lang w:val="bg-BG"/>
        </w:rPr>
        <w:t>Фигура</w:t>
      </w:r>
      <w:r w:rsidR="008E6FD0" w:rsidRPr="007375EB">
        <w:rPr>
          <w:sz w:val="16"/>
          <w:szCs w:val="16"/>
          <w:lang w:val="bg-BG"/>
        </w:rPr>
        <w:t xml:space="preserve"> 2. </w:t>
      </w:r>
      <w:r w:rsidR="008E6FD0" w:rsidRPr="007375EB">
        <w:rPr>
          <w:sz w:val="16"/>
          <w:szCs w:val="16"/>
          <w:lang w:val="bg-BG"/>
        </w:rPr>
        <w:fldChar w:fldCharType="begin"/>
      </w:r>
      <w:r w:rsidR="008E6FD0" w:rsidRPr="007375EB">
        <w:rPr>
          <w:sz w:val="16"/>
          <w:szCs w:val="16"/>
          <w:lang w:val="bg-BG"/>
        </w:rPr>
        <w:instrText xml:space="preserve"> SEQ Figura_2. \* ARABIC </w:instrText>
      </w:r>
      <w:r w:rsidR="008E6FD0" w:rsidRPr="007375EB">
        <w:rPr>
          <w:sz w:val="16"/>
          <w:szCs w:val="16"/>
          <w:lang w:val="bg-BG"/>
        </w:rPr>
        <w:fldChar w:fldCharType="separate"/>
      </w:r>
      <w:r w:rsidR="00575CA6" w:rsidRPr="007375EB">
        <w:rPr>
          <w:noProof/>
          <w:sz w:val="16"/>
          <w:szCs w:val="16"/>
          <w:lang w:val="bg-BG"/>
        </w:rPr>
        <w:t>12</w:t>
      </w:r>
      <w:r w:rsidR="008E6FD0" w:rsidRPr="007375EB">
        <w:rPr>
          <w:sz w:val="16"/>
          <w:szCs w:val="16"/>
          <w:lang w:val="bg-BG"/>
        </w:rPr>
        <w:fldChar w:fldCharType="end"/>
      </w:r>
      <w:r w:rsidR="008E6FD0" w:rsidRPr="007375EB">
        <w:rPr>
          <w:sz w:val="16"/>
          <w:szCs w:val="16"/>
          <w:lang w:val="bg-BG"/>
        </w:rPr>
        <w:t xml:space="preserve"> </w:t>
      </w:r>
      <w:r w:rsidRPr="007375EB">
        <w:rPr>
          <w:sz w:val="16"/>
          <w:szCs w:val="16"/>
          <w:lang w:val="bg-BG"/>
        </w:rPr>
        <w:t xml:space="preserve">Разпределение на категориите земеползване в района на </w:t>
      </w:r>
      <w:r w:rsidR="0014580E" w:rsidRPr="007375EB">
        <w:rPr>
          <w:sz w:val="16"/>
          <w:szCs w:val="16"/>
          <w:lang w:val="bg-BG"/>
        </w:rPr>
        <w:t>ЗГП</w:t>
      </w:r>
    </w:p>
    <w:bookmarkEnd w:id="18"/>
    <w:p w14:paraId="720A5B09" w14:textId="1D92E494" w:rsidR="00943A3A" w:rsidRPr="007375EB" w:rsidRDefault="00676F05" w:rsidP="00FA72D6">
      <w:pPr>
        <w:spacing w:after="120" w:line="360" w:lineRule="auto"/>
        <w:ind w:left="-20" w:right="-20"/>
        <w:jc w:val="both"/>
        <w:rPr>
          <w:rFonts w:eastAsia="Verdana" w:cs="Verdana"/>
          <w:lang w:val="bg-BG"/>
        </w:rPr>
      </w:pPr>
      <w:r w:rsidRPr="007375EB">
        <w:rPr>
          <w:rFonts w:eastAsia="Verdana" w:cs="Verdana"/>
          <w:lang w:val="bg-BG"/>
        </w:rPr>
        <w:t>Що се отнася до разпределението на категориите земеползване, изследваната зона представлява район с обработваема земя (мнозинство - 90 %), вторични пасища, предимно земеделски земи, смесени с естествена растителност, прекъснати градски пространства и промишлени или търговски обекти.</w:t>
      </w:r>
    </w:p>
    <w:p w14:paraId="60139345" w14:textId="3ED3989B" w:rsidR="00943A3A" w:rsidRPr="007375EB" w:rsidRDefault="00676F05" w:rsidP="008E6FD0">
      <w:pPr>
        <w:spacing w:after="120" w:line="360" w:lineRule="auto"/>
        <w:ind w:left="-23" w:right="-23"/>
        <w:jc w:val="both"/>
        <w:rPr>
          <w:lang w:val="bg-BG"/>
        </w:rPr>
      </w:pPr>
      <w:r w:rsidRPr="007375EB">
        <w:rPr>
          <w:rFonts w:eastAsia="Verdana" w:cs="Verdana"/>
          <w:lang w:val="bg-BG"/>
        </w:rPr>
        <w:t>Конвенцията за биологичното разнообразие (КБР) определя почвеното биоразнообразие като „разнообразието на почвения живот - от гените до общностите и екологичните комплекси, от които те са част“. С други думи, почвеното биоразнообразие е разнообразието на подземния живот</w:t>
      </w:r>
      <w:r w:rsidR="00943A3A" w:rsidRPr="007375EB">
        <w:rPr>
          <w:rFonts w:eastAsia="Verdana" w:cs="Verdana"/>
          <w:color w:val="0D0D0D" w:themeColor="text1" w:themeTint="F2"/>
          <w:lang w:val="bg-BG"/>
        </w:rPr>
        <w:t>.</w:t>
      </w:r>
    </w:p>
    <w:p w14:paraId="6A05AE15" w14:textId="0456069C" w:rsidR="00943A3A" w:rsidRPr="007375EB" w:rsidRDefault="00676F05" w:rsidP="008E6FD0">
      <w:pPr>
        <w:spacing w:after="120" w:line="360" w:lineRule="auto"/>
        <w:ind w:left="-23" w:right="-23"/>
        <w:jc w:val="both"/>
        <w:rPr>
          <w:lang w:val="bg-BG"/>
        </w:rPr>
      </w:pPr>
      <w:r w:rsidRPr="007375EB">
        <w:rPr>
          <w:rFonts w:eastAsia="Verdana" w:cs="Verdana"/>
          <w:lang w:val="bg-BG"/>
        </w:rPr>
        <w:t>В документ, публикуван наскоро от Съвместния изследователски център (СИЦ), са описани потенциалните заплахи за три категории почвено биоразнообразие (микроорганизми, фауна и биологични функции на почвата) в ЕС и са дадени насоки за определяне на почвите, които могат да бъдат изложени на риск. Съвместният изследователски център стига до заключението, че интензивната човешка употреба/експлоатация представлява най-голяма потенциална заплаха, докато генетично модифицираните селскостопански организми (ГМО) представляват най-малка заплаха.</w:t>
      </w:r>
      <w:r w:rsidR="00943A3A" w:rsidRPr="007375EB">
        <w:rPr>
          <w:rFonts w:eastAsia="Verdana" w:cs="Verdana"/>
          <w:lang w:val="bg-BG"/>
        </w:rPr>
        <w:t xml:space="preserve"> </w:t>
      </w:r>
    </w:p>
    <w:p w14:paraId="76F44AAB" w14:textId="05E3EB99" w:rsidR="00943A3A" w:rsidRPr="007375EB" w:rsidRDefault="00676F05" w:rsidP="008E6FD0">
      <w:pPr>
        <w:spacing w:after="120" w:line="360" w:lineRule="auto"/>
        <w:ind w:left="-23" w:right="-23"/>
        <w:jc w:val="both"/>
        <w:rPr>
          <w:rFonts w:eastAsia="Verdana" w:cs="Verdana"/>
          <w:lang w:val="bg-BG"/>
        </w:rPr>
      </w:pPr>
      <w:r w:rsidRPr="007375EB">
        <w:rPr>
          <w:rFonts w:eastAsia="Verdana" w:cs="Verdana"/>
          <w:lang w:val="bg-BG"/>
        </w:rPr>
        <w:t>Картите показват, че в повечето европейски страни има високорискови почви, като рискът е по-висок в земеделските райони и в заливните равнини на река Дунав, отколкото в други гористи райони.</w:t>
      </w:r>
    </w:p>
    <w:p w14:paraId="14E189AB" w14:textId="6DBE78AA" w:rsidR="00943A3A" w:rsidRPr="007375EB" w:rsidRDefault="00676F05" w:rsidP="008E6FD0">
      <w:pPr>
        <w:spacing w:after="120" w:line="360" w:lineRule="auto"/>
        <w:ind w:left="-23" w:right="-23"/>
        <w:jc w:val="both"/>
        <w:rPr>
          <w:lang w:val="bg-BG"/>
        </w:rPr>
      </w:pPr>
      <w:r w:rsidRPr="007375EB">
        <w:rPr>
          <w:rFonts w:eastAsia="Verdana" w:cs="Verdana"/>
          <w:lang w:val="bg-BG"/>
        </w:rPr>
        <w:lastRenderedPageBreak/>
        <w:t>Биологичният потенциал на почвата е оценен и картографиран, като са използвани критичните прагове на някои фактори, влияещи върху почвата, като например изменението на климата, промяната в земеползването, фрагментацията на местообитанията, интензивната антропогенна експлоатация, намаляването на органичното вещество в почвата, промишленото замърсяване, уплътняването на почвата, ерозията на почвата, запечатването на почвата, засоляването на почвата, използването на ГМО в селското стопанство и инвазивните видове. Те могат да повлияят на биологичното състояние на почвата, а косвено и на нивата на почвеното биоразнообразие</w:t>
      </w:r>
      <w:r w:rsidR="00943A3A" w:rsidRPr="007375EB">
        <w:rPr>
          <w:rFonts w:eastAsia="Verdana" w:cs="Verdana"/>
          <w:lang w:val="bg-BG"/>
        </w:rPr>
        <w:t>.</w:t>
      </w:r>
    </w:p>
    <w:p w14:paraId="2B6B2F3A" w14:textId="49C4595B" w:rsidR="00943A3A" w:rsidRPr="007375EB" w:rsidRDefault="00676F05" w:rsidP="008E6FD0">
      <w:pPr>
        <w:spacing w:after="120" w:line="360" w:lineRule="auto"/>
        <w:ind w:left="-23" w:right="-23"/>
        <w:jc w:val="both"/>
        <w:rPr>
          <w:lang w:val="bg-BG"/>
        </w:rPr>
      </w:pPr>
      <w:r w:rsidRPr="007375EB">
        <w:rPr>
          <w:rFonts w:eastAsia="Verdana" w:cs="Verdana"/>
          <w:lang w:val="bg-BG"/>
        </w:rPr>
        <w:t>Анализирайки данните, представени в проучването на СИЦ относно потенциалните рискове за биологичните функции на почвата, може да се отбележи, че в района на изпълнение на проекта по-голямата част от почвите в Румъния представляват висок риск, който намалява до умерен риск в България, като по този начин биологичните функции вероятно ще бъдат засегнати от процесите на деградация на почвата.</w:t>
      </w:r>
    </w:p>
    <w:p w14:paraId="49FF9032" w14:textId="0CA3E9AB" w:rsidR="00943A3A" w:rsidRPr="007375EB" w:rsidRDefault="00025EFA" w:rsidP="00367718">
      <w:pPr>
        <w:spacing w:after="120" w:line="240" w:lineRule="auto"/>
        <w:rPr>
          <w:lang w:val="bg-BG"/>
        </w:rPr>
      </w:pPr>
      <w:r w:rsidRPr="007375EB">
        <w:rPr>
          <w:noProof/>
          <w:lang w:val="bg-BG"/>
        </w:rPr>
        <w:drawing>
          <wp:inline distT="0" distB="0" distL="0" distR="0" wp14:anchorId="35BE96AE" wp14:editId="545834C4">
            <wp:extent cx="6162261" cy="4357783"/>
            <wp:effectExtent l="0" t="0" r="0" b="508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65313" cy="4359941"/>
                    </a:xfrm>
                    <a:prstGeom prst="rect">
                      <a:avLst/>
                    </a:prstGeom>
                    <a:noFill/>
                    <a:ln>
                      <a:noFill/>
                    </a:ln>
                  </pic:spPr>
                </pic:pic>
              </a:graphicData>
            </a:graphic>
          </wp:inline>
        </w:drawing>
      </w:r>
    </w:p>
    <w:p w14:paraId="6C4BBCFB" w14:textId="353252E8" w:rsidR="00943A3A" w:rsidRPr="007375EB" w:rsidRDefault="00676F05" w:rsidP="00367718">
      <w:pPr>
        <w:spacing w:after="120" w:line="240" w:lineRule="auto"/>
        <w:ind w:left="142" w:right="-20"/>
        <w:jc w:val="both"/>
        <w:rPr>
          <w:i/>
          <w:iCs/>
          <w:color w:val="009DF0" w:themeColor="text2"/>
          <w:sz w:val="14"/>
          <w:lang w:val="bg-BG"/>
        </w:rPr>
      </w:pPr>
      <w:r w:rsidRPr="007375EB">
        <w:rPr>
          <w:i/>
          <w:iCs/>
          <w:color w:val="009DF0" w:themeColor="text2"/>
          <w:sz w:val="14"/>
          <w:lang w:val="bg-BG"/>
        </w:rPr>
        <w:t>Източник:</w:t>
      </w:r>
      <w:r w:rsidR="00943A3A" w:rsidRPr="007375EB">
        <w:rPr>
          <w:i/>
          <w:iCs/>
          <w:color w:val="009DF0" w:themeColor="text2"/>
          <w:sz w:val="14"/>
          <w:lang w:val="bg-BG"/>
        </w:rPr>
        <w:t xml:space="preserve"> Joint Research Centre-European Soil Data Centre- Soil Biodiversity; A knowledge-based approach to estimating the magnitude and spatial patterns of potential threats to soil biodiversity</w:t>
      </w:r>
    </w:p>
    <w:p w14:paraId="31C78FCC" w14:textId="5395D575" w:rsidR="005D5264" w:rsidRPr="007375EB" w:rsidRDefault="00676F05" w:rsidP="00367718">
      <w:pPr>
        <w:pStyle w:val="Caption"/>
        <w:spacing w:before="0" w:after="120" w:line="240" w:lineRule="auto"/>
        <w:jc w:val="center"/>
        <w:rPr>
          <w:sz w:val="16"/>
          <w:szCs w:val="16"/>
          <w:vertAlign w:val="subscript"/>
          <w:lang w:val="bg-BG"/>
        </w:rPr>
      </w:pPr>
      <w:r w:rsidRPr="007375EB">
        <w:rPr>
          <w:sz w:val="16"/>
          <w:szCs w:val="16"/>
          <w:lang w:val="bg-BG"/>
        </w:rPr>
        <w:t>Фигура</w:t>
      </w:r>
      <w:r w:rsidR="005D5264" w:rsidRPr="007375EB">
        <w:rPr>
          <w:sz w:val="16"/>
          <w:szCs w:val="16"/>
          <w:lang w:val="bg-BG"/>
        </w:rPr>
        <w:t xml:space="preserve"> 2. </w:t>
      </w:r>
      <w:r w:rsidR="005D5264" w:rsidRPr="007375EB">
        <w:rPr>
          <w:sz w:val="16"/>
          <w:szCs w:val="16"/>
          <w:lang w:val="bg-BG"/>
        </w:rPr>
        <w:fldChar w:fldCharType="begin"/>
      </w:r>
      <w:r w:rsidR="005D5264" w:rsidRPr="007375EB">
        <w:rPr>
          <w:sz w:val="16"/>
          <w:szCs w:val="16"/>
          <w:lang w:val="bg-BG"/>
        </w:rPr>
        <w:instrText xml:space="preserve"> SEQ Figura_2. \* ARABIC </w:instrText>
      </w:r>
      <w:r w:rsidR="005D5264" w:rsidRPr="007375EB">
        <w:rPr>
          <w:sz w:val="16"/>
          <w:szCs w:val="16"/>
          <w:lang w:val="bg-BG"/>
        </w:rPr>
        <w:fldChar w:fldCharType="separate"/>
      </w:r>
      <w:r w:rsidR="00DD7BAD" w:rsidRPr="007375EB">
        <w:rPr>
          <w:noProof/>
          <w:sz w:val="16"/>
          <w:szCs w:val="16"/>
          <w:lang w:val="bg-BG"/>
        </w:rPr>
        <w:t>13</w:t>
      </w:r>
      <w:r w:rsidR="005D5264" w:rsidRPr="007375EB">
        <w:rPr>
          <w:sz w:val="16"/>
          <w:szCs w:val="16"/>
          <w:lang w:val="bg-BG"/>
        </w:rPr>
        <w:fldChar w:fldCharType="end"/>
      </w:r>
      <w:r w:rsidR="005D5264" w:rsidRPr="007375EB">
        <w:rPr>
          <w:sz w:val="16"/>
          <w:szCs w:val="16"/>
          <w:lang w:val="bg-BG"/>
        </w:rPr>
        <w:t xml:space="preserve"> </w:t>
      </w:r>
      <w:r w:rsidRPr="007375EB">
        <w:rPr>
          <w:sz w:val="16"/>
          <w:szCs w:val="16"/>
          <w:lang w:val="bg-BG"/>
        </w:rPr>
        <w:t xml:space="preserve">Карта на потенциалните рискове, застрашаващи биологичните функции на почвата в района на изпълнение на </w:t>
      </w:r>
      <w:r w:rsidR="0014580E" w:rsidRPr="007375EB">
        <w:rPr>
          <w:sz w:val="16"/>
          <w:szCs w:val="16"/>
          <w:lang w:val="bg-BG"/>
        </w:rPr>
        <w:t>ЗГП</w:t>
      </w:r>
    </w:p>
    <w:p w14:paraId="74B338EE" w14:textId="77777777" w:rsidR="00943A3A" w:rsidRPr="007375EB" w:rsidRDefault="00943A3A" w:rsidP="00943A3A">
      <w:pPr>
        <w:spacing w:after="120" w:line="360" w:lineRule="auto"/>
        <w:rPr>
          <w:rFonts w:cs="Arial"/>
          <w:lang w:val="bg-BG"/>
        </w:rPr>
      </w:pPr>
    </w:p>
    <w:p w14:paraId="413A0E40" w14:textId="7D566EE4" w:rsidR="00575357" w:rsidRPr="007375EB" w:rsidRDefault="00676F05" w:rsidP="003A6FA1">
      <w:pPr>
        <w:pStyle w:val="ListParagraph"/>
        <w:numPr>
          <w:ilvl w:val="2"/>
          <w:numId w:val="21"/>
        </w:numPr>
        <w:spacing w:after="120" w:line="360" w:lineRule="auto"/>
        <w:jc w:val="both"/>
        <w:outlineLvl w:val="2"/>
        <w:rPr>
          <w:rFonts w:cs="Arial"/>
          <w:b/>
          <w:i/>
          <w:color w:val="00B0F0"/>
          <w:lang w:val="bg-BG"/>
        </w:rPr>
      </w:pPr>
      <w:r w:rsidRPr="007375EB">
        <w:rPr>
          <w:rFonts w:cs="Arial"/>
          <w:b/>
          <w:i/>
          <w:color w:val="00B0F0"/>
          <w:lang w:val="bg-BG"/>
        </w:rPr>
        <w:t>Оползотворяване на природните ресурси</w:t>
      </w:r>
    </w:p>
    <w:p w14:paraId="46946AD3" w14:textId="0E7C1076" w:rsidR="00BE30EE" w:rsidRPr="007375EB" w:rsidRDefault="00676F05" w:rsidP="00BE30EE">
      <w:pPr>
        <w:spacing w:after="120" w:line="360" w:lineRule="auto"/>
        <w:ind w:left="-20" w:right="-20"/>
        <w:jc w:val="both"/>
        <w:rPr>
          <w:rFonts w:eastAsia="Verdana" w:cs="Verdana"/>
          <w:lang w:val="bg-BG"/>
        </w:rPr>
      </w:pPr>
      <w:r w:rsidRPr="007375EB">
        <w:rPr>
          <w:rFonts w:eastAsia="Verdana" w:cs="Verdana"/>
          <w:lang w:val="bg-BG"/>
        </w:rPr>
        <w:t>Съгласно РП 1535/2003 за одобряване на Стратегията за оползотворяване на възобновяемите енергийни източници в Румъния са определени пет отделни зони за вятърна енергия в зависимост от съществуващия енергиен потенциал, екологичните и топографските условия. В рамките на тези райони благоприятните места за вятърни турбини са тези, които имат за цел да „използват енергията от ефекта на потока над върха на хълма или насочващия ефект на въздушните течения</w:t>
      </w:r>
      <w:r w:rsidR="00BE30EE" w:rsidRPr="007375EB">
        <w:rPr>
          <w:rFonts w:eastAsia="Verdana" w:cs="Verdana"/>
          <w:lang w:val="bg-BG"/>
        </w:rPr>
        <w:t xml:space="preserve">”.  </w:t>
      </w:r>
    </w:p>
    <w:p w14:paraId="497F44E6" w14:textId="064F214E" w:rsidR="00BE30EE" w:rsidRPr="007375EB" w:rsidRDefault="00676F05" w:rsidP="00BE30EE">
      <w:pPr>
        <w:spacing w:after="120" w:line="360" w:lineRule="auto"/>
        <w:ind w:left="-20" w:right="-20"/>
        <w:jc w:val="both"/>
        <w:rPr>
          <w:rFonts w:eastAsia="Verdana" w:cs="Verdana"/>
          <w:lang w:val="bg-BG"/>
        </w:rPr>
      </w:pPr>
      <w:r w:rsidRPr="007375EB">
        <w:rPr>
          <w:rFonts w:eastAsia="Verdana" w:cs="Verdana"/>
          <w:lang w:val="bg-BG"/>
        </w:rPr>
        <w:lastRenderedPageBreak/>
        <w:t>Добруджанското плато, което се радва на „мек“ климат, е част от един от районите за вятърна енергия с висок енергиен потенциал</w:t>
      </w:r>
      <w:r w:rsidR="00BE30EE" w:rsidRPr="007375EB">
        <w:rPr>
          <w:rFonts w:eastAsia="Verdana" w:cs="Verdana"/>
          <w:lang w:val="bg-BG"/>
        </w:rPr>
        <w:t>.</w:t>
      </w:r>
    </w:p>
    <w:p w14:paraId="4CF1C53E" w14:textId="77777777" w:rsidR="00103B4E" w:rsidRPr="007375EB" w:rsidRDefault="00103B4E" w:rsidP="00103B4E">
      <w:pPr>
        <w:spacing w:after="120" w:line="360" w:lineRule="auto"/>
        <w:ind w:left="-20" w:right="-20"/>
        <w:jc w:val="both"/>
        <w:rPr>
          <w:rFonts w:eastAsia="Verdana" w:cs="Verdana"/>
          <w:lang w:val="bg-BG"/>
        </w:rPr>
      </w:pPr>
    </w:p>
    <w:tbl>
      <w:tblPr>
        <w:tblStyle w:val="TableGrid"/>
        <w:tblW w:w="0" w:type="auto"/>
        <w:tblInd w:w="-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13"/>
        <w:gridCol w:w="3906"/>
      </w:tblGrid>
      <w:tr w:rsidR="00103B4E" w:rsidRPr="007375EB" w14:paraId="6826FD39" w14:textId="77777777" w:rsidTr="002B48F6">
        <w:tc>
          <w:tcPr>
            <w:tcW w:w="5413" w:type="dxa"/>
            <w:vAlign w:val="bottom"/>
          </w:tcPr>
          <w:p w14:paraId="7228C1F3" w14:textId="77777777" w:rsidR="00103B4E" w:rsidRPr="007375EB" w:rsidRDefault="00103B4E">
            <w:pPr>
              <w:spacing w:line="240" w:lineRule="auto"/>
              <w:ind w:right="-23"/>
              <w:jc w:val="center"/>
              <w:rPr>
                <w:rFonts w:eastAsia="Verdana" w:cs="Verdana"/>
                <w:lang w:val="bg-BG"/>
              </w:rPr>
            </w:pPr>
            <w:r w:rsidRPr="007375EB">
              <w:rPr>
                <w:noProof/>
                <w:lang w:val="bg-BG"/>
              </w:rPr>
              <w:drawing>
                <wp:inline distT="0" distB="0" distL="0" distR="0" wp14:anchorId="4FB784C2" wp14:editId="5ED53BDD">
                  <wp:extent cx="3387355" cy="2339439"/>
                  <wp:effectExtent l="0" t="0" r="3810" b="3810"/>
                  <wp:docPr id="222032362" name="Picture 22203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403135" cy="2350337"/>
                          </a:xfrm>
                          <a:prstGeom prst="rect">
                            <a:avLst/>
                          </a:prstGeom>
                          <a:noFill/>
                          <a:ln>
                            <a:noFill/>
                          </a:ln>
                        </pic:spPr>
                      </pic:pic>
                    </a:graphicData>
                  </a:graphic>
                </wp:inline>
              </w:drawing>
            </w:r>
          </w:p>
        </w:tc>
        <w:tc>
          <w:tcPr>
            <w:tcW w:w="3906" w:type="dxa"/>
          </w:tcPr>
          <w:p w14:paraId="20A56CBC" w14:textId="77777777" w:rsidR="00103B4E" w:rsidRPr="007375EB" w:rsidRDefault="00103B4E">
            <w:pPr>
              <w:spacing w:after="120" w:line="360" w:lineRule="auto"/>
              <w:ind w:right="-20"/>
              <w:jc w:val="both"/>
              <w:rPr>
                <w:rFonts w:eastAsia="Verdana" w:cs="Verdana"/>
                <w:lang w:val="bg-BG"/>
              </w:rPr>
            </w:pPr>
          </w:p>
          <w:tbl>
            <w:tblPr>
              <w:tblStyle w:val="TableGrid"/>
              <w:tblW w:w="0" w:type="auto"/>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1976"/>
              <w:gridCol w:w="1704"/>
            </w:tblGrid>
            <w:tr w:rsidR="00103B4E" w:rsidRPr="007375EB" w14:paraId="606AD039" w14:textId="77777777" w:rsidTr="00676F05">
              <w:trPr>
                <w:trHeight w:val="171"/>
              </w:trPr>
              <w:tc>
                <w:tcPr>
                  <w:tcW w:w="3537" w:type="dxa"/>
                  <w:gridSpan w:val="2"/>
                  <w:shd w:val="clear" w:color="auto" w:fill="00B0F0"/>
                </w:tcPr>
                <w:p w14:paraId="054919AE" w14:textId="5DF5125C" w:rsidR="00103B4E" w:rsidRPr="007375EB" w:rsidRDefault="00471E23">
                  <w:pPr>
                    <w:spacing w:line="240" w:lineRule="auto"/>
                    <w:ind w:right="-23"/>
                    <w:jc w:val="both"/>
                    <w:rPr>
                      <w:rFonts w:eastAsia="Verdana" w:cs="Verdana"/>
                      <w:b/>
                      <w:bCs/>
                      <w:color w:val="FFFFFF" w:themeColor="background1"/>
                      <w:sz w:val="14"/>
                      <w:szCs w:val="14"/>
                      <w:lang w:val="bg-BG"/>
                    </w:rPr>
                  </w:pPr>
                  <w:r w:rsidRPr="007375EB">
                    <w:rPr>
                      <w:rFonts w:eastAsia="Verdana" w:cs="Verdana"/>
                      <w:b/>
                      <w:bCs/>
                      <w:color w:val="FFFFFF" w:themeColor="background1"/>
                      <w:sz w:val="14"/>
                      <w:szCs w:val="14"/>
                      <w:lang w:val="bg-BG"/>
                    </w:rPr>
                    <w:t>Легенда</w:t>
                  </w:r>
                </w:p>
              </w:tc>
            </w:tr>
            <w:tr w:rsidR="00676F05" w:rsidRPr="007375EB" w14:paraId="0D591705" w14:textId="77777777" w:rsidTr="00676F05">
              <w:tc>
                <w:tcPr>
                  <w:tcW w:w="2109" w:type="dxa"/>
                </w:tcPr>
                <w:p w14:paraId="7CC2F465" w14:textId="27395179" w:rsidR="00676F05" w:rsidRPr="007375EB" w:rsidRDefault="00676F05" w:rsidP="00676F05">
                  <w:pPr>
                    <w:pStyle w:val="ListParagraph"/>
                    <w:numPr>
                      <w:ilvl w:val="0"/>
                      <w:numId w:val="74"/>
                    </w:numPr>
                    <w:spacing w:line="240" w:lineRule="auto"/>
                    <w:ind w:left="335" w:right="-23" w:hanging="284"/>
                    <w:jc w:val="both"/>
                    <w:rPr>
                      <w:rFonts w:eastAsia="Verdana" w:cs="Verdana"/>
                      <w:sz w:val="14"/>
                      <w:szCs w:val="14"/>
                      <w:lang w:val="bg-BG"/>
                    </w:rPr>
                  </w:pPr>
                  <w:r w:rsidRPr="007375EB">
                    <w:rPr>
                      <w:rFonts w:eastAsia="Verdana" w:cs="Verdana"/>
                      <w:sz w:val="14"/>
                      <w:szCs w:val="14"/>
                      <w:lang w:val="bg-BG"/>
                    </w:rPr>
                    <w:t>Делтата на река Дунав</w:t>
                  </w:r>
                </w:p>
              </w:tc>
              <w:tc>
                <w:tcPr>
                  <w:tcW w:w="1428" w:type="dxa"/>
                </w:tcPr>
                <w:p w14:paraId="5E26B0CA" w14:textId="5583E80A" w:rsidR="00676F05" w:rsidRPr="007375EB" w:rsidRDefault="00676F05" w:rsidP="00676F05">
                  <w:pPr>
                    <w:spacing w:line="240" w:lineRule="auto"/>
                    <w:ind w:right="-23"/>
                    <w:jc w:val="both"/>
                    <w:rPr>
                      <w:rFonts w:eastAsia="Verdana" w:cs="Verdana"/>
                      <w:sz w:val="14"/>
                      <w:szCs w:val="14"/>
                      <w:lang w:val="bg-BG"/>
                    </w:rPr>
                  </w:pPr>
                  <w:r w:rsidRPr="007375EB">
                    <w:rPr>
                      <w:sz w:val="14"/>
                      <w:szCs w:val="14"/>
                      <w:lang w:val="bg-BG"/>
                    </w:rPr>
                    <w:t>Слънчева енергия</w:t>
                  </w:r>
                </w:p>
              </w:tc>
            </w:tr>
            <w:tr w:rsidR="00676F05" w:rsidRPr="007375EB" w14:paraId="3BCAA4CD" w14:textId="77777777" w:rsidTr="00676F05">
              <w:tc>
                <w:tcPr>
                  <w:tcW w:w="2109" w:type="dxa"/>
                </w:tcPr>
                <w:p w14:paraId="2DD4C1EE" w14:textId="1542A17D" w:rsidR="00676F05" w:rsidRPr="007375EB" w:rsidRDefault="00676F05" w:rsidP="00676F05">
                  <w:pPr>
                    <w:pStyle w:val="ListParagraph"/>
                    <w:numPr>
                      <w:ilvl w:val="0"/>
                      <w:numId w:val="74"/>
                    </w:numPr>
                    <w:spacing w:line="240" w:lineRule="auto"/>
                    <w:ind w:right="-23"/>
                    <w:jc w:val="both"/>
                    <w:rPr>
                      <w:rFonts w:eastAsia="Verdana" w:cs="Verdana"/>
                      <w:sz w:val="14"/>
                      <w:szCs w:val="14"/>
                      <w:lang w:val="bg-BG"/>
                    </w:rPr>
                  </w:pPr>
                  <w:r w:rsidRPr="007375EB">
                    <w:rPr>
                      <w:rFonts w:eastAsia="Verdana" w:cs="Verdana"/>
                      <w:sz w:val="14"/>
                      <w:szCs w:val="14"/>
                      <w:lang w:val="bg-BG"/>
                    </w:rPr>
                    <w:t>Добруджа</w:t>
                  </w:r>
                </w:p>
              </w:tc>
              <w:tc>
                <w:tcPr>
                  <w:tcW w:w="1428" w:type="dxa"/>
                </w:tcPr>
                <w:p w14:paraId="56209A41" w14:textId="319502E0" w:rsidR="00676F05" w:rsidRPr="007375EB" w:rsidRDefault="00676F05" w:rsidP="00676F05">
                  <w:pPr>
                    <w:spacing w:line="240" w:lineRule="auto"/>
                    <w:ind w:right="-23"/>
                    <w:jc w:val="both"/>
                    <w:rPr>
                      <w:rFonts w:eastAsia="Verdana" w:cs="Verdana"/>
                      <w:sz w:val="14"/>
                      <w:szCs w:val="14"/>
                      <w:lang w:val="bg-BG"/>
                    </w:rPr>
                  </w:pPr>
                  <w:r w:rsidRPr="007375EB">
                    <w:rPr>
                      <w:sz w:val="14"/>
                      <w:szCs w:val="14"/>
                      <w:lang w:val="bg-BG"/>
                    </w:rPr>
                    <w:t>Слънчева и вятърна енергия</w:t>
                  </w:r>
                </w:p>
              </w:tc>
            </w:tr>
            <w:tr w:rsidR="00103B4E" w:rsidRPr="007375EB" w14:paraId="2AEEE4E1" w14:textId="77777777" w:rsidTr="00676F05">
              <w:tc>
                <w:tcPr>
                  <w:tcW w:w="2109" w:type="dxa"/>
                </w:tcPr>
                <w:p w14:paraId="6821299B" w14:textId="022CD2DA" w:rsidR="00103B4E" w:rsidRPr="007375EB" w:rsidRDefault="00471E23" w:rsidP="0041531F">
                  <w:pPr>
                    <w:pStyle w:val="ListParagraph"/>
                    <w:numPr>
                      <w:ilvl w:val="0"/>
                      <w:numId w:val="74"/>
                    </w:numPr>
                    <w:spacing w:line="240" w:lineRule="auto"/>
                    <w:ind w:left="335" w:right="-23" w:hanging="284"/>
                    <w:jc w:val="both"/>
                    <w:rPr>
                      <w:rFonts w:eastAsia="Verdana" w:cs="Verdana"/>
                      <w:sz w:val="14"/>
                      <w:szCs w:val="14"/>
                      <w:lang w:val="bg-BG"/>
                    </w:rPr>
                  </w:pPr>
                  <w:r w:rsidRPr="007375EB">
                    <w:rPr>
                      <w:rFonts w:eastAsia="Verdana" w:cs="Verdana"/>
                      <w:sz w:val="14"/>
                      <w:szCs w:val="14"/>
                      <w:lang w:val="bg-BG"/>
                    </w:rPr>
                    <w:t>Молдова (равнина и плато)</w:t>
                  </w:r>
                </w:p>
              </w:tc>
              <w:tc>
                <w:tcPr>
                  <w:tcW w:w="1428" w:type="dxa"/>
                </w:tcPr>
                <w:p w14:paraId="5B46170B" w14:textId="7096E78B" w:rsidR="00103B4E" w:rsidRPr="007375EB" w:rsidRDefault="00676F05">
                  <w:pPr>
                    <w:spacing w:line="240" w:lineRule="auto"/>
                    <w:ind w:right="-23"/>
                    <w:jc w:val="both"/>
                    <w:rPr>
                      <w:rFonts w:eastAsia="Verdana" w:cs="Verdana"/>
                      <w:sz w:val="14"/>
                      <w:szCs w:val="14"/>
                      <w:lang w:val="bg-BG"/>
                    </w:rPr>
                  </w:pPr>
                  <w:r w:rsidRPr="007375EB">
                    <w:rPr>
                      <w:rFonts w:eastAsia="Verdana" w:cs="Verdana"/>
                      <w:sz w:val="14"/>
                      <w:szCs w:val="14"/>
                      <w:lang w:val="bg-BG"/>
                    </w:rPr>
                    <w:t>Микрохидроенергия, вятърна енергия, биомаса</w:t>
                  </w:r>
                </w:p>
              </w:tc>
            </w:tr>
            <w:tr w:rsidR="00103B4E" w:rsidRPr="007375EB" w14:paraId="6822ACF3" w14:textId="77777777" w:rsidTr="00676F05">
              <w:tc>
                <w:tcPr>
                  <w:tcW w:w="2109" w:type="dxa"/>
                </w:tcPr>
                <w:p w14:paraId="29CF4416" w14:textId="64026CB2" w:rsidR="00103B4E" w:rsidRPr="007375EB" w:rsidRDefault="00471E23" w:rsidP="00471E23">
                  <w:pPr>
                    <w:spacing w:line="240" w:lineRule="auto"/>
                    <w:ind w:right="-23"/>
                    <w:jc w:val="both"/>
                    <w:rPr>
                      <w:rFonts w:eastAsia="Verdana" w:cs="Verdana"/>
                      <w:sz w:val="14"/>
                      <w:szCs w:val="14"/>
                      <w:lang w:val="bg-BG"/>
                    </w:rPr>
                  </w:pPr>
                  <w:r w:rsidRPr="007375EB">
                    <w:rPr>
                      <w:rFonts w:eastAsia="Verdana" w:cs="Verdana"/>
                      <w:sz w:val="14"/>
                      <w:szCs w:val="14"/>
                      <w:lang w:val="bg-BG"/>
                    </w:rPr>
                    <w:t>IV. Карпатски планини</w:t>
                  </w:r>
                </w:p>
              </w:tc>
              <w:tc>
                <w:tcPr>
                  <w:tcW w:w="1428" w:type="dxa"/>
                </w:tcPr>
                <w:p w14:paraId="0F73CA40" w14:textId="71EAC4CC" w:rsidR="00103B4E" w:rsidRPr="007375EB" w:rsidRDefault="00676F05">
                  <w:pPr>
                    <w:spacing w:line="240" w:lineRule="auto"/>
                    <w:ind w:right="-23"/>
                    <w:jc w:val="both"/>
                    <w:rPr>
                      <w:rFonts w:eastAsia="Verdana" w:cs="Verdana"/>
                      <w:sz w:val="14"/>
                      <w:szCs w:val="14"/>
                      <w:lang w:val="bg-BG"/>
                    </w:rPr>
                  </w:pPr>
                  <w:r w:rsidRPr="007375EB">
                    <w:rPr>
                      <w:rFonts w:eastAsia="Verdana" w:cs="Verdana"/>
                      <w:sz w:val="14"/>
                      <w:szCs w:val="14"/>
                      <w:lang w:val="bg-BG"/>
                    </w:rPr>
                    <w:t>Микрохидроенергия, биомаса</w:t>
                  </w:r>
                </w:p>
              </w:tc>
            </w:tr>
            <w:tr w:rsidR="00103B4E" w:rsidRPr="007375EB" w14:paraId="14FEDBD8" w14:textId="77777777" w:rsidTr="00676F05">
              <w:tc>
                <w:tcPr>
                  <w:tcW w:w="2109" w:type="dxa"/>
                </w:tcPr>
                <w:p w14:paraId="1551CCDB" w14:textId="350F1800" w:rsidR="00103B4E" w:rsidRPr="007375EB" w:rsidRDefault="00471E23" w:rsidP="0041531F">
                  <w:pPr>
                    <w:pStyle w:val="ListParagraph"/>
                    <w:numPr>
                      <w:ilvl w:val="0"/>
                      <w:numId w:val="74"/>
                    </w:numPr>
                    <w:spacing w:line="240" w:lineRule="auto"/>
                    <w:ind w:left="335" w:right="-23" w:hanging="284"/>
                    <w:jc w:val="both"/>
                    <w:rPr>
                      <w:rFonts w:eastAsia="Verdana" w:cs="Verdana"/>
                      <w:sz w:val="14"/>
                      <w:szCs w:val="14"/>
                      <w:lang w:val="bg-BG"/>
                    </w:rPr>
                  </w:pPr>
                  <w:r w:rsidRPr="007375EB">
                    <w:rPr>
                      <w:rFonts w:eastAsia="Verdana" w:cs="Verdana"/>
                      <w:sz w:val="14"/>
                      <w:szCs w:val="14"/>
                      <w:lang w:val="bg-BG"/>
                    </w:rPr>
                    <w:t>Трансилванско плато</w:t>
                  </w:r>
                </w:p>
              </w:tc>
              <w:tc>
                <w:tcPr>
                  <w:tcW w:w="1428" w:type="dxa"/>
                </w:tcPr>
                <w:p w14:paraId="7E2CBA95" w14:textId="47B4D4CE" w:rsidR="00103B4E" w:rsidRPr="007375EB" w:rsidRDefault="00676F05">
                  <w:pPr>
                    <w:spacing w:line="240" w:lineRule="auto"/>
                    <w:ind w:right="-23"/>
                    <w:jc w:val="both"/>
                    <w:rPr>
                      <w:rFonts w:eastAsia="Verdana" w:cs="Verdana"/>
                      <w:sz w:val="14"/>
                      <w:szCs w:val="14"/>
                      <w:lang w:val="bg-BG"/>
                    </w:rPr>
                  </w:pPr>
                  <w:r w:rsidRPr="007375EB">
                    <w:rPr>
                      <w:rFonts w:eastAsia="Verdana" w:cs="Verdana"/>
                      <w:sz w:val="14"/>
                      <w:szCs w:val="14"/>
                      <w:lang w:val="bg-BG"/>
                    </w:rPr>
                    <w:t>Микрохидроенергия</w:t>
                  </w:r>
                </w:p>
              </w:tc>
            </w:tr>
            <w:tr w:rsidR="00103B4E" w:rsidRPr="007375EB" w14:paraId="57B3B0C3" w14:textId="77777777" w:rsidTr="00676F05">
              <w:tc>
                <w:tcPr>
                  <w:tcW w:w="2109" w:type="dxa"/>
                </w:tcPr>
                <w:p w14:paraId="1044AEBC" w14:textId="6B1C3871" w:rsidR="00103B4E" w:rsidRPr="007375EB" w:rsidRDefault="00471E23" w:rsidP="00471E23">
                  <w:pPr>
                    <w:spacing w:line="240" w:lineRule="auto"/>
                    <w:ind w:right="-23"/>
                    <w:jc w:val="both"/>
                    <w:rPr>
                      <w:rFonts w:eastAsia="Verdana" w:cs="Verdana"/>
                      <w:sz w:val="14"/>
                      <w:szCs w:val="14"/>
                      <w:lang w:val="bg-BG"/>
                    </w:rPr>
                  </w:pPr>
                  <w:r w:rsidRPr="007375EB">
                    <w:rPr>
                      <w:rFonts w:eastAsia="Verdana" w:cs="Verdana"/>
                      <w:sz w:val="14"/>
                      <w:szCs w:val="14"/>
                      <w:lang w:val="bg-BG"/>
                    </w:rPr>
                    <w:t>V. Западна равнина</w:t>
                  </w:r>
                </w:p>
              </w:tc>
              <w:tc>
                <w:tcPr>
                  <w:tcW w:w="1428" w:type="dxa"/>
                </w:tcPr>
                <w:p w14:paraId="35F01DCA" w14:textId="5054F4CA" w:rsidR="00103B4E" w:rsidRPr="007375EB" w:rsidRDefault="00676F05">
                  <w:pPr>
                    <w:spacing w:line="240" w:lineRule="auto"/>
                    <w:ind w:right="-23"/>
                    <w:jc w:val="both"/>
                    <w:rPr>
                      <w:rFonts w:eastAsia="Verdana" w:cs="Verdana"/>
                      <w:sz w:val="14"/>
                      <w:szCs w:val="14"/>
                      <w:lang w:val="bg-BG"/>
                    </w:rPr>
                  </w:pPr>
                  <w:r w:rsidRPr="007375EB">
                    <w:rPr>
                      <w:rFonts w:eastAsia="Verdana" w:cs="Verdana"/>
                      <w:sz w:val="14"/>
                      <w:szCs w:val="14"/>
                      <w:lang w:val="bg-BG"/>
                    </w:rPr>
                    <w:t>Геотермална енергия</w:t>
                  </w:r>
                </w:p>
              </w:tc>
            </w:tr>
            <w:tr w:rsidR="00103B4E" w:rsidRPr="007375EB" w14:paraId="3312C3D4" w14:textId="77777777" w:rsidTr="00676F05">
              <w:tc>
                <w:tcPr>
                  <w:tcW w:w="2109" w:type="dxa"/>
                </w:tcPr>
                <w:p w14:paraId="239115A3" w14:textId="71CD6BDA" w:rsidR="00103B4E" w:rsidRPr="007375EB" w:rsidRDefault="00676F05" w:rsidP="0041531F">
                  <w:pPr>
                    <w:pStyle w:val="ListParagraph"/>
                    <w:numPr>
                      <w:ilvl w:val="0"/>
                      <w:numId w:val="74"/>
                    </w:numPr>
                    <w:spacing w:line="240" w:lineRule="auto"/>
                    <w:ind w:left="476" w:right="-23" w:hanging="425"/>
                    <w:jc w:val="both"/>
                    <w:rPr>
                      <w:rFonts w:eastAsia="Verdana" w:cs="Verdana"/>
                      <w:sz w:val="14"/>
                      <w:szCs w:val="14"/>
                      <w:lang w:val="bg-BG"/>
                    </w:rPr>
                  </w:pPr>
                  <w:r w:rsidRPr="007375EB">
                    <w:rPr>
                      <w:rFonts w:eastAsia="Verdana" w:cs="Verdana"/>
                      <w:sz w:val="14"/>
                      <w:szCs w:val="14"/>
                      <w:lang w:val="bg-BG"/>
                    </w:rPr>
                    <w:t>Подкарпатите</w:t>
                  </w:r>
                </w:p>
              </w:tc>
              <w:tc>
                <w:tcPr>
                  <w:tcW w:w="1428" w:type="dxa"/>
                </w:tcPr>
                <w:p w14:paraId="0FF7DE2B" w14:textId="6176E642" w:rsidR="00103B4E" w:rsidRPr="007375EB" w:rsidRDefault="00676F05">
                  <w:pPr>
                    <w:spacing w:line="240" w:lineRule="auto"/>
                    <w:ind w:right="-23"/>
                    <w:jc w:val="both"/>
                    <w:rPr>
                      <w:rFonts w:eastAsia="Verdana" w:cs="Verdana"/>
                      <w:sz w:val="14"/>
                      <w:szCs w:val="14"/>
                      <w:lang w:val="bg-BG"/>
                    </w:rPr>
                  </w:pPr>
                  <w:r w:rsidRPr="007375EB">
                    <w:rPr>
                      <w:rFonts w:eastAsia="Verdana" w:cs="Verdana"/>
                      <w:sz w:val="14"/>
                      <w:szCs w:val="14"/>
                      <w:lang w:val="bg-BG"/>
                    </w:rPr>
                    <w:t>Микрохидроенергия, биомаса</w:t>
                  </w:r>
                </w:p>
              </w:tc>
            </w:tr>
            <w:tr w:rsidR="00103B4E" w:rsidRPr="007375EB" w14:paraId="55E7576B" w14:textId="77777777" w:rsidTr="00676F05">
              <w:tc>
                <w:tcPr>
                  <w:tcW w:w="2109" w:type="dxa"/>
                </w:tcPr>
                <w:p w14:paraId="71EF7C4C" w14:textId="30BD09FD" w:rsidR="00103B4E" w:rsidRPr="007375EB" w:rsidRDefault="00676F05" w:rsidP="0041531F">
                  <w:pPr>
                    <w:pStyle w:val="ListParagraph"/>
                    <w:numPr>
                      <w:ilvl w:val="0"/>
                      <w:numId w:val="74"/>
                    </w:numPr>
                    <w:spacing w:line="240" w:lineRule="auto"/>
                    <w:ind w:left="476" w:right="-23" w:hanging="425"/>
                    <w:jc w:val="both"/>
                    <w:rPr>
                      <w:rFonts w:eastAsia="Verdana" w:cs="Verdana"/>
                      <w:sz w:val="14"/>
                      <w:szCs w:val="14"/>
                      <w:lang w:val="bg-BG"/>
                    </w:rPr>
                  </w:pPr>
                  <w:r w:rsidRPr="007375EB">
                    <w:rPr>
                      <w:rFonts w:eastAsia="Verdana" w:cs="Verdana"/>
                      <w:sz w:val="14"/>
                      <w:szCs w:val="14"/>
                      <w:lang w:val="bg-BG"/>
                    </w:rPr>
                    <w:t>Южна равнина</w:t>
                  </w:r>
                </w:p>
              </w:tc>
              <w:tc>
                <w:tcPr>
                  <w:tcW w:w="1428" w:type="dxa"/>
                </w:tcPr>
                <w:p w14:paraId="0B80591D" w14:textId="37894153" w:rsidR="00103B4E" w:rsidRPr="007375EB" w:rsidRDefault="00676F05">
                  <w:pPr>
                    <w:spacing w:line="240" w:lineRule="auto"/>
                    <w:ind w:right="-23"/>
                    <w:jc w:val="both"/>
                    <w:rPr>
                      <w:rFonts w:eastAsia="Verdana" w:cs="Verdana"/>
                      <w:sz w:val="14"/>
                      <w:szCs w:val="14"/>
                      <w:lang w:val="bg-BG"/>
                    </w:rPr>
                  </w:pPr>
                  <w:r w:rsidRPr="007375EB">
                    <w:rPr>
                      <w:rFonts w:eastAsia="Verdana" w:cs="Verdana"/>
                      <w:sz w:val="14"/>
                      <w:szCs w:val="14"/>
                      <w:lang w:val="bg-BG"/>
                    </w:rPr>
                    <w:t>Биомаса, геотермална и слънчева енергия</w:t>
                  </w:r>
                </w:p>
              </w:tc>
            </w:tr>
          </w:tbl>
          <w:p w14:paraId="27119251" w14:textId="77777777" w:rsidR="00103B4E" w:rsidRPr="007375EB" w:rsidRDefault="00103B4E">
            <w:pPr>
              <w:spacing w:after="120" w:line="360" w:lineRule="auto"/>
              <w:ind w:right="-20"/>
              <w:jc w:val="both"/>
              <w:rPr>
                <w:rFonts w:eastAsia="Verdana" w:cs="Verdana"/>
                <w:lang w:val="bg-BG"/>
              </w:rPr>
            </w:pPr>
          </w:p>
        </w:tc>
      </w:tr>
    </w:tbl>
    <w:p w14:paraId="3ACD5EB5" w14:textId="264E7349" w:rsidR="00103B4E" w:rsidRPr="007375EB" w:rsidRDefault="002B48F6" w:rsidP="00103B4E">
      <w:pPr>
        <w:spacing w:line="240" w:lineRule="auto"/>
        <w:ind w:left="142" w:right="-23"/>
        <w:contextualSpacing/>
        <w:jc w:val="both"/>
        <w:rPr>
          <w:i/>
          <w:iCs/>
          <w:color w:val="009DF0" w:themeColor="text2"/>
          <w:sz w:val="14"/>
          <w:lang w:val="bg-BG"/>
        </w:rPr>
      </w:pPr>
      <w:r w:rsidRPr="007375EB">
        <w:rPr>
          <w:i/>
          <w:iCs/>
          <w:color w:val="009DF0" w:themeColor="text2"/>
          <w:sz w:val="14"/>
          <w:lang w:val="bg-BG"/>
        </w:rPr>
        <w:t>Източник: Решение № 1069/2007 за одобряване на Енергийната стратегия на Румъния за периода 2007-2020 г.</w:t>
      </w:r>
    </w:p>
    <w:p w14:paraId="73B707EA" w14:textId="27005251" w:rsidR="00103B4E" w:rsidRPr="007375EB" w:rsidRDefault="00471E23" w:rsidP="00103B4E">
      <w:pPr>
        <w:pStyle w:val="Caption"/>
        <w:jc w:val="center"/>
        <w:rPr>
          <w:sz w:val="16"/>
          <w:szCs w:val="16"/>
          <w:vertAlign w:val="subscript"/>
          <w:lang w:val="bg-BG"/>
        </w:rPr>
      </w:pPr>
      <w:r w:rsidRPr="007375EB">
        <w:rPr>
          <w:sz w:val="16"/>
          <w:szCs w:val="16"/>
          <w:lang w:val="bg-BG"/>
        </w:rPr>
        <w:t>Фигура</w:t>
      </w:r>
      <w:r w:rsidR="00103B4E" w:rsidRPr="007375EB">
        <w:rPr>
          <w:sz w:val="16"/>
          <w:szCs w:val="16"/>
          <w:lang w:val="bg-BG"/>
        </w:rPr>
        <w:t xml:space="preserve"> 2. </w:t>
      </w:r>
      <w:r w:rsidR="00103B4E" w:rsidRPr="007375EB">
        <w:rPr>
          <w:sz w:val="16"/>
          <w:szCs w:val="16"/>
          <w:lang w:val="bg-BG"/>
        </w:rPr>
        <w:fldChar w:fldCharType="begin"/>
      </w:r>
      <w:r w:rsidR="00103B4E" w:rsidRPr="007375EB">
        <w:rPr>
          <w:sz w:val="16"/>
          <w:szCs w:val="16"/>
          <w:lang w:val="bg-BG"/>
        </w:rPr>
        <w:instrText xml:space="preserve"> SEQ Figura_2. \* ARABIC </w:instrText>
      </w:r>
      <w:r w:rsidR="00103B4E" w:rsidRPr="007375EB">
        <w:rPr>
          <w:sz w:val="16"/>
          <w:szCs w:val="16"/>
          <w:lang w:val="bg-BG"/>
        </w:rPr>
        <w:fldChar w:fldCharType="separate"/>
      </w:r>
      <w:r w:rsidR="00103B4E" w:rsidRPr="007375EB">
        <w:rPr>
          <w:noProof/>
          <w:sz w:val="16"/>
          <w:szCs w:val="16"/>
          <w:lang w:val="bg-BG"/>
        </w:rPr>
        <w:t>14</w:t>
      </w:r>
      <w:r w:rsidR="00103B4E" w:rsidRPr="007375EB">
        <w:rPr>
          <w:sz w:val="16"/>
          <w:szCs w:val="16"/>
          <w:lang w:val="bg-BG"/>
        </w:rPr>
        <w:fldChar w:fldCharType="end"/>
      </w:r>
      <w:r w:rsidR="00103B4E" w:rsidRPr="007375EB">
        <w:rPr>
          <w:sz w:val="16"/>
          <w:szCs w:val="16"/>
          <w:lang w:val="bg-BG"/>
        </w:rPr>
        <w:t xml:space="preserve"> </w:t>
      </w:r>
      <w:r w:rsidR="002B48F6" w:rsidRPr="007375EB">
        <w:rPr>
          <w:sz w:val="16"/>
          <w:szCs w:val="16"/>
          <w:lang w:val="bg-BG"/>
        </w:rPr>
        <w:t>Карта на наличните възобновяеми ресурси по региони</w:t>
      </w:r>
    </w:p>
    <w:p w14:paraId="6FE20549" w14:textId="77777777" w:rsidR="00103B4E" w:rsidRPr="007375EB" w:rsidRDefault="00103B4E" w:rsidP="00BE30EE">
      <w:pPr>
        <w:spacing w:after="120" w:line="360" w:lineRule="auto"/>
        <w:ind w:left="-20" w:right="-20"/>
        <w:jc w:val="both"/>
        <w:rPr>
          <w:rFonts w:eastAsia="Verdana" w:cs="Verdana"/>
          <w:lang w:val="bg-BG"/>
        </w:rPr>
      </w:pPr>
    </w:p>
    <w:p w14:paraId="4626C86F" w14:textId="207E0530" w:rsidR="00943A3A" w:rsidRPr="007375EB" w:rsidRDefault="002B48F6" w:rsidP="004821A5">
      <w:pPr>
        <w:spacing w:after="120" w:line="360" w:lineRule="auto"/>
        <w:ind w:left="-20" w:right="-20"/>
        <w:jc w:val="both"/>
        <w:rPr>
          <w:rFonts w:eastAsia="Verdana" w:cs="Verdana"/>
          <w:lang w:val="bg-BG"/>
        </w:rPr>
      </w:pPr>
      <w:r w:rsidRPr="007375EB">
        <w:rPr>
          <w:rFonts w:eastAsia="Verdana" w:cs="Verdana"/>
          <w:lang w:val="bg-BG"/>
        </w:rPr>
        <w:t xml:space="preserve">Община Черкезу е разположена в регион с потенциал за вятърна енергия, което води до предложението за разработване на „Парк за вятърна енергия“ 48 (46) вятърни електроцентрали прибл. 316,8 МВт (303,6 МВт), трансформаторни станции, мрежи за електрическа връзка, изграждане и модернизиране на комуникации и пътища за достъп“. При разработването на проекта ще се вземе предвид предизвикателството за устойчиво управление на природните ресурси, като по този начин ще се осигури баланс между икономическото развитие и опазването на околната среда. Реализацията на предложената </w:t>
      </w:r>
      <w:r w:rsidR="0014580E" w:rsidRPr="007375EB">
        <w:rPr>
          <w:rFonts w:eastAsia="Verdana" w:cs="Verdana"/>
          <w:lang w:val="bg-BG"/>
        </w:rPr>
        <w:t>ЗГП</w:t>
      </w:r>
      <w:r w:rsidRPr="007375EB">
        <w:rPr>
          <w:rFonts w:eastAsia="Verdana" w:cs="Verdana"/>
          <w:lang w:val="bg-BG"/>
        </w:rPr>
        <w:t xml:space="preserve"> предлага възможност за капитализиране на възобновяемите енергийни ресурси, като спомага за намаляване на зависимостта от изкопаеми горива и за намаляване на емисиите на парникови газове. В същото време е от съществено значение да се приемат подходящи мерки за опазване на местното биологично разнообразие и да се сведе до минимум въздействието върху природните местообитания в Подкарпатието.</w:t>
      </w:r>
    </w:p>
    <w:p w14:paraId="028374EE" w14:textId="2F3D68A7" w:rsidR="00B62421" w:rsidRPr="007375EB" w:rsidRDefault="002B48F6" w:rsidP="004821A5">
      <w:pPr>
        <w:spacing w:after="120" w:line="360" w:lineRule="auto"/>
        <w:ind w:left="-20" w:right="-20"/>
        <w:jc w:val="both"/>
        <w:rPr>
          <w:rFonts w:eastAsia="Verdana" w:cs="Verdana"/>
          <w:lang w:val="bg-BG"/>
        </w:rPr>
      </w:pPr>
      <w:r w:rsidRPr="007375EB">
        <w:rPr>
          <w:rFonts w:eastAsia="Verdana" w:cs="Verdana"/>
          <w:lang w:val="bg-BG"/>
        </w:rPr>
        <w:t xml:space="preserve">На територията на </w:t>
      </w:r>
      <w:r w:rsidR="0014580E" w:rsidRPr="007375EB">
        <w:rPr>
          <w:rFonts w:eastAsia="Verdana" w:cs="Verdana"/>
          <w:lang w:val="bg-BG"/>
        </w:rPr>
        <w:t>ЗГП</w:t>
      </w:r>
      <w:r w:rsidRPr="007375EB">
        <w:rPr>
          <w:rFonts w:eastAsia="Verdana" w:cs="Verdana"/>
          <w:lang w:val="bg-BG"/>
        </w:rPr>
        <w:t xml:space="preserve"> не се експлоатират природни ресурси като пясък или камък, което гарантира опазването на минералните ресурси в района.</w:t>
      </w:r>
      <w:r w:rsidR="00B62421" w:rsidRPr="007375EB">
        <w:rPr>
          <w:rFonts w:eastAsia="Verdana" w:cs="Verdana"/>
          <w:lang w:val="bg-BG"/>
        </w:rPr>
        <w:t xml:space="preserve"> </w:t>
      </w:r>
    </w:p>
    <w:p w14:paraId="2DB07C65" w14:textId="597E6392" w:rsidR="00575357" w:rsidRPr="007375EB" w:rsidRDefault="002B48F6" w:rsidP="00AC5470">
      <w:pPr>
        <w:pStyle w:val="ListParagraph"/>
        <w:numPr>
          <w:ilvl w:val="2"/>
          <w:numId w:val="21"/>
        </w:numPr>
        <w:spacing w:after="120" w:line="360" w:lineRule="auto"/>
        <w:jc w:val="both"/>
        <w:outlineLvl w:val="2"/>
        <w:rPr>
          <w:rFonts w:cs="Arial"/>
          <w:b/>
          <w:i/>
          <w:color w:val="00B0F0"/>
          <w:lang w:val="bg-BG"/>
        </w:rPr>
      </w:pPr>
      <w:r w:rsidRPr="007375EB">
        <w:rPr>
          <w:rFonts w:cs="Arial"/>
          <w:b/>
          <w:i/>
          <w:color w:val="00B0F0"/>
          <w:lang w:val="bg-BG"/>
        </w:rPr>
        <w:t>Управление на отпадъците</w:t>
      </w:r>
    </w:p>
    <w:p w14:paraId="58250E0B" w14:textId="3B5A4393" w:rsidR="00F701B0" w:rsidRPr="007375EB" w:rsidRDefault="002B48F6" w:rsidP="00F701B0">
      <w:pPr>
        <w:spacing w:after="120" w:line="360" w:lineRule="auto"/>
        <w:ind w:left="-20" w:right="-20"/>
        <w:jc w:val="both"/>
        <w:rPr>
          <w:rFonts w:eastAsia="Verdana" w:cs="Verdana"/>
          <w:lang w:val="bg-BG"/>
        </w:rPr>
      </w:pPr>
      <w:r w:rsidRPr="007375EB">
        <w:rPr>
          <w:rFonts w:eastAsia="Verdana" w:cs="Verdana"/>
          <w:lang w:val="bg-BG"/>
        </w:rPr>
        <w:t>Въздействието върху околната среда от депонирането на битови (общински, градски, градски, общински) или промишлени отпадъци е значително. Най-силно засегнатите части на околната среда са почвата, въздухът и водата (повърхностни и подземни води). Тези проблеми са породени от лошото управление на отпадъците</w:t>
      </w:r>
      <w:r w:rsidR="00F701B0" w:rsidRPr="007375EB">
        <w:rPr>
          <w:rFonts w:eastAsia="Verdana" w:cs="Verdana"/>
          <w:lang w:val="bg-BG"/>
        </w:rPr>
        <w:t>.</w:t>
      </w:r>
    </w:p>
    <w:p w14:paraId="67D78307" w14:textId="06A08273" w:rsidR="00FA79B4" w:rsidRPr="007375EB" w:rsidRDefault="002B48F6" w:rsidP="00BC14B9">
      <w:pPr>
        <w:spacing w:before="120" w:after="120" w:line="360" w:lineRule="auto"/>
        <w:ind w:left="20" w:right="40"/>
        <w:jc w:val="both"/>
        <w:rPr>
          <w:rFonts w:eastAsia="Verdana" w:cs="Verdana"/>
          <w:lang w:val="bg-BG"/>
        </w:rPr>
      </w:pPr>
      <w:r w:rsidRPr="007375EB">
        <w:rPr>
          <w:rFonts w:eastAsia="Verdana" w:cs="Verdana"/>
          <w:lang w:val="bg-BG"/>
        </w:rPr>
        <w:t xml:space="preserve">Проектът „Интегрирана система за управление на отпадъците в окръг Констанца“ е завършен в </w:t>
      </w:r>
      <w:r w:rsidRPr="007375EB">
        <w:rPr>
          <w:rFonts w:eastAsia="Verdana" w:cs="Verdana"/>
          <w:b/>
          <w:bCs/>
          <w:lang w:val="bg-BG"/>
        </w:rPr>
        <w:t>окръг Констанца</w:t>
      </w:r>
      <w:r w:rsidRPr="007375EB">
        <w:rPr>
          <w:rFonts w:eastAsia="Verdana" w:cs="Verdana"/>
          <w:lang w:val="bg-BG"/>
        </w:rPr>
        <w:t xml:space="preserve"> и има следните цели</w:t>
      </w:r>
      <w:r w:rsidR="00FA79B4" w:rsidRPr="007375EB">
        <w:rPr>
          <w:rFonts w:eastAsia="Verdana" w:cs="Verdana"/>
          <w:lang w:val="bg-BG"/>
        </w:rPr>
        <w:t>:</w:t>
      </w:r>
    </w:p>
    <w:p w14:paraId="7E24F1C5" w14:textId="47C457E9" w:rsidR="002B48F6" w:rsidRPr="007375EB" w:rsidRDefault="002B48F6" w:rsidP="002B48F6">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Увеличаване на броя на населението, което се възползва от качествени и достъпни услуги за събиране и управление на отпадъците;</w:t>
      </w:r>
    </w:p>
    <w:p w14:paraId="6A5C1769" w14:textId="48AD0CF4" w:rsidR="002B48F6" w:rsidRPr="007375EB" w:rsidRDefault="002B48F6" w:rsidP="002B48F6">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намаляване на количеството депонирани отпадъци;</w:t>
      </w:r>
    </w:p>
    <w:p w14:paraId="468D2F0D" w14:textId="15A923F5" w:rsidR="009B7A8D" w:rsidRPr="007375EB" w:rsidRDefault="002B48F6" w:rsidP="002B48F6">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lastRenderedPageBreak/>
        <w:t>Увеличаване на количеството рециклируеми и оползотворяеми отпадъци в окръг Констанца</w:t>
      </w:r>
      <w:r w:rsidR="009B7A8D" w:rsidRPr="007375EB">
        <w:rPr>
          <w:rFonts w:eastAsia="Verdana" w:cs="Verdana"/>
          <w:lang w:val="bg-BG"/>
        </w:rPr>
        <w:t>;</w:t>
      </w:r>
    </w:p>
    <w:p w14:paraId="020DA6B9" w14:textId="6F49338B" w:rsidR="006E7B3D" w:rsidRPr="007375EB" w:rsidRDefault="002B48F6" w:rsidP="00125F99">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Създаване на ефективна структура за управление на отпадъците</w:t>
      </w:r>
      <w:r w:rsidR="009B7A8D" w:rsidRPr="007375EB">
        <w:rPr>
          <w:rFonts w:eastAsia="Verdana" w:cs="Verdana"/>
          <w:lang w:val="bg-BG"/>
        </w:rPr>
        <w:t>.</w:t>
      </w:r>
    </w:p>
    <w:p w14:paraId="5A566D74" w14:textId="57E2D70A" w:rsidR="009B5E28" w:rsidRPr="007375EB" w:rsidRDefault="002B48F6" w:rsidP="00F3059E">
      <w:pPr>
        <w:spacing w:before="120" w:after="120" w:line="360" w:lineRule="auto"/>
        <w:ind w:right="40"/>
        <w:jc w:val="both"/>
        <w:rPr>
          <w:lang w:val="bg-BG"/>
        </w:rPr>
      </w:pPr>
      <w:r w:rsidRPr="007375EB">
        <w:rPr>
          <w:rFonts w:eastAsia="Verdana" w:cs="Verdana"/>
          <w:lang w:val="bg-BG"/>
        </w:rPr>
        <w:t>Според Плана за управление на отпадъците на окръг Констанца индексът на генериране на битови отпадъци през периода на планиране е</w:t>
      </w:r>
      <w:r w:rsidR="00F3059E" w:rsidRPr="007375EB">
        <w:rPr>
          <w:lang w:val="bg-BG"/>
        </w:rPr>
        <w:t>:</w:t>
      </w:r>
    </w:p>
    <w:p w14:paraId="2958D1E1" w14:textId="4E8CB314" w:rsidR="00DC36EB" w:rsidRPr="007375EB" w:rsidRDefault="002B48F6" w:rsidP="00DC36EB">
      <w:pPr>
        <w:spacing w:before="170" w:after="100" w:line="200" w:lineRule="atLeast"/>
        <w:rPr>
          <w:b/>
          <w:bCs/>
          <w:color w:val="009DF0" w:themeColor="text2"/>
          <w:sz w:val="16"/>
          <w:szCs w:val="20"/>
          <w:lang w:val="bg-BG"/>
        </w:rPr>
      </w:pPr>
      <w:r w:rsidRPr="007375EB">
        <w:rPr>
          <w:b/>
          <w:bCs/>
          <w:color w:val="009DF0" w:themeColor="text2"/>
          <w:sz w:val="16"/>
          <w:szCs w:val="20"/>
          <w:lang w:val="bg-BG"/>
        </w:rPr>
        <w:t>Таблица</w:t>
      </w:r>
      <w:r w:rsidR="00DC36EB" w:rsidRPr="007375EB">
        <w:rPr>
          <w:b/>
          <w:bCs/>
          <w:color w:val="009DF0" w:themeColor="text2"/>
          <w:sz w:val="16"/>
          <w:szCs w:val="20"/>
          <w:lang w:val="bg-BG"/>
        </w:rPr>
        <w:t xml:space="preserve"> </w:t>
      </w:r>
      <w:r w:rsidR="00DC36EB" w:rsidRPr="007375EB">
        <w:rPr>
          <w:b/>
          <w:bCs/>
          <w:color w:val="009DF0" w:themeColor="text2"/>
          <w:sz w:val="16"/>
          <w:szCs w:val="20"/>
          <w:lang w:val="bg-BG"/>
        </w:rPr>
        <w:fldChar w:fldCharType="begin"/>
      </w:r>
      <w:r w:rsidR="00DC36EB" w:rsidRPr="007375EB">
        <w:rPr>
          <w:b/>
          <w:bCs/>
          <w:color w:val="009DF0" w:themeColor="text2"/>
          <w:sz w:val="16"/>
          <w:szCs w:val="20"/>
          <w:lang w:val="bg-BG"/>
        </w:rPr>
        <w:instrText xml:space="preserve"> STYLEREF 1 \s </w:instrText>
      </w:r>
      <w:r w:rsidR="00DC36EB" w:rsidRPr="007375EB">
        <w:rPr>
          <w:b/>
          <w:bCs/>
          <w:color w:val="009DF0" w:themeColor="text2"/>
          <w:sz w:val="16"/>
          <w:szCs w:val="20"/>
          <w:lang w:val="bg-BG"/>
        </w:rPr>
        <w:fldChar w:fldCharType="separate"/>
      </w:r>
      <w:r w:rsidR="00DC36EB" w:rsidRPr="007375EB">
        <w:rPr>
          <w:b/>
          <w:bCs/>
          <w:color w:val="009DF0" w:themeColor="text2"/>
          <w:sz w:val="16"/>
          <w:szCs w:val="20"/>
          <w:lang w:val="bg-BG"/>
        </w:rPr>
        <w:t>2</w:t>
      </w:r>
      <w:r w:rsidR="00DC36EB" w:rsidRPr="007375EB">
        <w:rPr>
          <w:b/>
          <w:bCs/>
          <w:color w:val="009DF0" w:themeColor="text2"/>
          <w:sz w:val="16"/>
          <w:szCs w:val="20"/>
          <w:lang w:val="bg-BG"/>
        </w:rPr>
        <w:fldChar w:fldCharType="end"/>
      </w:r>
      <w:r w:rsidR="00DC36EB" w:rsidRPr="007375EB">
        <w:rPr>
          <w:b/>
          <w:bCs/>
          <w:color w:val="009DF0" w:themeColor="text2"/>
          <w:sz w:val="16"/>
          <w:szCs w:val="20"/>
          <w:lang w:val="bg-BG"/>
        </w:rPr>
        <w:noBreakHyphen/>
      </w:r>
      <w:r w:rsidR="00DC36EB" w:rsidRPr="007375EB">
        <w:rPr>
          <w:b/>
          <w:bCs/>
          <w:color w:val="009DF0" w:themeColor="text2"/>
          <w:sz w:val="16"/>
          <w:szCs w:val="20"/>
          <w:lang w:val="bg-BG"/>
        </w:rPr>
        <w:fldChar w:fldCharType="begin"/>
      </w:r>
      <w:r w:rsidR="00DC36EB" w:rsidRPr="007375EB">
        <w:rPr>
          <w:b/>
          <w:bCs/>
          <w:color w:val="009DF0" w:themeColor="text2"/>
          <w:sz w:val="16"/>
          <w:szCs w:val="20"/>
          <w:lang w:val="bg-BG"/>
        </w:rPr>
        <w:instrText xml:space="preserve"> SEQ Tabel_ \* ARABIC \s 1 </w:instrText>
      </w:r>
      <w:r w:rsidR="00DC36EB" w:rsidRPr="007375EB">
        <w:rPr>
          <w:b/>
          <w:bCs/>
          <w:color w:val="009DF0" w:themeColor="text2"/>
          <w:sz w:val="16"/>
          <w:szCs w:val="20"/>
          <w:lang w:val="bg-BG"/>
        </w:rPr>
        <w:fldChar w:fldCharType="separate"/>
      </w:r>
      <w:r w:rsidR="00DC36EB" w:rsidRPr="007375EB">
        <w:rPr>
          <w:b/>
          <w:bCs/>
          <w:color w:val="009DF0" w:themeColor="text2"/>
          <w:sz w:val="16"/>
          <w:szCs w:val="20"/>
          <w:lang w:val="bg-BG"/>
        </w:rPr>
        <w:t>1</w:t>
      </w:r>
      <w:r w:rsidR="00DC36EB" w:rsidRPr="007375EB">
        <w:rPr>
          <w:b/>
          <w:bCs/>
          <w:color w:val="009DF0" w:themeColor="text2"/>
          <w:sz w:val="16"/>
          <w:szCs w:val="20"/>
          <w:lang w:val="bg-BG"/>
        </w:rPr>
        <w:fldChar w:fldCharType="end"/>
      </w:r>
      <w:r w:rsidR="00DC36EB" w:rsidRPr="007375EB">
        <w:rPr>
          <w:b/>
          <w:bCs/>
          <w:color w:val="009DF0" w:themeColor="text2"/>
          <w:sz w:val="16"/>
          <w:szCs w:val="20"/>
          <w:lang w:val="bg-BG"/>
        </w:rPr>
        <w:t xml:space="preserve"> </w:t>
      </w:r>
      <w:r w:rsidR="001D700E" w:rsidRPr="007375EB">
        <w:rPr>
          <w:b/>
          <w:bCs/>
          <w:color w:val="009DF0" w:themeColor="text2"/>
          <w:sz w:val="16"/>
          <w:szCs w:val="20"/>
          <w:lang w:val="bg-BG"/>
        </w:rPr>
        <w:t xml:space="preserve">: </w:t>
      </w:r>
      <w:r w:rsidRPr="007375EB">
        <w:rPr>
          <w:b/>
          <w:bCs/>
          <w:color w:val="009DF0" w:themeColor="text2"/>
          <w:sz w:val="16"/>
          <w:szCs w:val="20"/>
          <w:lang w:val="bg-BG"/>
        </w:rPr>
        <w:t>Развитие на нивата на генериране на битови отпадъци</w:t>
      </w:r>
    </w:p>
    <w:tbl>
      <w:tblPr>
        <w:tblStyle w:val="TableGrid"/>
        <w:tblW w:w="0" w:type="auto"/>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1429"/>
        <w:gridCol w:w="1310"/>
        <w:gridCol w:w="1310"/>
        <w:gridCol w:w="1310"/>
        <w:gridCol w:w="1310"/>
        <w:gridCol w:w="1310"/>
        <w:gridCol w:w="1310"/>
      </w:tblGrid>
      <w:tr w:rsidR="00D03638" w:rsidRPr="007375EB" w14:paraId="2896A5B4" w14:textId="77777777" w:rsidTr="002B48F6">
        <w:trPr>
          <w:trHeight w:val="252"/>
        </w:trPr>
        <w:tc>
          <w:tcPr>
            <w:tcW w:w="1429" w:type="dxa"/>
            <w:vMerge w:val="restart"/>
            <w:shd w:val="clear" w:color="auto" w:fill="00B0F0"/>
          </w:tcPr>
          <w:p w14:paraId="3156C401" w14:textId="17985921" w:rsidR="00D03638" w:rsidRPr="007375EB" w:rsidRDefault="002B48F6" w:rsidP="00634671">
            <w:pPr>
              <w:spacing w:line="240" w:lineRule="auto"/>
              <w:jc w:val="center"/>
              <w:rPr>
                <w:rFonts w:asciiTheme="majorHAnsi" w:eastAsia="Times New Roman" w:hAnsiTheme="majorHAnsi" w:cs="Calibri"/>
                <w:b/>
                <w:bCs/>
                <w:color w:val="FFFFFF" w:themeColor="background1"/>
                <w:sz w:val="16"/>
                <w:szCs w:val="16"/>
                <w:lang w:val="bg-BG" w:eastAsia="ro-RO"/>
              </w:rPr>
            </w:pPr>
            <w:r w:rsidRPr="007375EB">
              <w:rPr>
                <w:rFonts w:asciiTheme="majorHAnsi" w:eastAsia="Times New Roman" w:hAnsiTheme="majorHAnsi" w:cs="Calibri"/>
                <w:b/>
                <w:bCs/>
                <w:color w:val="FFFFFF" w:themeColor="background1"/>
                <w:sz w:val="16"/>
                <w:szCs w:val="16"/>
                <w:lang w:val="bg-BG" w:eastAsia="ro-RO"/>
              </w:rPr>
              <w:t>Среда на пребиваване</w:t>
            </w:r>
          </w:p>
        </w:tc>
        <w:tc>
          <w:tcPr>
            <w:tcW w:w="7860" w:type="dxa"/>
            <w:gridSpan w:val="6"/>
            <w:shd w:val="clear" w:color="auto" w:fill="00B0F0"/>
          </w:tcPr>
          <w:p w14:paraId="466B9742" w14:textId="2F93370C" w:rsidR="00D03638" w:rsidRPr="007375EB" w:rsidRDefault="002B48F6" w:rsidP="00634671">
            <w:pPr>
              <w:spacing w:line="240" w:lineRule="auto"/>
              <w:jc w:val="center"/>
              <w:rPr>
                <w:rFonts w:asciiTheme="majorHAnsi" w:eastAsia="Times New Roman" w:hAnsiTheme="majorHAnsi" w:cs="Calibri"/>
                <w:b/>
                <w:bCs/>
                <w:color w:val="FFFFFF" w:themeColor="background1"/>
                <w:sz w:val="16"/>
                <w:szCs w:val="16"/>
                <w:lang w:val="bg-BG" w:eastAsia="ro-RO"/>
              </w:rPr>
            </w:pPr>
            <w:r w:rsidRPr="007375EB">
              <w:rPr>
                <w:rFonts w:asciiTheme="majorHAnsi" w:eastAsia="Times New Roman" w:hAnsiTheme="majorHAnsi" w:cs="Calibri"/>
                <w:b/>
                <w:bCs/>
                <w:color w:val="FFFFFF" w:themeColor="background1"/>
                <w:sz w:val="16"/>
                <w:szCs w:val="16"/>
                <w:lang w:val="bg-BG" w:eastAsia="ro-RO"/>
              </w:rPr>
              <w:t>Степен на генериране (кг/обитател х ден)</w:t>
            </w:r>
          </w:p>
        </w:tc>
      </w:tr>
      <w:tr w:rsidR="00D03638" w:rsidRPr="007375EB" w14:paraId="5F898505" w14:textId="77777777" w:rsidTr="002B48F6">
        <w:trPr>
          <w:trHeight w:val="354"/>
        </w:trPr>
        <w:tc>
          <w:tcPr>
            <w:tcW w:w="1429" w:type="dxa"/>
            <w:vMerge/>
            <w:shd w:val="clear" w:color="auto" w:fill="00B0F0"/>
          </w:tcPr>
          <w:p w14:paraId="482E273E" w14:textId="77777777" w:rsidR="00D03638" w:rsidRPr="007375EB" w:rsidRDefault="00D03638" w:rsidP="00634671">
            <w:pPr>
              <w:spacing w:line="240" w:lineRule="auto"/>
              <w:jc w:val="center"/>
              <w:rPr>
                <w:rFonts w:asciiTheme="majorHAnsi" w:eastAsia="Times New Roman" w:hAnsiTheme="majorHAnsi" w:cs="Calibri"/>
                <w:b/>
                <w:bCs/>
                <w:color w:val="FFFFFF" w:themeColor="background1"/>
                <w:sz w:val="16"/>
                <w:szCs w:val="16"/>
                <w:lang w:val="bg-BG" w:eastAsia="ro-RO"/>
              </w:rPr>
            </w:pPr>
          </w:p>
        </w:tc>
        <w:tc>
          <w:tcPr>
            <w:tcW w:w="1310" w:type="dxa"/>
            <w:shd w:val="clear" w:color="auto" w:fill="00B0F0"/>
          </w:tcPr>
          <w:p w14:paraId="2DA445FF" w14:textId="26DDF735" w:rsidR="00D03638" w:rsidRPr="007375EB" w:rsidRDefault="006C02D4" w:rsidP="00634671">
            <w:pPr>
              <w:spacing w:line="240" w:lineRule="auto"/>
              <w:jc w:val="center"/>
              <w:rPr>
                <w:rFonts w:asciiTheme="majorHAnsi" w:eastAsia="Times New Roman" w:hAnsiTheme="majorHAnsi" w:cs="Calibri"/>
                <w:b/>
                <w:bCs/>
                <w:color w:val="FFFFFF" w:themeColor="background1"/>
                <w:sz w:val="16"/>
                <w:szCs w:val="16"/>
                <w:lang w:val="bg-BG" w:eastAsia="ro-RO"/>
              </w:rPr>
            </w:pPr>
            <w:r w:rsidRPr="007375EB">
              <w:rPr>
                <w:rFonts w:asciiTheme="majorHAnsi" w:eastAsia="Times New Roman" w:hAnsiTheme="majorHAnsi" w:cs="Calibri"/>
                <w:b/>
                <w:bCs/>
                <w:color w:val="FFFFFF" w:themeColor="background1"/>
                <w:sz w:val="16"/>
                <w:szCs w:val="16"/>
                <w:lang w:val="bg-BG" w:eastAsia="ro-RO"/>
              </w:rPr>
              <w:t>2020</w:t>
            </w:r>
          </w:p>
        </w:tc>
        <w:tc>
          <w:tcPr>
            <w:tcW w:w="1310" w:type="dxa"/>
            <w:shd w:val="clear" w:color="auto" w:fill="00B0F0"/>
          </w:tcPr>
          <w:p w14:paraId="121E24A0" w14:textId="4768E633" w:rsidR="00D03638" w:rsidRPr="007375EB" w:rsidRDefault="006C02D4" w:rsidP="00634671">
            <w:pPr>
              <w:spacing w:line="240" w:lineRule="auto"/>
              <w:jc w:val="center"/>
              <w:rPr>
                <w:rFonts w:asciiTheme="majorHAnsi" w:eastAsia="Times New Roman" w:hAnsiTheme="majorHAnsi" w:cs="Calibri"/>
                <w:b/>
                <w:bCs/>
                <w:color w:val="FFFFFF" w:themeColor="background1"/>
                <w:sz w:val="16"/>
                <w:szCs w:val="16"/>
                <w:lang w:val="bg-BG" w:eastAsia="ro-RO"/>
              </w:rPr>
            </w:pPr>
            <w:r w:rsidRPr="007375EB">
              <w:rPr>
                <w:rFonts w:asciiTheme="majorHAnsi" w:eastAsia="Times New Roman" w:hAnsiTheme="majorHAnsi" w:cs="Calibri"/>
                <w:b/>
                <w:bCs/>
                <w:color w:val="FFFFFF" w:themeColor="background1"/>
                <w:sz w:val="16"/>
                <w:szCs w:val="16"/>
                <w:lang w:val="bg-BG" w:eastAsia="ro-RO"/>
              </w:rPr>
              <w:t>2021</w:t>
            </w:r>
          </w:p>
        </w:tc>
        <w:tc>
          <w:tcPr>
            <w:tcW w:w="1310" w:type="dxa"/>
            <w:shd w:val="clear" w:color="auto" w:fill="00B0F0"/>
          </w:tcPr>
          <w:p w14:paraId="296FD190" w14:textId="44EA0351" w:rsidR="00D03638" w:rsidRPr="007375EB" w:rsidRDefault="006C02D4" w:rsidP="00634671">
            <w:pPr>
              <w:spacing w:line="240" w:lineRule="auto"/>
              <w:jc w:val="center"/>
              <w:rPr>
                <w:rFonts w:asciiTheme="majorHAnsi" w:eastAsia="Times New Roman" w:hAnsiTheme="majorHAnsi" w:cs="Calibri"/>
                <w:b/>
                <w:bCs/>
                <w:color w:val="FFFFFF" w:themeColor="background1"/>
                <w:sz w:val="16"/>
                <w:szCs w:val="16"/>
                <w:lang w:val="bg-BG" w:eastAsia="ro-RO"/>
              </w:rPr>
            </w:pPr>
            <w:r w:rsidRPr="007375EB">
              <w:rPr>
                <w:rFonts w:asciiTheme="majorHAnsi" w:eastAsia="Times New Roman" w:hAnsiTheme="majorHAnsi" w:cs="Calibri"/>
                <w:b/>
                <w:bCs/>
                <w:color w:val="FFFFFF" w:themeColor="background1"/>
                <w:sz w:val="16"/>
                <w:szCs w:val="16"/>
                <w:lang w:val="bg-BG" w:eastAsia="ro-RO"/>
              </w:rPr>
              <w:t>2022</w:t>
            </w:r>
          </w:p>
        </w:tc>
        <w:tc>
          <w:tcPr>
            <w:tcW w:w="1310" w:type="dxa"/>
            <w:shd w:val="clear" w:color="auto" w:fill="00B0F0"/>
          </w:tcPr>
          <w:p w14:paraId="41C74712" w14:textId="64233592" w:rsidR="00D03638" w:rsidRPr="007375EB" w:rsidRDefault="006C02D4" w:rsidP="00634671">
            <w:pPr>
              <w:spacing w:line="240" w:lineRule="auto"/>
              <w:jc w:val="center"/>
              <w:rPr>
                <w:rFonts w:asciiTheme="majorHAnsi" w:eastAsia="Times New Roman" w:hAnsiTheme="majorHAnsi" w:cs="Calibri"/>
                <w:b/>
                <w:bCs/>
                <w:color w:val="FFFFFF" w:themeColor="background1"/>
                <w:sz w:val="16"/>
                <w:szCs w:val="16"/>
                <w:lang w:val="bg-BG" w:eastAsia="ro-RO"/>
              </w:rPr>
            </w:pPr>
            <w:r w:rsidRPr="007375EB">
              <w:rPr>
                <w:rFonts w:asciiTheme="majorHAnsi" w:eastAsia="Times New Roman" w:hAnsiTheme="majorHAnsi" w:cs="Calibri"/>
                <w:b/>
                <w:bCs/>
                <w:color w:val="FFFFFF" w:themeColor="background1"/>
                <w:sz w:val="16"/>
                <w:szCs w:val="16"/>
                <w:lang w:val="bg-BG" w:eastAsia="ro-RO"/>
              </w:rPr>
              <w:t>2023</w:t>
            </w:r>
          </w:p>
        </w:tc>
        <w:tc>
          <w:tcPr>
            <w:tcW w:w="1310" w:type="dxa"/>
            <w:shd w:val="clear" w:color="auto" w:fill="00B0F0"/>
          </w:tcPr>
          <w:p w14:paraId="14FE5B81" w14:textId="55C936EC" w:rsidR="00D03638" w:rsidRPr="007375EB" w:rsidRDefault="00253FF0" w:rsidP="00634671">
            <w:pPr>
              <w:spacing w:line="240" w:lineRule="auto"/>
              <w:jc w:val="center"/>
              <w:rPr>
                <w:rFonts w:asciiTheme="majorHAnsi" w:eastAsia="Times New Roman" w:hAnsiTheme="majorHAnsi" w:cs="Calibri"/>
                <w:b/>
                <w:bCs/>
                <w:color w:val="FFFFFF" w:themeColor="background1"/>
                <w:sz w:val="16"/>
                <w:szCs w:val="16"/>
                <w:lang w:val="bg-BG" w:eastAsia="ro-RO"/>
              </w:rPr>
            </w:pPr>
            <w:r w:rsidRPr="007375EB">
              <w:rPr>
                <w:rFonts w:asciiTheme="majorHAnsi" w:eastAsia="Times New Roman" w:hAnsiTheme="majorHAnsi" w:cs="Calibri"/>
                <w:b/>
                <w:bCs/>
                <w:color w:val="FFFFFF" w:themeColor="background1"/>
                <w:sz w:val="16"/>
                <w:szCs w:val="16"/>
                <w:lang w:val="bg-BG" w:eastAsia="ro-RO"/>
              </w:rPr>
              <w:t>2024</w:t>
            </w:r>
          </w:p>
        </w:tc>
        <w:tc>
          <w:tcPr>
            <w:tcW w:w="1310" w:type="dxa"/>
            <w:shd w:val="clear" w:color="auto" w:fill="00B0F0"/>
          </w:tcPr>
          <w:p w14:paraId="7D090ECB" w14:textId="62C4D6CF" w:rsidR="00D03638" w:rsidRPr="007375EB" w:rsidRDefault="00253FF0" w:rsidP="00634671">
            <w:pPr>
              <w:spacing w:line="240" w:lineRule="auto"/>
              <w:jc w:val="center"/>
              <w:rPr>
                <w:rFonts w:asciiTheme="majorHAnsi" w:eastAsia="Times New Roman" w:hAnsiTheme="majorHAnsi" w:cs="Calibri"/>
                <w:b/>
                <w:bCs/>
                <w:color w:val="FFFFFF" w:themeColor="background1"/>
                <w:sz w:val="16"/>
                <w:szCs w:val="16"/>
                <w:lang w:val="bg-BG" w:eastAsia="ro-RO"/>
              </w:rPr>
            </w:pPr>
            <w:r w:rsidRPr="007375EB">
              <w:rPr>
                <w:rFonts w:asciiTheme="majorHAnsi" w:eastAsia="Times New Roman" w:hAnsiTheme="majorHAnsi" w:cs="Calibri"/>
                <w:b/>
                <w:bCs/>
                <w:color w:val="FFFFFF" w:themeColor="background1"/>
                <w:sz w:val="16"/>
                <w:szCs w:val="16"/>
                <w:lang w:val="bg-BG" w:eastAsia="ro-RO"/>
              </w:rPr>
              <w:t>2025</w:t>
            </w:r>
          </w:p>
        </w:tc>
      </w:tr>
      <w:tr w:rsidR="00D03638" w:rsidRPr="007375EB" w14:paraId="53C49D17" w14:textId="77777777" w:rsidTr="002B48F6">
        <w:tc>
          <w:tcPr>
            <w:tcW w:w="1429" w:type="dxa"/>
          </w:tcPr>
          <w:p w14:paraId="365FC55B" w14:textId="0D1C5DFB" w:rsidR="00D03638" w:rsidRPr="007375EB" w:rsidRDefault="002B48F6" w:rsidP="00634671">
            <w:pPr>
              <w:spacing w:line="240" w:lineRule="auto"/>
              <w:ind w:right="40"/>
              <w:jc w:val="both"/>
              <w:rPr>
                <w:rFonts w:cs="Arial"/>
                <w:sz w:val="16"/>
                <w:szCs w:val="16"/>
                <w:lang w:val="bg-BG"/>
              </w:rPr>
            </w:pPr>
            <w:r w:rsidRPr="007375EB">
              <w:rPr>
                <w:rFonts w:cs="Arial"/>
                <w:sz w:val="16"/>
                <w:szCs w:val="16"/>
                <w:lang w:val="bg-BG"/>
              </w:rPr>
              <w:t xml:space="preserve">Градска </w:t>
            </w:r>
          </w:p>
        </w:tc>
        <w:tc>
          <w:tcPr>
            <w:tcW w:w="1310" w:type="dxa"/>
          </w:tcPr>
          <w:p w14:paraId="1322FB2B" w14:textId="1654D4C5" w:rsidR="00D03638" w:rsidRPr="007375EB" w:rsidRDefault="00B13F3D" w:rsidP="00634671">
            <w:pPr>
              <w:spacing w:line="240" w:lineRule="auto"/>
              <w:ind w:right="40"/>
              <w:jc w:val="center"/>
              <w:rPr>
                <w:rFonts w:cs="Arial"/>
                <w:sz w:val="16"/>
                <w:szCs w:val="16"/>
                <w:lang w:val="bg-BG"/>
              </w:rPr>
            </w:pPr>
            <w:r w:rsidRPr="007375EB">
              <w:rPr>
                <w:rFonts w:cs="Arial"/>
                <w:sz w:val="16"/>
                <w:szCs w:val="16"/>
                <w:lang w:val="bg-BG"/>
              </w:rPr>
              <w:t>0.64</w:t>
            </w:r>
          </w:p>
        </w:tc>
        <w:tc>
          <w:tcPr>
            <w:tcW w:w="1310" w:type="dxa"/>
          </w:tcPr>
          <w:p w14:paraId="400A628F" w14:textId="59E426A5" w:rsidR="00D03638" w:rsidRPr="007375EB" w:rsidRDefault="004B15DD" w:rsidP="00634671">
            <w:pPr>
              <w:spacing w:line="240" w:lineRule="auto"/>
              <w:ind w:right="40"/>
              <w:jc w:val="center"/>
              <w:rPr>
                <w:rFonts w:cs="Arial"/>
                <w:sz w:val="16"/>
                <w:szCs w:val="16"/>
                <w:lang w:val="bg-BG"/>
              </w:rPr>
            </w:pPr>
            <w:r w:rsidRPr="007375EB">
              <w:rPr>
                <w:rFonts w:cs="Arial"/>
                <w:sz w:val="16"/>
                <w:szCs w:val="16"/>
                <w:lang w:val="bg-BG"/>
              </w:rPr>
              <w:t>0.64</w:t>
            </w:r>
          </w:p>
        </w:tc>
        <w:tc>
          <w:tcPr>
            <w:tcW w:w="1310" w:type="dxa"/>
          </w:tcPr>
          <w:p w14:paraId="6973DBCB" w14:textId="77F1FF9E" w:rsidR="00D03638" w:rsidRPr="007375EB" w:rsidRDefault="004B15DD" w:rsidP="00634671">
            <w:pPr>
              <w:spacing w:line="240" w:lineRule="auto"/>
              <w:ind w:right="40"/>
              <w:jc w:val="center"/>
              <w:rPr>
                <w:rFonts w:cs="Arial"/>
                <w:sz w:val="16"/>
                <w:szCs w:val="16"/>
                <w:lang w:val="bg-BG"/>
              </w:rPr>
            </w:pPr>
            <w:r w:rsidRPr="007375EB">
              <w:rPr>
                <w:rFonts w:cs="Arial"/>
                <w:sz w:val="16"/>
                <w:szCs w:val="16"/>
                <w:lang w:val="bg-BG"/>
              </w:rPr>
              <w:t>0.63</w:t>
            </w:r>
          </w:p>
        </w:tc>
        <w:tc>
          <w:tcPr>
            <w:tcW w:w="1310" w:type="dxa"/>
          </w:tcPr>
          <w:p w14:paraId="1CC3DE67" w14:textId="433EF9C9" w:rsidR="00D03638" w:rsidRPr="007375EB" w:rsidRDefault="004B15DD" w:rsidP="00634671">
            <w:pPr>
              <w:spacing w:line="240" w:lineRule="auto"/>
              <w:ind w:right="40"/>
              <w:jc w:val="center"/>
              <w:rPr>
                <w:rFonts w:cs="Arial"/>
                <w:sz w:val="16"/>
                <w:szCs w:val="16"/>
                <w:lang w:val="bg-BG"/>
              </w:rPr>
            </w:pPr>
            <w:r w:rsidRPr="007375EB">
              <w:rPr>
                <w:rFonts w:cs="Arial"/>
                <w:sz w:val="16"/>
                <w:szCs w:val="16"/>
                <w:lang w:val="bg-BG"/>
              </w:rPr>
              <w:t>0.62</w:t>
            </w:r>
          </w:p>
        </w:tc>
        <w:tc>
          <w:tcPr>
            <w:tcW w:w="1310" w:type="dxa"/>
          </w:tcPr>
          <w:p w14:paraId="2137DF39" w14:textId="35FAB98B" w:rsidR="00D03638" w:rsidRPr="007375EB" w:rsidRDefault="004B15DD" w:rsidP="00634671">
            <w:pPr>
              <w:spacing w:line="240" w:lineRule="auto"/>
              <w:ind w:right="40"/>
              <w:jc w:val="center"/>
              <w:rPr>
                <w:rFonts w:cs="Arial"/>
                <w:sz w:val="16"/>
                <w:szCs w:val="16"/>
                <w:lang w:val="bg-BG"/>
              </w:rPr>
            </w:pPr>
            <w:r w:rsidRPr="007375EB">
              <w:rPr>
                <w:rFonts w:cs="Arial"/>
                <w:sz w:val="16"/>
                <w:szCs w:val="16"/>
                <w:lang w:val="bg-BG"/>
              </w:rPr>
              <w:t>0.61</w:t>
            </w:r>
          </w:p>
        </w:tc>
        <w:tc>
          <w:tcPr>
            <w:tcW w:w="1310" w:type="dxa"/>
          </w:tcPr>
          <w:p w14:paraId="777B6452" w14:textId="5B58B588" w:rsidR="00D03638" w:rsidRPr="007375EB" w:rsidRDefault="004B15DD" w:rsidP="00634671">
            <w:pPr>
              <w:spacing w:line="240" w:lineRule="auto"/>
              <w:ind w:right="40"/>
              <w:jc w:val="center"/>
              <w:rPr>
                <w:rFonts w:cs="Arial"/>
                <w:sz w:val="16"/>
                <w:szCs w:val="16"/>
                <w:lang w:val="bg-BG"/>
              </w:rPr>
            </w:pPr>
            <w:r w:rsidRPr="007375EB">
              <w:rPr>
                <w:rFonts w:cs="Arial"/>
                <w:sz w:val="16"/>
                <w:szCs w:val="16"/>
                <w:lang w:val="bg-BG"/>
              </w:rPr>
              <w:t>0.60</w:t>
            </w:r>
          </w:p>
        </w:tc>
      </w:tr>
      <w:tr w:rsidR="00D03638" w:rsidRPr="007375EB" w14:paraId="61F08016" w14:textId="77777777" w:rsidTr="002B48F6">
        <w:tc>
          <w:tcPr>
            <w:tcW w:w="1429" w:type="dxa"/>
          </w:tcPr>
          <w:p w14:paraId="38CB6C93" w14:textId="61DBD3B8" w:rsidR="00D03638" w:rsidRPr="007375EB" w:rsidRDefault="002B48F6" w:rsidP="00634671">
            <w:pPr>
              <w:spacing w:line="240" w:lineRule="auto"/>
              <w:ind w:right="40"/>
              <w:jc w:val="both"/>
              <w:rPr>
                <w:rFonts w:cs="Arial"/>
                <w:sz w:val="16"/>
                <w:szCs w:val="16"/>
                <w:lang w:val="bg-BG"/>
              </w:rPr>
            </w:pPr>
            <w:r w:rsidRPr="007375EB">
              <w:rPr>
                <w:rFonts w:cs="Arial"/>
                <w:sz w:val="16"/>
                <w:szCs w:val="16"/>
                <w:lang w:val="bg-BG"/>
              </w:rPr>
              <w:t xml:space="preserve">Селска </w:t>
            </w:r>
          </w:p>
        </w:tc>
        <w:tc>
          <w:tcPr>
            <w:tcW w:w="1310" w:type="dxa"/>
          </w:tcPr>
          <w:p w14:paraId="6F11087C" w14:textId="57806537" w:rsidR="00D03638" w:rsidRPr="007375EB" w:rsidRDefault="004B15DD" w:rsidP="00634671">
            <w:pPr>
              <w:spacing w:line="240" w:lineRule="auto"/>
              <w:ind w:right="40"/>
              <w:jc w:val="center"/>
              <w:rPr>
                <w:rFonts w:cs="Arial"/>
                <w:sz w:val="16"/>
                <w:szCs w:val="16"/>
                <w:lang w:val="bg-BG"/>
              </w:rPr>
            </w:pPr>
            <w:r w:rsidRPr="007375EB">
              <w:rPr>
                <w:rFonts w:cs="Arial"/>
                <w:sz w:val="16"/>
                <w:szCs w:val="16"/>
                <w:lang w:val="bg-BG"/>
              </w:rPr>
              <w:t>0.29</w:t>
            </w:r>
          </w:p>
        </w:tc>
        <w:tc>
          <w:tcPr>
            <w:tcW w:w="1310" w:type="dxa"/>
          </w:tcPr>
          <w:p w14:paraId="7B7F6904" w14:textId="7D3C4560" w:rsidR="00D03638" w:rsidRPr="007375EB" w:rsidRDefault="004B15DD" w:rsidP="00634671">
            <w:pPr>
              <w:spacing w:line="240" w:lineRule="auto"/>
              <w:ind w:right="40"/>
              <w:jc w:val="center"/>
              <w:rPr>
                <w:rFonts w:cs="Arial"/>
                <w:sz w:val="16"/>
                <w:szCs w:val="16"/>
                <w:lang w:val="bg-BG"/>
              </w:rPr>
            </w:pPr>
            <w:r w:rsidRPr="007375EB">
              <w:rPr>
                <w:rFonts w:cs="Arial"/>
                <w:sz w:val="16"/>
                <w:szCs w:val="16"/>
                <w:lang w:val="bg-BG"/>
              </w:rPr>
              <w:t>0.29</w:t>
            </w:r>
          </w:p>
        </w:tc>
        <w:tc>
          <w:tcPr>
            <w:tcW w:w="1310" w:type="dxa"/>
          </w:tcPr>
          <w:p w14:paraId="61ECB4EA" w14:textId="257A0812" w:rsidR="00D03638" w:rsidRPr="007375EB" w:rsidRDefault="004B15DD" w:rsidP="00634671">
            <w:pPr>
              <w:spacing w:line="240" w:lineRule="auto"/>
              <w:ind w:right="40"/>
              <w:jc w:val="center"/>
              <w:rPr>
                <w:rFonts w:cs="Arial"/>
                <w:sz w:val="16"/>
                <w:szCs w:val="16"/>
                <w:lang w:val="bg-BG"/>
              </w:rPr>
            </w:pPr>
            <w:r w:rsidRPr="007375EB">
              <w:rPr>
                <w:rFonts w:cs="Arial"/>
                <w:sz w:val="16"/>
                <w:szCs w:val="16"/>
                <w:lang w:val="bg-BG"/>
              </w:rPr>
              <w:t>0.28</w:t>
            </w:r>
          </w:p>
        </w:tc>
        <w:tc>
          <w:tcPr>
            <w:tcW w:w="1310" w:type="dxa"/>
          </w:tcPr>
          <w:p w14:paraId="50E55597" w14:textId="51014897" w:rsidR="00D03638" w:rsidRPr="007375EB" w:rsidRDefault="004B15DD" w:rsidP="00634671">
            <w:pPr>
              <w:spacing w:line="240" w:lineRule="auto"/>
              <w:ind w:right="40"/>
              <w:jc w:val="center"/>
              <w:rPr>
                <w:rFonts w:cs="Arial"/>
                <w:sz w:val="16"/>
                <w:szCs w:val="16"/>
                <w:lang w:val="bg-BG"/>
              </w:rPr>
            </w:pPr>
            <w:r w:rsidRPr="007375EB">
              <w:rPr>
                <w:rFonts w:cs="Arial"/>
                <w:sz w:val="16"/>
                <w:szCs w:val="16"/>
                <w:lang w:val="bg-BG"/>
              </w:rPr>
              <w:t>0.28</w:t>
            </w:r>
          </w:p>
        </w:tc>
        <w:tc>
          <w:tcPr>
            <w:tcW w:w="1310" w:type="dxa"/>
          </w:tcPr>
          <w:p w14:paraId="091160DE" w14:textId="6E65743F" w:rsidR="00D03638" w:rsidRPr="007375EB" w:rsidRDefault="004B15DD" w:rsidP="00634671">
            <w:pPr>
              <w:spacing w:line="240" w:lineRule="auto"/>
              <w:ind w:right="40"/>
              <w:jc w:val="center"/>
              <w:rPr>
                <w:rFonts w:cs="Arial"/>
                <w:sz w:val="16"/>
                <w:szCs w:val="16"/>
                <w:lang w:val="bg-BG"/>
              </w:rPr>
            </w:pPr>
            <w:r w:rsidRPr="007375EB">
              <w:rPr>
                <w:rFonts w:cs="Arial"/>
                <w:sz w:val="16"/>
                <w:szCs w:val="16"/>
                <w:lang w:val="bg-BG"/>
              </w:rPr>
              <w:t>0.28</w:t>
            </w:r>
          </w:p>
        </w:tc>
        <w:tc>
          <w:tcPr>
            <w:tcW w:w="1310" w:type="dxa"/>
          </w:tcPr>
          <w:p w14:paraId="7ABDE469" w14:textId="6D6D4756" w:rsidR="00D03638" w:rsidRPr="007375EB" w:rsidRDefault="004B15DD" w:rsidP="00634671">
            <w:pPr>
              <w:spacing w:line="240" w:lineRule="auto"/>
              <w:ind w:right="40"/>
              <w:jc w:val="center"/>
              <w:rPr>
                <w:rFonts w:cs="Arial"/>
                <w:sz w:val="16"/>
                <w:szCs w:val="16"/>
                <w:lang w:val="bg-BG"/>
              </w:rPr>
            </w:pPr>
            <w:r w:rsidRPr="007375EB">
              <w:rPr>
                <w:rFonts w:cs="Arial"/>
                <w:sz w:val="16"/>
                <w:szCs w:val="16"/>
                <w:lang w:val="bg-BG"/>
              </w:rPr>
              <w:t>0.27</w:t>
            </w:r>
          </w:p>
        </w:tc>
      </w:tr>
    </w:tbl>
    <w:p w14:paraId="7BC0EB43" w14:textId="582A4649" w:rsidR="00F3059E" w:rsidRPr="007375EB" w:rsidRDefault="002B48F6" w:rsidP="00F3059E">
      <w:pPr>
        <w:spacing w:before="120" w:after="120" w:line="360" w:lineRule="auto"/>
        <w:ind w:right="40"/>
        <w:jc w:val="both"/>
        <w:rPr>
          <w:rFonts w:cs="Arial"/>
          <w:color w:val="00B0F0"/>
          <w:sz w:val="16"/>
          <w:szCs w:val="16"/>
          <w:lang w:val="bg-BG"/>
        </w:rPr>
      </w:pPr>
      <w:r w:rsidRPr="007375EB">
        <w:rPr>
          <w:i/>
          <w:iCs/>
          <w:color w:val="00B0F0"/>
          <w:sz w:val="16"/>
          <w:szCs w:val="16"/>
          <w:lang w:val="bg-BG" w:eastAsia="da-DK"/>
        </w:rPr>
        <w:t>Източник: Окръжен план за управление на отпадъците - за окръг Констанца</w:t>
      </w:r>
    </w:p>
    <w:p w14:paraId="466071B5" w14:textId="07571CEB" w:rsidR="007B6F56" w:rsidRPr="007375EB" w:rsidRDefault="002B48F6" w:rsidP="007B6F56">
      <w:pPr>
        <w:spacing w:after="120" w:line="360" w:lineRule="auto"/>
        <w:jc w:val="both"/>
        <w:rPr>
          <w:lang w:val="bg-BG"/>
        </w:rPr>
      </w:pPr>
      <w:r w:rsidRPr="007375EB">
        <w:rPr>
          <w:rFonts w:cs="Arial"/>
          <w:lang w:val="bg-BG"/>
        </w:rPr>
        <w:t>На ниво община Cerchezu санитарната дейност се осигурява от</w:t>
      </w:r>
      <w:r w:rsidR="007A0324" w:rsidRPr="007375EB">
        <w:rPr>
          <w:rFonts w:cs="Arial"/>
          <w:lang w:val="bg-BG"/>
        </w:rPr>
        <w:t xml:space="preserve"> </w:t>
      </w:r>
      <w:r w:rsidR="007B6F56" w:rsidRPr="007375EB">
        <w:rPr>
          <w:lang w:val="bg-BG"/>
        </w:rPr>
        <w:t>Iridex Grup Salubrizare S.R.L.</w:t>
      </w:r>
      <w:r w:rsidR="007B6F56" w:rsidRPr="007375EB">
        <w:rPr>
          <w:rStyle w:val="FootnoteReference"/>
          <w:lang w:val="bg-BG"/>
        </w:rPr>
        <w:footnoteReference w:id="21"/>
      </w:r>
      <w:r w:rsidR="007B6F56" w:rsidRPr="007375EB">
        <w:rPr>
          <w:lang w:val="bg-BG"/>
        </w:rPr>
        <w:t xml:space="preserve">. </w:t>
      </w:r>
    </w:p>
    <w:p w14:paraId="7CF6FEF2" w14:textId="5EB3F62A" w:rsidR="007B6F56" w:rsidRPr="007375EB" w:rsidRDefault="002B48F6" w:rsidP="007B6F56">
      <w:pPr>
        <w:spacing w:after="120" w:line="360" w:lineRule="auto"/>
        <w:rPr>
          <w:rFonts w:cs="Arial"/>
          <w:lang w:val="bg-BG"/>
        </w:rPr>
      </w:pPr>
      <w:r w:rsidRPr="007375EB">
        <w:rPr>
          <w:rFonts w:cs="Arial"/>
          <w:lang w:val="bg-BG"/>
        </w:rPr>
        <w:t>Санитарната дейност се състои от</w:t>
      </w:r>
      <w:r w:rsidR="007B6F56" w:rsidRPr="007375EB">
        <w:rPr>
          <w:rFonts w:cs="Arial"/>
          <w:lang w:val="bg-BG"/>
        </w:rPr>
        <w:t>:</w:t>
      </w:r>
    </w:p>
    <w:p w14:paraId="25A06669" w14:textId="24A00FAA" w:rsidR="002B48F6" w:rsidRPr="007375EB" w:rsidRDefault="002B48F6" w:rsidP="002B48F6">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Събиране и транспортиране за оползотворяване на всички видове рециклируеми промишлени отпадъци (картон и хартия, пластмаса, стъкло и др.)</w:t>
      </w:r>
    </w:p>
    <w:p w14:paraId="15859EE4" w14:textId="4557764F" w:rsidR="002B48F6" w:rsidRPr="007375EB" w:rsidRDefault="002B48F6" w:rsidP="002B48F6">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 xml:space="preserve">Метене (ръчно и механизирано), миене (ръчно и механизирано), пръскане и поддържане на обществени пътища, изстъргване и почистване на канавки, почистване и изстъргване </w:t>
      </w:r>
    </w:p>
    <w:p w14:paraId="5C153913" w14:textId="77777777" w:rsidR="002B48F6" w:rsidRPr="007375EB" w:rsidRDefault="002B48F6" w:rsidP="002B48F6">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Предварително събиране, събиране и транспортиране на битови отпадъци от домакинствата в горепосочените населени места</w:t>
      </w:r>
    </w:p>
    <w:p w14:paraId="271622DC" w14:textId="4FC5387F" w:rsidR="002B48F6" w:rsidRPr="007375EB" w:rsidRDefault="002B48F6" w:rsidP="002B48F6">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Разделно събиране и разделно транспортиране на битови отпадъци и подобни търговски отпадъци от промишлеността и институциите, включително разделно събрани фракции.</w:t>
      </w:r>
    </w:p>
    <w:p w14:paraId="17440CE5" w14:textId="4685AD7A" w:rsidR="002B48F6" w:rsidRPr="007375EB" w:rsidRDefault="002B48F6" w:rsidP="002B48F6">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Събиране и транспортиране на битови отпадъци, образувани при вътрешно и/или външно обновяване и модернизиране на жилища</w:t>
      </w:r>
    </w:p>
    <w:p w14:paraId="31760745" w14:textId="34B2215F" w:rsidR="007B6F56" w:rsidRPr="007375EB" w:rsidRDefault="002B48F6" w:rsidP="002B48F6">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тротоари и бордюри</w:t>
      </w:r>
    </w:p>
    <w:p w14:paraId="14703205" w14:textId="0DF1BC92" w:rsidR="007B6F56" w:rsidRPr="007375EB" w:rsidRDefault="002B48F6" w:rsidP="003B1405">
      <w:pPr>
        <w:spacing w:after="120" w:line="360" w:lineRule="auto"/>
        <w:jc w:val="both"/>
        <w:rPr>
          <w:rFonts w:cs="Arial"/>
          <w:lang w:val="bg-BG"/>
        </w:rPr>
      </w:pPr>
      <w:r w:rsidRPr="007375EB">
        <w:rPr>
          <w:rFonts w:cs="Arial"/>
          <w:lang w:val="bg-BG"/>
        </w:rPr>
        <w:t>Снегопочистване и контрол на заледяването, почистване и транспортиране на сняг от обществените пътища и поддържането им в работно състояние при заледяване и заледяване. Отпадъците се транспортират до Интегрирания център за управление на отпадъци в Костинещ, който разполага със следните съоръжения</w:t>
      </w:r>
      <w:r w:rsidR="007B6F56" w:rsidRPr="007375EB">
        <w:rPr>
          <w:rFonts w:cs="Arial"/>
          <w:lang w:val="bg-BG"/>
        </w:rPr>
        <w:t>:</w:t>
      </w:r>
    </w:p>
    <w:p w14:paraId="7ACECBC0" w14:textId="564ED16F" w:rsidR="002B48F6" w:rsidRPr="007375EB" w:rsidRDefault="002B48F6" w:rsidP="002B48F6">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Депо за отпадъци Общ капацитет за съхранение: 1 200 000 м</w:t>
      </w:r>
      <w:r w:rsidRPr="007375EB">
        <w:rPr>
          <w:rFonts w:eastAsia="Verdana" w:cs="Verdana"/>
          <w:vertAlign w:val="superscript"/>
          <w:lang w:val="bg-BG"/>
        </w:rPr>
        <w:t>3</w:t>
      </w:r>
    </w:p>
    <w:p w14:paraId="6A6B919D" w14:textId="37942B1D" w:rsidR="002B48F6" w:rsidRPr="007375EB" w:rsidRDefault="002B48F6" w:rsidP="002B48F6">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Завод за механично раздробяване и сортиране на сухата фракция на битовите отпадъци с капацитет 50 000 тона годишно</w:t>
      </w:r>
    </w:p>
    <w:p w14:paraId="3BBE2075" w14:textId="25889A88" w:rsidR="002B48F6" w:rsidRPr="007375EB" w:rsidRDefault="002B48F6" w:rsidP="002B48F6">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Завод за механично-биологично третиране е с капацитет около 70 000 тона отпадъци годишно</w:t>
      </w:r>
    </w:p>
    <w:p w14:paraId="6C4CE53C" w14:textId="543A1A85" w:rsidR="007B6F56" w:rsidRPr="007375EB" w:rsidRDefault="002B48F6" w:rsidP="00EA45B2">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Мобилна трошачна инсталация с капацитет 18 000 тона/година</w:t>
      </w:r>
    </w:p>
    <w:p w14:paraId="0266C5CC" w14:textId="6F38F75E" w:rsidR="00B24CB6" w:rsidRPr="007375EB" w:rsidRDefault="002B48F6" w:rsidP="009B5E28">
      <w:pPr>
        <w:spacing w:after="120" w:line="360" w:lineRule="auto"/>
        <w:rPr>
          <w:rFonts w:cs="Arial"/>
          <w:lang w:val="bg-BG"/>
        </w:rPr>
      </w:pPr>
      <w:r w:rsidRPr="007375EB">
        <w:rPr>
          <w:rFonts w:cs="Arial"/>
          <w:lang w:val="bg-BG"/>
        </w:rPr>
        <w:t>Честотата на събиране на отпадъците е: веднъж седмично в селските райони</w:t>
      </w:r>
      <w:r w:rsidR="000F70F5" w:rsidRPr="007375EB">
        <w:rPr>
          <w:lang w:val="bg-BG"/>
        </w:rPr>
        <w:t>.</w:t>
      </w:r>
    </w:p>
    <w:p w14:paraId="30465A14" w14:textId="747A8226" w:rsidR="009B5E28" w:rsidRPr="007375EB" w:rsidRDefault="002B48F6" w:rsidP="00AC5470">
      <w:pPr>
        <w:pStyle w:val="ListParagraph"/>
        <w:numPr>
          <w:ilvl w:val="2"/>
          <w:numId w:val="21"/>
        </w:numPr>
        <w:spacing w:after="120" w:line="360" w:lineRule="auto"/>
        <w:jc w:val="both"/>
        <w:outlineLvl w:val="2"/>
        <w:rPr>
          <w:rFonts w:cs="Arial"/>
          <w:b/>
          <w:i/>
          <w:color w:val="00B0F0"/>
          <w:lang w:val="bg-BG"/>
        </w:rPr>
      </w:pPr>
      <w:r w:rsidRPr="007375EB">
        <w:rPr>
          <w:rFonts w:cs="Arial"/>
          <w:b/>
          <w:i/>
          <w:color w:val="00B0F0"/>
          <w:lang w:val="bg-BG"/>
        </w:rPr>
        <w:t xml:space="preserve"> Шумове и вибрации</w:t>
      </w:r>
    </w:p>
    <w:p w14:paraId="2459D31D" w14:textId="5EB8A956" w:rsidR="009B6B86" w:rsidRPr="007375EB" w:rsidRDefault="0082440A" w:rsidP="00EC562C">
      <w:pPr>
        <w:spacing w:after="120" w:line="360" w:lineRule="auto"/>
        <w:jc w:val="both"/>
        <w:rPr>
          <w:lang w:val="bg-BG" w:eastAsia="ro-RO"/>
        </w:rPr>
      </w:pPr>
      <w:r w:rsidRPr="007375EB">
        <w:rPr>
          <w:rFonts w:cs="Arial"/>
          <w:lang w:val="bg-BG"/>
        </w:rPr>
        <w:t xml:space="preserve">Основните източници на шум в община Черкезу са пътният трафик по окръжния път DJ391 и по общинските пътища DC13, DC16, DC17, DC18 и DC19, както и дейностите по </w:t>
      </w:r>
      <w:r w:rsidRPr="007375EB">
        <w:rPr>
          <w:rFonts w:cs="Arial"/>
          <w:lang w:val="bg-BG"/>
        </w:rPr>
        <w:lastRenderedPageBreak/>
        <w:t>строителство/разрушаване чрез работата на машините, използвани при извършване на дейности по озеленяване/изграждане/изливане на бетон, превозните средства, транспортиращи материали.</w:t>
      </w:r>
    </w:p>
    <w:p w14:paraId="1CAF7FE0" w14:textId="77777777" w:rsidR="0082440A" w:rsidRPr="007375EB" w:rsidRDefault="0082440A" w:rsidP="0082440A">
      <w:pPr>
        <w:spacing w:after="120" w:line="360" w:lineRule="auto"/>
        <w:jc w:val="both"/>
        <w:rPr>
          <w:rFonts w:cs="Arial"/>
          <w:lang w:val="bg-BG"/>
        </w:rPr>
      </w:pPr>
      <w:r w:rsidRPr="007375EB">
        <w:rPr>
          <w:rFonts w:cs="Arial"/>
          <w:lang w:val="bg-BG"/>
        </w:rPr>
        <w:t>Шумовото замърсяване предизвиква цяла гама от ефекти в човешкия организъм - от лека умора на слуха до тежки невротични състояния и дори травми на слуховия орган. Звуците с по-висока честота са по-опасни от тези с ниска честота.</w:t>
      </w:r>
    </w:p>
    <w:p w14:paraId="6F511FEA" w14:textId="13C97737" w:rsidR="000E65F0" w:rsidRPr="007375EB" w:rsidRDefault="0082440A" w:rsidP="0082440A">
      <w:pPr>
        <w:spacing w:after="120" w:line="360" w:lineRule="auto"/>
        <w:jc w:val="both"/>
        <w:rPr>
          <w:rFonts w:cs="Arial"/>
          <w:lang w:val="bg-BG"/>
        </w:rPr>
      </w:pPr>
      <w:r w:rsidRPr="007375EB">
        <w:rPr>
          <w:rFonts w:cs="Arial"/>
          <w:lang w:val="bg-BG"/>
        </w:rPr>
        <w:t xml:space="preserve">Правната рамка за избягване, предотвратяване или намаляване на вредните въздействия, включително дискомфорта, причинени от излагането на населението на шум в околната среда, е </w:t>
      </w:r>
      <w:r w:rsidRPr="007375EB">
        <w:rPr>
          <w:rFonts w:cs="Arial"/>
          <w:i/>
          <w:iCs/>
          <w:lang w:val="bg-BG"/>
        </w:rPr>
        <w:t>Закон № 121/2019 за оценка и управление на шума в околната среда с последващи изменения и допълнения</w:t>
      </w:r>
      <w:r w:rsidRPr="007375EB">
        <w:rPr>
          <w:rFonts w:cs="Arial"/>
          <w:lang w:val="bg-BG"/>
        </w:rPr>
        <w:t>, който предвижда извършването на шумово картографиране за определяне на експозицията на шум в околната среда и приемането на планове за действие за предотвратяване и намаляване на шума в околната среда, когато това е целесъобразно, и за поддържане на нивата на шума в околната среда под граничните стойности в случаите, когато те не се превишават</w:t>
      </w:r>
      <w:r w:rsidR="00EC562C" w:rsidRPr="007375EB">
        <w:rPr>
          <w:lang w:val="bg-BG"/>
        </w:rPr>
        <w:t>.</w:t>
      </w:r>
    </w:p>
    <w:p w14:paraId="265734E9" w14:textId="7ABF2C45" w:rsidR="000F5766" w:rsidRPr="007375EB" w:rsidRDefault="0082440A" w:rsidP="00EC562C">
      <w:pPr>
        <w:spacing w:after="120" w:line="360" w:lineRule="auto"/>
        <w:jc w:val="both"/>
        <w:rPr>
          <w:rFonts w:cs="Arial"/>
          <w:lang w:val="bg-BG"/>
        </w:rPr>
      </w:pPr>
      <w:r w:rsidRPr="007375EB">
        <w:rPr>
          <w:rFonts w:cs="Arial"/>
          <w:lang w:val="bg-BG"/>
        </w:rPr>
        <w:t>В окръг Констанца картографирането на шума и изготвянето на стратегически карти на шума и планове за действие са осъществени в периода 2016-2024 г., както следва</w:t>
      </w:r>
      <w:r w:rsidR="000F5766" w:rsidRPr="007375EB">
        <w:rPr>
          <w:rFonts w:cs="Arial"/>
          <w:lang w:val="bg-BG"/>
        </w:rPr>
        <w:t>:</w:t>
      </w:r>
    </w:p>
    <w:p w14:paraId="30A784D3" w14:textId="1D247E63" w:rsidR="0082440A" w:rsidRPr="007375EB" w:rsidRDefault="0082440A" w:rsidP="0082440A">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Кметството на Констанца изготви стратегическите карти за шум за Констанца през 2016 г., през 2018 г. те бяха преработени за Констанца, квартал Палазу Маре и курорта Мамая, а през 2024 г. бяха актуализирани за Констанца;</w:t>
      </w:r>
    </w:p>
    <w:p w14:paraId="56E6D753" w14:textId="63AABF79" w:rsidR="000F5766" w:rsidRPr="007375EB" w:rsidRDefault="0082440A" w:rsidP="0082440A">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Националната компания „Administrația Porturilor Maritime“ S.A. Constanța изготви стратегическите карти за шум за пристанище Констанца през 2019 г. Стратегическите карти за шум бяха одобрени със Заповед на министъра на транспорта № 1245/05.09.2019 г. Планът за действие по отношение на шума е одобрен със Заповед на министъра на транспорта № 1246/05.09.2019 г.</w:t>
      </w:r>
      <w:r w:rsidR="000F5766" w:rsidRPr="007375EB">
        <w:rPr>
          <w:rFonts w:eastAsia="Verdana" w:cs="Verdana"/>
          <w:lang w:val="bg-BG"/>
        </w:rPr>
        <w:t>;</w:t>
      </w:r>
    </w:p>
    <w:p w14:paraId="14272F03" w14:textId="7A5029BB" w:rsidR="0082440A" w:rsidRPr="007375EB" w:rsidRDefault="0082440A" w:rsidP="0082440A">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Министерството на транспорта - Национална железопътна компания „CFR“ S.A., в качеството си на управител на железопътния участък Палас - Салиньи - 49 км, изготви стратегическите карти на шума за 2016 г;</w:t>
      </w:r>
    </w:p>
    <w:p w14:paraId="22B32340" w14:textId="58B8E01F" w:rsidR="00B24CB6" w:rsidRPr="007375EB" w:rsidRDefault="0082440A" w:rsidP="0082440A">
      <w:pPr>
        <w:pStyle w:val="ListParagraph"/>
        <w:numPr>
          <w:ilvl w:val="0"/>
          <w:numId w:val="51"/>
        </w:numPr>
        <w:spacing w:before="120" w:after="120" w:line="360" w:lineRule="auto"/>
        <w:ind w:right="40"/>
        <w:jc w:val="both"/>
        <w:rPr>
          <w:rFonts w:eastAsia="Verdana" w:cs="Verdana"/>
          <w:lang w:val="bg-BG"/>
        </w:rPr>
      </w:pPr>
      <w:r w:rsidRPr="007375EB">
        <w:rPr>
          <w:rFonts w:eastAsia="Verdana" w:cs="Verdana"/>
          <w:lang w:val="bg-BG"/>
        </w:rPr>
        <w:t>През 2017 г. Националната компания за управление на пътната инфраструктура изготви стратегическите карти за шум за основните пътища с повече от 6 000 000 преминавания на превозни средства годишно: магистрали, национални пътища и обходни пътища</w:t>
      </w:r>
      <w:r w:rsidR="00487FBF" w:rsidRPr="007375EB">
        <w:rPr>
          <w:rFonts w:eastAsia="Verdana" w:cs="Verdana"/>
          <w:lang w:val="bg-BG"/>
        </w:rPr>
        <w:t>.</w:t>
      </w:r>
    </w:p>
    <w:p w14:paraId="795A0472" w14:textId="7ED3DE65" w:rsidR="00C87A22" w:rsidRPr="007375EB" w:rsidRDefault="0082440A" w:rsidP="00C87A22">
      <w:pPr>
        <w:spacing w:before="120" w:after="120" w:line="360" w:lineRule="auto"/>
        <w:ind w:right="40"/>
        <w:jc w:val="both"/>
        <w:rPr>
          <w:rFonts w:eastAsia="Verdana" w:cs="Verdana"/>
          <w:lang w:val="bg-BG"/>
        </w:rPr>
      </w:pPr>
      <w:r w:rsidRPr="007375EB">
        <w:rPr>
          <w:rFonts w:eastAsia="Verdana" w:cs="Verdana"/>
          <w:lang w:val="bg-BG"/>
        </w:rPr>
        <w:t>Районът на покритие на стратегическите карти на шума, изготвени на окръжно ниво, не включва района на община Черкезу</w:t>
      </w:r>
      <w:r w:rsidR="00BB1BB1" w:rsidRPr="007375EB">
        <w:rPr>
          <w:rFonts w:eastAsia="Verdana" w:cs="Verdana"/>
          <w:lang w:val="bg-BG"/>
        </w:rPr>
        <w:t>.</w:t>
      </w:r>
    </w:p>
    <w:p w14:paraId="5F5FB2B4" w14:textId="6138C84B" w:rsidR="00C058AC" w:rsidRPr="007375EB" w:rsidRDefault="0082440A" w:rsidP="00C87A22">
      <w:pPr>
        <w:spacing w:before="120" w:after="120" w:line="360" w:lineRule="auto"/>
        <w:ind w:right="40"/>
        <w:jc w:val="both"/>
        <w:rPr>
          <w:rFonts w:eastAsia="Verdana" w:cs="Verdana"/>
          <w:b/>
          <w:bCs/>
          <w:lang w:val="bg-BG"/>
        </w:rPr>
      </w:pPr>
      <w:r w:rsidRPr="007375EB">
        <w:rPr>
          <w:b/>
          <w:bCs/>
          <w:iCs/>
          <w:lang w:val="bg-BG"/>
        </w:rPr>
        <w:t>Предвид гореизложеното и като се има предвид, че районът на община Cerchezu е открит селски район, незасегнат с градски постройки, без промишлени дейности и без интензивен трафик по вътрешните пътища и пътищата, свързващи другите населени места, може да се заключи, че нивото на шума в общината е ниско.</w:t>
      </w:r>
    </w:p>
    <w:p w14:paraId="35EBD527" w14:textId="6E01C943" w:rsidR="00E54B89" w:rsidRPr="007375EB" w:rsidRDefault="0082440A" w:rsidP="00AC5470">
      <w:pPr>
        <w:pStyle w:val="ListParagraph"/>
        <w:numPr>
          <w:ilvl w:val="2"/>
          <w:numId w:val="21"/>
        </w:numPr>
        <w:spacing w:after="120" w:line="360" w:lineRule="auto"/>
        <w:jc w:val="both"/>
        <w:outlineLvl w:val="2"/>
        <w:rPr>
          <w:rFonts w:cs="Arial"/>
          <w:b/>
          <w:i/>
          <w:color w:val="00B0F0"/>
          <w:lang w:val="bg-BG"/>
        </w:rPr>
      </w:pPr>
      <w:r w:rsidRPr="007375EB">
        <w:rPr>
          <w:rFonts w:cs="Arial"/>
          <w:b/>
          <w:i/>
          <w:color w:val="00B0F0"/>
          <w:lang w:val="bg-BG"/>
        </w:rPr>
        <w:t>Биологично разнообразие</w:t>
      </w:r>
    </w:p>
    <w:p w14:paraId="63B3A393" w14:textId="0A1B04AC" w:rsidR="00F23505" w:rsidRPr="007375EB" w:rsidRDefault="0082440A" w:rsidP="003B1843">
      <w:pPr>
        <w:shd w:val="clear" w:color="auto" w:fill="FFFFFF"/>
        <w:spacing w:after="120" w:line="360" w:lineRule="auto"/>
        <w:jc w:val="both"/>
        <w:rPr>
          <w:rFonts w:eastAsia="Times New Roman" w:cs="Calibri"/>
          <w:lang w:val="bg-BG" w:eastAsia="en-GB"/>
        </w:rPr>
      </w:pPr>
      <w:r w:rsidRPr="007375EB">
        <w:rPr>
          <w:rFonts w:eastAsia="Times New Roman" w:cs="Calibri"/>
          <w:lang w:val="bg-BG" w:eastAsia="en-GB"/>
        </w:rPr>
        <w:t xml:space="preserve">Районът на изследването се намира в Югоизточна Румъния, на административната територия на окръг Констанца, в западната част на окръга, в непосредствена близост до границата с България. Районът на изследването е ограничен от следните населени места: Негру Вода (на изток), Касоайеле и Вироага (на север) и Магура (на изток), а на юг и югозапад проучваната територия е ограничена от държавната граница. Изследваният район е предимно земеделски район, с </w:t>
      </w:r>
      <w:r w:rsidRPr="007375EB">
        <w:rPr>
          <w:rFonts w:eastAsia="Times New Roman" w:cs="Calibri"/>
          <w:lang w:val="bg-BG" w:eastAsia="en-GB"/>
        </w:rPr>
        <w:lastRenderedPageBreak/>
        <w:t>естествени пасища, използвани за паша на домашни животни</w:t>
      </w:r>
      <w:r w:rsidR="00F23505" w:rsidRPr="007375EB">
        <w:rPr>
          <w:rFonts w:eastAsia="Times New Roman" w:cs="Calibri"/>
          <w:lang w:val="bg-BG" w:eastAsia="en-GB"/>
        </w:rPr>
        <w:t xml:space="preserve">. </w:t>
      </w:r>
      <w:r w:rsidRPr="007375EB">
        <w:rPr>
          <w:rFonts w:eastAsia="Times New Roman" w:cs="Calibri"/>
          <w:lang w:val="bg-BG" w:eastAsia="en-GB"/>
        </w:rPr>
        <w:t>Районът на проучването не се пресича със защитени природни зони, като най-близките от тях са изброени по-долу</w:t>
      </w:r>
      <w:r w:rsidR="00F23505" w:rsidRPr="007375EB">
        <w:rPr>
          <w:rFonts w:eastAsia="Times New Roman" w:cs="Calibri"/>
          <w:lang w:val="bg-BG" w:eastAsia="en-GB"/>
        </w:rPr>
        <w:t>.</w:t>
      </w:r>
    </w:p>
    <w:p w14:paraId="6284B6A9" w14:textId="1978138D" w:rsidR="003B1843" w:rsidRPr="007375EB" w:rsidRDefault="0082440A" w:rsidP="003B1843">
      <w:pPr>
        <w:shd w:val="clear" w:color="auto" w:fill="FFFFFF"/>
        <w:spacing w:after="120" w:line="360" w:lineRule="auto"/>
        <w:jc w:val="both"/>
        <w:rPr>
          <w:rFonts w:eastAsia="Times New Roman" w:cs="Calibri"/>
          <w:b/>
          <w:bCs/>
          <w:lang w:val="bg-BG" w:eastAsia="en-GB"/>
        </w:rPr>
      </w:pPr>
      <w:r w:rsidRPr="007375EB">
        <w:rPr>
          <w:rFonts w:eastAsia="Times New Roman" w:cs="Calibri"/>
          <w:lang w:val="bg-BG" w:eastAsia="en-GB"/>
        </w:rPr>
        <w:t xml:space="preserve">В съседство с </w:t>
      </w:r>
      <w:r w:rsidR="0014580E" w:rsidRPr="007375EB">
        <w:rPr>
          <w:rFonts w:eastAsia="Times New Roman" w:cs="Calibri"/>
          <w:lang w:val="bg-BG" w:eastAsia="en-GB"/>
        </w:rPr>
        <w:t>ЗГП</w:t>
      </w:r>
      <w:r w:rsidRPr="007375EB">
        <w:rPr>
          <w:rFonts w:eastAsia="Times New Roman" w:cs="Calibri"/>
          <w:lang w:val="bg-BG" w:eastAsia="en-GB"/>
        </w:rPr>
        <w:t xml:space="preserve">, на разстояние по-малко от 5 км, са идентифицирани няколко </w:t>
      </w:r>
      <w:r w:rsidRPr="007375EB">
        <w:rPr>
          <w:rFonts w:eastAsia="Times New Roman" w:cs="Calibri"/>
          <w:b/>
          <w:bCs/>
          <w:lang w:val="bg-BG" w:eastAsia="en-GB"/>
        </w:rPr>
        <w:t>3 природни зони от интерес за общността</w:t>
      </w:r>
      <w:r w:rsidR="003B1843" w:rsidRPr="007375EB">
        <w:rPr>
          <w:rFonts w:eastAsia="Times New Roman" w:cs="Calibri"/>
          <w:b/>
          <w:bCs/>
          <w:lang w:val="bg-BG" w:eastAsia="en-GB"/>
        </w:rPr>
        <w:t>:</w:t>
      </w:r>
    </w:p>
    <w:p w14:paraId="7E6EBEAE" w14:textId="50C9D615" w:rsidR="0082440A" w:rsidRPr="007375EB" w:rsidRDefault="0082440A" w:rsidP="0082440A">
      <w:pPr>
        <w:pStyle w:val="ListParagraph"/>
        <w:numPr>
          <w:ilvl w:val="0"/>
          <w:numId w:val="25"/>
        </w:numPr>
        <w:shd w:val="clear" w:color="auto" w:fill="FFFFFF"/>
        <w:spacing w:after="120" w:line="360" w:lineRule="auto"/>
        <w:jc w:val="both"/>
        <w:rPr>
          <w:rFonts w:eastAsia="Times New Roman" w:cs="Calibri"/>
          <w:lang w:val="bg-BG" w:eastAsia="en-GB"/>
        </w:rPr>
      </w:pPr>
      <w:r w:rsidRPr="007375EB">
        <w:rPr>
          <w:rFonts w:eastAsia="Times New Roman" w:cs="Calibri"/>
          <w:lang w:val="bg-BG" w:eastAsia="en-GB"/>
        </w:rPr>
        <w:t xml:space="preserve">1 зона на територията на Румъния ROSAC0071(ROSCI0071) Думбръвени - долината Урлуя - езерото Ведероаса на разстояние около 2,79 км от границата на </w:t>
      </w:r>
      <w:r w:rsidR="0014580E" w:rsidRPr="007375EB">
        <w:rPr>
          <w:rFonts w:eastAsia="Times New Roman" w:cs="Calibri"/>
          <w:lang w:val="bg-BG" w:eastAsia="en-GB"/>
        </w:rPr>
        <w:t>ЗГП</w:t>
      </w:r>
    </w:p>
    <w:p w14:paraId="451B6177" w14:textId="072F074C" w:rsidR="003B1843" w:rsidRPr="007375EB" w:rsidRDefault="0082440A" w:rsidP="0082440A">
      <w:pPr>
        <w:pStyle w:val="ListParagraph"/>
        <w:numPr>
          <w:ilvl w:val="0"/>
          <w:numId w:val="25"/>
        </w:numPr>
        <w:shd w:val="clear" w:color="auto" w:fill="FFFFFF"/>
        <w:spacing w:after="120" w:line="360" w:lineRule="auto"/>
        <w:jc w:val="both"/>
        <w:rPr>
          <w:rFonts w:eastAsia="Times New Roman" w:cs="Calibri"/>
          <w:lang w:val="bg-BG" w:eastAsia="en-GB"/>
        </w:rPr>
      </w:pPr>
      <w:r w:rsidRPr="007375EB">
        <w:rPr>
          <w:rFonts w:eastAsia="Times New Roman" w:cs="Calibri"/>
          <w:lang w:val="bg-BG" w:eastAsia="en-GB"/>
        </w:rPr>
        <w:t xml:space="preserve">2 зони на територията на България - BG0000569 Кардам (България) на разстояние около 410 м от границата на </w:t>
      </w:r>
      <w:r w:rsidR="0014580E" w:rsidRPr="007375EB">
        <w:rPr>
          <w:rFonts w:eastAsia="Times New Roman" w:cs="Calibri"/>
          <w:lang w:val="bg-BG" w:eastAsia="en-GB"/>
        </w:rPr>
        <w:t>ЗГП</w:t>
      </w:r>
      <w:r w:rsidRPr="007375EB">
        <w:rPr>
          <w:rFonts w:eastAsia="Times New Roman" w:cs="Calibri"/>
          <w:lang w:val="bg-BG" w:eastAsia="en-GB"/>
        </w:rPr>
        <w:t xml:space="preserve"> и BG0000570 Изворово - Краище на разстояние около 3,64 км от границата на </w:t>
      </w:r>
      <w:r w:rsidR="0014580E" w:rsidRPr="007375EB">
        <w:rPr>
          <w:rFonts w:eastAsia="Times New Roman" w:cs="Calibri"/>
          <w:lang w:val="bg-BG" w:eastAsia="en-GB"/>
        </w:rPr>
        <w:t>ЗГП</w:t>
      </w:r>
      <w:r w:rsidR="003B1843" w:rsidRPr="007375EB">
        <w:rPr>
          <w:rFonts w:eastAsia="Times New Roman" w:cs="Calibri"/>
          <w:lang w:val="bg-BG" w:eastAsia="en-GB"/>
        </w:rPr>
        <w:t>).</w:t>
      </w:r>
    </w:p>
    <w:p w14:paraId="4676DCEF" w14:textId="1671E095" w:rsidR="003B1843" w:rsidRPr="007375EB" w:rsidRDefault="0082440A" w:rsidP="003B1843">
      <w:pPr>
        <w:shd w:val="clear" w:color="auto" w:fill="FFFFFF"/>
        <w:spacing w:after="120" w:line="360" w:lineRule="auto"/>
        <w:jc w:val="both"/>
        <w:rPr>
          <w:rFonts w:eastAsia="Times New Roman" w:cs="Calibri"/>
          <w:lang w:val="bg-BG" w:eastAsia="en-GB"/>
        </w:rPr>
      </w:pPr>
      <w:r w:rsidRPr="007375EB">
        <w:rPr>
          <w:rFonts w:eastAsia="Times New Roman" w:cs="Calibri"/>
          <w:lang w:val="bg-BG" w:eastAsia="en-GB"/>
        </w:rPr>
        <w:t>В района на изпълнение на плана има 5 защитени природни зони на разстояние 5-20 км</w:t>
      </w:r>
      <w:r w:rsidR="003B1843" w:rsidRPr="007375EB">
        <w:rPr>
          <w:rFonts w:eastAsia="Times New Roman" w:cs="Calibri"/>
          <w:lang w:val="bg-BG" w:eastAsia="en-GB"/>
        </w:rPr>
        <w:t>:</w:t>
      </w:r>
    </w:p>
    <w:p w14:paraId="59069A55" w14:textId="621405E8" w:rsidR="003B1843" w:rsidRPr="007375EB" w:rsidRDefault="0082440A" w:rsidP="00125F99">
      <w:pPr>
        <w:pStyle w:val="ListParagraph"/>
        <w:numPr>
          <w:ilvl w:val="0"/>
          <w:numId w:val="25"/>
        </w:numPr>
        <w:shd w:val="clear" w:color="auto" w:fill="FFFFFF"/>
        <w:spacing w:after="120" w:line="360" w:lineRule="auto"/>
        <w:jc w:val="both"/>
        <w:rPr>
          <w:rFonts w:eastAsia="Times New Roman" w:cs="Calibri"/>
          <w:lang w:val="bg-BG" w:eastAsia="en-GB"/>
        </w:rPr>
      </w:pPr>
      <w:r w:rsidRPr="007375EB">
        <w:rPr>
          <w:rFonts w:eastAsia="Times New Roman" w:cs="Calibri"/>
          <w:lang w:val="bg-BG" w:eastAsia="en-GB"/>
        </w:rPr>
        <w:t>- 5 защитени природни зони за опазване на орнитофауната</w:t>
      </w:r>
      <w:r w:rsidR="003B1843" w:rsidRPr="007375EB">
        <w:rPr>
          <w:rFonts w:eastAsia="Times New Roman" w:cs="Calibri"/>
          <w:lang w:val="bg-BG" w:eastAsia="en-GB"/>
        </w:rPr>
        <w:t>:</w:t>
      </w:r>
    </w:p>
    <w:p w14:paraId="6D5BA317" w14:textId="1D6B7F7C" w:rsidR="003B1843" w:rsidRPr="007375EB" w:rsidRDefault="003B1843" w:rsidP="00125F99">
      <w:pPr>
        <w:pStyle w:val="ListParagraph"/>
        <w:numPr>
          <w:ilvl w:val="1"/>
          <w:numId w:val="25"/>
        </w:numPr>
        <w:shd w:val="clear" w:color="auto" w:fill="FFFFFF"/>
        <w:spacing w:after="120" w:line="360" w:lineRule="auto"/>
        <w:jc w:val="both"/>
        <w:rPr>
          <w:rFonts w:eastAsia="Times New Roman" w:cs="Calibri"/>
          <w:lang w:val="bg-BG" w:eastAsia="en-GB"/>
        </w:rPr>
      </w:pPr>
      <w:bookmarkStart w:id="19" w:name="_Hlk170374016"/>
      <w:r w:rsidRPr="007375EB">
        <w:rPr>
          <w:rFonts w:eastAsia="Times New Roman" w:cs="Calibri"/>
          <w:lang w:val="bg-BG" w:eastAsia="en-GB"/>
        </w:rPr>
        <w:t>ROSPA0166</w:t>
      </w:r>
      <w:bookmarkEnd w:id="19"/>
      <w:r w:rsidRPr="007375EB">
        <w:rPr>
          <w:rFonts w:eastAsia="Times New Roman" w:cs="Calibri"/>
          <w:lang w:val="bg-BG" w:eastAsia="en-GB"/>
        </w:rPr>
        <w:t xml:space="preserve"> </w:t>
      </w:r>
      <w:r w:rsidR="0082440A" w:rsidRPr="007375EB">
        <w:rPr>
          <w:rFonts w:eastAsia="Times New Roman" w:cs="Calibri"/>
          <w:lang w:val="bg-BG" w:eastAsia="en-GB"/>
        </w:rPr>
        <w:t xml:space="preserve">Плопени-Кирногени на разстояние 6,21 км от границата на </w:t>
      </w:r>
      <w:r w:rsidR="0014580E" w:rsidRPr="007375EB">
        <w:rPr>
          <w:rFonts w:eastAsia="Times New Roman" w:cs="Calibri"/>
          <w:lang w:val="bg-BG" w:eastAsia="en-GB"/>
        </w:rPr>
        <w:t>ЗГП</w:t>
      </w:r>
    </w:p>
    <w:p w14:paraId="6F8C9EFE" w14:textId="50C52BF2" w:rsidR="003B1843" w:rsidRPr="007375EB" w:rsidRDefault="003B1843" w:rsidP="00125F99">
      <w:pPr>
        <w:pStyle w:val="ListParagraph"/>
        <w:numPr>
          <w:ilvl w:val="1"/>
          <w:numId w:val="25"/>
        </w:numPr>
        <w:shd w:val="clear" w:color="auto" w:fill="FFFFFF"/>
        <w:spacing w:after="120" w:line="360" w:lineRule="auto"/>
        <w:jc w:val="both"/>
        <w:rPr>
          <w:rFonts w:eastAsia="Times New Roman" w:cs="Calibri"/>
          <w:lang w:val="bg-BG" w:eastAsia="en-GB"/>
        </w:rPr>
      </w:pPr>
      <w:r w:rsidRPr="007375EB">
        <w:rPr>
          <w:rFonts w:eastAsia="Times New Roman" w:cs="Calibri"/>
          <w:lang w:val="bg-BG" w:eastAsia="en-GB"/>
        </w:rPr>
        <w:t xml:space="preserve">ROSPA0036 </w:t>
      </w:r>
      <w:r w:rsidR="0082440A" w:rsidRPr="007375EB">
        <w:rPr>
          <w:rFonts w:eastAsia="Times New Roman" w:cs="Calibri"/>
          <w:lang w:val="bg-BG" w:eastAsia="en-GB"/>
        </w:rPr>
        <w:t xml:space="preserve">Думбръвени на разстояние </w:t>
      </w:r>
      <w:r w:rsidRPr="007375EB">
        <w:rPr>
          <w:rFonts w:eastAsia="Times New Roman" w:cs="Calibri"/>
          <w:lang w:val="bg-BG" w:eastAsia="en-GB"/>
        </w:rPr>
        <w:t xml:space="preserve">7,07 </w:t>
      </w:r>
      <w:r w:rsidR="0082440A" w:rsidRPr="007375EB">
        <w:rPr>
          <w:rFonts w:eastAsia="Times New Roman" w:cs="Calibri"/>
          <w:lang w:val="bg-BG" w:eastAsia="en-GB"/>
        </w:rPr>
        <w:t xml:space="preserve">км от границата на </w:t>
      </w:r>
      <w:r w:rsidR="0014580E" w:rsidRPr="007375EB">
        <w:rPr>
          <w:rFonts w:eastAsia="Times New Roman" w:cs="Calibri"/>
          <w:lang w:val="bg-BG" w:eastAsia="en-GB"/>
        </w:rPr>
        <w:t>ЗГП</w:t>
      </w:r>
    </w:p>
    <w:p w14:paraId="00BC5703" w14:textId="598C0AE0" w:rsidR="003B1843" w:rsidRPr="007375EB" w:rsidRDefault="003B1843" w:rsidP="00125F99">
      <w:pPr>
        <w:pStyle w:val="ListParagraph"/>
        <w:numPr>
          <w:ilvl w:val="1"/>
          <w:numId w:val="25"/>
        </w:numPr>
        <w:shd w:val="clear" w:color="auto" w:fill="FFFFFF"/>
        <w:spacing w:after="120" w:line="360" w:lineRule="auto"/>
        <w:jc w:val="both"/>
        <w:rPr>
          <w:rFonts w:eastAsia="Times New Roman" w:cs="Calibri"/>
          <w:lang w:val="bg-BG" w:eastAsia="en-GB"/>
        </w:rPr>
      </w:pPr>
      <w:r w:rsidRPr="007375EB">
        <w:rPr>
          <w:rFonts w:eastAsia="Times New Roman" w:cs="Calibri"/>
          <w:lang w:val="bg-BG" w:eastAsia="en-GB"/>
        </w:rPr>
        <w:t xml:space="preserve">ROSPA0094 </w:t>
      </w:r>
      <w:r w:rsidRPr="007375EB">
        <w:rPr>
          <w:rFonts w:eastAsia="Times New Roman" w:cs="Calibri"/>
          <w:lang w:val="bg-BG" w:eastAsia="en-GB"/>
        </w:rPr>
        <w:tab/>
      </w:r>
      <w:r w:rsidR="008D0021" w:rsidRPr="007375EB">
        <w:rPr>
          <w:rFonts w:eastAsia="Times New Roman" w:cs="Calibri"/>
          <w:lang w:val="bg-BG" w:eastAsia="en-GB"/>
        </w:rPr>
        <w:t xml:space="preserve">Гората Хаджиени </w:t>
      </w:r>
      <w:r w:rsidR="0082440A" w:rsidRPr="007375EB">
        <w:rPr>
          <w:rFonts w:eastAsia="Times New Roman" w:cs="Calibri"/>
          <w:lang w:val="bg-BG" w:eastAsia="en-GB"/>
        </w:rPr>
        <w:t xml:space="preserve">на разстояние </w:t>
      </w:r>
      <w:r w:rsidRPr="007375EB">
        <w:rPr>
          <w:rFonts w:eastAsia="Times New Roman" w:cs="Calibri"/>
          <w:lang w:val="bg-BG" w:eastAsia="en-GB"/>
        </w:rPr>
        <w:t xml:space="preserve">18,39 </w:t>
      </w:r>
      <w:r w:rsidR="0082440A" w:rsidRPr="007375EB">
        <w:rPr>
          <w:rFonts w:eastAsia="Times New Roman" w:cs="Calibri"/>
          <w:lang w:val="bg-BG" w:eastAsia="en-GB"/>
        </w:rPr>
        <w:t xml:space="preserve">км от границата на </w:t>
      </w:r>
      <w:r w:rsidR="0014580E" w:rsidRPr="007375EB">
        <w:rPr>
          <w:rFonts w:eastAsia="Times New Roman" w:cs="Calibri"/>
          <w:lang w:val="bg-BG" w:eastAsia="en-GB"/>
        </w:rPr>
        <w:t>ЗГП</w:t>
      </w:r>
      <w:r w:rsidR="0082440A" w:rsidRPr="007375EB">
        <w:rPr>
          <w:rFonts w:eastAsia="Times New Roman" w:cs="Calibri"/>
          <w:lang w:val="bg-BG" w:eastAsia="en-GB"/>
        </w:rPr>
        <w:t xml:space="preserve"> </w:t>
      </w:r>
    </w:p>
    <w:p w14:paraId="5462AE62" w14:textId="08F893D6" w:rsidR="003B1843" w:rsidRPr="007375EB" w:rsidRDefault="003B1843" w:rsidP="00125F99">
      <w:pPr>
        <w:pStyle w:val="ListParagraph"/>
        <w:numPr>
          <w:ilvl w:val="1"/>
          <w:numId w:val="25"/>
        </w:numPr>
        <w:shd w:val="clear" w:color="auto" w:fill="FFFFFF"/>
        <w:spacing w:after="120" w:line="360" w:lineRule="auto"/>
        <w:jc w:val="both"/>
        <w:rPr>
          <w:rFonts w:eastAsia="Times New Roman" w:cs="Calibri"/>
          <w:lang w:val="bg-BG" w:eastAsia="en-GB"/>
        </w:rPr>
      </w:pPr>
      <w:r w:rsidRPr="007375EB">
        <w:rPr>
          <w:rFonts w:eastAsia="Times New Roman" w:cs="Calibri"/>
          <w:lang w:val="bg-BG" w:eastAsia="en-GB"/>
        </w:rPr>
        <w:t xml:space="preserve">ROSPA0151 </w:t>
      </w:r>
      <w:r w:rsidRPr="007375EB">
        <w:rPr>
          <w:rFonts w:eastAsia="Times New Roman" w:cs="Calibri"/>
          <w:lang w:val="bg-BG" w:eastAsia="en-GB"/>
        </w:rPr>
        <w:tab/>
      </w:r>
      <w:r w:rsidR="008D0021" w:rsidRPr="007375EB">
        <w:rPr>
          <w:rFonts w:eastAsia="Times New Roman" w:cs="Calibri"/>
          <w:lang w:val="bg-BG" w:eastAsia="en-GB"/>
        </w:rPr>
        <w:t>Чобъница</w:t>
      </w:r>
      <w:r w:rsidRPr="007375EB">
        <w:rPr>
          <w:rFonts w:eastAsia="Times New Roman" w:cs="Calibri"/>
          <w:lang w:val="bg-BG" w:eastAsia="en-GB"/>
        </w:rPr>
        <w:t>-</w:t>
      </w:r>
      <w:r w:rsidR="008D0021" w:rsidRPr="007375EB">
        <w:rPr>
          <w:rFonts w:eastAsia="Times New Roman" w:cs="Calibri"/>
          <w:lang w:val="bg-BG" w:eastAsia="en-GB"/>
        </w:rPr>
        <w:t>Османча</w:t>
      </w:r>
      <w:r w:rsidRPr="007375EB">
        <w:rPr>
          <w:rFonts w:eastAsia="Times New Roman" w:cs="Calibri"/>
          <w:lang w:val="bg-BG" w:eastAsia="en-GB"/>
        </w:rPr>
        <w:t xml:space="preserve"> </w:t>
      </w:r>
      <w:r w:rsidR="0082440A" w:rsidRPr="007375EB">
        <w:rPr>
          <w:rFonts w:eastAsia="Times New Roman" w:cs="Calibri"/>
          <w:lang w:val="bg-BG" w:eastAsia="en-GB"/>
        </w:rPr>
        <w:t xml:space="preserve">на разстояние </w:t>
      </w:r>
      <w:r w:rsidRPr="007375EB">
        <w:rPr>
          <w:rFonts w:eastAsia="Times New Roman" w:cs="Calibri"/>
          <w:lang w:val="bg-BG" w:eastAsia="en-GB"/>
        </w:rPr>
        <w:t xml:space="preserve">18,55 </w:t>
      </w:r>
      <w:r w:rsidR="0082440A" w:rsidRPr="007375EB">
        <w:rPr>
          <w:rFonts w:eastAsia="Times New Roman" w:cs="Calibri"/>
          <w:lang w:val="bg-BG" w:eastAsia="en-GB"/>
        </w:rPr>
        <w:t xml:space="preserve">км от границата на </w:t>
      </w:r>
      <w:r w:rsidR="0014580E" w:rsidRPr="007375EB">
        <w:rPr>
          <w:rFonts w:eastAsia="Times New Roman" w:cs="Calibri"/>
          <w:lang w:val="bg-BG" w:eastAsia="en-GB"/>
        </w:rPr>
        <w:t>ЗГП</w:t>
      </w:r>
    </w:p>
    <w:p w14:paraId="68C8CA74" w14:textId="5A88C630" w:rsidR="003B1843" w:rsidRPr="007375EB" w:rsidRDefault="003B1843" w:rsidP="00125F99">
      <w:pPr>
        <w:pStyle w:val="ListParagraph"/>
        <w:numPr>
          <w:ilvl w:val="1"/>
          <w:numId w:val="25"/>
        </w:numPr>
        <w:shd w:val="clear" w:color="auto" w:fill="FFFFFF"/>
        <w:spacing w:after="120" w:line="360" w:lineRule="auto"/>
        <w:jc w:val="both"/>
        <w:rPr>
          <w:rFonts w:eastAsia="Times New Roman" w:cs="Calibri"/>
          <w:lang w:val="bg-BG" w:eastAsia="en-GB"/>
        </w:rPr>
      </w:pPr>
      <w:r w:rsidRPr="007375EB">
        <w:rPr>
          <w:rFonts w:eastAsia="Times New Roman" w:cs="Calibri"/>
          <w:lang w:val="bg-BG" w:eastAsia="en-GB"/>
        </w:rPr>
        <w:t xml:space="preserve">ROSPA0001 </w:t>
      </w:r>
      <w:r w:rsidRPr="007375EB">
        <w:rPr>
          <w:rFonts w:eastAsia="Times New Roman" w:cs="Calibri"/>
          <w:lang w:val="bg-BG" w:eastAsia="en-GB"/>
        </w:rPr>
        <w:tab/>
      </w:r>
      <w:r w:rsidR="008D0021" w:rsidRPr="007375EB">
        <w:rPr>
          <w:rFonts w:eastAsia="Times New Roman" w:cs="Calibri"/>
          <w:lang w:val="bg-BG" w:eastAsia="en-GB"/>
        </w:rPr>
        <w:t>Алиман - Адамклиси</w:t>
      </w:r>
      <w:r w:rsidRPr="007375EB">
        <w:rPr>
          <w:rFonts w:eastAsia="Times New Roman" w:cs="Calibri"/>
          <w:lang w:val="bg-BG" w:eastAsia="en-GB"/>
        </w:rPr>
        <w:t xml:space="preserve"> </w:t>
      </w:r>
      <w:r w:rsidR="0082440A" w:rsidRPr="007375EB">
        <w:rPr>
          <w:rFonts w:eastAsia="Times New Roman" w:cs="Calibri"/>
          <w:lang w:val="bg-BG" w:eastAsia="en-GB"/>
        </w:rPr>
        <w:t xml:space="preserve">на разстояние </w:t>
      </w:r>
      <w:r w:rsidRPr="007375EB">
        <w:rPr>
          <w:rFonts w:eastAsia="Times New Roman" w:cs="Calibri"/>
          <w:lang w:val="bg-BG" w:eastAsia="en-GB"/>
        </w:rPr>
        <w:t xml:space="preserve">19,12 </w:t>
      </w:r>
      <w:r w:rsidR="0082440A" w:rsidRPr="007375EB">
        <w:rPr>
          <w:rFonts w:eastAsia="Times New Roman" w:cs="Calibri"/>
          <w:lang w:val="bg-BG" w:eastAsia="en-GB"/>
        </w:rPr>
        <w:t xml:space="preserve">км от границата на </w:t>
      </w:r>
      <w:r w:rsidR="0014580E" w:rsidRPr="007375EB">
        <w:rPr>
          <w:rFonts w:eastAsia="Times New Roman" w:cs="Calibri"/>
          <w:lang w:val="bg-BG" w:eastAsia="en-GB"/>
        </w:rPr>
        <w:t>ЗГП</w:t>
      </w:r>
    </w:p>
    <w:p w14:paraId="7A0BBC2C" w14:textId="16AE214B" w:rsidR="003B1843" w:rsidRPr="007375EB" w:rsidRDefault="003B1843" w:rsidP="00125F99">
      <w:pPr>
        <w:pStyle w:val="ListParagraph"/>
        <w:numPr>
          <w:ilvl w:val="0"/>
          <w:numId w:val="25"/>
        </w:numPr>
        <w:shd w:val="clear" w:color="auto" w:fill="FFFFFF"/>
        <w:spacing w:after="120" w:line="360" w:lineRule="auto"/>
        <w:jc w:val="both"/>
        <w:rPr>
          <w:rFonts w:eastAsia="Times New Roman" w:cs="Calibri"/>
          <w:lang w:val="bg-BG" w:eastAsia="en-GB"/>
        </w:rPr>
      </w:pPr>
      <w:r w:rsidRPr="007375EB">
        <w:rPr>
          <w:rFonts w:eastAsia="Times New Roman" w:cs="Calibri"/>
          <w:lang w:val="bg-BG" w:eastAsia="en-GB"/>
        </w:rPr>
        <w:t xml:space="preserve">2 </w:t>
      </w:r>
      <w:r w:rsidR="008D0021" w:rsidRPr="007375EB">
        <w:rPr>
          <w:rFonts w:eastAsia="Times New Roman" w:cs="Calibri"/>
          <w:lang w:val="bg-BG" w:eastAsia="en-GB"/>
        </w:rPr>
        <w:t>защитени природни зони от интерес за общността</w:t>
      </w:r>
      <w:r w:rsidRPr="007375EB">
        <w:rPr>
          <w:rFonts w:eastAsia="Times New Roman" w:cs="Calibri"/>
          <w:lang w:val="bg-BG" w:eastAsia="en-GB"/>
        </w:rPr>
        <w:t>:</w:t>
      </w:r>
    </w:p>
    <w:p w14:paraId="2F3EE3BD" w14:textId="38DCF910" w:rsidR="003B1843" w:rsidRPr="007375EB" w:rsidRDefault="003B1843" w:rsidP="00125F99">
      <w:pPr>
        <w:pStyle w:val="ListParagraph"/>
        <w:numPr>
          <w:ilvl w:val="1"/>
          <w:numId w:val="25"/>
        </w:numPr>
        <w:shd w:val="clear" w:color="auto" w:fill="FFFFFF"/>
        <w:spacing w:after="120" w:line="360" w:lineRule="auto"/>
        <w:jc w:val="both"/>
        <w:rPr>
          <w:rFonts w:eastAsia="Times New Roman" w:cs="Calibri"/>
          <w:lang w:val="bg-BG" w:eastAsia="en-GB"/>
        </w:rPr>
      </w:pPr>
      <w:r w:rsidRPr="007375EB">
        <w:rPr>
          <w:rFonts w:eastAsia="Times New Roman" w:cs="Calibri"/>
          <w:lang w:val="bg-BG" w:eastAsia="en-GB"/>
        </w:rPr>
        <w:t xml:space="preserve">ROSAC0157 </w:t>
      </w:r>
      <w:r w:rsidR="008D0021" w:rsidRPr="007375EB">
        <w:rPr>
          <w:rFonts w:eastAsia="Times New Roman" w:cs="Calibri"/>
          <w:lang w:val="bg-BG" w:eastAsia="en-GB"/>
        </w:rPr>
        <w:t>Гората Хаджиени –</w:t>
      </w:r>
      <w:r w:rsidRPr="007375EB">
        <w:rPr>
          <w:rFonts w:eastAsia="Times New Roman" w:cs="Calibri"/>
          <w:lang w:val="bg-BG" w:eastAsia="en-GB"/>
        </w:rPr>
        <w:t xml:space="preserve"> </w:t>
      </w:r>
      <w:r w:rsidR="008D0021" w:rsidRPr="007375EB">
        <w:rPr>
          <w:rFonts w:eastAsia="Times New Roman" w:cs="Calibri"/>
          <w:lang w:val="bg-BG" w:eastAsia="en-GB"/>
        </w:rPr>
        <w:t xml:space="preserve">Коту Въи </w:t>
      </w:r>
      <w:r w:rsidR="0082440A" w:rsidRPr="007375EB">
        <w:rPr>
          <w:rFonts w:eastAsia="Times New Roman" w:cs="Calibri"/>
          <w:lang w:val="bg-BG" w:eastAsia="en-GB"/>
        </w:rPr>
        <w:t xml:space="preserve">на разстояние </w:t>
      </w:r>
      <w:r w:rsidRPr="007375EB">
        <w:rPr>
          <w:rFonts w:eastAsia="Times New Roman" w:cs="Calibri"/>
          <w:lang w:val="bg-BG" w:eastAsia="en-GB"/>
        </w:rPr>
        <w:t xml:space="preserve">13,81 </w:t>
      </w:r>
      <w:r w:rsidR="0082440A" w:rsidRPr="007375EB">
        <w:rPr>
          <w:rFonts w:eastAsia="Times New Roman" w:cs="Calibri"/>
          <w:lang w:val="bg-BG" w:eastAsia="en-GB"/>
        </w:rPr>
        <w:t>км</w:t>
      </w:r>
      <w:r w:rsidRPr="007375EB">
        <w:rPr>
          <w:rFonts w:eastAsia="Times New Roman" w:cs="Calibri"/>
          <w:lang w:val="bg-BG" w:eastAsia="en-GB"/>
        </w:rPr>
        <w:t xml:space="preserve"> </w:t>
      </w:r>
      <w:r w:rsidR="0082440A" w:rsidRPr="007375EB">
        <w:rPr>
          <w:rFonts w:eastAsia="Times New Roman" w:cs="Calibri"/>
          <w:lang w:val="bg-BG" w:eastAsia="en-GB"/>
        </w:rPr>
        <w:t xml:space="preserve">от границата на </w:t>
      </w:r>
      <w:r w:rsidR="0014580E" w:rsidRPr="007375EB">
        <w:rPr>
          <w:rFonts w:eastAsia="Times New Roman" w:cs="Calibri"/>
          <w:lang w:val="bg-BG" w:eastAsia="en-GB"/>
        </w:rPr>
        <w:t>ЗГП</w:t>
      </w:r>
      <w:r w:rsidRPr="007375EB">
        <w:rPr>
          <w:rFonts w:eastAsia="Times New Roman" w:cs="Calibri"/>
          <w:lang w:val="bg-BG" w:eastAsia="en-GB"/>
        </w:rPr>
        <w:t>,</w:t>
      </w:r>
    </w:p>
    <w:p w14:paraId="24E49376" w14:textId="43193F72" w:rsidR="00DE1441" w:rsidRPr="007375EB" w:rsidRDefault="003B1843" w:rsidP="00DD08D0">
      <w:pPr>
        <w:pStyle w:val="ListParagraph"/>
        <w:numPr>
          <w:ilvl w:val="1"/>
          <w:numId w:val="25"/>
        </w:numPr>
        <w:shd w:val="clear" w:color="auto" w:fill="FFFFFF"/>
        <w:spacing w:after="120" w:line="360" w:lineRule="auto"/>
        <w:jc w:val="both"/>
        <w:rPr>
          <w:rFonts w:eastAsia="Times New Roman" w:cs="Calibri"/>
          <w:lang w:val="bg-BG" w:eastAsia="en-GB"/>
        </w:rPr>
      </w:pPr>
      <w:r w:rsidRPr="007375EB">
        <w:rPr>
          <w:rFonts w:eastAsia="Times New Roman" w:cs="Calibri"/>
          <w:lang w:val="bg-BG" w:eastAsia="en-GB"/>
        </w:rPr>
        <w:t xml:space="preserve">BG0000130 </w:t>
      </w:r>
      <w:r w:rsidR="008D0021" w:rsidRPr="007375EB">
        <w:rPr>
          <w:rFonts w:eastAsia="Times New Roman" w:cs="Calibri"/>
          <w:lang w:val="bg-BG" w:eastAsia="en-GB"/>
        </w:rPr>
        <w:t>Крайморска Добруджа (България</w:t>
      </w:r>
      <w:r w:rsidRPr="007375EB">
        <w:rPr>
          <w:rFonts w:eastAsia="Times New Roman" w:cs="Calibri"/>
          <w:lang w:val="bg-BG" w:eastAsia="en-GB"/>
        </w:rPr>
        <w:t xml:space="preserve">) </w:t>
      </w:r>
      <w:r w:rsidR="0082440A" w:rsidRPr="007375EB">
        <w:rPr>
          <w:rFonts w:eastAsia="Times New Roman" w:cs="Calibri"/>
          <w:lang w:val="bg-BG" w:eastAsia="en-GB"/>
        </w:rPr>
        <w:t xml:space="preserve">на разстояние </w:t>
      </w:r>
      <w:r w:rsidRPr="007375EB">
        <w:rPr>
          <w:rFonts w:eastAsia="Times New Roman" w:cs="Calibri"/>
          <w:lang w:val="bg-BG" w:eastAsia="en-GB"/>
        </w:rPr>
        <w:t xml:space="preserve">11 </w:t>
      </w:r>
      <w:r w:rsidR="0082440A" w:rsidRPr="007375EB">
        <w:rPr>
          <w:rFonts w:eastAsia="Times New Roman" w:cs="Calibri"/>
          <w:lang w:val="bg-BG" w:eastAsia="en-GB"/>
        </w:rPr>
        <w:t>км</w:t>
      </w:r>
      <w:r w:rsidRPr="007375EB">
        <w:rPr>
          <w:lang w:val="bg-BG"/>
        </w:rPr>
        <w:t xml:space="preserve"> </w:t>
      </w:r>
      <w:r w:rsidR="0082440A" w:rsidRPr="007375EB">
        <w:rPr>
          <w:rFonts w:eastAsia="Times New Roman" w:cs="Calibri"/>
          <w:lang w:val="bg-BG" w:eastAsia="en-GB"/>
        </w:rPr>
        <w:t xml:space="preserve">от границата на </w:t>
      </w:r>
      <w:r w:rsidR="0014580E" w:rsidRPr="007375EB">
        <w:rPr>
          <w:rFonts w:eastAsia="Times New Roman" w:cs="Calibri"/>
          <w:lang w:val="bg-BG" w:eastAsia="en-GB"/>
        </w:rPr>
        <w:t>ЗГП</w:t>
      </w:r>
    </w:p>
    <w:p w14:paraId="6F1AD89B" w14:textId="01B11371" w:rsidR="00DE1441" w:rsidRPr="007375EB" w:rsidRDefault="00DE1441" w:rsidP="00DE1441">
      <w:pPr>
        <w:spacing w:after="120" w:line="360" w:lineRule="auto"/>
        <w:jc w:val="both"/>
        <w:rPr>
          <w:rFonts w:asciiTheme="minorHAnsi" w:hAnsiTheme="minorHAnsi" w:cs="Segoe UI Symbol"/>
          <w:lang w:val="bg-BG"/>
        </w:rPr>
      </w:pPr>
      <w:r w:rsidRPr="007375EB">
        <w:rPr>
          <w:rFonts w:asciiTheme="minorHAnsi" w:hAnsiTheme="minorHAnsi" w:cs="Segoe UI Symbol"/>
          <w:b/>
          <w:bCs/>
          <w:i/>
          <w:iCs/>
          <w:lang w:val="bg-BG"/>
        </w:rPr>
        <w:t xml:space="preserve">ROSAC0071(ROSCI0071) </w:t>
      </w:r>
      <w:r w:rsidR="0082440A" w:rsidRPr="007375EB">
        <w:rPr>
          <w:rFonts w:eastAsia="Times New Roman" w:cs="Calibri"/>
          <w:b/>
          <w:bCs/>
          <w:i/>
          <w:iCs/>
          <w:lang w:val="bg-BG" w:eastAsia="en-GB"/>
        </w:rPr>
        <w:t>Думбръвени</w:t>
      </w:r>
      <w:r w:rsidR="0082440A" w:rsidRPr="007375EB">
        <w:rPr>
          <w:rFonts w:eastAsia="Times New Roman" w:cs="Calibri"/>
          <w:lang w:val="bg-BG" w:eastAsia="en-GB"/>
        </w:rPr>
        <w:t xml:space="preserve"> </w:t>
      </w:r>
      <w:r w:rsidRPr="007375EB">
        <w:rPr>
          <w:rFonts w:asciiTheme="minorHAnsi" w:hAnsiTheme="minorHAnsi" w:cs="Segoe UI Symbol"/>
          <w:b/>
          <w:bCs/>
          <w:i/>
          <w:iCs/>
          <w:lang w:val="bg-BG"/>
        </w:rPr>
        <w:t xml:space="preserve">- </w:t>
      </w:r>
      <w:r w:rsidR="0082440A" w:rsidRPr="007375EB">
        <w:rPr>
          <w:rFonts w:eastAsia="Times New Roman" w:cs="Calibri"/>
          <w:b/>
          <w:bCs/>
          <w:i/>
          <w:iCs/>
          <w:lang w:val="bg-BG" w:eastAsia="en-GB"/>
        </w:rPr>
        <w:t xml:space="preserve">Долината Урлуя </w:t>
      </w:r>
      <w:r w:rsidRPr="007375EB">
        <w:rPr>
          <w:rFonts w:asciiTheme="minorHAnsi" w:hAnsiTheme="minorHAnsi" w:cs="Segoe UI Symbol"/>
          <w:b/>
          <w:bCs/>
          <w:i/>
          <w:iCs/>
          <w:lang w:val="bg-BG"/>
        </w:rPr>
        <w:t xml:space="preserve">- </w:t>
      </w:r>
      <w:r w:rsidR="0082440A" w:rsidRPr="007375EB">
        <w:rPr>
          <w:rFonts w:eastAsia="Times New Roman" w:cs="Calibri"/>
          <w:b/>
          <w:bCs/>
          <w:i/>
          <w:iCs/>
          <w:lang w:val="bg-BG" w:eastAsia="en-GB"/>
        </w:rPr>
        <w:t>езерото Ведероаса</w:t>
      </w:r>
      <w:r w:rsidR="0082440A" w:rsidRPr="007375EB">
        <w:rPr>
          <w:rFonts w:eastAsia="Times New Roman" w:cs="Calibri"/>
          <w:lang w:val="bg-BG" w:eastAsia="en-GB"/>
        </w:rPr>
        <w:t xml:space="preserve"> </w:t>
      </w:r>
      <w:r w:rsidR="008D0021" w:rsidRPr="007375EB">
        <w:rPr>
          <w:rFonts w:asciiTheme="minorHAnsi" w:hAnsiTheme="minorHAnsi" w:cs="Segoe UI Symbol"/>
          <w:lang w:val="bg-BG"/>
        </w:rPr>
        <w:t>е обявен за обект от значение за Общността със Заповед № 1964/2007 на Министерството на околната среда и устойчивото развитие за създаване на режим на защитени природни зони на обекти от значение за Общността, като неразделна част от европейската екологична мрежа Природа 2000 в Румъния, с последващи изменения и допълнения</w:t>
      </w:r>
      <w:r w:rsidRPr="007375EB">
        <w:rPr>
          <w:rFonts w:asciiTheme="minorHAnsi" w:hAnsiTheme="minorHAnsi" w:cs="Segoe UI Symbol"/>
          <w:lang w:val="bg-BG"/>
        </w:rPr>
        <w:t>.</w:t>
      </w:r>
    </w:p>
    <w:p w14:paraId="73F49403" w14:textId="353CEE02" w:rsidR="00DE1441" w:rsidRPr="007375EB" w:rsidRDefault="008D0021" w:rsidP="00DE1441">
      <w:pPr>
        <w:spacing w:after="120" w:line="360" w:lineRule="auto"/>
        <w:jc w:val="both"/>
        <w:rPr>
          <w:lang w:val="bg-BG"/>
        </w:rPr>
      </w:pPr>
      <w:r w:rsidRPr="007375EB">
        <w:rPr>
          <w:lang w:val="bg-BG"/>
        </w:rPr>
        <w:t>Районът е обявен за територия от значение за Общността, тъй като в него се намират най-малко 8 европейски защитени типа местообитания, 3 от които са приоритетни, т.е. строго защитени: понто-сарматски степи - приблизително 160 ха в рамките на територията, понто-сарматски широколистни храсталаци, които се намират в крайбрежните зони, върху каменист субстрат, с варовик на повърхността, с обща площ приблизително 200 ха в рамките на територията, и източноевропейски гори от космат дъб, чиято обща площ се оценява на приблизително 900 ха. В рамките на тези местообитания са установени 58 национално защитени редки растителни вида. Четири от тях са защитени и на европейско ниво</w:t>
      </w:r>
      <w:r w:rsidR="00DE1441" w:rsidRPr="007375EB">
        <w:rPr>
          <w:lang w:val="bg-BG"/>
        </w:rPr>
        <w:t xml:space="preserve">: </w:t>
      </w:r>
      <w:r w:rsidR="00DE1441" w:rsidRPr="007375EB">
        <w:rPr>
          <w:i/>
          <w:iCs/>
          <w:lang w:val="bg-BG"/>
        </w:rPr>
        <w:t xml:space="preserve">Centaurea jankae, Echium russicum, Himantoglossum caprinum </w:t>
      </w:r>
      <w:r w:rsidRPr="007375EB">
        <w:rPr>
          <w:i/>
          <w:iCs/>
          <w:lang w:val="bg-BG"/>
        </w:rPr>
        <w:t>и</w:t>
      </w:r>
      <w:r w:rsidR="00DE1441" w:rsidRPr="007375EB">
        <w:rPr>
          <w:i/>
          <w:iCs/>
          <w:lang w:val="bg-BG"/>
        </w:rPr>
        <w:t xml:space="preserve"> Potentilla emilli-popii</w:t>
      </w:r>
      <w:r w:rsidR="00DE1441" w:rsidRPr="007375EB">
        <w:rPr>
          <w:lang w:val="bg-BG"/>
        </w:rPr>
        <w:t>.</w:t>
      </w:r>
    </w:p>
    <w:p w14:paraId="4CB4111A" w14:textId="08B86A12" w:rsidR="00CA1332" w:rsidRPr="007375EB" w:rsidRDefault="00DE1441" w:rsidP="00CA1332">
      <w:pPr>
        <w:spacing w:after="120" w:line="360" w:lineRule="auto"/>
        <w:jc w:val="both"/>
        <w:rPr>
          <w:rFonts w:asciiTheme="minorHAnsi" w:hAnsiTheme="minorHAnsi" w:cs="Segoe UI Symbol"/>
          <w:lang w:val="bg-BG"/>
        </w:rPr>
      </w:pPr>
      <w:r w:rsidRPr="007375EB">
        <w:rPr>
          <w:lang w:val="bg-BG"/>
        </w:rPr>
        <w:t xml:space="preserve">ROSCI0071 </w:t>
      </w:r>
      <w:r w:rsidR="008D0021" w:rsidRPr="007375EB">
        <w:rPr>
          <w:rFonts w:eastAsia="Times New Roman" w:cs="Calibri"/>
          <w:lang w:val="bg-BG" w:eastAsia="en-GB"/>
        </w:rPr>
        <w:t xml:space="preserve">Думбръвени </w:t>
      </w:r>
      <w:r w:rsidR="008D0021" w:rsidRPr="007375EB">
        <w:rPr>
          <w:rFonts w:asciiTheme="minorHAnsi" w:hAnsiTheme="minorHAnsi" w:cs="Segoe UI Symbol"/>
          <w:lang w:val="bg-BG"/>
        </w:rPr>
        <w:t xml:space="preserve">- </w:t>
      </w:r>
      <w:r w:rsidR="008D0021" w:rsidRPr="007375EB">
        <w:rPr>
          <w:rFonts w:eastAsia="Times New Roman" w:cs="Calibri"/>
          <w:lang w:val="bg-BG" w:eastAsia="en-GB"/>
        </w:rPr>
        <w:t xml:space="preserve">Долината Урлуя </w:t>
      </w:r>
      <w:r w:rsidR="008D0021" w:rsidRPr="007375EB">
        <w:rPr>
          <w:rFonts w:asciiTheme="minorHAnsi" w:hAnsiTheme="minorHAnsi" w:cs="Segoe UI Symbol"/>
          <w:lang w:val="bg-BG"/>
        </w:rPr>
        <w:t xml:space="preserve">- </w:t>
      </w:r>
      <w:r w:rsidR="008D0021" w:rsidRPr="007375EB">
        <w:rPr>
          <w:rFonts w:eastAsia="Times New Roman" w:cs="Calibri"/>
          <w:lang w:val="bg-BG" w:eastAsia="en-GB"/>
        </w:rPr>
        <w:t xml:space="preserve">езерото Ведероаса </w:t>
      </w:r>
      <w:r w:rsidR="00CA1332" w:rsidRPr="007375EB">
        <w:rPr>
          <w:rFonts w:eastAsia="Times New Roman" w:cs="Calibri"/>
          <w:lang w:val="bg-BG" w:eastAsia="en-GB"/>
        </w:rPr>
        <w:t xml:space="preserve">има площ от 17,971 ха и се припокрива с ROSPA0036 Думбръвени (2056 ха), Гората Думбръвени (2361 ха), ROSPA0001 Алиман - Адамклиси (19,468 ха), Фосилоносното място (2351 ха), ROSPA0007 Балта Ведероаса (2144 ха), Езерото Ведероаса (IV.30 ), ROSPA0039 Дунав - Остроаве (16.224 ха), гора Братка (IV.26), варовикови стени на Петрошани (2350 ха). </w:t>
      </w:r>
    </w:p>
    <w:p w14:paraId="08DF31E7" w14:textId="4B3F8F5D" w:rsidR="00DE1441" w:rsidRPr="007375EB" w:rsidRDefault="00DE1441" w:rsidP="00DE1441">
      <w:pPr>
        <w:spacing w:after="120" w:line="360" w:lineRule="auto"/>
        <w:jc w:val="both"/>
        <w:rPr>
          <w:lang w:val="bg-BG"/>
        </w:rPr>
      </w:pPr>
      <w:r w:rsidRPr="007375EB">
        <w:rPr>
          <w:rFonts w:asciiTheme="minorHAnsi" w:hAnsiTheme="minorHAnsi" w:cs="Segoe UI Symbol"/>
          <w:lang w:val="bg-BG"/>
        </w:rPr>
        <w:lastRenderedPageBreak/>
        <w:t xml:space="preserve">ROSAC0071(ROSCI0071) </w:t>
      </w:r>
      <w:r w:rsidR="00CA1332" w:rsidRPr="007375EB">
        <w:rPr>
          <w:rFonts w:eastAsia="Times New Roman" w:cs="Calibri"/>
          <w:lang w:val="bg-BG" w:eastAsia="en-GB"/>
        </w:rPr>
        <w:t xml:space="preserve">Думбръвени </w:t>
      </w:r>
      <w:r w:rsidR="00CA1332" w:rsidRPr="007375EB">
        <w:rPr>
          <w:rFonts w:asciiTheme="minorHAnsi" w:hAnsiTheme="minorHAnsi" w:cs="Segoe UI Symbol"/>
          <w:lang w:val="bg-BG"/>
        </w:rPr>
        <w:t xml:space="preserve">- </w:t>
      </w:r>
      <w:r w:rsidR="00CA1332" w:rsidRPr="007375EB">
        <w:rPr>
          <w:rFonts w:eastAsia="Times New Roman" w:cs="Calibri"/>
          <w:lang w:val="bg-BG" w:eastAsia="en-GB"/>
        </w:rPr>
        <w:t xml:space="preserve">Долината Урлуя </w:t>
      </w:r>
      <w:r w:rsidR="00CA1332" w:rsidRPr="007375EB">
        <w:rPr>
          <w:rFonts w:asciiTheme="minorHAnsi" w:hAnsiTheme="minorHAnsi" w:cs="Segoe UI Symbol"/>
          <w:lang w:val="bg-BG"/>
        </w:rPr>
        <w:t xml:space="preserve">- </w:t>
      </w:r>
      <w:r w:rsidR="00CA1332" w:rsidRPr="007375EB">
        <w:rPr>
          <w:rFonts w:eastAsia="Times New Roman" w:cs="Calibri"/>
          <w:lang w:val="bg-BG" w:eastAsia="en-GB"/>
        </w:rPr>
        <w:t xml:space="preserve">езерото Ведероаса </w:t>
      </w:r>
      <w:r w:rsidR="00CA1332" w:rsidRPr="007375EB">
        <w:rPr>
          <w:lang w:val="bg-BG"/>
        </w:rPr>
        <w:t>се намира на територията на следните населени места: Влахи, Алиман, Флорииле, Адынката, Крънгу, Адамклиси.</w:t>
      </w:r>
    </w:p>
    <w:p w14:paraId="52D57E71" w14:textId="3F84AF5D" w:rsidR="00F44BC2" w:rsidRPr="007375EB" w:rsidRDefault="00F44BC2" w:rsidP="00DE1441">
      <w:pPr>
        <w:spacing w:after="120" w:line="360" w:lineRule="auto"/>
        <w:jc w:val="both"/>
        <w:rPr>
          <w:lang w:val="bg-BG"/>
        </w:rPr>
      </w:pPr>
      <w:r w:rsidRPr="007375EB">
        <w:rPr>
          <w:lang w:val="bg-BG"/>
        </w:rPr>
        <w:t xml:space="preserve">Разположен в южната част на Добруджа, обектът ROSCI0071 </w:t>
      </w:r>
      <w:r w:rsidRPr="007375EB">
        <w:rPr>
          <w:rFonts w:eastAsia="Times New Roman" w:cs="Calibri"/>
          <w:lang w:val="bg-BG" w:eastAsia="en-GB"/>
        </w:rPr>
        <w:t xml:space="preserve">Думбръвени </w:t>
      </w:r>
      <w:r w:rsidRPr="007375EB">
        <w:rPr>
          <w:rFonts w:asciiTheme="minorHAnsi" w:hAnsiTheme="minorHAnsi" w:cs="Segoe UI Symbol"/>
          <w:lang w:val="bg-BG"/>
        </w:rPr>
        <w:t xml:space="preserve">- </w:t>
      </w:r>
      <w:r w:rsidRPr="007375EB">
        <w:rPr>
          <w:rFonts w:eastAsia="Times New Roman" w:cs="Calibri"/>
          <w:lang w:val="bg-BG" w:eastAsia="en-GB"/>
        </w:rPr>
        <w:t xml:space="preserve">Долината Урлуя </w:t>
      </w:r>
      <w:r w:rsidRPr="007375EB">
        <w:rPr>
          <w:rFonts w:asciiTheme="minorHAnsi" w:hAnsiTheme="minorHAnsi" w:cs="Segoe UI Symbol"/>
          <w:lang w:val="bg-BG"/>
        </w:rPr>
        <w:t xml:space="preserve">- </w:t>
      </w:r>
      <w:r w:rsidRPr="007375EB">
        <w:rPr>
          <w:rFonts w:eastAsia="Times New Roman" w:cs="Calibri"/>
          <w:lang w:val="bg-BG" w:eastAsia="en-GB"/>
        </w:rPr>
        <w:t>езерото Ведероаса</w:t>
      </w:r>
      <w:r w:rsidRPr="007375EB">
        <w:rPr>
          <w:lang w:val="bg-BG"/>
        </w:rPr>
        <w:t xml:space="preserve"> представя богато биоразнообразие, което се дължи на мозайка от различни местообитания, развити върху разнообразна геоморфология: тук намираме варовикови скали с пещери, каменисти и льосови хълмове, долини с временни постоянни водни течения, постоянни водни течения, както и езера. Осеяни с гори, намираме храсталаци и понто-сарматски ливади.</w:t>
      </w:r>
    </w:p>
    <w:p w14:paraId="4D136D81" w14:textId="44436F1A" w:rsidR="00DE1441" w:rsidRPr="007375EB" w:rsidRDefault="00F44BC2" w:rsidP="00DE1441">
      <w:pPr>
        <w:spacing w:after="120" w:line="360" w:lineRule="auto"/>
        <w:jc w:val="both"/>
        <w:rPr>
          <w:lang w:val="bg-BG"/>
        </w:rPr>
      </w:pPr>
      <w:r w:rsidRPr="007375EB">
        <w:rPr>
          <w:lang w:val="bg-BG"/>
        </w:rPr>
        <w:t>Типовете местообитания, налични в обекта, са, както следва</w:t>
      </w:r>
      <w:r w:rsidR="00DE1441" w:rsidRPr="007375EB">
        <w:rPr>
          <w:lang w:val="bg-BG"/>
        </w:rPr>
        <w:t>:</w:t>
      </w:r>
    </w:p>
    <w:p w14:paraId="7D5CC381" w14:textId="12D424E6" w:rsidR="00DE1441" w:rsidRPr="007375EB" w:rsidRDefault="00DE1441" w:rsidP="00355DC6">
      <w:pPr>
        <w:pStyle w:val="ListParagraph"/>
        <w:numPr>
          <w:ilvl w:val="0"/>
          <w:numId w:val="92"/>
        </w:numPr>
        <w:spacing w:after="120" w:line="360" w:lineRule="auto"/>
        <w:rPr>
          <w:rFonts w:asciiTheme="minorHAnsi" w:hAnsiTheme="minorHAnsi" w:cs="Segoe UI Symbol"/>
          <w:lang w:val="bg-BG"/>
        </w:rPr>
      </w:pPr>
      <w:r w:rsidRPr="007375EB">
        <w:rPr>
          <w:rFonts w:asciiTheme="minorHAnsi" w:hAnsiTheme="minorHAnsi" w:cs="Segoe UI Symbol"/>
          <w:lang w:val="bg-BG"/>
        </w:rPr>
        <w:t xml:space="preserve">62C0* </w:t>
      </w:r>
      <w:r w:rsidR="00F44BC2" w:rsidRPr="007375EB">
        <w:rPr>
          <w:rFonts w:asciiTheme="minorHAnsi" w:hAnsiTheme="minorHAnsi" w:cs="Segoe UI Symbol"/>
          <w:lang w:val="bg-BG"/>
        </w:rPr>
        <w:t>Понто-сарматски степи</w:t>
      </w:r>
    </w:p>
    <w:p w14:paraId="6AC51D4D" w14:textId="6FEE5349" w:rsidR="00DE1441" w:rsidRPr="007375EB" w:rsidRDefault="00DE1441" w:rsidP="00355DC6">
      <w:pPr>
        <w:pStyle w:val="ListParagraph"/>
        <w:numPr>
          <w:ilvl w:val="0"/>
          <w:numId w:val="92"/>
        </w:numPr>
        <w:spacing w:after="120" w:line="360" w:lineRule="auto"/>
        <w:rPr>
          <w:rFonts w:asciiTheme="minorHAnsi" w:hAnsiTheme="minorHAnsi" w:cs="Segoe UI Symbol"/>
          <w:lang w:val="bg-BG"/>
        </w:rPr>
      </w:pPr>
      <w:r w:rsidRPr="007375EB">
        <w:rPr>
          <w:rFonts w:asciiTheme="minorHAnsi" w:hAnsiTheme="minorHAnsi" w:cs="Segoe UI Symbol"/>
          <w:lang w:val="bg-BG"/>
        </w:rPr>
        <w:t xml:space="preserve">91I0 * </w:t>
      </w:r>
      <w:r w:rsidR="00F44BC2" w:rsidRPr="007375EB">
        <w:rPr>
          <w:rFonts w:asciiTheme="minorHAnsi" w:hAnsiTheme="minorHAnsi" w:cs="Segoe UI Symbol"/>
          <w:lang w:val="bg-BG"/>
        </w:rPr>
        <w:t xml:space="preserve">Евросибирска лесостепна растителност с </w:t>
      </w:r>
      <w:r w:rsidRPr="007375EB">
        <w:rPr>
          <w:rFonts w:asciiTheme="minorHAnsi" w:hAnsiTheme="minorHAnsi" w:cs="Segoe UI Symbol"/>
          <w:i/>
          <w:iCs/>
          <w:lang w:val="bg-BG"/>
        </w:rPr>
        <w:t>Quercus spp</w:t>
      </w:r>
      <w:r w:rsidRPr="007375EB">
        <w:rPr>
          <w:rFonts w:asciiTheme="minorHAnsi" w:hAnsiTheme="minorHAnsi" w:cs="Segoe UI Symbol"/>
          <w:lang w:val="bg-BG"/>
        </w:rPr>
        <w:t>.</w:t>
      </w:r>
    </w:p>
    <w:p w14:paraId="2702137A" w14:textId="752118AF" w:rsidR="00DE1441" w:rsidRPr="007375EB" w:rsidRDefault="00DE1441" w:rsidP="00355DC6">
      <w:pPr>
        <w:pStyle w:val="ListParagraph"/>
        <w:numPr>
          <w:ilvl w:val="0"/>
          <w:numId w:val="92"/>
        </w:numPr>
        <w:spacing w:after="120" w:line="360" w:lineRule="auto"/>
        <w:rPr>
          <w:rFonts w:asciiTheme="minorHAnsi" w:hAnsiTheme="minorHAnsi" w:cs="Segoe UI Symbol"/>
          <w:lang w:val="bg-BG"/>
        </w:rPr>
      </w:pPr>
      <w:r w:rsidRPr="007375EB">
        <w:rPr>
          <w:rFonts w:asciiTheme="minorHAnsi" w:hAnsiTheme="minorHAnsi" w:cs="Segoe UI Symbol"/>
          <w:lang w:val="bg-BG"/>
        </w:rPr>
        <w:t xml:space="preserve">3150 </w:t>
      </w:r>
      <w:r w:rsidR="00F44BC2" w:rsidRPr="007375EB">
        <w:rPr>
          <w:rFonts w:asciiTheme="minorHAnsi" w:hAnsiTheme="minorHAnsi" w:cs="Segoe UI Symbol"/>
          <w:lang w:val="bg-BG"/>
        </w:rPr>
        <w:t xml:space="preserve">Естествени еутрофни езера с типична растителност </w:t>
      </w:r>
      <w:r w:rsidRPr="007375EB">
        <w:rPr>
          <w:rFonts w:asciiTheme="minorHAnsi" w:hAnsiTheme="minorHAnsi" w:cs="Segoe UI Symbol"/>
          <w:i/>
          <w:iCs/>
          <w:lang w:val="bg-BG"/>
        </w:rPr>
        <w:t>Magnopotamion</w:t>
      </w:r>
      <w:r w:rsidRPr="007375EB">
        <w:rPr>
          <w:rFonts w:asciiTheme="minorHAnsi" w:hAnsiTheme="minorHAnsi" w:cs="Segoe UI Symbol"/>
          <w:lang w:val="bg-BG"/>
        </w:rPr>
        <w:t xml:space="preserve"> </w:t>
      </w:r>
      <w:r w:rsidR="00F44BC2" w:rsidRPr="007375EB">
        <w:rPr>
          <w:rFonts w:asciiTheme="minorHAnsi" w:hAnsiTheme="minorHAnsi" w:cs="Segoe UI Symbol"/>
          <w:lang w:val="bg-BG"/>
        </w:rPr>
        <w:t>или</w:t>
      </w:r>
      <w:r w:rsidRPr="007375EB">
        <w:rPr>
          <w:rFonts w:asciiTheme="minorHAnsi" w:hAnsiTheme="minorHAnsi" w:cs="Segoe UI Symbol"/>
          <w:lang w:val="bg-BG"/>
        </w:rPr>
        <w:t xml:space="preserve"> </w:t>
      </w:r>
      <w:r w:rsidRPr="007375EB">
        <w:rPr>
          <w:rFonts w:asciiTheme="minorHAnsi" w:hAnsiTheme="minorHAnsi" w:cs="Segoe UI Symbol"/>
          <w:i/>
          <w:iCs/>
          <w:lang w:val="bg-BG"/>
        </w:rPr>
        <w:t>Hydrocharition</w:t>
      </w:r>
    </w:p>
    <w:p w14:paraId="15B1F694" w14:textId="58DD0907" w:rsidR="00DE1441" w:rsidRPr="007375EB" w:rsidRDefault="00DE1441" w:rsidP="00355DC6">
      <w:pPr>
        <w:pStyle w:val="ListParagraph"/>
        <w:numPr>
          <w:ilvl w:val="0"/>
          <w:numId w:val="92"/>
        </w:numPr>
        <w:spacing w:after="120" w:line="360" w:lineRule="auto"/>
        <w:rPr>
          <w:rFonts w:asciiTheme="minorHAnsi" w:hAnsiTheme="minorHAnsi" w:cs="Segoe UI Symbol"/>
          <w:lang w:val="bg-BG"/>
        </w:rPr>
      </w:pPr>
      <w:r w:rsidRPr="007375EB">
        <w:rPr>
          <w:rFonts w:asciiTheme="minorHAnsi" w:hAnsiTheme="minorHAnsi" w:cs="Segoe UI Symbol"/>
          <w:lang w:val="bg-BG"/>
        </w:rPr>
        <w:t xml:space="preserve">40C0* </w:t>
      </w:r>
      <w:r w:rsidR="00F44BC2" w:rsidRPr="007375EB">
        <w:rPr>
          <w:rFonts w:asciiTheme="minorHAnsi" w:hAnsiTheme="minorHAnsi" w:cs="Segoe UI Symbol"/>
          <w:lang w:val="bg-BG"/>
        </w:rPr>
        <w:t>Понто-сарматски широколистни храсталаци</w:t>
      </w:r>
    </w:p>
    <w:p w14:paraId="674D5BA3" w14:textId="67033B45" w:rsidR="00DE1441" w:rsidRPr="007375EB" w:rsidRDefault="00DE1441" w:rsidP="00355DC6">
      <w:pPr>
        <w:pStyle w:val="ListParagraph"/>
        <w:numPr>
          <w:ilvl w:val="0"/>
          <w:numId w:val="92"/>
        </w:numPr>
        <w:spacing w:after="120" w:line="360" w:lineRule="auto"/>
        <w:rPr>
          <w:rFonts w:asciiTheme="minorHAnsi" w:hAnsiTheme="minorHAnsi" w:cs="Segoe UI Symbol"/>
          <w:lang w:val="bg-BG"/>
        </w:rPr>
      </w:pPr>
      <w:r w:rsidRPr="007375EB">
        <w:rPr>
          <w:rFonts w:asciiTheme="minorHAnsi" w:hAnsiTheme="minorHAnsi" w:cs="Segoe UI Symbol"/>
          <w:lang w:val="bg-BG"/>
        </w:rPr>
        <w:t xml:space="preserve">6430 </w:t>
      </w:r>
      <w:r w:rsidR="00F44BC2" w:rsidRPr="007375EB">
        <w:rPr>
          <w:rFonts w:asciiTheme="minorHAnsi" w:hAnsiTheme="minorHAnsi" w:cs="Segoe UI Symbol"/>
          <w:lang w:val="bg-BG"/>
        </w:rPr>
        <w:t>Низинни до планински и алпийски периферни съобщества с хигрофилни високи треви</w:t>
      </w:r>
    </w:p>
    <w:p w14:paraId="1DC16E2F" w14:textId="08A887C3" w:rsidR="00DE1441" w:rsidRPr="007375EB" w:rsidRDefault="00DE1441" w:rsidP="00355DC6">
      <w:pPr>
        <w:pStyle w:val="ListParagraph"/>
        <w:numPr>
          <w:ilvl w:val="0"/>
          <w:numId w:val="92"/>
        </w:numPr>
        <w:spacing w:after="120" w:line="360" w:lineRule="auto"/>
        <w:rPr>
          <w:rFonts w:asciiTheme="minorHAnsi" w:hAnsiTheme="minorHAnsi" w:cs="Segoe UI Symbol"/>
          <w:lang w:val="bg-BG"/>
        </w:rPr>
      </w:pPr>
      <w:r w:rsidRPr="007375EB">
        <w:rPr>
          <w:rFonts w:asciiTheme="minorHAnsi" w:hAnsiTheme="minorHAnsi" w:cs="Segoe UI Symbol"/>
          <w:lang w:val="bg-BG"/>
        </w:rPr>
        <w:t xml:space="preserve">91F0 </w:t>
      </w:r>
      <w:r w:rsidR="00F44BC2" w:rsidRPr="007375EB">
        <w:rPr>
          <w:rFonts w:asciiTheme="minorHAnsi" w:hAnsiTheme="minorHAnsi" w:cs="Segoe UI Symbol"/>
          <w:lang w:val="bg-BG"/>
        </w:rPr>
        <w:t>Смесени крайречни гори с</w:t>
      </w:r>
      <w:r w:rsidRPr="007375EB">
        <w:rPr>
          <w:rFonts w:asciiTheme="minorHAnsi" w:hAnsiTheme="minorHAnsi" w:cs="Segoe UI Symbol"/>
          <w:lang w:val="bg-BG"/>
        </w:rPr>
        <w:t xml:space="preserve"> </w:t>
      </w:r>
      <w:r w:rsidRPr="007375EB">
        <w:rPr>
          <w:rFonts w:asciiTheme="minorHAnsi" w:hAnsiTheme="minorHAnsi" w:cs="Segoe UI Symbol"/>
          <w:i/>
          <w:iCs/>
          <w:lang w:val="bg-BG"/>
        </w:rPr>
        <w:t>Quercus robur, Ulmus laevis, Fraxinus excelsior</w:t>
      </w:r>
      <w:r w:rsidRPr="007375EB">
        <w:rPr>
          <w:rFonts w:asciiTheme="minorHAnsi" w:hAnsiTheme="minorHAnsi" w:cs="Segoe UI Symbol"/>
          <w:lang w:val="bg-BG"/>
        </w:rPr>
        <w:t xml:space="preserve"> </w:t>
      </w:r>
      <w:r w:rsidR="00F44BC2" w:rsidRPr="007375EB">
        <w:rPr>
          <w:rFonts w:asciiTheme="minorHAnsi" w:hAnsiTheme="minorHAnsi" w:cs="Segoe UI Symbol"/>
          <w:lang w:val="bg-BG"/>
        </w:rPr>
        <w:t>или</w:t>
      </w:r>
      <w:r w:rsidRPr="007375EB">
        <w:rPr>
          <w:rFonts w:asciiTheme="minorHAnsi" w:hAnsiTheme="minorHAnsi" w:cs="Segoe UI Symbol"/>
          <w:lang w:val="bg-BG"/>
        </w:rPr>
        <w:t xml:space="preserve"> </w:t>
      </w:r>
      <w:r w:rsidRPr="007375EB">
        <w:rPr>
          <w:rFonts w:asciiTheme="minorHAnsi" w:hAnsiTheme="minorHAnsi" w:cs="Segoe UI Symbol"/>
          <w:i/>
          <w:iCs/>
          <w:lang w:val="bg-BG"/>
        </w:rPr>
        <w:t>Fraxinus angustifolia</w:t>
      </w:r>
      <w:r w:rsidRPr="007375EB">
        <w:rPr>
          <w:rFonts w:asciiTheme="minorHAnsi" w:hAnsiTheme="minorHAnsi" w:cs="Segoe UI Symbol"/>
          <w:lang w:val="bg-BG"/>
        </w:rPr>
        <w:t xml:space="preserve">, </w:t>
      </w:r>
      <w:r w:rsidR="00F44BC2" w:rsidRPr="007375EB">
        <w:rPr>
          <w:rFonts w:asciiTheme="minorHAnsi" w:hAnsiTheme="minorHAnsi" w:cs="Segoe UI Symbol"/>
          <w:lang w:val="bg-BG"/>
        </w:rPr>
        <w:t xml:space="preserve">по големите реки </w:t>
      </w:r>
      <w:r w:rsidRPr="007375EB">
        <w:rPr>
          <w:rFonts w:asciiTheme="minorHAnsi" w:hAnsiTheme="minorHAnsi" w:cs="Segoe UI Symbol"/>
          <w:lang w:val="bg-BG"/>
        </w:rPr>
        <w:t xml:space="preserve">- </w:t>
      </w:r>
      <w:r w:rsidRPr="007375EB">
        <w:rPr>
          <w:rFonts w:asciiTheme="minorHAnsi" w:hAnsiTheme="minorHAnsi" w:cs="Segoe UI Symbol"/>
          <w:i/>
          <w:iCs/>
          <w:lang w:val="bg-BG"/>
        </w:rPr>
        <w:t>Ulmenion minoris</w:t>
      </w:r>
      <w:r w:rsidRPr="007375EB">
        <w:rPr>
          <w:rFonts w:asciiTheme="minorHAnsi" w:hAnsiTheme="minorHAnsi" w:cs="Segoe UI Symbol"/>
          <w:lang w:val="bg-BG"/>
        </w:rPr>
        <w:t xml:space="preserve"> -</w:t>
      </w:r>
    </w:p>
    <w:p w14:paraId="20ACBF1E" w14:textId="069B3219" w:rsidR="00DE1441" w:rsidRPr="007375EB" w:rsidRDefault="00DE1441" w:rsidP="00355DC6">
      <w:pPr>
        <w:pStyle w:val="ListParagraph"/>
        <w:numPr>
          <w:ilvl w:val="0"/>
          <w:numId w:val="92"/>
        </w:numPr>
        <w:spacing w:after="120" w:line="360" w:lineRule="auto"/>
        <w:rPr>
          <w:rFonts w:asciiTheme="minorHAnsi" w:hAnsiTheme="minorHAnsi" w:cs="Segoe UI Symbol"/>
          <w:lang w:val="bg-BG"/>
        </w:rPr>
      </w:pPr>
      <w:r w:rsidRPr="007375EB">
        <w:rPr>
          <w:rFonts w:asciiTheme="minorHAnsi" w:hAnsiTheme="minorHAnsi" w:cs="Segoe UI Symbol"/>
          <w:lang w:val="bg-BG"/>
        </w:rPr>
        <w:t xml:space="preserve">91AA </w:t>
      </w:r>
      <w:r w:rsidR="00F44BC2" w:rsidRPr="007375EB">
        <w:rPr>
          <w:rFonts w:asciiTheme="minorHAnsi" w:hAnsiTheme="minorHAnsi" w:cs="Segoe UI Symbol"/>
          <w:lang w:val="bg-BG"/>
        </w:rPr>
        <w:t>Понто-сарматска горска растителност с космат дъб</w:t>
      </w:r>
    </w:p>
    <w:p w14:paraId="1E2CA4A9" w14:textId="5AE20317" w:rsidR="00DE1441" w:rsidRPr="007375EB" w:rsidRDefault="00DE1441" w:rsidP="00355DC6">
      <w:pPr>
        <w:pStyle w:val="ListParagraph"/>
        <w:numPr>
          <w:ilvl w:val="0"/>
          <w:numId w:val="92"/>
        </w:numPr>
        <w:spacing w:after="120" w:line="360" w:lineRule="auto"/>
        <w:rPr>
          <w:rFonts w:asciiTheme="minorHAnsi" w:hAnsiTheme="minorHAnsi" w:cs="Segoe UI Symbol"/>
          <w:lang w:val="bg-BG"/>
        </w:rPr>
      </w:pPr>
      <w:r w:rsidRPr="007375EB">
        <w:rPr>
          <w:rFonts w:asciiTheme="minorHAnsi" w:hAnsiTheme="minorHAnsi" w:cs="Segoe UI Symbol"/>
          <w:lang w:val="bg-BG"/>
        </w:rPr>
        <w:t xml:space="preserve">91M0 </w:t>
      </w:r>
      <w:r w:rsidR="00F44BC2" w:rsidRPr="007375EB">
        <w:rPr>
          <w:rFonts w:asciiTheme="minorHAnsi" w:hAnsiTheme="minorHAnsi" w:cs="Segoe UI Symbol"/>
          <w:lang w:val="bg-BG"/>
        </w:rPr>
        <w:t xml:space="preserve">Балкано-панонски гори от </w:t>
      </w:r>
      <w:r w:rsidR="00AC3707" w:rsidRPr="007375EB">
        <w:rPr>
          <w:lang w:val="bg-BG"/>
        </w:rPr>
        <w:t xml:space="preserve">австрийски дъб </w:t>
      </w:r>
      <w:r w:rsidR="00F44BC2" w:rsidRPr="007375EB">
        <w:rPr>
          <w:rFonts w:asciiTheme="minorHAnsi" w:hAnsiTheme="minorHAnsi" w:cs="Segoe UI Symbol"/>
          <w:lang w:val="bg-BG"/>
        </w:rPr>
        <w:t>и горун</w:t>
      </w:r>
    </w:p>
    <w:p w14:paraId="31B5BB2A" w14:textId="4CE8A66E" w:rsidR="00DE1441" w:rsidRPr="007375EB" w:rsidRDefault="00F44BC2" w:rsidP="00DE1441">
      <w:pPr>
        <w:spacing w:after="120" w:line="360" w:lineRule="auto"/>
        <w:jc w:val="both"/>
        <w:rPr>
          <w:lang w:val="bg-BG"/>
        </w:rPr>
      </w:pPr>
      <w:r w:rsidRPr="007375EB">
        <w:rPr>
          <w:lang w:val="bg-BG"/>
        </w:rPr>
        <w:t>От гледна точка на значението за опазване на застрашените местообитания лесостепните образувания на обекта са с най-висок приоритет. Идентифицирани са два вида растения</w:t>
      </w:r>
      <w:r w:rsidR="00DE1441" w:rsidRPr="007375EB">
        <w:rPr>
          <w:lang w:val="bg-BG"/>
        </w:rPr>
        <w:t>:</w:t>
      </w:r>
    </w:p>
    <w:p w14:paraId="23DA16F2" w14:textId="7A0A3792" w:rsidR="00DE1441" w:rsidRPr="007375EB" w:rsidRDefault="00F44BC2" w:rsidP="00355DC6">
      <w:pPr>
        <w:pStyle w:val="ListParagraph"/>
        <w:numPr>
          <w:ilvl w:val="0"/>
          <w:numId w:val="93"/>
        </w:numPr>
        <w:spacing w:after="120" w:line="360" w:lineRule="auto"/>
        <w:jc w:val="both"/>
        <w:rPr>
          <w:lang w:val="bg-BG"/>
        </w:rPr>
      </w:pPr>
      <w:r w:rsidRPr="007375EB">
        <w:rPr>
          <w:lang w:val="bg-BG"/>
        </w:rPr>
        <w:t xml:space="preserve">Дунавско-западнопонтийски смесени гори от червен дъб </w:t>
      </w:r>
      <w:r w:rsidRPr="007375EB">
        <w:rPr>
          <w:i/>
          <w:iCs/>
          <w:lang w:val="bg-BG"/>
        </w:rPr>
        <w:t>Quercus penduculiflora</w:t>
      </w:r>
      <w:r w:rsidRPr="007375EB">
        <w:rPr>
          <w:lang w:val="bg-BG"/>
        </w:rPr>
        <w:t xml:space="preserve"> и сребролистна липа </w:t>
      </w:r>
      <w:r w:rsidRPr="007375EB">
        <w:rPr>
          <w:i/>
          <w:iCs/>
          <w:lang w:val="bg-BG"/>
        </w:rPr>
        <w:t>Tilia tomentosa</w:t>
      </w:r>
      <w:r w:rsidRPr="007375EB">
        <w:rPr>
          <w:lang w:val="bg-BG"/>
        </w:rPr>
        <w:t xml:space="preserve"> с Фиалка Жордана </w:t>
      </w:r>
      <w:r w:rsidRPr="007375EB">
        <w:rPr>
          <w:i/>
          <w:iCs/>
          <w:lang w:val="bg-BG"/>
        </w:rPr>
        <w:t>Viola jordanii</w:t>
      </w:r>
      <w:r w:rsidRPr="007375EB">
        <w:rPr>
          <w:lang w:val="bg-BG"/>
        </w:rPr>
        <w:t>. Този тип местообитание има малка площ от само около 3000 ха в национален мащаб и е с много висока консервационна стойност. В рамките на изследвания район те представляват 2 % от общата площ</w:t>
      </w:r>
      <w:r w:rsidR="00DE1441" w:rsidRPr="007375EB">
        <w:rPr>
          <w:lang w:val="bg-BG"/>
        </w:rPr>
        <w:t xml:space="preserve">. </w:t>
      </w:r>
      <w:r w:rsidRPr="007375EB">
        <w:rPr>
          <w:lang w:val="bg-BG"/>
        </w:rPr>
        <w:t xml:space="preserve">Характеризира се с растителната асоциация Querco penduculiflorae-Tilietum tomentosae. Фитоценозите се обогатяват от субсредиземноморски и континентални европейски и кавказки видове. Дървесният слой е съставен от европейски дъб </w:t>
      </w:r>
      <w:r w:rsidRPr="007375EB">
        <w:rPr>
          <w:i/>
          <w:iCs/>
          <w:lang w:val="bg-BG"/>
        </w:rPr>
        <w:t>Quercus penduculiflora</w:t>
      </w:r>
      <w:r w:rsidRPr="007375EB">
        <w:rPr>
          <w:lang w:val="bg-BG"/>
        </w:rPr>
        <w:t xml:space="preserve">, сребролистна липа </w:t>
      </w:r>
      <w:r w:rsidRPr="007375EB">
        <w:rPr>
          <w:i/>
          <w:iCs/>
          <w:lang w:val="bg-BG"/>
        </w:rPr>
        <w:t>Tilia tomentosa</w:t>
      </w:r>
      <w:r w:rsidRPr="007375EB">
        <w:rPr>
          <w:lang w:val="bg-BG"/>
        </w:rPr>
        <w:t xml:space="preserve">, </w:t>
      </w:r>
      <w:r w:rsidR="000A0DA2" w:rsidRPr="007375EB">
        <w:rPr>
          <w:lang w:val="bg-BG"/>
        </w:rPr>
        <w:t xml:space="preserve">2 вида са градивни за типа местообитание - </w:t>
      </w:r>
      <w:r w:rsidR="000A0DA2" w:rsidRPr="007375EB">
        <w:rPr>
          <w:i/>
          <w:iCs/>
          <w:lang w:val="bg-BG"/>
        </w:rPr>
        <w:t>Acer tataricum, Fraxinus ornus, Carpinus orientalis, Acer campestre, Fraxinus excelsior, Sorbus torminalis, Ulmus procera</w:t>
      </w:r>
      <w:r w:rsidR="000A0DA2" w:rsidRPr="007375EB">
        <w:rPr>
          <w:lang w:val="bg-BG"/>
        </w:rPr>
        <w:t>.</w:t>
      </w:r>
    </w:p>
    <w:p w14:paraId="00AF0FD8" w14:textId="24485F21" w:rsidR="00DE1441" w:rsidRPr="007375EB" w:rsidRDefault="000A0DA2" w:rsidP="000A0DA2">
      <w:pPr>
        <w:pStyle w:val="ListParagraph"/>
        <w:numPr>
          <w:ilvl w:val="0"/>
          <w:numId w:val="93"/>
        </w:numPr>
        <w:spacing w:after="120" w:line="360" w:lineRule="auto"/>
        <w:jc w:val="both"/>
        <w:rPr>
          <w:lang w:val="bg-BG"/>
        </w:rPr>
      </w:pPr>
      <w:r w:rsidRPr="007375EB">
        <w:rPr>
          <w:lang w:val="bg-BG"/>
        </w:rPr>
        <w:t>Понтийска горскодървесна храстова растителност от храстовиден дъб, дъб и татарски клен. В страната се съобщава за сравнително малки площи с обща площ 16 000 ха в Южна и Югоизточна Румъния. В останалата част на Европа това местообитание не е регистрирано досега</w:t>
      </w:r>
      <w:r w:rsidR="00DE1441" w:rsidRPr="007375EB">
        <w:rPr>
          <w:lang w:val="bg-BG"/>
        </w:rPr>
        <w:t xml:space="preserve">. </w:t>
      </w:r>
      <w:r w:rsidRPr="007375EB">
        <w:rPr>
          <w:lang w:val="bg-BG"/>
        </w:rPr>
        <w:t xml:space="preserve">Наблюдаваната характерна асоциация е </w:t>
      </w:r>
      <w:r w:rsidRPr="007375EB">
        <w:rPr>
          <w:i/>
          <w:iCs/>
          <w:lang w:val="bg-BG"/>
        </w:rPr>
        <w:t>Quercetum penduculiflorae-cerris</w:t>
      </w:r>
      <w:r w:rsidR="00DE1441" w:rsidRPr="007375EB">
        <w:rPr>
          <w:lang w:val="bg-BG"/>
        </w:rPr>
        <w:t xml:space="preserve">. </w:t>
      </w:r>
      <w:r w:rsidR="00AC3707" w:rsidRPr="007375EB">
        <w:rPr>
          <w:lang w:val="bg-BG"/>
        </w:rPr>
        <w:t>Наблюдавани са поучителни видове</w:t>
      </w:r>
      <w:r w:rsidR="00DE1441" w:rsidRPr="007375EB">
        <w:rPr>
          <w:lang w:val="bg-BG"/>
        </w:rPr>
        <w:t xml:space="preserve">: </w:t>
      </w:r>
      <w:r w:rsidRPr="007375EB">
        <w:rPr>
          <w:lang w:val="bg-BG"/>
        </w:rPr>
        <w:t>татарски клен</w:t>
      </w:r>
      <w:r w:rsidRPr="007375EB">
        <w:rPr>
          <w:i/>
          <w:iCs/>
          <w:lang w:val="bg-BG"/>
        </w:rPr>
        <w:t xml:space="preserve"> </w:t>
      </w:r>
      <w:r w:rsidR="00DE1441" w:rsidRPr="007375EB">
        <w:rPr>
          <w:i/>
          <w:iCs/>
          <w:lang w:val="bg-BG"/>
        </w:rPr>
        <w:t>Acer tataricum</w:t>
      </w:r>
      <w:r w:rsidR="00DE1441" w:rsidRPr="007375EB">
        <w:rPr>
          <w:lang w:val="bg-BG"/>
        </w:rPr>
        <w:t xml:space="preserve">, </w:t>
      </w:r>
      <w:r w:rsidR="00AC3707" w:rsidRPr="007375EB">
        <w:rPr>
          <w:lang w:val="bg-BG"/>
        </w:rPr>
        <w:t xml:space="preserve">австрийски дъб </w:t>
      </w:r>
      <w:r w:rsidR="00DE1441" w:rsidRPr="007375EB">
        <w:rPr>
          <w:i/>
          <w:iCs/>
          <w:lang w:val="bg-BG"/>
        </w:rPr>
        <w:t xml:space="preserve">Quercus </w:t>
      </w:r>
      <w:r w:rsidR="00AC3707" w:rsidRPr="007375EB">
        <w:rPr>
          <w:i/>
          <w:iCs/>
          <w:lang w:val="bg-BG"/>
        </w:rPr>
        <w:t>cerris</w:t>
      </w:r>
      <w:r w:rsidR="00DE1441" w:rsidRPr="007375EB">
        <w:rPr>
          <w:lang w:val="bg-BG"/>
        </w:rPr>
        <w:t xml:space="preserve">, </w:t>
      </w:r>
      <w:r w:rsidR="00AC3707" w:rsidRPr="007375EB">
        <w:rPr>
          <w:lang w:val="bg-BG"/>
        </w:rPr>
        <w:t>дуб</w:t>
      </w:r>
      <w:r w:rsidR="00DE1441" w:rsidRPr="007375EB">
        <w:rPr>
          <w:lang w:val="bg-BG"/>
        </w:rPr>
        <w:t xml:space="preserve"> </w:t>
      </w:r>
      <w:r w:rsidR="00DE1441" w:rsidRPr="007375EB">
        <w:rPr>
          <w:i/>
          <w:iCs/>
          <w:lang w:val="bg-BG"/>
        </w:rPr>
        <w:t>Quercus penduculiflora</w:t>
      </w:r>
      <w:r w:rsidR="00DE1441" w:rsidRPr="007375EB">
        <w:rPr>
          <w:lang w:val="bg-BG"/>
        </w:rPr>
        <w:t xml:space="preserve">. </w:t>
      </w:r>
      <w:r w:rsidR="00AC3707" w:rsidRPr="007375EB">
        <w:rPr>
          <w:lang w:val="bg-BG"/>
        </w:rPr>
        <w:t>Застрашени растителни видове в тези гори</w:t>
      </w:r>
      <w:r w:rsidR="00DE1441" w:rsidRPr="007375EB">
        <w:rPr>
          <w:lang w:val="bg-BG"/>
        </w:rPr>
        <w:t xml:space="preserve">: </w:t>
      </w:r>
      <w:r w:rsidRPr="007375EB">
        <w:rPr>
          <w:lang w:val="bg-BG"/>
        </w:rPr>
        <w:t xml:space="preserve">Асфоделина жълта </w:t>
      </w:r>
      <w:r w:rsidR="00DE1441" w:rsidRPr="007375EB">
        <w:rPr>
          <w:i/>
          <w:iCs/>
          <w:lang w:val="bg-BG"/>
        </w:rPr>
        <w:t>Asphodeline lutea</w:t>
      </w:r>
      <w:r w:rsidR="00DE1441" w:rsidRPr="007375EB">
        <w:rPr>
          <w:lang w:val="bg-BG"/>
        </w:rPr>
        <w:t xml:space="preserve">, </w:t>
      </w:r>
      <w:r w:rsidRPr="007375EB">
        <w:rPr>
          <w:lang w:val="bg-BG"/>
        </w:rPr>
        <w:t xml:space="preserve">Шафран Палас </w:t>
      </w:r>
      <w:r w:rsidR="00DE1441" w:rsidRPr="007375EB">
        <w:rPr>
          <w:i/>
          <w:iCs/>
          <w:lang w:val="bg-BG"/>
        </w:rPr>
        <w:t>Crocus pallisii</w:t>
      </w:r>
      <w:r w:rsidR="00DE1441" w:rsidRPr="007375EB">
        <w:rPr>
          <w:lang w:val="bg-BG"/>
        </w:rPr>
        <w:t xml:space="preserve">, </w:t>
      </w:r>
      <w:r w:rsidR="00DE1441" w:rsidRPr="007375EB">
        <w:rPr>
          <w:i/>
          <w:iCs/>
          <w:lang w:val="bg-BG"/>
        </w:rPr>
        <w:t>Mercurialis ovata</w:t>
      </w:r>
      <w:r w:rsidR="00DE1441" w:rsidRPr="007375EB">
        <w:rPr>
          <w:lang w:val="bg-BG"/>
        </w:rPr>
        <w:t xml:space="preserve">, </w:t>
      </w:r>
      <w:r w:rsidR="00DE1441" w:rsidRPr="007375EB">
        <w:rPr>
          <w:i/>
          <w:iCs/>
          <w:lang w:val="bg-BG"/>
        </w:rPr>
        <w:t>Myrrhoides nodosa</w:t>
      </w:r>
      <w:r w:rsidR="00DE1441" w:rsidRPr="007375EB">
        <w:rPr>
          <w:lang w:val="bg-BG"/>
        </w:rPr>
        <w:t xml:space="preserve">, </w:t>
      </w:r>
      <w:r w:rsidR="00DE1441" w:rsidRPr="007375EB">
        <w:rPr>
          <w:i/>
          <w:iCs/>
          <w:lang w:val="bg-BG"/>
        </w:rPr>
        <w:t>Pipitatherum virescens</w:t>
      </w:r>
      <w:r w:rsidR="00DE1441" w:rsidRPr="007375EB">
        <w:rPr>
          <w:lang w:val="bg-BG"/>
        </w:rPr>
        <w:t>.</w:t>
      </w:r>
    </w:p>
    <w:p w14:paraId="56FF8159" w14:textId="570EB035" w:rsidR="00DE1441" w:rsidRPr="007375EB" w:rsidRDefault="00871FE7" w:rsidP="00DE1441">
      <w:pPr>
        <w:spacing w:after="120" w:line="360" w:lineRule="auto"/>
        <w:jc w:val="both"/>
        <w:rPr>
          <w:lang w:val="bg-BG"/>
        </w:rPr>
      </w:pPr>
      <w:r w:rsidRPr="007375EB">
        <w:rPr>
          <w:lang w:val="bg-BG"/>
        </w:rPr>
        <w:lastRenderedPageBreak/>
        <w:t xml:space="preserve">Мястото е дом на растителни видове, защитени на европейско ниво - приложение II към Директивата за местообитанията </w:t>
      </w:r>
      <w:r w:rsidR="00DE1441" w:rsidRPr="007375EB">
        <w:rPr>
          <w:lang w:val="bg-BG"/>
        </w:rPr>
        <w:t xml:space="preserve">-: </w:t>
      </w:r>
      <w:r w:rsidR="00DE1441" w:rsidRPr="007375EB">
        <w:rPr>
          <w:i/>
          <w:iCs/>
          <w:lang w:val="bg-BG"/>
        </w:rPr>
        <w:t>Centaurea jankae</w:t>
      </w:r>
      <w:r w:rsidR="00DE1441" w:rsidRPr="007375EB">
        <w:rPr>
          <w:lang w:val="bg-BG"/>
        </w:rPr>
        <w:t xml:space="preserve">, </w:t>
      </w:r>
      <w:r w:rsidR="00DE1441" w:rsidRPr="007375EB">
        <w:rPr>
          <w:i/>
          <w:iCs/>
          <w:lang w:val="bg-BG"/>
        </w:rPr>
        <w:t>Himantoglossum caprinum</w:t>
      </w:r>
      <w:r w:rsidR="00DE1441" w:rsidRPr="007375EB">
        <w:rPr>
          <w:lang w:val="bg-BG"/>
        </w:rPr>
        <w:t xml:space="preserve">, </w:t>
      </w:r>
      <w:r w:rsidR="00DE1441" w:rsidRPr="007375EB">
        <w:rPr>
          <w:i/>
          <w:iCs/>
          <w:lang w:val="bg-BG"/>
        </w:rPr>
        <w:t>Potentilla emilii-popii</w:t>
      </w:r>
      <w:r w:rsidR="00DE1441" w:rsidRPr="007375EB">
        <w:rPr>
          <w:lang w:val="bg-BG"/>
        </w:rPr>
        <w:t xml:space="preserve">, </w:t>
      </w:r>
      <w:r w:rsidR="00DE1441" w:rsidRPr="007375EB">
        <w:rPr>
          <w:i/>
          <w:iCs/>
          <w:lang w:val="bg-BG"/>
        </w:rPr>
        <w:t>Echium russicum</w:t>
      </w:r>
      <w:r w:rsidR="00DE1441" w:rsidRPr="007375EB">
        <w:rPr>
          <w:lang w:val="bg-BG"/>
        </w:rPr>
        <w:t>.</w:t>
      </w:r>
    </w:p>
    <w:p w14:paraId="23120FCC" w14:textId="5D90F988" w:rsidR="00DE1441" w:rsidRPr="007375EB" w:rsidRDefault="00871FE7" w:rsidP="00DE1441">
      <w:pPr>
        <w:spacing w:after="120" w:line="360" w:lineRule="auto"/>
        <w:jc w:val="both"/>
        <w:rPr>
          <w:lang w:val="bg-BG"/>
        </w:rPr>
      </w:pPr>
      <w:r w:rsidRPr="007375EB">
        <w:rPr>
          <w:lang w:val="bg-BG"/>
        </w:rPr>
        <w:t xml:space="preserve">От безгръбначните видове най-добре е представен разредът </w:t>
      </w:r>
      <w:r w:rsidRPr="007375EB">
        <w:rPr>
          <w:i/>
          <w:iCs/>
          <w:lang w:val="bg-BG"/>
        </w:rPr>
        <w:t>Lepidoptera</w:t>
      </w:r>
      <w:r w:rsidRPr="007375EB">
        <w:rPr>
          <w:lang w:val="bg-BG"/>
        </w:rPr>
        <w:t xml:space="preserve"> </w:t>
      </w:r>
      <w:r w:rsidRPr="007375EB">
        <w:rPr>
          <w:i/>
          <w:iCs/>
          <w:lang w:val="bg-BG"/>
        </w:rPr>
        <w:t>fluturii</w:t>
      </w:r>
      <w:r w:rsidRPr="007375EB">
        <w:rPr>
          <w:lang w:val="bg-BG"/>
        </w:rPr>
        <w:t xml:space="preserve">. От тях 6 пеперуди са защитени на европейско ниво съгласно Директивата за местообитанията: </w:t>
      </w:r>
      <w:r w:rsidRPr="007375EB">
        <w:rPr>
          <w:i/>
          <w:iCs/>
          <w:lang w:val="bg-BG"/>
        </w:rPr>
        <w:t>Lycaena dispar</w:t>
      </w:r>
      <w:r w:rsidRPr="007375EB">
        <w:rPr>
          <w:lang w:val="bg-BG"/>
        </w:rPr>
        <w:t xml:space="preserve"> - уязвим вид, който предпочита влажни или мокри дъбови гори, богати на </w:t>
      </w:r>
      <w:r w:rsidRPr="007375EB">
        <w:rPr>
          <w:i/>
          <w:iCs/>
          <w:lang w:val="bg-BG"/>
        </w:rPr>
        <w:t>Polygonum bistorta</w:t>
      </w:r>
      <w:r w:rsidRPr="007375EB">
        <w:rPr>
          <w:lang w:val="bg-BG"/>
        </w:rPr>
        <w:t xml:space="preserve"> - растение, което е основна храна за насекомото</w:t>
      </w:r>
      <w:r w:rsidR="00DE1441" w:rsidRPr="007375EB">
        <w:rPr>
          <w:lang w:val="bg-BG"/>
        </w:rPr>
        <w:t xml:space="preserve">; </w:t>
      </w:r>
      <w:r w:rsidRPr="007375EB">
        <w:rPr>
          <w:i/>
          <w:iCs/>
          <w:lang w:val="bg-BG"/>
        </w:rPr>
        <w:t>Lucanus cervus</w:t>
      </w:r>
      <w:r w:rsidRPr="007375EB">
        <w:rPr>
          <w:lang w:val="bg-BG"/>
        </w:rPr>
        <w:t xml:space="preserve">, чието присъствие се определя от старите дървета в гората Думбръвени; молецът </w:t>
      </w:r>
      <w:r w:rsidRPr="007375EB">
        <w:rPr>
          <w:i/>
          <w:iCs/>
          <w:lang w:val="bg-BG"/>
        </w:rPr>
        <w:t>Eriogaster catax</w:t>
      </w:r>
      <w:r w:rsidRPr="007375EB">
        <w:rPr>
          <w:lang w:val="bg-BG"/>
        </w:rPr>
        <w:t xml:space="preserve">, вид, за който много рядко се съобщава в Румъния; други два вида са </w:t>
      </w:r>
      <w:r w:rsidRPr="007375EB">
        <w:rPr>
          <w:i/>
          <w:iCs/>
          <w:lang w:val="bg-BG"/>
        </w:rPr>
        <w:t>Catopta thrips</w:t>
      </w:r>
      <w:r w:rsidRPr="007375EB">
        <w:rPr>
          <w:lang w:val="bg-BG"/>
        </w:rPr>
        <w:t xml:space="preserve"> и </w:t>
      </w:r>
      <w:r w:rsidRPr="007375EB">
        <w:rPr>
          <w:i/>
          <w:iCs/>
          <w:lang w:val="bg-BG"/>
        </w:rPr>
        <w:t>Asthena anseraria</w:t>
      </w:r>
      <w:r w:rsidR="00DE1441" w:rsidRPr="007375EB">
        <w:rPr>
          <w:lang w:val="bg-BG"/>
        </w:rPr>
        <w:t>.</w:t>
      </w:r>
    </w:p>
    <w:p w14:paraId="06F4C999" w14:textId="511FCDC1" w:rsidR="00DE1441" w:rsidRPr="007375EB" w:rsidRDefault="00871FE7" w:rsidP="00DE1441">
      <w:pPr>
        <w:spacing w:after="120" w:line="360" w:lineRule="auto"/>
        <w:jc w:val="both"/>
        <w:rPr>
          <w:lang w:val="bg-BG"/>
        </w:rPr>
      </w:pPr>
      <w:r w:rsidRPr="007375EB">
        <w:rPr>
          <w:lang w:val="bg-BG"/>
        </w:rPr>
        <w:t xml:space="preserve">Сред видовете влечуги и земноводни, които се срещат на мястото, са гребенестият тритон </w:t>
      </w:r>
      <w:r w:rsidRPr="007375EB">
        <w:rPr>
          <w:i/>
          <w:iCs/>
          <w:lang w:val="bg-BG"/>
        </w:rPr>
        <w:t>Triturus dobrogicus</w:t>
      </w:r>
      <w:r w:rsidRPr="007375EB">
        <w:rPr>
          <w:lang w:val="bg-BG"/>
        </w:rPr>
        <w:t xml:space="preserve">, червенокоремната бумка </w:t>
      </w:r>
      <w:r w:rsidRPr="007375EB">
        <w:rPr>
          <w:i/>
          <w:iCs/>
          <w:lang w:val="bg-BG"/>
        </w:rPr>
        <w:t>Bombina bombina</w:t>
      </w:r>
      <w:r w:rsidRPr="007375EB">
        <w:rPr>
          <w:lang w:val="bg-BG"/>
        </w:rPr>
        <w:t xml:space="preserve">, водната костенурка </w:t>
      </w:r>
      <w:r w:rsidRPr="007375EB">
        <w:rPr>
          <w:i/>
          <w:iCs/>
          <w:lang w:val="bg-BG"/>
        </w:rPr>
        <w:t>Emys orbicularis</w:t>
      </w:r>
      <w:r w:rsidRPr="007375EB">
        <w:rPr>
          <w:lang w:val="bg-BG"/>
        </w:rPr>
        <w:t xml:space="preserve"> и други. Един от най-важните видове е добруджанската костенурка </w:t>
      </w:r>
      <w:r w:rsidRPr="007375EB">
        <w:rPr>
          <w:i/>
          <w:iCs/>
          <w:lang w:val="bg-BG"/>
        </w:rPr>
        <w:t>Testudo graeca</w:t>
      </w:r>
      <w:r w:rsidRPr="007375EB">
        <w:rPr>
          <w:lang w:val="bg-BG"/>
        </w:rPr>
        <w:t>, която е обявена за природна забележителност и е строго защитена от закона. Понастоящем популацията на този вид е в рязък спад</w:t>
      </w:r>
      <w:r w:rsidR="00DE1441" w:rsidRPr="007375EB">
        <w:rPr>
          <w:lang w:val="bg-BG"/>
        </w:rPr>
        <w:t>.</w:t>
      </w:r>
    </w:p>
    <w:p w14:paraId="77E6A6CE" w14:textId="3F741815" w:rsidR="00DE1441" w:rsidRPr="007375EB" w:rsidRDefault="00871FE7" w:rsidP="00DE1441">
      <w:pPr>
        <w:spacing w:after="120" w:line="360" w:lineRule="auto"/>
        <w:jc w:val="both"/>
        <w:rPr>
          <w:lang w:val="bg-BG"/>
        </w:rPr>
      </w:pPr>
      <w:r w:rsidRPr="007375EB">
        <w:rPr>
          <w:lang w:val="bg-BG"/>
        </w:rPr>
        <w:t>Мястото е дом на богата орнитофауна, в която са установени над 100 вида птици. Някои видове птици имат важни ята, като например грабливи птици, чучулиги, кълвачи, черноглава овесарка и др. поради което е обявен за специална защитена зона за орнитофауната.</w:t>
      </w:r>
    </w:p>
    <w:p w14:paraId="669A1DD3" w14:textId="55D15F2C" w:rsidR="00DE1441" w:rsidRPr="007375EB" w:rsidRDefault="00871FE7" w:rsidP="00DE1441">
      <w:pPr>
        <w:spacing w:after="120" w:line="360" w:lineRule="auto"/>
        <w:jc w:val="both"/>
        <w:rPr>
          <w:lang w:val="bg-BG"/>
        </w:rPr>
      </w:pPr>
      <w:r w:rsidRPr="007375EB">
        <w:rPr>
          <w:lang w:val="bg-BG"/>
        </w:rPr>
        <w:t xml:space="preserve">Фауната от млекопитаещи включва значителен брой видове, сред които видрата </w:t>
      </w:r>
      <w:r w:rsidRPr="007375EB">
        <w:rPr>
          <w:i/>
          <w:iCs/>
          <w:lang w:val="bg-BG"/>
        </w:rPr>
        <w:t>Lutra lutra</w:t>
      </w:r>
      <w:r w:rsidRPr="007375EB">
        <w:rPr>
          <w:lang w:val="bg-BG"/>
        </w:rPr>
        <w:t xml:space="preserve">, глиганът </w:t>
      </w:r>
      <w:r w:rsidRPr="007375EB">
        <w:rPr>
          <w:i/>
          <w:iCs/>
          <w:lang w:val="bg-BG"/>
        </w:rPr>
        <w:t>Spermophilus citellus</w:t>
      </w:r>
      <w:r w:rsidRPr="007375EB">
        <w:rPr>
          <w:lang w:val="bg-BG"/>
        </w:rPr>
        <w:t xml:space="preserve"> и много видове прилепи.</w:t>
      </w:r>
    </w:p>
    <w:p w14:paraId="63442645" w14:textId="7E5417FB" w:rsidR="00555136" w:rsidRPr="007375EB" w:rsidRDefault="00555136" w:rsidP="00DE1441">
      <w:pPr>
        <w:spacing w:after="120" w:line="360" w:lineRule="auto"/>
        <w:jc w:val="both"/>
        <w:rPr>
          <w:lang w:val="bg-BG"/>
        </w:rPr>
      </w:pPr>
      <w:r w:rsidRPr="007375EB">
        <w:rPr>
          <w:rFonts w:eastAsia="Times New Roman" w:cs="Calibri"/>
          <w:b/>
          <w:bCs/>
          <w:i/>
          <w:iCs/>
          <w:lang w:val="bg-BG" w:eastAsia="en-GB"/>
        </w:rPr>
        <w:t>ROSPA0166</w:t>
      </w:r>
      <w:r w:rsidR="00CF6A16" w:rsidRPr="007375EB">
        <w:rPr>
          <w:b/>
          <w:bCs/>
          <w:i/>
          <w:iCs/>
          <w:lang w:val="bg-BG"/>
        </w:rPr>
        <w:t xml:space="preserve"> </w:t>
      </w:r>
      <w:r w:rsidR="00871FE7" w:rsidRPr="007375EB">
        <w:rPr>
          <w:rFonts w:eastAsia="Times New Roman" w:cs="Calibri"/>
          <w:b/>
          <w:bCs/>
          <w:i/>
          <w:iCs/>
          <w:lang w:val="bg-BG" w:eastAsia="en-GB"/>
        </w:rPr>
        <w:t>Плопени</w:t>
      </w:r>
      <w:r w:rsidR="00CF6A16" w:rsidRPr="007375EB">
        <w:rPr>
          <w:rFonts w:eastAsia="Times New Roman" w:cs="Calibri"/>
          <w:b/>
          <w:bCs/>
          <w:i/>
          <w:iCs/>
          <w:lang w:val="bg-BG" w:eastAsia="en-GB"/>
        </w:rPr>
        <w:t xml:space="preserve"> – </w:t>
      </w:r>
      <w:r w:rsidR="00871FE7" w:rsidRPr="007375EB">
        <w:rPr>
          <w:rFonts w:eastAsia="Times New Roman" w:cs="Calibri"/>
          <w:b/>
          <w:bCs/>
          <w:i/>
          <w:iCs/>
          <w:lang w:val="bg-BG" w:eastAsia="en-GB"/>
        </w:rPr>
        <w:t>Киргонени</w:t>
      </w:r>
      <w:r w:rsidR="00CF6A16" w:rsidRPr="007375EB">
        <w:rPr>
          <w:rFonts w:eastAsia="Times New Roman" w:cs="Calibri"/>
          <w:b/>
          <w:bCs/>
          <w:i/>
          <w:iCs/>
          <w:lang w:val="bg-BG" w:eastAsia="en-GB"/>
        </w:rPr>
        <w:t>.</w:t>
      </w:r>
      <w:r w:rsidRPr="007375EB">
        <w:rPr>
          <w:rFonts w:eastAsia="Times New Roman" w:cs="Calibri"/>
          <w:lang w:val="bg-BG" w:eastAsia="en-GB"/>
        </w:rPr>
        <w:t xml:space="preserve"> </w:t>
      </w:r>
      <w:r w:rsidR="00871FE7" w:rsidRPr="007375EB">
        <w:rPr>
          <w:lang w:val="bg-BG"/>
        </w:rPr>
        <w:t>Природната защитена зона за орнитофаунистични видове е обявена през 2016 г. с Решение на правителството № 663/2016 относно установяването на режима на защитените природни територии и обявяването на специалните защитени зони за орнитофаунистични видове като неразделна част от екологичната мрежа Природа 2000 в Румъния. Територията е с площ от 137,20 ха и е определена за 9 вида птици, а именно</w:t>
      </w:r>
      <w:r w:rsidR="00CF6A16" w:rsidRPr="007375EB">
        <w:rPr>
          <w:lang w:val="bg-BG"/>
        </w:rPr>
        <w:t xml:space="preserve">: </w:t>
      </w:r>
      <w:r w:rsidR="00CF6A16" w:rsidRPr="007375EB">
        <w:rPr>
          <w:rFonts w:asciiTheme="majorHAnsi" w:hAnsiTheme="majorHAnsi" w:cs="Arial"/>
          <w:i/>
          <w:iCs/>
          <w:lang w:val="bg-BG"/>
        </w:rPr>
        <w:t>Anthus campestris, Buteo rufinus, Circus cyaneus, Dendrocopos syriacus, Emberiza hortulana, Falco columbarius, Falco vespertinus, Lanius collurio, Lanius minor.</w:t>
      </w:r>
      <w:r w:rsidR="00CF6A16" w:rsidRPr="007375EB">
        <w:rPr>
          <w:rFonts w:ascii="Arial" w:hAnsi="Arial" w:cs="Arial"/>
          <w:lang w:val="bg-BG"/>
        </w:rPr>
        <w:t xml:space="preserve"> </w:t>
      </w:r>
      <w:r w:rsidR="00C54882" w:rsidRPr="007375EB">
        <w:rPr>
          <w:lang w:val="bg-BG"/>
        </w:rPr>
        <w:t>Мястото е разположено от север на юг, между Плопени и Кирногени (окръг Констанца), покрай пътя, който свързва двете населени места. Вечерните лешояди (</w:t>
      </w:r>
      <w:r w:rsidR="00C54882" w:rsidRPr="007375EB">
        <w:rPr>
          <w:i/>
          <w:iCs/>
          <w:lang w:val="bg-BG"/>
        </w:rPr>
        <w:t>Falco vespertinus</w:t>
      </w:r>
      <w:r w:rsidR="00C54882" w:rsidRPr="007375EB">
        <w:rPr>
          <w:lang w:val="bg-BG"/>
        </w:rPr>
        <w:t>) гнездят в гнездата на посевните врани в ореховите дървета покрай пътя. Повече или по-малко деградирали тревни площи се намират покрай пътя, също и на територията на обекта. Също така в рамките на обекта има значителни насаждения от акация, които в бъдеще могат да приютят други колонии на глухари. Около обекта се намират земеделски площи, които са ловно поле за вечерния глухар.</w:t>
      </w:r>
    </w:p>
    <w:p w14:paraId="4177248F" w14:textId="42C65F14" w:rsidR="00DE1441" w:rsidRPr="007375EB" w:rsidRDefault="00DE1441" w:rsidP="00DE1441">
      <w:pPr>
        <w:spacing w:after="120" w:line="360" w:lineRule="auto"/>
        <w:jc w:val="both"/>
        <w:rPr>
          <w:lang w:val="bg-BG"/>
        </w:rPr>
      </w:pPr>
      <w:r w:rsidRPr="007375EB">
        <w:rPr>
          <w:b/>
          <w:bCs/>
          <w:i/>
          <w:iCs/>
          <w:lang w:val="bg-BG"/>
        </w:rPr>
        <w:t xml:space="preserve">ROSPA0036 </w:t>
      </w:r>
      <w:r w:rsidR="00C54882" w:rsidRPr="007375EB">
        <w:rPr>
          <w:b/>
          <w:bCs/>
          <w:i/>
          <w:iCs/>
          <w:lang w:val="bg-BG"/>
        </w:rPr>
        <w:t>Думбръвени</w:t>
      </w:r>
      <w:r w:rsidRPr="007375EB">
        <w:rPr>
          <w:lang w:val="bg-BG"/>
        </w:rPr>
        <w:t xml:space="preserve"> </w:t>
      </w:r>
      <w:r w:rsidR="00C54882" w:rsidRPr="007375EB">
        <w:rPr>
          <w:lang w:val="bg-BG"/>
        </w:rPr>
        <w:t>е създадена като специална защитена зона за орнитофаунистични видове с РП № 1284/2007 за обявяване на специални защитени зони за орнитофаунистични видове като неразделна част от европейската екологична мрежа Природа 2000 в Румъния, с последващи изменения и допълнения</w:t>
      </w:r>
      <w:r w:rsidRPr="007375EB">
        <w:rPr>
          <w:lang w:val="bg-BG"/>
        </w:rPr>
        <w:t>.</w:t>
      </w:r>
    </w:p>
    <w:p w14:paraId="12C253ED" w14:textId="620251BD" w:rsidR="00DE1441" w:rsidRPr="007375EB" w:rsidRDefault="00DE1441" w:rsidP="00DE1441">
      <w:pPr>
        <w:spacing w:after="120" w:line="360" w:lineRule="auto"/>
        <w:jc w:val="both"/>
        <w:rPr>
          <w:lang w:val="bg-BG"/>
        </w:rPr>
      </w:pPr>
      <w:r w:rsidRPr="007375EB">
        <w:rPr>
          <w:lang w:val="bg-BG"/>
        </w:rPr>
        <w:t xml:space="preserve">ROSPA0036 </w:t>
      </w:r>
      <w:r w:rsidR="00C54882" w:rsidRPr="007375EB">
        <w:rPr>
          <w:lang w:val="bg-BG"/>
        </w:rPr>
        <w:t xml:space="preserve">Думбръвени е от особена важност заради 22-те вида птици от европейско природозащитно значение, както и заради наличието на два световно застрашени вида - гнездящата голяма белочела сврачка </w:t>
      </w:r>
      <w:r w:rsidR="00C54882" w:rsidRPr="007375EB">
        <w:rPr>
          <w:i/>
          <w:iCs/>
          <w:lang w:val="bg-BG"/>
        </w:rPr>
        <w:t>Coracias garrulus</w:t>
      </w:r>
      <w:r w:rsidR="00C54882" w:rsidRPr="007375EB">
        <w:rPr>
          <w:lang w:val="bg-BG"/>
        </w:rPr>
        <w:t xml:space="preserve"> и </w:t>
      </w:r>
      <w:r w:rsidR="00C54882" w:rsidRPr="007375EB">
        <w:rPr>
          <w:i/>
          <w:iCs/>
          <w:lang w:val="bg-BG"/>
        </w:rPr>
        <w:t>бялата чапла</w:t>
      </w:r>
      <w:r w:rsidR="00C54882" w:rsidRPr="007375EB">
        <w:rPr>
          <w:lang w:val="bg-BG"/>
        </w:rPr>
        <w:t xml:space="preserve"> Circus macrourus</w:t>
      </w:r>
      <w:r w:rsidRPr="007375EB">
        <w:rPr>
          <w:lang w:val="bg-BG"/>
        </w:rPr>
        <w:t>.</w:t>
      </w:r>
    </w:p>
    <w:p w14:paraId="441A53A2" w14:textId="0F6BF9A6" w:rsidR="00DE1441" w:rsidRPr="007375EB" w:rsidRDefault="0082440A" w:rsidP="00DE1441">
      <w:pPr>
        <w:spacing w:after="120" w:line="360" w:lineRule="auto"/>
        <w:jc w:val="both"/>
        <w:rPr>
          <w:lang w:val="bg-BG"/>
        </w:rPr>
      </w:pPr>
      <w:r w:rsidRPr="007375EB">
        <w:rPr>
          <w:lang w:val="bg-BG"/>
        </w:rPr>
        <w:t>Мястото също е важно, защото представлява важна зона за гнездене на видове, застрашени на ниво ЕС</w:t>
      </w:r>
      <w:r w:rsidR="00DE1441" w:rsidRPr="007375EB">
        <w:rPr>
          <w:lang w:val="bg-BG"/>
        </w:rPr>
        <w:t xml:space="preserve">, </w:t>
      </w:r>
      <w:r w:rsidR="00DE1441" w:rsidRPr="007375EB">
        <w:rPr>
          <w:i/>
          <w:iCs/>
          <w:lang w:val="bg-BG"/>
        </w:rPr>
        <w:t xml:space="preserve">Dendrocopos syriacus, Lanius minor, Hieraaetus pennatus, Emberiza hortulana, Lullula </w:t>
      </w:r>
      <w:r w:rsidR="00DE1441" w:rsidRPr="007375EB">
        <w:rPr>
          <w:i/>
          <w:iCs/>
          <w:lang w:val="bg-BG"/>
        </w:rPr>
        <w:lastRenderedPageBreak/>
        <w:t>arborea, Accipiter brevipes, Milvus migrans, Buteo rufinus</w:t>
      </w:r>
      <w:r w:rsidR="00DE1441" w:rsidRPr="007375EB">
        <w:rPr>
          <w:lang w:val="bg-BG"/>
        </w:rPr>
        <w:t xml:space="preserve">. </w:t>
      </w:r>
      <w:r w:rsidRPr="007375EB">
        <w:rPr>
          <w:lang w:val="bg-BG"/>
        </w:rPr>
        <w:t>Мястото е особено важно по време на периода на миграция за видовете грабливи птици</w:t>
      </w:r>
      <w:r w:rsidR="00DE1441" w:rsidRPr="007375EB">
        <w:rPr>
          <w:lang w:val="bg-BG"/>
        </w:rPr>
        <w:t>.</w:t>
      </w:r>
    </w:p>
    <w:p w14:paraId="16569AA3" w14:textId="5550A397" w:rsidR="00C54882" w:rsidRPr="007375EB" w:rsidRDefault="00DE1441" w:rsidP="00DE1441">
      <w:pPr>
        <w:spacing w:after="120" w:line="360" w:lineRule="auto"/>
        <w:jc w:val="both"/>
        <w:rPr>
          <w:lang w:val="bg-BG"/>
        </w:rPr>
      </w:pPr>
      <w:r w:rsidRPr="007375EB">
        <w:rPr>
          <w:lang w:val="bg-BG"/>
        </w:rPr>
        <w:t xml:space="preserve">ROSPA0036 </w:t>
      </w:r>
      <w:r w:rsidR="00C54882" w:rsidRPr="007375EB">
        <w:rPr>
          <w:lang w:val="bg-BG"/>
        </w:rPr>
        <w:t xml:space="preserve">Думбръвени с площ от 2056 ха се припокрива с ROSCI0071 </w:t>
      </w:r>
      <w:r w:rsidR="00C54882" w:rsidRPr="007375EB">
        <w:rPr>
          <w:rFonts w:eastAsia="Times New Roman" w:cs="Calibri"/>
          <w:lang w:val="bg-BG" w:eastAsia="en-GB"/>
        </w:rPr>
        <w:t xml:space="preserve">Думбръвени </w:t>
      </w:r>
      <w:r w:rsidR="00C54882" w:rsidRPr="007375EB">
        <w:rPr>
          <w:rFonts w:asciiTheme="minorHAnsi" w:hAnsiTheme="minorHAnsi" w:cs="Segoe UI Symbol"/>
          <w:lang w:val="bg-BG"/>
        </w:rPr>
        <w:t xml:space="preserve">- </w:t>
      </w:r>
      <w:r w:rsidR="00C54882" w:rsidRPr="007375EB">
        <w:rPr>
          <w:rFonts w:eastAsia="Times New Roman" w:cs="Calibri"/>
          <w:lang w:val="bg-BG" w:eastAsia="en-GB"/>
        </w:rPr>
        <w:t xml:space="preserve">Долината Урлуя </w:t>
      </w:r>
      <w:r w:rsidR="00C54882" w:rsidRPr="007375EB">
        <w:rPr>
          <w:rFonts w:asciiTheme="minorHAnsi" w:hAnsiTheme="minorHAnsi" w:cs="Segoe UI Symbol"/>
          <w:lang w:val="bg-BG"/>
        </w:rPr>
        <w:t xml:space="preserve">- </w:t>
      </w:r>
      <w:r w:rsidR="00C54882" w:rsidRPr="007375EB">
        <w:rPr>
          <w:rFonts w:eastAsia="Times New Roman" w:cs="Calibri"/>
          <w:lang w:val="bg-BG" w:eastAsia="en-GB"/>
        </w:rPr>
        <w:t>езерото Ведероаса</w:t>
      </w:r>
      <w:r w:rsidR="00C54882" w:rsidRPr="007375EB">
        <w:rPr>
          <w:lang w:val="bg-BG"/>
        </w:rPr>
        <w:t xml:space="preserve"> и Гората Думбръвени и се намира на територията на следните населени места: Шипотеле, Туфани, Фурника, Думбръвени, Олтени.</w:t>
      </w:r>
    </w:p>
    <w:p w14:paraId="3A372EDE" w14:textId="60AF0E1E" w:rsidR="00DE1441" w:rsidRPr="007375EB" w:rsidRDefault="00C54882" w:rsidP="0082440A">
      <w:pPr>
        <w:spacing w:after="120" w:line="360" w:lineRule="auto"/>
        <w:jc w:val="both"/>
        <w:rPr>
          <w:lang w:val="bg-BG"/>
        </w:rPr>
      </w:pPr>
      <w:r w:rsidRPr="007375EB">
        <w:rPr>
          <w:lang w:val="bg-BG"/>
        </w:rPr>
        <w:t xml:space="preserve">От орнитологична гледна точка гората Думбръвени - заедно с околностите ѝ - е домакин на важни ята от защитени видове птици. В рамките на обекта са установени следните категории: 23 вида, включени в приложение 1 към Директивата за птиците; 66 мигриращи вида, включени в приложенията към Конвенцията за мигриращите видове, като важна зона за гнездене на много видове, като например градинския кълвач </w:t>
      </w:r>
      <w:r w:rsidRPr="007375EB">
        <w:rPr>
          <w:i/>
          <w:iCs/>
          <w:lang w:val="bg-BG"/>
        </w:rPr>
        <w:t>Dendrocopos syriacus</w:t>
      </w:r>
      <w:r w:rsidRPr="007375EB">
        <w:rPr>
          <w:lang w:val="bg-BG"/>
        </w:rPr>
        <w:t xml:space="preserve">, градинската овесарка </w:t>
      </w:r>
      <w:r w:rsidRPr="007375EB">
        <w:rPr>
          <w:i/>
          <w:iCs/>
          <w:lang w:val="bg-BG"/>
        </w:rPr>
        <w:t>Emberiza hortulana</w:t>
      </w:r>
      <w:r w:rsidRPr="007375EB">
        <w:rPr>
          <w:lang w:val="bg-BG"/>
        </w:rPr>
        <w:t xml:space="preserve">, черния кълвач </w:t>
      </w:r>
      <w:r w:rsidRPr="007375EB">
        <w:rPr>
          <w:i/>
          <w:iCs/>
          <w:lang w:val="bg-BG"/>
        </w:rPr>
        <w:t>Lanius minor</w:t>
      </w:r>
      <w:r w:rsidRPr="007375EB">
        <w:rPr>
          <w:lang w:val="bg-BG"/>
        </w:rPr>
        <w:t xml:space="preserve">, късопръстия ястреб </w:t>
      </w:r>
      <w:r w:rsidRPr="007375EB">
        <w:rPr>
          <w:i/>
          <w:iCs/>
          <w:lang w:val="bg-BG"/>
        </w:rPr>
        <w:t>Accipiter brevipes</w:t>
      </w:r>
      <w:r w:rsidRPr="007375EB">
        <w:rPr>
          <w:lang w:val="bg-BG"/>
        </w:rPr>
        <w:t xml:space="preserve">, </w:t>
      </w:r>
      <w:r w:rsidRPr="007375EB">
        <w:rPr>
          <w:i/>
          <w:iCs/>
          <w:lang w:val="bg-BG"/>
        </w:rPr>
        <w:t>Anthus campestris</w:t>
      </w:r>
      <w:r w:rsidRPr="007375EB">
        <w:rPr>
          <w:lang w:val="bg-BG"/>
        </w:rPr>
        <w:t xml:space="preserve">, черноглав гмурец </w:t>
      </w:r>
      <w:r w:rsidRPr="007375EB">
        <w:rPr>
          <w:i/>
          <w:iCs/>
          <w:lang w:val="bg-BG"/>
        </w:rPr>
        <w:t>Circus cyaneus</w:t>
      </w:r>
      <w:r w:rsidRPr="007375EB">
        <w:rPr>
          <w:lang w:val="bg-BG"/>
        </w:rPr>
        <w:t xml:space="preserve">, малък орел </w:t>
      </w:r>
      <w:r w:rsidRPr="007375EB">
        <w:rPr>
          <w:i/>
          <w:iCs/>
          <w:lang w:val="bg-BG"/>
        </w:rPr>
        <w:t>Hieraaetus pennatus</w:t>
      </w:r>
      <w:r w:rsidRPr="007375EB">
        <w:rPr>
          <w:lang w:val="bg-BG"/>
        </w:rPr>
        <w:t xml:space="preserve">, белочела сврачка </w:t>
      </w:r>
      <w:r w:rsidRPr="007375EB">
        <w:rPr>
          <w:i/>
          <w:iCs/>
          <w:lang w:val="bg-BG"/>
        </w:rPr>
        <w:t>Circus macrourus</w:t>
      </w:r>
      <w:r w:rsidRPr="007375EB">
        <w:rPr>
          <w:lang w:val="bg-BG"/>
        </w:rPr>
        <w:t xml:space="preserve">, белоопашат гмурец </w:t>
      </w:r>
      <w:r w:rsidRPr="007375EB">
        <w:rPr>
          <w:i/>
          <w:iCs/>
          <w:lang w:val="bg-BG"/>
        </w:rPr>
        <w:t>Coracias garrulus</w:t>
      </w:r>
      <w:r w:rsidRPr="007375EB">
        <w:rPr>
          <w:lang w:val="bg-BG"/>
        </w:rPr>
        <w:t>, като последните два вида са световно застрашени</w:t>
      </w:r>
      <w:r w:rsidR="00DE1441" w:rsidRPr="007375EB">
        <w:rPr>
          <w:lang w:val="bg-BG"/>
        </w:rPr>
        <w:t>.</w:t>
      </w:r>
    </w:p>
    <w:p w14:paraId="720DD5D5" w14:textId="197342B3" w:rsidR="00DE1441" w:rsidRPr="007375EB" w:rsidRDefault="00C54882" w:rsidP="00DE1441">
      <w:pPr>
        <w:spacing w:after="120" w:line="360" w:lineRule="auto"/>
        <w:jc w:val="both"/>
        <w:rPr>
          <w:lang w:val="bg-BG"/>
        </w:rPr>
      </w:pPr>
      <w:r w:rsidRPr="007375EB">
        <w:rPr>
          <w:lang w:val="bg-BG"/>
        </w:rPr>
        <w:t xml:space="preserve">Мястото се пресича по време на миграция от многобройни видове хищни птици, сред които южната чапла </w:t>
      </w:r>
      <w:r w:rsidRPr="007375EB">
        <w:rPr>
          <w:i/>
          <w:iCs/>
          <w:lang w:val="bg-BG"/>
        </w:rPr>
        <w:t>Circus pygargus</w:t>
      </w:r>
      <w:r w:rsidRPr="007375EB">
        <w:rPr>
          <w:lang w:val="bg-BG"/>
        </w:rPr>
        <w:t xml:space="preserve">, червената чапла </w:t>
      </w:r>
      <w:r w:rsidRPr="007375EB">
        <w:rPr>
          <w:i/>
          <w:iCs/>
          <w:lang w:val="bg-BG"/>
        </w:rPr>
        <w:t>Circus cyaneus</w:t>
      </w:r>
      <w:r w:rsidRPr="007375EB">
        <w:rPr>
          <w:lang w:val="bg-BG"/>
        </w:rPr>
        <w:t xml:space="preserve">, бялата чапла </w:t>
      </w:r>
      <w:r w:rsidRPr="007375EB">
        <w:rPr>
          <w:i/>
          <w:iCs/>
          <w:lang w:val="bg-BG"/>
        </w:rPr>
        <w:t>Circus macrourus</w:t>
      </w:r>
      <w:r w:rsidRPr="007375EB">
        <w:rPr>
          <w:lang w:val="bg-BG"/>
        </w:rPr>
        <w:t xml:space="preserve">, соколът скитник </w:t>
      </w:r>
      <w:r w:rsidRPr="007375EB">
        <w:rPr>
          <w:i/>
          <w:iCs/>
          <w:lang w:val="bg-BG"/>
        </w:rPr>
        <w:t>Falco peregrinus</w:t>
      </w:r>
      <w:r w:rsidRPr="007375EB">
        <w:rPr>
          <w:lang w:val="bg-BG"/>
        </w:rPr>
        <w:t>, черната сойка</w:t>
      </w:r>
      <w:r w:rsidR="00DE1441" w:rsidRPr="007375EB">
        <w:rPr>
          <w:lang w:val="bg-BG"/>
        </w:rPr>
        <w:t xml:space="preserve"> </w:t>
      </w:r>
      <w:r w:rsidR="00DE1441" w:rsidRPr="007375EB">
        <w:rPr>
          <w:i/>
          <w:iCs/>
          <w:lang w:val="bg-BG"/>
        </w:rPr>
        <w:t>Milvus migrans</w:t>
      </w:r>
      <w:r w:rsidR="00DE1441" w:rsidRPr="007375EB">
        <w:rPr>
          <w:lang w:val="bg-BG"/>
        </w:rPr>
        <w:t>.</w:t>
      </w:r>
    </w:p>
    <w:p w14:paraId="17D14EC2" w14:textId="4EF6DD5E" w:rsidR="00DE1441" w:rsidRPr="007375EB" w:rsidRDefault="00C54882" w:rsidP="00DE1441">
      <w:pPr>
        <w:spacing w:after="120" w:line="360" w:lineRule="auto"/>
        <w:jc w:val="both"/>
        <w:rPr>
          <w:lang w:val="bg-BG"/>
        </w:rPr>
      </w:pPr>
      <w:r w:rsidRPr="007375EB">
        <w:rPr>
          <w:lang w:val="bg-BG"/>
        </w:rPr>
        <w:t>22-те вида птици, изброени в приложение I към Директива 2009/147/ЕО на Съвета, включват</w:t>
      </w:r>
      <w:r w:rsidR="00DE1441" w:rsidRPr="007375EB">
        <w:rPr>
          <w:lang w:val="bg-BG"/>
        </w:rPr>
        <w:t xml:space="preserve">: A402 </w:t>
      </w:r>
      <w:r w:rsidR="00DE1441" w:rsidRPr="007375EB">
        <w:rPr>
          <w:i/>
          <w:iCs/>
          <w:lang w:val="bg-BG"/>
        </w:rPr>
        <w:t>Accipiter brevipes</w:t>
      </w:r>
      <w:r w:rsidR="00DE1441" w:rsidRPr="007375EB">
        <w:rPr>
          <w:lang w:val="bg-BG"/>
        </w:rPr>
        <w:t xml:space="preserve">, A403 </w:t>
      </w:r>
      <w:r w:rsidR="00DE1441" w:rsidRPr="007375EB">
        <w:rPr>
          <w:i/>
          <w:iCs/>
          <w:lang w:val="bg-BG"/>
        </w:rPr>
        <w:t>Buteo rufinus</w:t>
      </w:r>
      <w:r w:rsidR="00DE1441" w:rsidRPr="007375EB">
        <w:rPr>
          <w:lang w:val="bg-BG"/>
        </w:rPr>
        <w:t xml:space="preserve">, A092 </w:t>
      </w:r>
      <w:r w:rsidR="00DE1441" w:rsidRPr="007375EB">
        <w:rPr>
          <w:i/>
          <w:iCs/>
          <w:lang w:val="bg-BG"/>
        </w:rPr>
        <w:t>Hieraaetus pennatus</w:t>
      </w:r>
      <w:r w:rsidR="00DE1441" w:rsidRPr="007375EB">
        <w:rPr>
          <w:lang w:val="bg-BG"/>
        </w:rPr>
        <w:t xml:space="preserve">, A231 </w:t>
      </w:r>
      <w:r w:rsidR="00DE1441" w:rsidRPr="007375EB">
        <w:rPr>
          <w:i/>
          <w:iCs/>
          <w:lang w:val="bg-BG"/>
        </w:rPr>
        <w:t>Coracias garrulus</w:t>
      </w:r>
      <w:r w:rsidR="00DE1441" w:rsidRPr="007375EB">
        <w:rPr>
          <w:lang w:val="bg-BG"/>
        </w:rPr>
        <w:t xml:space="preserve">, A246 </w:t>
      </w:r>
      <w:r w:rsidR="00DE1441" w:rsidRPr="007375EB">
        <w:rPr>
          <w:i/>
          <w:iCs/>
          <w:lang w:val="bg-BG"/>
        </w:rPr>
        <w:t>Lullula arborea</w:t>
      </w:r>
      <w:r w:rsidR="00DE1441" w:rsidRPr="007375EB">
        <w:rPr>
          <w:lang w:val="bg-BG"/>
        </w:rPr>
        <w:t xml:space="preserve">, A339 </w:t>
      </w:r>
      <w:r w:rsidR="00DE1441" w:rsidRPr="007375EB">
        <w:rPr>
          <w:i/>
          <w:iCs/>
          <w:lang w:val="bg-BG"/>
        </w:rPr>
        <w:t>Lanius minor</w:t>
      </w:r>
      <w:r w:rsidR="00DE1441" w:rsidRPr="007375EB">
        <w:rPr>
          <w:lang w:val="bg-BG"/>
        </w:rPr>
        <w:t xml:space="preserve">, A379 </w:t>
      </w:r>
      <w:r w:rsidR="00DE1441" w:rsidRPr="007375EB">
        <w:rPr>
          <w:i/>
          <w:iCs/>
          <w:lang w:val="bg-BG"/>
        </w:rPr>
        <w:t>Emberiza hortulana</w:t>
      </w:r>
      <w:r w:rsidR="00DE1441" w:rsidRPr="007375EB">
        <w:rPr>
          <w:lang w:val="bg-BG"/>
        </w:rPr>
        <w:t xml:space="preserve">, A084 </w:t>
      </w:r>
      <w:r w:rsidR="00DE1441" w:rsidRPr="007375EB">
        <w:rPr>
          <w:i/>
          <w:iCs/>
          <w:lang w:val="bg-BG"/>
        </w:rPr>
        <w:t>Circus pygargus</w:t>
      </w:r>
      <w:r w:rsidR="00DE1441" w:rsidRPr="007375EB">
        <w:rPr>
          <w:lang w:val="bg-BG"/>
        </w:rPr>
        <w:t xml:space="preserve">, A082 </w:t>
      </w:r>
      <w:r w:rsidR="00DE1441" w:rsidRPr="007375EB">
        <w:rPr>
          <w:i/>
          <w:iCs/>
          <w:lang w:val="bg-BG"/>
        </w:rPr>
        <w:t>Circus cyaneus</w:t>
      </w:r>
      <w:r w:rsidR="00DE1441" w:rsidRPr="007375EB">
        <w:rPr>
          <w:lang w:val="bg-BG"/>
        </w:rPr>
        <w:t xml:space="preserve">, A083 </w:t>
      </w:r>
      <w:r w:rsidR="00DE1441" w:rsidRPr="007375EB">
        <w:rPr>
          <w:i/>
          <w:iCs/>
          <w:lang w:val="bg-BG"/>
        </w:rPr>
        <w:t>Circus macrourus</w:t>
      </w:r>
      <w:r w:rsidR="00DE1441" w:rsidRPr="007375EB">
        <w:rPr>
          <w:lang w:val="bg-BG"/>
        </w:rPr>
        <w:t xml:space="preserve">, A103 </w:t>
      </w:r>
      <w:r w:rsidR="00DE1441" w:rsidRPr="007375EB">
        <w:rPr>
          <w:i/>
          <w:iCs/>
          <w:lang w:val="bg-BG"/>
        </w:rPr>
        <w:t>Falco peregrinus</w:t>
      </w:r>
      <w:r w:rsidR="00DE1441" w:rsidRPr="007375EB">
        <w:rPr>
          <w:lang w:val="bg-BG"/>
        </w:rPr>
        <w:t xml:space="preserve">, A338 </w:t>
      </w:r>
      <w:r w:rsidR="00DE1441" w:rsidRPr="007375EB">
        <w:rPr>
          <w:i/>
          <w:iCs/>
          <w:lang w:val="bg-BG"/>
        </w:rPr>
        <w:t>Lanius collurio</w:t>
      </w:r>
      <w:r w:rsidR="00DE1441" w:rsidRPr="007375EB">
        <w:rPr>
          <w:lang w:val="bg-BG"/>
        </w:rPr>
        <w:t xml:space="preserve">, A242 </w:t>
      </w:r>
      <w:r w:rsidR="00DE1441" w:rsidRPr="007375EB">
        <w:rPr>
          <w:i/>
          <w:iCs/>
          <w:lang w:val="bg-BG"/>
        </w:rPr>
        <w:t>Melanocorypha calandra</w:t>
      </w:r>
      <w:r w:rsidR="00DE1441" w:rsidRPr="007375EB">
        <w:rPr>
          <w:lang w:val="bg-BG"/>
        </w:rPr>
        <w:t xml:space="preserve">, A533 </w:t>
      </w:r>
      <w:r w:rsidR="00DE1441" w:rsidRPr="007375EB">
        <w:rPr>
          <w:i/>
          <w:iCs/>
          <w:lang w:val="bg-BG"/>
        </w:rPr>
        <w:t>Oenanthe pleschanka</w:t>
      </w:r>
      <w:r w:rsidR="00DE1441" w:rsidRPr="007375EB">
        <w:rPr>
          <w:lang w:val="bg-BG"/>
        </w:rPr>
        <w:t xml:space="preserve">, A255 </w:t>
      </w:r>
      <w:r w:rsidR="00DE1441" w:rsidRPr="007375EB">
        <w:rPr>
          <w:i/>
          <w:iCs/>
          <w:lang w:val="bg-BG"/>
        </w:rPr>
        <w:t>Anthus campestris</w:t>
      </w:r>
      <w:r w:rsidR="00DE1441" w:rsidRPr="007375EB">
        <w:rPr>
          <w:lang w:val="bg-BG"/>
        </w:rPr>
        <w:t xml:space="preserve">, A089 </w:t>
      </w:r>
      <w:r w:rsidR="00DE1441" w:rsidRPr="007375EB">
        <w:rPr>
          <w:i/>
          <w:iCs/>
          <w:lang w:val="bg-BG"/>
        </w:rPr>
        <w:t>Aquila pomarina</w:t>
      </w:r>
      <w:r w:rsidR="00DE1441" w:rsidRPr="007375EB">
        <w:rPr>
          <w:lang w:val="bg-BG"/>
        </w:rPr>
        <w:t xml:space="preserve">, A243 </w:t>
      </w:r>
      <w:r w:rsidR="00DE1441" w:rsidRPr="007375EB">
        <w:rPr>
          <w:i/>
          <w:iCs/>
          <w:lang w:val="bg-BG"/>
        </w:rPr>
        <w:t>Calandrella brachydactyla</w:t>
      </w:r>
      <w:r w:rsidR="00DE1441" w:rsidRPr="007375EB">
        <w:rPr>
          <w:lang w:val="bg-BG"/>
        </w:rPr>
        <w:t xml:space="preserve">, A224 </w:t>
      </w:r>
      <w:r w:rsidR="00DE1441" w:rsidRPr="007375EB">
        <w:rPr>
          <w:i/>
          <w:iCs/>
          <w:lang w:val="bg-BG"/>
        </w:rPr>
        <w:t>Caprimulgus europaeus</w:t>
      </w:r>
      <w:r w:rsidR="00DE1441" w:rsidRPr="007375EB">
        <w:rPr>
          <w:lang w:val="bg-BG"/>
        </w:rPr>
        <w:t xml:space="preserve">, A321 </w:t>
      </w:r>
      <w:r w:rsidR="00DE1441" w:rsidRPr="007375EB">
        <w:rPr>
          <w:i/>
          <w:iCs/>
          <w:lang w:val="bg-BG"/>
        </w:rPr>
        <w:t>Ficedula albicollis</w:t>
      </w:r>
      <w:r w:rsidR="00DE1441" w:rsidRPr="007375EB">
        <w:rPr>
          <w:lang w:val="bg-BG"/>
        </w:rPr>
        <w:t xml:space="preserve">, A429 </w:t>
      </w:r>
      <w:r w:rsidR="00DE1441" w:rsidRPr="007375EB">
        <w:rPr>
          <w:i/>
          <w:iCs/>
          <w:lang w:val="bg-BG"/>
        </w:rPr>
        <w:t>Dendrocopos syriacus</w:t>
      </w:r>
      <w:r w:rsidR="00DE1441" w:rsidRPr="007375EB">
        <w:rPr>
          <w:lang w:val="bg-BG"/>
        </w:rPr>
        <w:t xml:space="preserve">, A072 </w:t>
      </w:r>
      <w:r w:rsidR="00DE1441" w:rsidRPr="007375EB">
        <w:rPr>
          <w:i/>
          <w:iCs/>
          <w:lang w:val="bg-BG"/>
        </w:rPr>
        <w:t>Pernis apivorus</w:t>
      </w:r>
      <w:r w:rsidR="00DE1441" w:rsidRPr="007375EB">
        <w:rPr>
          <w:lang w:val="bg-BG"/>
        </w:rPr>
        <w:t xml:space="preserve">, A073 </w:t>
      </w:r>
      <w:r w:rsidR="00DE1441" w:rsidRPr="007375EB">
        <w:rPr>
          <w:i/>
          <w:iCs/>
          <w:lang w:val="bg-BG"/>
        </w:rPr>
        <w:t>Milvus migrans</w:t>
      </w:r>
      <w:r w:rsidR="00CF6A16" w:rsidRPr="007375EB">
        <w:rPr>
          <w:lang w:val="bg-BG"/>
        </w:rPr>
        <w:t>.</w:t>
      </w:r>
    </w:p>
    <w:p w14:paraId="53C71E0D" w14:textId="468C80A4" w:rsidR="00DE1441" w:rsidRPr="007375EB" w:rsidRDefault="00DE1441" w:rsidP="00DE1441">
      <w:pPr>
        <w:spacing w:after="120" w:line="360" w:lineRule="auto"/>
        <w:jc w:val="both"/>
        <w:rPr>
          <w:lang w:val="bg-BG"/>
        </w:rPr>
      </w:pPr>
      <w:r w:rsidRPr="007375EB">
        <w:rPr>
          <w:b/>
          <w:bCs/>
          <w:i/>
          <w:iCs/>
          <w:lang w:val="bg-BG" w:eastAsia="ro-RO"/>
        </w:rPr>
        <w:t xml:space="preserve">ROSPA0094 </w:t>
      </w:r>
      <w:r w:rsidR="00C54882" w:rsidRPr="007375EB">
        <w:rPr>
          <w:b/>
          <w:bCs/>
          <w:i/>
          <w:iCs/>
          <w:lang w:val="bg-BG" w:eastAsia="ro-RO"/>
        </w:rPr>
        <w:t xml:space="preserve">Гората Хаджиени </w:t>
      </w:r>
      <w:r w:rsidR="00C54882" w:rsidRPr="007375EB">
        <w:rPr>
          <w:lang w:val="bg-BG" w:eastAsia="ro-RO"/>
        </w:rPr>
        <w:t>специална орнитологична защитена зона е създадена с правителствено решение № 1284/2007 за обявяване на специални орнитологични защитени зони като неразделна част от европейската екологична мрежа Природа 2000 в Румъния, с последващи изменения и допълнения</w:t>
      </w:r>
      <w:r w:rsidRPr="007375EB">
        <w:rPr>
          <w:lang w:val="bg-BG" w:eastAsia="ro-RO"/>
        </w:rPr>
        <w:t>.</w:t>
      </w:r>
    </w:p>
    <w:p w14:paraId="4AD7053F" w14:textId="30E79C74" w:rsidR="00C54882" w:rsidRPr="007375EB" w:rsidRDefault="00C54882" w:rsidP="00C54882">
      <w:pPr>
        <w:spacing w:after="120" w:line="360" w:lineRule="auto"/>
        <w:jc w:val="both"/>
        <w:rPr>
          <w:lang w:val="bg-BG"/>
        </w:rPr>
      </w:pPr>
      <w:r w:rsidRPr="007375EB">
        <w:rPr>
          <w:lang w:val="bg-BG"/>
        </w:rPr>
        <w:t xml:space="preserve">В местността R0SPA0094 </w:t>
      </w:r>
      <w:r w:rsidRPr="007375EB">
        <w:rPr>
          <w:lang w:val="bg-BG" w:eastAsia="ro-RO"/>
        </w:rPr>
        <w:t>Гората Хаджиени</w:t>
      </w:r>
      <w:r w:rsidRPr="007375EB">
        <w:rPr>
          <w:b/>
          <w:bCs/>
          <w:i/>
          <w:iCs/>
          <w:lang w:val="bg-BG" w:eastAsia="ro-RO"/>
        </w:rPr>
        <w:t xml:space="preserve"> </w:t>
      </w:r>
      <w:r w:rsidRPr="007375EB">
        <w:rPr>
          <w:lang w:val="bg-BG"/>
        </w:rPr>
        <w:t>се срещат важни популации на защитени видове птици, т.е. 48 вида от значение за Общността за опазването им.</w:t>
      </w:r>
    </w:p>
    <w:p w14:paraId="4B8C3864" w14:textId="3437FD7A" w:rsidR="00DE1441" w:rsidRPr="007375EB" w:rsidRDefault="00C54882" w:rsidP="00DE1441">
      <w:pPr>
        <w:spacing w:after="120" w:line="360" w:lineRule="auto"/>
        <w:jc w:val="both"/>
        <w:rPr>
          <w:lang w:val="bg-BG"/>
        </w:rPr>
      </w:pPr>
      <w:r w:rsidRPr="007375EB">
        <w:rPr>
          <w:lang w:val="bg-BG"/>
        </w:rPr>
        <w:t xml:space="preserve">ROSPA 0094 </w:t>
      </w:r>
      <w:r w:rsidR="005D45FA" w:rsidRPr="007375EB">
        <w:rPr>
          <w:lang w:val="bg-BG" w:eastAsia="ro-RO"/>
        </w:rPr>
        <w:t>Гората Хаджиени</w:t>
      </w:r>
      <w:r w:rsidR="005D45FA" w:rsidRPr="007375EB">
        <w:rPr>
          <w:b/>
          <w:bCs/>
          <w:i/>
          <w:iCs/>
          <w:lang w:val="bg-BG" w:eastAsia="ro-RO"/>
        </w:rPr>
        <w:t xml:space="preserve"> </w:t>
      </w:r>
      <w:r w:rsidRPr="007375EB">
        <w:rPr>
          <w:lang w:val="bg-BG"/>
        </w:rPr>
        <w:t xml:space="preserve">е с площ от 1374 </w:t>
      </w:r>
      <w:r w:rsidR="005D45FA" w:rsidRPr="007375EB">
        <w:rPr>
          <w:lang w:val="bg-BG"/>
        </w:rPr>
        <w:t>ха</w:t>
      </w:r>
      <w:r w:rsidRPr="007375EB">
        <w:rPr>
          <w:lang w:val="bg-BG"/>
        </w:rPr>
        <w:t xml:space="preserve"> и се намира в рамките на ROSCI 0157 </w:t>
      </w:r>
      <w:r w:rsidR="005D45FA" w:rsidRPr="007375EB">
        <w:rPr>
          <w:lang w:val="bg-BG" w:eastAsia="ro-RO"/>
        </w:rPr>
        <w:t>Гората Хаджиени-Коту В</w:t>
      </w:r>
      <w:r w:rsidR="0077279B" w:rsidRPr="007375EB">
        <w:rPr>
          <w:lang w:val="bg-BG" w:eastAsia="ro-RO"/>
        </w:rPr>
        <w:t>ъ</w:t>
      </w:r>
      <w:r w:rsidR="005D45FA" w:rsidRPr="007375EB">
        <w:rPr>
          <w:lang w:val="bg-BG" w:eastAsia="ro-RO"/>
        </w:rPr>
        <w:t>и</w:t>
      </w:r>
      <w:r w:rsidRPr="007375EB">
        <w:rPr>
          <w:lang w:val="bg-BG"/>
        </w:rPr>
        <w:t xml:space="preserve">, като частично се припокрива с резервата </w:t>
      </w:r>
      <w:r w:rsidR="005D45FA" w:rsidRPr="007375EB">
        <w:rPr>
          <w:lang w:val="bg-BG" w:eastAsia="ro-RO"/>
        </w:rPr>
        <w:t>Гората Хаджиени</w:t>
      </w:r>
      <w:r w:rsidR="005D45FA" w:rsidRPr="007375EB">
        <w:rPr>
          <w:b/>
          <w:bCs/>
          <w:i/>
          <w:iCs/>
          <w:lang w:val="bg-BG" w:eastAsia="ro-RO"/>
        </w:rPr>
        <w:t xml:space="preserve"> </w:t>
      </w:r>
      <w:r w:rsidRPr="007375EB">
        <w:rPr>
          <w:lang w:val="bg-BG"/>
        </w:rPr>
        <w:t xml:space="preserve">(код </w:t>
      </w:r>
      <w:r w:rsidR="00DE1441" w:rsidRPr="007375EB">
        <w:rPr>
          <w:lang w:val="bg-BG"/>
        </w:rPr>
        <w:t>2360).</w:t>
      </w:r>
    </w:p>
    <w:p w14:paraId="5D5C2D0B" w14:textId="14F8B682" w:rsidR="00DE1441" w:rsidRPr="007375EB" w:rsidRDefault="005D45FA" w:rsidP="00DE1441">
      <w:pPr>
        <w:spacing w:after="120" w:line="360" w:lineRule="auto"/>
        <w:jc w:val="both"/>
        <w:rPr>
          <w:lang w:val="bg-BG"/>
        </w:rPr>
      </w:pPr>
      <w:r w:rsidRPr="007375EB">
        <w:rPr>
          <w:lang w:val="bg-BG"/>
        </w:rPr>
        <w:t>На това място се срещат важни ята от защитени видове птици: 48 вида, включени в приложение 1 към Директива 2009/147/ЕО на Европейския парламент и на Съвета от 30 ноември 2009 г. относно опазването на дивите птици; 38 мигриращи вида, включени в приложенията към Закон № 13/1998 за присъединяването на Румъния към Конвенцията за опазване на мигриращите видове диви животни, приета в Бон на 23 юни 1979 г.: 5 световно застрашени вида</w:t>
      </w:r>
      <w:r w:rsidR="00DE1441" w:rsidRPr="007375EB">
        <w:rPr>
          <w:lang w:val="bg-BG"/>
        </w:rPr>
        <w:t>.</w:t>
      </w:r>
    </w:p>
    <w:p w14:paraId="3438DB3C" w14:textId="7700A084" w:rsidR="00DE1441" w:rsidRPr="00C5710F" w:rsidRDefault="00C5710F" w:rsidP="00DE1441">
      <w:pPr>
        <w:spacing w:after="120" w:line="360" w:lineRule="auto"/>
        <w:jc w:val="both"/>
        <w:rPr>
          <w:lang w:val="bg-BG"/>
        </w:rPr>
      </w:pPr>
      <w:r w:rsidRPr="00C5710F">
        <w:rPr>
          <w:lang w:val="bg-BG"/>
        </w:rPr>
        <w:t>Мястото е важно за гнездящите популации на следните видове</w:t>
      </w:r>
      <w:r w:rsidR="00DE1441" w:rsidRPr="007375EB">
        <w:rPr>
          <w:lang w:val="bg-BG"/>
        </w:rPr>
        <w:t xml:space="preserve">: </w:t>
      </w:r>
      <w:r w:rsidR="00DE1441" w:rsidRPr="007375EB">
        <w:rPr>
          <w:i/>
          <w:iCs/>
          <w:lang w:val="bg-BG"/>
        </w:rPr>
        <w:t>Falco cherrug, Falco vespertinus, Coracias garrulus, Aquila heliaca, Accipiter brevipes, Antus campestris, Calandrella brachydactyla, Lanius minor, Milvus migrans, Pernis apivorus, Picus canus, Lullula arborea, Melanocorypha calandra</w:t>
      </w:r>
      <w:r w:rsidR="00DE1441" w:rsidRPr="007375EB">
        <w:rPr>
          <w:lang w:val="bg-BG"/>
        </w:rPr>
        <w:t>.</w:t>
      </w:r>
    </w:p>
    <w:p w14:paraId="043F5748" w14:textId="2CE4847F" w:rsidR="00DE1441" w:rsidRPr="007375EB" w:rsidRDefault="005D45FA" w:rsidP="00DE1441">
      <w:pPr>
        <w:spacing w:after="120" w:line="360" w:lineRule="auto"/>
        <w:jc w:val="both"/>
        <w:rPr>
          <w:lang w:val="bg-BG"/>
        </w:rPr>
      </w:pPr>
      <w:r w:rsidRPr="007375EB">
        <w:rPr>
          <w:lang w:val="bg-BG"/>
        </w:rPr>
        <w:lastRenderedPageBreak/>
        <w:t>Мястото е важно за гнездящите популации на следните видове</w:t>
      </w:r>
      <w:r w:rsidR="00DE1441" w:rsidRPr="007375EB">
        <w:rPr>
          <w:lang w:val="bg-BG"/>
        </w:rPr>
        <w:t xml:space="preserve">: </w:t>
      </w:r>
      <w:r w:rsidR="00DE1441" w:rsidRPr="007375EB">
        <w:rPr>
          <w:i/>
          <w:iCs/>
          <w:lang w:val="bg-BG"/>
        </w:rPr>
        <w:t>Larus melanocephalus, Larus minutus, Pelecanus crispus, Phalacrocorax pygmaeus</w:t>
      </w:r>
      <w:r w:rsidR="00DE1441" w:rsidRPr="007375EB">
        <w:rPr>
          <w:lang w:val="bg-BG"/>
        </w:rPr>
        <w:t>.</w:t>
      </w:r>
    </w:p>
    <w:p w14:paraId="0D040767" w14:textId="3B13E34C" w:rsidR="00DE1441" w:rsidRPr="007375EB" w:rsidRDefault="005D45FA" w:rsidP="00DE1441">
      <w:pPr>
        <w:spacing w:after="120" w:line="360" w:lineRule="auto"/>
        <w:jc w:val="both"/>
        <w:rPr>
          <w:lang w:val="bg-BG"/>
        </w:rPr>
      </w:pPr>
      <w:r w:rsidRPr="007375EB">
        <w:rPr>
          <w:lang w:val="bg-BG"/>
        </w:rPr>
        <w:t>Място, определено от Румънското орнитологично дружество като ОВМ - Важно място за птиците, съгласно следните критерии, разработени от BirdLife International</w:t>
      </w:r>
      <w:r w:rsidR="00DE1441" w:rsidRPr="007375EB">
        <w:rPr>
          <w:lang w:val="bg-BG"/>
        </w:rPr>
        <w:t>: C1, C2, C3, C6.</w:t>
      </w:r>
    </w:p>
    <w:p w14:paraId="6E9CAE44" w14:textId="50BAE398" w:rsidR="00DE1441" w:rsidRPr="007375EB" w:rsidRDefault="005D45FA" w:rsidP="00DE1441">
      <w:pPr>
        <w:spacing w:after="120" w:line="360" w:lineRule="auto"/>
        <w:jc w:val="both"/>
        <w:rPr>
          <w:lang w:val="bg-BG"/>
        </w:rPr>
      </w:pPr>
      <w:r w:rsidRPr="007375EB">
        <w:rPr>
          <w:lang w:val="bg-BG"/>
        </w:rPr>
        <w:t>48-те вида птици, изброени в приложение I към Директива 2009/147/ЕО, включват</w:t>
      </w:r>
      <w:r w:rsidR="00DE1441" w:rsidRPr="007375EB">
        <w:rPr>
          <w:lang w:val="bg-BG"/>
        </w:rPr>
        <w:t xml:space="preserve">: </w:t>
      </w:r>
      <w:r w:rsidR="00DE1441" w:rsidRPr="007375EB">
        <w:rPr>
          <w:i/>
          <w:iCs/>
          <w:lang w:val="bg-BG"/>
        </w:rPr>
        <w:t>Accipiter brevipes, Alcedo atthis, Anthus campestris, Aquila heliaca, Burhinus oedicnemus, Buteo rufinus, Calandrella brachydactyla, Caprimulgus europaeus, Ciconia ciconia, Charadrius alexandrinus, Chlidonias hybridus, Chlidonias niger, Circaetus gallicus, Circus aeruginosus, Circus cyaneus, Circus macrourus, Circus pygargus, Coracias garrulous, Dendrocopos medius, Dendrocopos syriacus, Dryocopus martius, Egretta alba, Emberiza hortulana, Falco cherrug, Falco columbarius, Falco peregrinus, Falco vespertinus, Ficedula albicollis, Ficedula parva, Himantopus himantopus, Hieraaetus pennatus, Lanius minor, Lanius collurio, Larus melanocephalus, Larus minutus, Lullula arborea, Melanocorypha calandra, Milvus migrans, Nycticorax nycticorax, Oenanthe pleschanka, Pelecanus crispus, Pernis apivorus, Picus canus</w:t>
      </w:r>
      <w:r w:rsidR="00DE1441" w:rsidRPr="007375EB">
        <w:rPr>
          <w:lang w:val="bg-BG"/>
        </w:rPr>
        <w:t xml:space="preserve">, </w:t>
      </w:r>
      <w:r w:rsidR="00DE1441" w:rsidRPr="007375EB">
        <w:rPr>
          <w:i/>
          <w:iCs/>
          <w:lang w:val="bg-BG"/>
        </w:rPr>
        <w:t>Philomachus pugnax, Phalacrocorax pygmeus, Porzana porzana, Recurvirostra avosetta, Tadorna ferruginea</w:t>
      </w:r>
      <w:r w:rsidR="00DE1441" w:rsidRPr="007375EB">
        <w:rPr>
          <w:lang w:val="bg-BG"/>
        </w:rPr>
        <w:t>.</w:t>
      </w:r>
    </w:p>
    <w:p w14:paraId="0BD65B38" w14:textId="4E8E555A" w:rsidR="00DE1441" w:rsidRPr="007375EB" w:rsidRDefault="00DE1441" w:rsidP="00DE1441">
      <w:pPr>
        <w:spacing w:after="120" w:line="360" w:lineRule="auto"/>
        <w:jc w:val="both"/>
        <w:rPr>
          <w:lang w:val="bg-BG"/>
        </w:rPr>
      </w:pPr>
      <w:r w:rsidRPr="007375EB">
        <w:rPr>
          <w:b/>
          <w:bCs/>
          <w:i/>
          <w:iCs/>
          <w:lang w:val="bg-BG"/>
        </w:rPr>
        <w:t xml:space="preserve">ROSPA0001 </w:t>
      </w:r>
      <w:r w:rsidR="005D45FA" w:rsidRPr="007375EB">
        <w:rPr>
          <w:b/>
          <w:bCs/>
          <w:i/>
          <w:iCs/>
          <w:lang w:val="bg-BG"/>
        </w:rPr>
        <w:t>Алиман – Адамклиси</w:t>
      </w:r>
      <w:r w:rsidRPr="007375EB">
        <w:rPr>
          <w:lang w:val="bg-BG"/>
        </w:rPr>
        <w:t xml:space="preserve"> </w:t>
      </w:r>
      <w:r w:rsidR="005D45FA" w:rsidRPr="007375EB">
        <w:rPr>
          <w:lang w:val="bg-BG"/>
        </w:rPr>
        <w:t>тя е създадена като специална защитена зона за птиците с РП № 1284/2007 за обявяване на специални защитени зони за птиците като неразделна част от европейската екологична мрежа Природа 2000 в Румъния, с последващи изменения и допълнения</w:t>
      </w:r>
      <w:r w:rsidRPr="007375EB">
        <w:rPr>
          <w:lang w:val="bg-BG"/>
        </w:rPr>
        <w:t>.</w:t>
      </w:r>
    </w:p>
    <w:p w14:paraId="39763834" w14:textId="5211E4CA" w:rsidR="00DE1441" w:rsidRPr="007375EB" w:rsidRDefault="00DE1441" w:rsidP="00DE1441">
      <w:pPr>
        <w:spacing w:after="120" w:line="360" w:lineRule="auto"/>
        <w:jc w:val="both"/>
        <w:rPr>
          <w:lang w:val="bg-BG"/>
        </w:rPr>
      </w:pPr>
      <w:r w:rsidRPr="007375EB">
        <w:rPr>
          <w:lang w:val="bg-BG"/>
        </w:rPr>
        <w:t xml:space="preserve">ROSPA0001 </w:t>
      </w:r>
      <w:r w:rsidR="005D45FA" w:rsidRPr="007375EB">
        <w:rPr>
          <w:lang w:val="bg-BG"/>
        </w:rPr>
        <w:t>Алиман – Адамклиси е от особено значение с 33 вида птици от европейско природозащитно значение</w:t>
      </w:r>
    </w:p>
    <w:p w14:paraId="736C23C7" w14:textId="31DA3D85" w:rsidR="005D45FA" w:rsidRPr="007375EB" w:rsidRDefault="00DE1441" w:rsidP="00DE1441">
      <w:pPr>
        <w:spacing w:after="120" w:line="360" w:lineRule="auto"/>
        <w:jc w:val="both"/>
        <w:rPr>
          <w:lang w:val="bg-BG"/>
        </w:rPr>
      </w:pPr>
      <w:r w:rsidRPr="007375EB">
        <w:rPr>
          <w:lang w:val="bg-BG"/>
        </w:rPr>
        <w:t xml:space="preserve">ROSPA0001 </w:t>
      </w:r>
      <w:r w:rsidR="005D45FA" w:rsidRPr="007375EB">
        <w:rPr>
          <w:lang w:val="bg-BG"/>
        </w:rPr>
        <w:t xml:space="preserve">Алиман – Адамклиси е с площ от 19468 ха и се припокрива с ROSCI0071 </w:t>
      </w:r>
      <w:r w:rsidR="005D45FA" w:rsidRPr="007375EB">
        <w:rPr>
          <w:rFonts w:eastAsia="Times New Roman" w:cs="Calibri"/>
          <w:lang w:val="bg-BG" w:eastAsia="en-GB"/>
        </w:rPr>
        <w:t xml:space="preserve">Думбръвени </w:t>
      </w:r>
      <w:r w:rsidR="005D45FA" w:rsidRPr="007375EB">
        <w:rPr>
          <w:rFonts w:asciiTheme="minorHAnsi" w:hAnsiTheme="minorHAnsi" w:cs="Segoe UI Symbol"/>
          <w:lang w:val="bg-BG"/>
        </w:rPr>
        <w:t xml:space="preserve">- </w:t>
      </w:r>
      <w:r w:rsidR="005D45FA" w:rsidRPr="007375EB">
        <w:rPr>
          <w:rFonts w:eastAsia="Times New Roman" w:cs="Calibri"/>
          <w:lang w:val="bg-BG" w:eastAsia="en-GB"/>
        </w:rPr>
        <w:t xml:space="preserve">Долината Урлуя </w:t>
      </w:r>
      <w:r w:rsidR="005D45FA" w:rsidRPr="007375EB">
        <w:rPr>
          <w:rFonts w:asciiTheme="minorHAnsi" w:hAnsiTheme="minorHAnsi" w:cs="Segoe UI Symbol"/>
          <w:lang w:val="bg-BG"/>
        </w:rPr>
        <w:t xml:space="preserve">- </w:t>
      </w:r>
      <w:r w:rsidR="005D45FA" w:rsidRPr="007375EB">
        <w:rPr>
          <w:rFonts w:eastAsia="Times New Roman" w:cs="Calibri"/>
          <w:lang w:val="bg-BG" w:eastAsia="en-GB"/>
        </w:rPr>
        <w:t>езерото Ведероаса</w:t>
      </w:r>
      <w:r w:rsidR="005D45FA" w:rsidRPr="007375EB">
        <w:rPr>
          <w:lang w:val="bg-BG"/>
        </w:rPr>
        <w:t xml:space="preserve"> и </w:t>
      </w:r>
      <w:r w:rsidR="005D45FA" w:rsidRPr="007375EB">
        <w:rPr>
          <w:i/>
          <w:iCs/>
          <w:lang w:val="bg-BG" w:eastAsia="ro-RO"/>
        </w:rPr>
        <w:t>Гората</w:t>
      </w:r>
      <w:r w:rsidR="005D45FA" w:rsidRPr="007375EB">
        <w:rPr>
          <w:b/>
          <w:bCs/>
          <w:i/>
          <w:iCs/>
          <w:lang w:val="bg-BG" w:eastAsia="ro-RO"/>
        </w:rPr>
        <w:t xml:space="preserve"> </w:t>
      </w:r>
      <w:r w:rsidR="005D45FA" w:rsidRPr="007375EB">
        <w:rPr>
          <w:rFonts w:eastAsia="Times New Roman" w:cs="Calibri"/>
          <w:lang w:val="bg-BG" w:eastAsia="en-GB"/>
        </w:rPr>
        <w:t>Думбръвени</w:t>
      </w:r>
    </w:p>
    <w:p w14:paraId="2EC00864" w14:textId="630E3FFD" w:rsidR="00DE1441" w:rsidRPr="007375EB" w:rsidRDefault="005D45FA" w:rsidP="00DE1441">
      <w:pPr>
        <w:spacing w:after="120" w:line="360" w:lineRule="auto"/>
        <w:jc w:val="both"/>
        <w:rPr>
          <w:lang w:val="bg-BG"/>
        </w:rPr>
      </w:pPr>
      <w:r w:rsidRPr="007375EB">
        <w:rPr>
          <w:lang w:val="bg-BG"/>
        </w:rPr>
        <w:t>Районът на Алиман-Адамклиси, освен че има забележителна историческа стойност, се отличава и с голямо разнообразие на фауната и флората, поради което има висока консервационна стойност. Това е довело до обявяването на района за специална защитена зона за птиците</w:t>
      </w:r>
      <w:r w:rsidR="00DE1441" w:rsidRPr="007375EB">
        <w:rPr>
          <w:lang w:val="bg-BG"/>
        </w:rPr>
        <w:t>.</w:t>
      </w:r>
    </w:p>
    <w:p w14:paraId="180EBCBF" w14:textId="02EA89AE" w:rsidR="00DE1441" w:rsidRPr="007375EB" w:rsidRDefault="005D45FA" w:rsidP="00DE1441">
      <w:pPr>
        <w:spacing w:after="120" w:line="360" w:lineRule="auto"/>
        <w:jc w:val="both"/>
        <w:rPr>
          <w:lang w:val="bg-BG"/>
        </w:rPr>
      </w:pPr>
      <w:r w:rsidRPr="007375EB">
        <w:rPr>
          <w:lang w:val="bg-BG"/>
        </w:rPr>
        <w:t>В този район се срещат важни ята от птици, защитени на европейско равнище, най-характерните от които са полската кокошка, белочелата сврачка, обикновеният скакалец, червеногърбата сврачка, червеногърбата сврачка, черночелата сврачка, черният кос, сивата овесарка, обикновеният кеклик, обикновената горска чучулига и други. Голямата им численост е благоприятствана от големите площи земеделски земи и степни пасища.</w:t>
      </w:r>
    </w:p>
    <w:p w14:paraId="086BABC1" w14:textId="33A4D7AD" w:rsidR="00DE1441" w:rsidRPr="007375EB" w:rsidRDefault="005D45FA" w:rsidP="00DE1441">
      <w:pPr>
        <w:spacing w:after="120" w:line="360" w:lineRule="auto"/>
        <w:jc w:val="both"/>
        <w:rPr>
          <w:lang w:val="bg-BG"/>
        </w:rPr>
      </w:pPr>
      <w:r w:rsidRPr="007375EB">
        <w:rPr>
          <w:lang w:val="bg-BG"/>
        </w:rPr>
        <w:t>По време на пролетната и есенната миграция районът се пресича от голям брой птици, особено хищни, като например оси, голям синигер, голям синигер, орел змияр, червена каня, вечерна синявица, датски сокол и други. Гората Молчова е важна забележителност и място за почивка на мигриращите птици</w:t>
      </w:r>
      <w:r w:rsidR="00DE1441" w:rsidRPr="007375EB">
        <w:rPr>
          <w:lang w:val="bg-BG"/>
        </w:rPr>
        <w:t>.</w:t>
      </w:r>
    </w:p>
    <w:p w14:paraId="2AF6EB01" w14:textId="77777777" w:rsidR="00975AE5" w:rsidRPr="007375EB" w:rsidRDefault="00975AE5" w:rsidP="00975AE5">
      <w:pPr>
        <w:spacing w:after="120" w:line="360" w:lineRule="auto"/>
        <w:jc w:val="both"/>
        <w:rPr>
          <w:lang w:val="bg-BG"/>
        </w:rPr>
      </w:pPr>
      <w:r w:rsidRPr="007375EB">
        <w:rPr>
          <w:lang w:val="bg-BG"/>
        </w:rPr>
        <w:t>Също така горите Молчова и Абруд, разположени в Абруд и Хацег, осигуряват оптимални места за гнездене на врабчови птици като мухоловки, кълвачи и горска чучулига.</w:t>
      </w:r>
    </w:p>
    <w:p w14:paraId="55CF9696" w14:textId="5DA24DAB" w:rsidR="00DE1441" w:rsidRPr="007375EB" w:rsidRDefault="00975AE5" w:rsidP="00975AE5">
      <w:pPr>
        <w:spacing w:after="120" w:line="360" w:lineRule="auto"/>
        <w:jc w:val="both"/>
        <w:rPr>
          <w:lang w:val="bg-BG"/>
        </w:rPr>
      </w:pPr>
      <w:r w:rsidRPr="007375EB">
        <w:rPr>
          <w:lang w:val="bg-BG"/>
        </w:rPr>
        <w:t>Този обект е от съществено значение за опазването на приоритетни местообитания, в които се срещат редица редки растения, защитени на национално и европейско равнище</w:t>
      </w:r>
      <w:r w:rsidR="00DE1441" w:rsidRPr="007375EB">
        <w:rPr>
          <w:lang w:val="bg-BG"/>
        </w:rPr>
        <w:t>.</w:t>
      </w:r>
    </w:p>
    <w:p w14:paraId="3761277C" w14:textId="77777777" w:rsidR="00975AE5" w:rsidRPr="007375EB" w:rsidRDefault="00975AE5" w:rsidP="00975AE5">
      <w:pPr>
        <w:spacing w:after="120" w:line="360" w:lineRule="auto"/>
        <w:jc w:val="both"/>
        <w:rPr>
          <w:lang w:val="bg-BG"/>
        </w:rPr>
      </w:pPr>
      <w:r w:rsidRPr="007375EB">
        <w:rPr>
          <w:lang w:val="bg-BG"/>
        </w:rPr>
        <w:lastRenderedPageBreak/>
        <w:t>Местната флора включва източноевропейски флористични елементи, както и средиземноморски и балкански видове. Растителните видове, характерни за степта, са се приспособили към климатичните условия на ксерофитни видове с ниска влажност.</w:t>
      </w:r>
    </w:p>
    <w:p w14:paraId="434C9F97" w14:textId="25348582" w:rsidR="00DE1441" w:rsidRPr="007375EB" w:rsidRDefault="00975AE5" w:rsidP="00975AE5">
      <w:pPr>
        <w:spacing w:after="120" w:line="360" w:lineRule="auto"/>
        <w:jc w:val="both"/>
        <w:rPr>
          <w:lang w:val="bg-BG"/>
        </w:rPr>
      </w:pPr>
      <w:r w:rsidRPr="007375EB">
        <w:rPr>
          <w:lang w:val="bg-BG"/>
        </w:rPr>
        <w:t>Значими местообитания са понто-сарматските степни тревни масиви, които сега заемат ограничени територии по крайбрежието. Те са застрашени от изчезване поради превръщането им в земеделски земи или заемането им от вторични пасища, създадени от прекомерна паша. В този тип местообитание са установени 14 растителни видове, включително редки и някои ендемични растителни видове. От гледна точка на флористичния състав най-интересните тревни площи са някои точки на хълмовете Вълеану и Талашман, разположени на север-северозапад от Хацег</w:t>
      </w:r>
      <w:r w:rsidR="00DE1441" w:rsidRPr="007375EB">
        <w:rPr>
          <w:lang w:val="bg-BG"/>
        </w:rPr>
        <w:t>.</w:t>
      </w:r>
    </w:p>
    <w:p w14:paraId="6D934782" w14:textId="3E351AD5" w:rsidR="00DE1441" w:rsidRPr="007375EB" w:rsidRDefault="00975AE5" w:rsidP="00DE1441">
      <w:pPr>
        <w:spacing w:after="120" w:line="360" w:lineRule="auto"/>
        <w:jc w:val="both"/>
        <w:rPr>
          <w:lang w:val="bg-BG"/>
        </w:rPr>
      </w:pPr>
      <w:r w:rsidRPr="007375EB">
        <w:rPr>
          <w:lang w:val="bg-BG"/>
        </w:rPr>
        <w:t>Поучителните видове за степните пасища, които се развиват върху специфични субстрати и чрез конфигурацията си определят структурата на ландшафта, така характерна за Добруджа, са</w:t>
      </w:r>
      <w:r w:rsidR="00DE1441" w:rsidRPr="007375EB">
        <w:rPr>
          <w:lang w:val="bg-BG"/>
        </w:rPr>
        <w:t xml:space="preserve">: </w:t>
      </w:r>
      <w:r w:rsidR="00DE1441" w:rsidRPr="007375EB">
        <w:rPr>
          <w:i/>
          <w:iCs/>
          <w:lang w:val="bg-BG"/>
        </w:rPr>
        <w:t>Festuca valesiaca</w:t>
      </w:r>
      <w:r w:rsidR="00DE1441" w:rsidRPr="007375EB">
        <w:rPr>
          <w:lang w:val="bg-BG"/>
        </w:rPr>
        <w:t xml:space="preserve">, </w:t>
      </w:r>
      <w:r w:rsidR="00DE1441" w:rsidRPr="007375EB">
        <w:rPr>
          <w:i/>
          <w:iCs/>
          <w:lang w:val="bg-BG"/>
        </w:rPr>
        <w:t>Chrysopogon gryllus</w:t>
      </w:r>
      <w:r w:rsidR="00DE1441" w:rsidRPr="007375EB">
        <w:rPr>
          <w:lang w:val="bg-BG"/>
        </w:rPr>
        <w:t xml:space="preserve">, </w:t>
      </w:r>
      <w:r w:rsidR="00DE1441" w:rsidRPr="007375EB">
        <w:rPr>
          <w:i/>
          <w:iCs/>
          <w:lang w:val="bg-BG"/>
        </w:rPr>
        <w:t>Poa angustifolia</w:t>
      </w:r>
      <w:r w:rsidR="00DE1441" w:rsidRPr="007375EB">
        <w:rPr>
          <w:lang w:val="bg-BG"/>
        </w:rPr>
        <w:t xml:space="preserve">, </w:t>
      </w:r>
      <w:r w:rsidR="00DE1441" w:rsidRPr="007375EB">
        <w:rPr>
          <w:i/>
          <w:iCs/>
          <w:lang w:val="bg-BG"/>
        </w:rPr>
        <w:t>Stipa capillata</w:t>
      </w:r>
      <w:r w:rsidR="00DE1441" w:rsidRPr="007375EB">
        <w:rPr>
          <w:lang w:val="bg-BG"/>
        </w:rPr>
        <w:t xml:space="preserve">, </w:t>
      </w:r>
      <w:r w:rsidR="00DE1441" w:rsidRPr="007375EB">
        <w:rPr>
          <w:i/>
          <w:iCs/>
          <w:lang w:val="bg-BG"/>
        </w:rPr>
        <w:t>Teucrium polium subsp</w:t>
      </w:r>
      <w:r w:rsidR="00DE1441" w:rsidRPr="007375EB">
        <w:rPr>
          <w:lang w:val="bg-BG"/>
        </w:rPr>
        <w:t xml:space="preserve">. </w:t>
      </w:r>
      <w:r w:rsidR="00DE1441" w:rsidRPr="007375EB">
        <w:rPr>
          <w:i/>
          <w:iCs/>
          <w:lang w:val="bg-BG"/>
        </w:rPr>
        <w:t>capitatum</w:t>
      </w:r>
      <w:r w:rsidR="00DE1441" w:rsidRPr="007375EB">
        <w:rPr>
          <w:lang w:val="bg-BG"/>
        </w:rPr>
        <w:t xml:space="preserve">, </w:t>
      </w:r>
      <w:r w:rsidR="00DE1441" w:rsidRPr="007375EB">
        <w:rPr>
          <w:i/>
          <w:iCs/>
          <w:lang w:val="bg-BG"/>
        </w:rPr>
        <w:t>Taraxacum serotinum</w:t>
      </w:r>
      <w:r w:rsidR="00DE1441" w:rsidRPr="007375EB">
        <w:rPr>
          <w:lang w:val="bg-BG"/>
        </w:rPr>
        <w:t xml:space="preserve">, </w:t>
      </w:r>
      <w:r w:rsidR="00DE1441" w:rsidRPr="007375EB">
        <w:rPr>
          <w:i/>
          <w:iCs/>
          <w:lang w:val="bg-BG"/>
        </w:rPr>
        <w:t>Satureja caerulea</w:t>
      </w:r>
      <w:r w:rsidR="00DE1441" w:rsidRPr="007375EB">
        <w:rPr>
          <w:lang w:val="bg-BG"/>
        </w:rPr>
        <w:t xml:space="preserve">. </w:t>
      </w:r>
      <w:r w:rsidRPr="007375EB">
        <w:rPr>
          <w:lang w:val="bg-BG"/>
        </w:rPr>
        <w:t>На територията на този обект са установени 17 редки растителни вида в тревните пространства на понто-сарматската степ</w:t>
      </w:r>
      <w:r w:rsidR="00DE1441" w:rsidRPr="007375EB">
        <w:rPr>
          <w:lang w:val="bg-BG"/>
        </w:rPr>
        <w:t xml:space="preserve">: </w:t>
      </w:r>
      <w:r w:rsidR="00DE1441" w:rsidRPr="007375EB">
        <w:rPr>
          <w:i/>
          <w:iCs/>
          <w:lang w:val="bg-BG"/>
        </w:rPr>
        <w:t>Astragalus hamosus</w:t>
      </w:r>
      <w:r w:rsidR="00DE1441" w:rsidRPr="007375EB">
        <w:rPr>
          <w:lang w:val="bg-BG"/>
        </w:rPr>
        <w:t xml:space="preserve">, </w:t>
      </w:r>
      <w:r w:rsidR="00DE1441" w:rsidRPr="007375EB">
        <w:rPr>
          <w:i/>
          <w:iCs/>
          <w:lang w:val="bg-BG"/>
        </w:rPr>
        <w:t>Centaurea napulifera</w:t>
      </w:r>
      <w:r w:rsidR="00DE1441" w:rsidRPr="007375EB">
        <w:rPr>
          <w:lang w:val="bg-BG"/>
        </w:rPr>
        <w:t xml:space="preserve"> </w:t>
      </w:r>
      <w:r w:rsidR="00DE1441" w:rsidRPr="007375EB">
        <w:rPr>
          <w:i/>
          <w:iCs/>
          <w:lang w:val="bg-BG"/>
        </w:rPr>
        <w:t>subsp. thirkei</w:t>
      </w:r>
      <w:r w:rsidR="00DE1441" w:rsidRPr="007375EB">
        <w:rPr>
          <w:lang w:val="bg-BG"/>
        </w:rPr>
        <w:t xml:space="preserve">, </w:t>
      </w:r>
      <w:r w:rsidR="00DE1441" w:rsidRPr="007375EB">
        <w:rPr>
          <w:i/>
          <w:iCs/>
          <w:lang w:val="bg-BG"/>
        </w:rPr>
        <w:t>Dianthus leptopetalus</w:t>
      </w:r>
      <w:r w:rsidR="00DE1441" w:rsidRPr="007375EB">
        <w:rPr>
          <w:lang w:val="bg-BG"/>
        </w:rPr>
        <w:t xml:space="preserve">, rostool </w:t>
      </w:r>
      <w:r w:rsidR="00DE1441" w:rsidRPr="007375EB">
        <w:rPr>
          <w:i/>
          <w:iCs/>
          <w:lang w:val="bg-BG"/>
        </w:rPr>
        <w:t>Echinops ritro subsp. ruthenicus</w:t>
      </w:r>
      <w:r w:rsidR="00DE1441" w:rsidRPr="007375EB">
        <w:rPr>
          <w:lang w:val="bg-BG"/>
        </w:rPr>
        <w:t xml:space="preserve">, </w:t>
      </w:r>
      <w:r w:rsidR="00DE1441" w:rsidRPr="007375EB">
        <w:rPr>
          <w:i/>
          <w:iCs/>
          <w:lang w:val="bg-BG"/>
        </w:rPr>
        <w:t>Festuca callieri</w:t>
      </w:r>
      <w:r w:rsidR="00DE1441" w:rsidRPr="007375EB">
        <w:rPr>
          <w:lang w:val="bg-BG"/>
        </w:rPr>
        <w:t xml:space="preserve">, </w:t>
      </w:r>
      <w:r w:rsidR="00DE1441" w:rsidRPr="007375EB">
        <w:rPr>
          <w:i/>
          <w:iCs/>
          <w:lang w:val="bg-BG"/>
        </w:rPr>
        <w:t>Gagea bulbifera</w:t>
      </w:r>
      <w:r w:rsidR="00DE1441" w:rsidRPr="007375EB">
        <w:rPr>
          <w:lang w:val="bg-BG"/>
        </w:rPr>
        <w:t xml:space="preserve">, </w:t>
      </w:r>
      <w:r w:rsidR="00DE1441" w:rsidRPr="007375EB">
        <w:rPr>
          <w:i/>
          <w:iCs/>
          <w:lang w:val="bg-BG"/>
        </w:rPr>
        <w:t>Hyacinthella leucophaea</w:t>
      </w:r>
      <w:r w:rsidR="00DE1441" w:rsidRPr="007375EB">
        <w:rPr>
          <w:lang w:val="bg-BG"/>
        </w:rPr>
        <w:t xml:space="preserve">, </w:t>
      </w:r>
      <w:r w:rsidR="00DE1441" w:rsidRPr="007375EB">
        <w:rPr>
          <w:i/>
          <w:iCs/>
          <w:lang w:val="bg-BG"/>
        </w:rPr>
        <w:t>Lathyrus cicera</w:t>
      </w:r>
      <w:r w:rsidR="00DE1441" w:rsidRPr="007375EB">
        <w:rPr>
          <w:lang w:val="bg-BG"/>
        </w:rPr>
        <w:t xml:space="preserve">, </w:t>
      </w:r>
      <w:r w:rsidR="00DE1441" w:rsidRPr="007375EB">
        <w:rPr>
          <w:i/>
          <w:iCs/>
          <w:lang w:val="bg-BG"/>
        </w:rPr>
        <w:t>Medicago orbicularis</w:t>
      </w:r>
      <w:r w:rsidR="00DE1441" w:rsidRPr="007375EB">
        <w:rPr>
          <w:lang w:val="bg-BG"/>
        </w:rPr>
        <w:t xml:space="preserve">, </w:t>
      </w:r>
      <w:r w:rsidR="00DE1441" w:rsidRPr="007375EB">
        <w:rPr>
          <w:i/>
          <w:iCs/>
          <w:lang w:val="bg-BG"/>
        </w:rPr>
        <w:t>Muscari neglectum</w:t>
      </w:r>
      <w:r w:rsidR="00DE1441" w:rsidRPr="007375EB">
        <w:rPr>
          <w:lang w:val="bg-BG"/>
        </w:rPr>
        <w:t xml:space="preserve">, </w:t>
      </w:r>
      <w:r w:rsidR="00DE1441" w:rsidRPr="007375EB">
        <w:rPr>
          <w:i/>
          <w:iCs/>
          <w:lang w:val="bg-BG"/>
        </w:rPr>
        <w:t>Nonea pallens</w:t>
      </w:r>
      <w:r w:rsidR="00DE1441" w:rsidRPr="007375EB">
        <w:rPr>
          <w:lang w:val="bg-BG"/>
        </w:rPr>
        <w:t xml:space="preserve">, </w:t>
      </w:r>
      <w:r w:rsidR="00DE1441" w:rsidRPr="007375EB">
        <w:rPr>
          <w:i/>
          <w:iCs/>
          <w:lang w:val="bg-BG"/>
        </w:rPr>
        <w:t>Onobrychis gracilis</w:t>
      </w:r>
      <w:r w:rsidR="00DE1441" w:rsidRPr="007375EB">
        <w:rPr>
          <w:lang w:val="bg-BG"/>
        </w:rPr>
        <w:t xml:space="preserve">, </w:t>
      </w:r>
      <w:r w:rsidR="00DE1441" w:rsidRPr="007375EB">
        <w:rPr>
          <w:i/>
          <w:iCs/>
          <w:lang w:val="bg-BG"/>
        </w:rPr>
        <w:t>Orchis morio</w:t>
      </w:r>
      <w:r w:rsidR="00DE1441" w:rsidRPr="007375EB">
        <w:rPr>
          <w:lang w:val="bg-BG"/>
        </w:rPr>
        <w:t xml:space="preserve">, </w:t>
      </w:r>
      <w:r w:rsidR="00DE1441" w:rsidRPr="007375EB">
        <w:rPr>
          <w:i/>
          <w:iCs/>
          <w:lang w:val="bg-BG"/>
        </w:rPr>
        <w:t>Rochelia dysperma</w:t>
      </w:r>
      <w:r w:rsidR="00DE1441" w:rsidRPr="007375EB">
        <w:rPr>
          <w:lang w:val="bg-BG"/>
        </w:rPr>
        <w:t xml:space="preserve">, </w:t>
      </w:r>
      <w:r w:rsidR="00DE1441" w:rsidRPr="007375EB">
        <w:rPr>
          <w:i/>
          <w:iCs/>
          <w:lang w:val="bg-BG"/>
        </w:rPr>
        <w:t>Salvia aethiopis</w:t>
      </w:r>
      <w:r w:rsidR="00DE1441" w:rsidRPr="007375EB">
        <w:rPr>
          <w:lang w:val="bg-BG"/>
        </w:rPr>
        <w:t xml:space="preserve">, </w:t>
      </w:r>
      <w:r w:rsidR="00DE1441" w:rsidRPr="007375EB">
        <w:rPr>
          <w:i/>
          <w:iCs/>
          <w:lang w:val="bg-BG"/>
        </w:rPr>
        <w:t>Scandix australis</w:t>
      </w:r>
      <w:r w:rsidR="00DE1441" w:rsidRPr="007375EB">
        <w:rPr>
          <w:lang w:val="bg-BG"/>
        </w:rPr>
        <w:t xml:space="preserve">, </w:t>
      </w:r>
      <w:r w:rsidR="00DE1441" w:rsidRPr="007375EB">
        <w:rPr>
          <w:i/>
          <w:iCs/>
          <w:lang w:val="bg-BG"/>
        </w:rPr>
        <w:t>Vicia peregrina</w:t>
      </w:r>
      <w:r w:rsidR="00DE1441" w:rsidRPr="007375EB">
        <w:rPr>
          <w:lang w:val="bg-BG"/>
        </w:rPr>
        <w:t>.</w:t>
      </w:r>
    </w:p>
    <w:p w14:paraId="462B3665" w14:textId="7C52BE82" w:rsidR="00DE1441" w:rsidRPr="007375EB" w:rsidRDefault="0077279B" w:rsidP="00DE1441">
      <w:pPr>
        <w:spacing w:after="120" w:line="360" w:lineRule="auto"/>
        <w:jc w:val="both"/>
        <w:rPr>
          <w:lang w:val="bg-BG"/>
        </w:rPr>
      </w:pPr>
      <w:r w:rsidRPr="007375EB">
        <w:rPr>
          <w:lang w:val="bg-BG"/>
        </w:rPr>
        <w:t>Друго специфично за региона местообитание са понто-сарматските храсталаци 40C0*, които се срещат в крайбрежните райони, но също и върху каменист субстрат с варовик на повърхността. Среща се в гъста, почти непроходима растителна покривка, като храстите са защитени от тревопасни животни с тръни и шипове. Установените характерни видове са</w:t>
      </w:r>
      <w:r w:rsidR="00DE1441" w:rsidRPr="007375EB">
        <w:rPr>
          <w:lang w:val="bg-BG"/>
        </w:rPr>
        <w:t xml:space="preserve"> </w:t>
      </w:r>
      <w:r w:rsidR="00DE1441" w:rsidRPr="007375EB">
        <w:rPr>
          <w:i/>
          <w:iCs/>
          <w:lang w:val="bg-BG"/>
        </w:rPr>
        <w:t>Crataegus monogyna</w:t>
      </w:r>
      <w:r w:rsidR="00DE1441" w:rsidRPr="007375EB">
        <w:rPr>
          <w:lang w:val="bg-BG"/>
        </w:rPr>
        <w:t xml:space="preserve">, </w:t>
      </w:r>
      <w:r w:rsidR="00DE1441" w:rsidRPr="007375EB">
        <w:rPr>
          <w:i/>
          <w:iCs/>
          <w:lang w:val="bg-BG"/>
        </w:rPr>
        <w:t>Prunus spinosa</w:t>
      </w:r>
      <w:r w:rsidR="00DE1441" w:rsidRPr="007375EB">
        <w:rPr>
          <w:lang w:val="bg-BG"/>
        </w:rPr>
        <w:t xml:space="preserve">, </w:t>
      </w:r>
      <w:r w:rsidR="00DE1441" w:rsidRPr="007375EB">
        <w:rPr>
          <w:i/>
          <w:iCs/>
          <w:lang w:val="bg-BG"/>
        </w:rPr>
        <w:t>Jasminum fruticans</w:t>
      </w:r>
      <w:r w:rsidR="00DE1441" w:rsidRPr="007375EB">
        <w:rPr>
          <w:lang w:val="bg-BG"/>
        </w:rPr>
        <w:t xml:space="preserve">, </w:t>
      </w:r>
      <w:r w:rsidR="00DE1441" w:rsidRPr="007375EB">
        <w:rPr>
          <w:i/>
          <w:iCs/>
          <w:lang w:val="bg-BG"/>
        </w:rPr>
        <w:t>Paliurus</w:t>
      </w:r>
      <w:r w:rsidR="00DE1441" w:rsidRPr="007375EB">
        <w:rPr>
          <w:lang w:val="bg-BG"/>
        </w:rPr>
        <w:t xml:space="preserve"> spina-christi, </w:t>
      </w:r>
      <w:r w:rsidR="00DE1441" w:rsidRPr="007375EB">
        <w:rPr>
          <w:i/>
          <w:iCs/>
          <w:lang w:val="bg-BG"/>
        </w:rPr>
        <w:t>Caragana frutex</w:t>
      </w:r>
      <w:r w:rsidR="00DE1441" w:rsidRPr="007375EB">
        <w:rPr>
          <w:lang w:val="bg-BG"/>
        </w:rPr>
        <w:t xml:space="preserve">, </w:t>
      </w:r>
      <w:r w:rsidR="00DE1441" w:rsidRPr="007375EB">
        <w:rPr>
          <w:i/>
          <w:iCs/>
          <w:lang w:val="bg-BG"/>
        </w:rPr>
        <w:t>Cornus mas</w:t>
      </w:r>
      <w:r w:rsidR="00DE1441" w:rsidRPr="007375EB">
        <w:rPr>
          <w:lang w:val="bg-BG"/>
        </w:rPr>
        <w:t xml:space="preserve">, </w:t>
      </w:r>
      <w:r w:rsidR="00DE1441" w:rsidRPr="007375EB">
        <w:rPr>
          <w:i/>
          <w:iCs/>
          <w:lang w:val="bg-BG"/>
        </w:rPr>
        <w:t>Prunus tenella</w:t>
      </w:r>
      <w:r w:rsidR="00DE1441" w:rsidRPr="007375EB">
        <w:rPr>
          <w:lang w:val="bg-BG"/>
        </w:rPr>
        <w:t xml:space="preserve">, </w:t>
      </w:r>
      <w:r w:rsidR="00DE1441" w:rsidRPr="007375EB">
        <w:rPr>
          <w:i/>
          <w:iCs/>
          <w:lang w:val="bg-BG"/>
        </w:rPr>
        <w:t>Rosa canina</w:t>
      </w:r>
      <w:r w:rsidR="00DE1441" w:rsidRPr="007375EB">
        <w:rPr>
          <w:lang w:val="bg-BG"/>
        </w:rPr>
        <w:t xml:space="preserve">, </w:t>
      </w:r>
      <w:r w:rsidR="00DE1441" w:rsidRPr="007375EB">
        <w:rPr>
          <w:i/>
          <w:iCs/>
          <w:lang w:val="bg-BG"/>
        </w:rPr>
        <w:t>Ligustrum vulgare</w:t>
      </w:r>
      <w:r w:rsidR="00DE1441" w:rsidRPr="007375EB">
        <w:rPr>
          <w:lang w:val="bg-BG"/>
        </w:rPr>
        <w:t xml:space="preserve">, </w:t>
      </w:r>
      <w:r w:rsidR="00DE1441" w:rsidRPr="007375EB">
        <w:rPr>
          <w:i/>
          <w:iCs/>
          <w:lang w:val="bg-BG"/>
        </w:rPr>
        <w:t>Pyrus pyraster</w:t>
      </w:r>
      <w:r w:rsidR="00DE1441" w:rsidRPr="007375EB">
        <w:rPr>
          <w:lang w:val="bg-BG"/>
        </w:rPr>
        <w:t xml:space="preserve">, </w:t>
      </w:r>
      <w:r w:rsidR="00DE1441" w:rsidRPr="007375EB">
        <w:rPr>
          <w:i/>
          <w:iCs/>
          <w:lang w:val="bg-BG"/>
        </w:rPr>
        <w:t>Teucrium chamaedrys</w:t>
      </w:r>
      <w:r w:rsidR="00DE1441" w:rsidRPr="007375EB">
        <w:rPr>
          <w:lang w:val="bg-BG"/>
        </w:rPr>
        <w:t xml:space="preserve">, </w:t>
      </w:r>
      <w:r w:rsidR="00DE1441" w:rsidRPr="007375EB">
        <w:rPr>
          <w:i/>
          <w:iCs/>
          <w:lang w:val="bg-BG"/>
        </w:rPr>
        <w:t>Bromus inermis</w:t>
      </w:r>
      <w:r w:rsidR="00DE1441" w:rsidRPr="007375EB">
        <w:rPr>
          <w:lang w:val="bg-BG"/>
        </w:rPr>
        <w:t xml:space="preserve">, </w:t>
      </w:r>
      <w:r w:rsidR="00DE1441" w:rsidRPr="007375EB">
        <w:rPr>
          <w:i/>
          <w:iCs/>
          <w:lang w:val="bg-BG"/>
        </w:rPr>
        <w:t>Orlaya grandiflora</w:t>
      </w:r>
      <w:r w:rsidR="00DE1441" w:rsidRPr="007375EB">
        <w:rPr>
          <w:lang w:val="bg-BG"/>
        </w:rPr>
        <w:t>.</w:t>
      </w:r>
    </w:p>
    <w:p w14:paraId="02D29763" w14:textId="35EF72AE" w:rsidR="00DE1441" w:rsidRPr="007375EB" w:rsidRDefault="0077279B" w:rsidP="00DE1441">
      <w:pPr>
        <w:spacing w:after="120" w:line="360" w:lineRule="auto"/>
        <w:jc w:val="both"/>
        <w:rPr>
          <w:lang w:val="bg-BG"/>
        </w:rPr>
      </w:pPr>
      <w:r w:rsidRPr="007375EB">
        <w:rPr>
          <w:lang w:val="bg-BG"/>
        </w:rPr>
        <w:t xml:space="preserve">В редките места с храсталаци от </w:t>
      </w:r>
      <w:r w:rsidRPr="007375EB">
        <w:rPr>
          <w:i/>
          <w:iCs/>
          <w:lang w:val="bg-BG"/>
        </w:rPr>
        <w:t>Paliurus spina-christi</w:t>
      </w:r>
      <w:r w:rsidRPr="007375EB">
        <w:rPr>
          <w:lang w:val="bg-BG"/>
        </w:rPr>
        <w:t xml:space="preserve"> е отбелязан петопръстият плевел </w:t>
      </w:r>
      <w:r w:rsidRPr="007375EB">
        <w:rPr>
          <w:i/>
          <w:iCs/>
          <w:lang w:val="bg-BG"/>
        </w:rPr>
        <w:t>Potentilla emilii-popii</w:t>
      </w:r>
      <w:r w:rsidRPr="007375EB">
        <w:rPr>
          <w:lang w:val="bg-BG"/>
        </w:rPr>
        <w:t>, вид от обществен интерес, строго защитен</w:t>
      </w:r>
      <w:r w:rsidR="0079033A" w:rsidRPr="007375EB">
        <w:rPr>
          <w:lang w:val="bg-BG"/>
        </w:rPr>
        <w:t>.</w:t>
      </w:r>
    </w:p>
    <w:p w14:paraId="64066A82" w14:textId="46BAF05B" w:rsidR="00DE1441" w:rsidRPr="007375EB" w:rsidRDefault="0077279B" w:rsidP="00DE1441">
      <w:pPr>
        <w:spacing w:after="120" w:line="360" w:lineRule="auto"/>
        <w:jc w:val="both"/>
        <w:rPr>
          <w:lang w:val="bg-BG"/>
        </w:rPr>
      </w:pPr>
      <w:r w:rsidRPr="007375EB">
        <w:rPr>
          <w:lang w:val="bg-BG"/>
        </w:rPr>
        <w:t xml:space="preserve">Сред видовете земноводни и влечуги са </w:t>
      </w:r>
      <w:r w:rsidRPr="007375EB">
        <w:rPr>
          <w:i/>
          <w:iCs/>
          <w:lang w:val="bg-BG"/>
        </w:rPr>
        <w:t>Triturus dobrogicus, Bombina bombina, Emys orbicularis</w:t>
      </w:r>
      <w:r w:rsidRPr="007375EB">
        <w:rPr>
          <w:lang w:val="bg-BG"/>
        </w:rPr>
        <w:t xml:space="preserve"> и други. Един от най-важните видове е добруджанската костенурка, обявена за природна забележителност и строго защитена от закона. Понастоящем популацията ѝ силно намалява</w:t>
      </w:r>
      <w:r w:rsidR="00DE1441" w:rsidRPr="007375EB">
        <w:rPr>
          <w:lang w:val="bg-BG"/>
        </w:rPr>
        <w:t>.</w:t>
      </w:r>
    </w:p>
    <w:p w14:paraId="6530EA3F" w14:textId="46F15300" w:rsidR="00DE1441" w:rsidRPr="007375EB" w:rsidRDefault="0077279B" w:rsidP="00DE1441">
      <w:pPr>
        <w:spacing w:after="120" w:line="360" w:lineRule="auto"/>
        <w:jc w:val="both"/>
        <w:rPr>
          <w:lang w:val="bg-BG"/>
        </w:rPr>
      </w:pPr>
      <w:r w:rsidRPr="007375EB">
        <w:rPr>
          <w:lang w:val="bg-BG"/>
        </w:rPr>
        <w:t>Мястото е дом на богата орнитофауна, в която са установени над 100 вида птици. Някои видове птици имат важни ята, като например грабливи птици, чучулиги, кълвачи, кълвачи, черноглави и други. Поради което е обявен за специална защитена зона за орнитофауната.</w:t>
      </w:r>
    </w:p>
    <w:p w14:paraId="20976EBF" w14:textId="3FA4FED4" w:rsidR="00DE1441" w:rsidRPr="007375EB" w:rsidRDefault="00975AE5" w:rsidP="00DE1441">
      <w:pPr>
        <w:spacing w:after="120" w:line="360" w:lineRule="auto"/>
        <w:jc w:val="both"/>
        <w:rPr>
          <w:lang w:val="bg-BG"/>
        </w:rPr>
      </w:pPr>
      <w:r w:rsidRPr="007375EB">
        <w:rPr>
          <w:lang w:val="bg-BG"/>
        </w:rPr>
        <w:t xml:space="preserve">Фауната от бозайници включва значителен брой видове, включително видрата </w:t>
      </w:r>
      <w:r w:rsidRPr="007375EB">
        <w:rPr>
          <w:i/>
          <w:iCs/>
          <w:lang w:val="bg-BG"/>
        </w:rPr>
        <w:t>Lutra lutra</w:t>
      </w:r>
      <w:r w:rsidRPr="007375EB">
        <w:rPr>
          <w:lang w:val="bg-BG"/>
        </w:rPr>
        <w:t>, глигана Spermophilus citellus и много видове прилепи. От бозайниците прилепите са най-добре представената група. Въпреки че има малко изследвания за разпространението на прилепите в Добруджа, последните изследвания са установили 20 вида прилепи в района на Алиман-Адамклиси. Присъствието на различните видове прилепи се благоприятства от горите, човешките постройки или естествените структури, които осигуряват местообитания за нощуване, хранене и пренощуване</w:t>
      </w:r>
      <w:r w:rsidR="00DE1441" w:rsidRPr="007375EB">
        <w:rPr>
          <w:lang w:val="bg-BG"/>
        </w:rPr>
        <w:t xml:space="preserve">. </w:t>
      </w:r>
      <w:r w:rsidRPr="007375EB">
        <w:rPr>
          <w:lang w:val="bg-BG"/>
        </w:rPr>
        <w:t>Пещерата Чишмелуца, община Делени, въпреки че е силно повлияна от човешките дейности, през зимата е място за зимен сън на 5 вида прилепи, като</w:t>
      </w:r>
      <w:r w:rsidR="00DE1441" w:rsidRPr="007375EB">
        <w:rPr>
          <w:lang w:val="bg-BG"/>
        </w:rPr>
        <w:t xml:space="preserve"> </w:t>
      </w:r>
      <w:r w:rsidRPr="007375EB">
        <w:rPr>
          <w:lang w:val="bg-BG"/>
        </w:rPr>
        <w:t>Syringa vulgaris</w:t>
      </w:r>
      <w:r w:rsidR="00DE1441" w:rsidRPr="007375EB">
        <w:rPr>
          <w:lang w:val="bg-BG"/>
        </w:rPr>
        <w:t xml:space="preserve">, </w:t>
      </w:r>
      <w:r w:rsidRPr="007375EB">
        <w:rPr>
          <w:lang w:val="bg-BG"/>
        </w:rPr>
        <w:t>Plecotus austriacus</w:t>
      </w:r>
      <w:r w:rsidR="00DE1441" w:rsidRPr="007375EB">
        <w:rPr>
          <w:lang w:val="bg-BG"/>
        </w:rPr>
        <w:t xml:space="preserve">, </w:t>
      </w:r>
      <w:r w:rsidRPr="007375EB">
        <w:rPr>
          <w:lang w:val="bg-BG"/>
        </w:rPr>
        <w:t>Rhinolophus ferrumequinum</w:t>
      </w:r>
      <w:r w:rsidR="00DE1441" w:rsidRPr="007375EB">
        <w:rPr>
          <w:lang w:val="bg-BG"/>
        </w:rPr>
        <w:t xml:space="preserve">, </w:t>
      </w:r>
      <w:r w:rsidRPr="007375EB">
        <w:rPr>
          <w:lang w:val="bg-BG"/>
        </w:rPr>
        <w:t>Rhinolophus hipposideros</w:t>
      </w:r>
      <w:r w:rsidR="00DE1441" w:rsidRPr="007375EB">
        <w:rPr>
          <w:lang w:val="bg-BG"/>
        </w:rPr>
        <w:t xml:space="preserve">, </w:t>
      </w:r>
      <w:r w:rsidRPr="007375EB">
        <w:rPr>
          <w:lang w:val="bg-BG"/>
        </w:rPr>
        <w:t>Rhinolophus mehelyi</w:t>
      </w:r>
      <w:r w:rsidR="00DE1441" w:rsidRPr="007375EB">
        <w:rPr>
          <w:lang w:val="bg-BG"/>
        </w:rPr>
        <w:t>.</w:t>
      </w:r>
    </w:p>
    <w:p w14:paraId="6C805287" w14:textId="5E9FB287" w:rsidR="00DE1441" w:rsidRPr="007375EB" w:rsidRDefault="0077279B" w:rsidP="00DE1441">
      <w:pPr>
        <w:spacing w:after="120" w:line="360" w:lineRule="auto"/>
        <w:jc w:val="both"/>
        <w:rPr>
          <w:lang w:val="bg-BG"/>
        </w:rPr>
      </w:pPr>
      <w:r w:rsidRPr="007375EB">
        <w:rPr>
          <w:lang w:val="bg-BG"/>
        </w:rPr>
        <w:lastRenderedPageBreak/>
        <w:t>Видовете птици, изброени в приложение I към Директива 2009/147/ЕО на Съвета, включват</w:t>
      </w:r>
      <w:r w:rsidR="00DE1441" w:rsidRPr="007375EB">
        <w:rPr>
          <w:lang w:val="bg-BG"/>
        </w:rPr>
        <w:t xml:space="preserve">: A402 </w:t>
      </w:r>
      <w:r w:rsidR="00DE1441" w:rsidRPr="007375EB">
        <w:rPr>
          <w:i/>
          <w:iCs/>
          <w:lang w:val="bg-BG"/>
        </w:rPr>
        <w:t>Accipiter brevipes</w:t>
      </w:r>
      <w:r w:rsidR="00DE1441" w:rsidRPr="007375EB">
        <w:rPr>
          <w:lang w:val="bg-BG"/>
        </w:rPr>
        <w:t xml:space="preserve">, A255 </w:t>
      </w:r>
      <w:r w:rsidR="00DE1441" w:rsidRPr="007375EB">
        <w:rPr>
          <w:i/>
          <w:iCs/>
          <w:lang w:val="bg-BG"/>
        </w:rPr>
        <w:t>Anthus campestris</w:t>
      </w:r>
      <w:r w:rsidR="00DE1441" w:rsidRPr="007375EB">
        <w:rPr>
          <w:lang w:val="bg-BG"/>
        </w:rPr>
        <w:t xml:space="preserve">, A133 </w:t>
      </w:r>
      <w:r w:rsidR="00DE1441" w:rsidRPr="007375EB">
        <w:rPr>
          <w:i/>
          <w:iCs/>
          <w:lang w:val="bg-BG"/>
        </w:rPr>
        <w:t>Burhinus oedicnemus</w:t>
      </w:r>
      <w:r w:rsidR="00DE1441" w:rsidRPr="007375EB">
        <w:rPr>
          <w:lang w:val="bg-BG"/>
        </w:rPr>
        <w:t xml:space="preserve">, A243 </w:t>
      </w:r>
      <w:r w:rsidR="00DE1441" w:rsidRPr="007375EB">
        <w:rPr>
          <w:i/>
          <w:iCs/>
          <w:lang w:val="bg-BG"/>
        </w:rPr>
        <w:t>Calandrella brachydactyla</w:t>
      </w:r>
      <w:r w:rsidR="00DE1441" w:rsidRPr="007375EB">
        <w:rPr>
          <w:lang w:val="bg-BG"/>
        </w:rPr>
        <w:t xml:space="preserve">, A082 </w:t>
      </w:r>
      <w:r w:rsidR="00DE1441" w:rsidRPr="007375EB">
        <w:rPr>
          <w:i/>
          <w:iCs/>
          <w:lang w:val="bg-BG"/>
        </w:rPr>
        <w:t>Circus cyaneus</w:t>
      </w:r>
      <w:r w:rsidR="00DE1441" w:rsidRPr="007375EB">
        <w:rPr>
          <w:lang w:val="bg-BG"/>
        </w:rPr>
        <w:t xml:space="preserve">, A084 </w:t>
      </w:r>
      <w:r w:rsidR="00DE1441" w:rsidRPr="007375EB">
        <w:rPr>
          <w:i/>
          <w:iCs/>
          <w:lang w:val="bg-BG"/>
        </w:rPr>
        <w:t>Circus pygargus</w:t>
      </w:r>
      <w:r w:rsidR="00DE1441" w:rsidRPr="007375EB">
        <w:rPr>
          <w:lang w:val="bg-BG"/>
        </w:rPr>
        <w:t xml:space="preserve">, A097 </w:t>
      </w:r>
      <w:r w:rsidR="00DE1441" w:rsidRPr="007375EB">
        <w:rPr>
          <w:i/>
          <w:iCs/>
          <w:lang w:val="bg-BG"/>
        </w:rPr>
        <w:t>Falco vespertinus</w:t>
      </w:r>
      <w:r w:rsidR="00DE1441" w:rsidRPr="007375EB">
        <w:rPr>
          <w:lang w:val="bg-BG"/>
        </w:rPr>
        <w:t xml:space="preserve">, A242 </w:t>
      </w:r>
      <w:r w:rsidR="00DE1441" w:rsidRPr="007375EB">
        <w:rPr>
          <w:i/>
          <w:iCs/>
          <w:lang w:val="bg-BG"/>
        </w:rPr>
        <w:t>Melanocorypha calandra</w:t>
      </w:r>
      <w:r w:rsidR="00DE1441" w:rsidRPr="007375EB">
        <w:rPr>
          <w:lang w:val="bg-BG"/>
        </w:rPr>
        <w:t xml:space="preserve">, A533 </w:t>
      </w:r>
      <w:r w:rsidR="00DE1441" w:rsidRPr="007375EB">
        <w:rPr>
          <w:i/>
          <w:iCs/>
          <w:lang w:val="bg-BG"/>
        </w:rPr>
        <w:t>Oenanthe pleschanka</w:t>
      </w:r>
      <w:r w:rsidR="00DE1441" w:rsidRPr="007375EB">
        <w:rPr>
          <w:lang w:val="bg-BG"/>
        </w:rPr>
        <w:t xml:space="preserve">, A224 </w:t>
      </w:r>
      <w:r w:rsidR="00DE1441" w:rsidRPr="007375EB">
        <w:rPr>
          <w:i/>
          <w:iCs/>
          <w:lang w:val="bg-BG"/>
        </w:rPr>
        <w:t>Caprimulgus europaeus</w:t>
      </w:r>
      <w:r w:rsidR="00DE1441" w:rsidRPr="007375EB">
        <w:rPr>
          <w:lang w:val="bg-BG"/>
        </w:rPr>
        <w:t xml:space="preserve">, A083 </w:t>
      </w:r>
      <w:r w:rsidR="00DE1441" w:rsidRPr="007375EB">
        <w:rPr>
          <w:i/>
          <w:iCs/>
          <w:lang w:val="bg-BG"/>
        </w:rPr>
        <w:t>Circus macrourus</w:t>
      </w:r>
      <w:r w:rsidR="00DE1441" w:rsidRPr="007375EB">
        <w:rPr>
          <w:lang w:val="bg-BG"/>
        </w:rPr>
        <w:t xml:space="preserve">, A231 </w:t>
      </w:r>
      <w:r w:rsidR="00DE1441" w:rsidRPr="007375EB">
        <w:rPr>
          <w:i/>
          <w:iCs/>
          <w:lang w:val="bg-BG"/>
        </w:rPr>
        <w:t>Coracias garrulous</w:t>
      </w:r>
      <w:r w:rsidR="00DE1441" w:rsidRPr="007375EB">
        <w:rPr>
          <w:lang w:val="bg-BG"/>
        </w:rPr>
        <w:t xml:space="preserve">, A238 </w:t>
      </w:r>
      <w:r w:rsidR="00DE1441" w:rsidRPr="007375EB">
        <w:rPr>
          <w:i/>
          <w:iCs/>
          <w:lang w:val="bg-BG"/>
        </w:rPr>
        <w:t>Dendrocopos medius</w:t>
      </w:r>
      <w:r w:rsidR="00DE1441" w:rsidRPr="007375EB">
        <w:rPr>
          <w:lang w:val="bg-BG"/>
        </w:rPr>
        <w:t xml:space="preserve">, A511 </w:t>
      </w:r>
      <w:r w:rsidR="00DE1441" w:rsidRPr="007375EB">
        <w:rPr>
          <w:i/>
          <w:iCs/>
          <w:lang w:val="bg-BG"/>
        </w:rPr>
        <w:t>Falco cherrug</w:t>
      </w:r>
      <w:r w:rsidR="00DE1441" w:rsidRPr="007375EB">
        <w:rPr>
          <w:lang w:val="bg-BG"/>
        </w:rPr>
        <w:t xml:space="preserve">, A321 </w:t>
      </w:r>
      <w:r w:rsidR="00DE1441" w:rsidRPr="007375EB">
        <w:rPr>
          <w:i/>
          <w:iCs/>
          <w:lang w:val="bg-BG"/>
        </w:rPr>
        <w:t>Ficedula albicollis</w:t>
      </w:r>
      <w:r w:rsidR="00DE1441" w:rsidRPr="007375EB">
        <w:rPr>
          <w:lang w:val="bg-BG"/>
        </w:rPr>
        <w:t xml:space="preserve">, A320 </w:t>
      </w:r>
      <w:r w:rsidR="00DE1441" w:rsidRPr="007375EB">
        <w:rPr>
          <w:i/>
          <w:iCs/>
          <w:lang w:val="bg-BG"/>
        </w:rPr>
        <w:t>Ficedula parva</w:t>
      </w:r>
      <w:r w:rsidR="00DE1441" w:rsidRPr="007375EB">
        <w:rPr>
          <w:lang w:val="bg-BG"/>
        </w:rPr>
        <w:t xml:space="preserve">, A092 </w:t>
      </w:r>
      <w:r w:rsidR="00DE1441" w:rsidRPr="007375EB">
        <w:rPr>
          <w:i/>
          <w:iCs/>
          <w:lang w:val="bg-BG"/>
        </w:rPr>
        <w:t>Hieraaetus pennatus</w:t>
      </w:r>
      <w:r w:rsidR="00DE1441" w:rsidRPr="007375EB">
        <w:rPr>
          <w:lang w:val="bg-BG"/>
        </w:rPr>
        <w:t xml:space="preserve">, A338 </w:t>
      </w:r>
      <w:r w:rsidR="00DE1441" w:rsidRPr="007375EB">
        <w:rPr>
          <w:i/>
          <w:iCs/>
          <w:lang w:val="bg-BG"/>
        </w:rPr>
        <w:t>Lanius collurio</w:t>
      </w:r>
      <w:r w:rsidR="00DE1441" w:rsidRPr="007375EB">
        <w:rPr>
          <w:lang w:val="bg-BG"/>
        </w:rPr>
        <w:t xml:space="preserve">, A339 </w:t>
      </w:r>
      <w:r w:rsidR="00DE1441" w:rsidRPr="007375EB">
        <w:rPr>
          <w:i/>
          <w:iCs/>
          <w:lang w:val="bg-BG"/>
        </w:rPr>
        <w:t>Lanius minor</w:t>
      </w:r>
      <w:r w:rsidR="00DE1441" w:rsidRPr="007375EB">
        <w:rPr>
          <w:lang w:val="bg-BG"/>
        </w:rPr>
        <w:t xml:space="preserve">, A246 </w:t>
      </w:r>
      <w:r w:rsidR="00DE1441" w:rsidRPr="007375EB">
        <w:rPr>
          <w:i/>
          <w:iCs/>
          <w:lang w:val="bg-BG"/>
        </w:rPr>
        <w:t>Lullula arborea</w:t>
      </w:r>
      <w:r w:rsidR="00DE1441" w:rsidRPr="007375EB">
        <w:rPr>
          <w:lang w:val="bg-BG"/>
        </w:rPr>
        <w:t xml:space="preserve">, A072 </w:t>
      </w:r>
      <w:r w:rsidR="00DE1441" w:rsidRPr="007375EB">
        <w:rPr>
          <w:i/>
          <w:iCs/>
          <w:lang w:val="bg-BG"/>
        </w:rPr>
        <w:t>Pernis apivorus</w:t>
      </w:r>
      <w:r w:rsidR="00DE1441" w:rsidRPr="007375EB">
        <w:rPr>
          <w:lang w:val="bg-BG"/>
        </w:rPr>
        <w:t xml:space="preserve">, A234 </w:t>
      </w:r>
      <w:r w:rsidR="00DE1441" w:rsidRPr="007375EB">
        <w:rPr>
          <w:i/>
          <w:iCs/>
          <w:lang w:val="bg-BG"/>
        </w:rPr>
        <w:t>Picus canus</w:t>
      </w:r>
      <w:r w:rsidR="00DE1441" w:rsidRPr="007375EB">
        <w:rPr>
          <w:lang w:val="bg-BG"/>
        </w:rPr>
        <w:t xml:space="preserve">, A080 </w:t>
      </w:r>
      <w:r w:rsidR="00DE1441" w:rsidRPr="007375EB">
        <w:rPr>
          <w:i/>
          <w:iCs/>
          <w:lang w:val="bg-BG"/>
        </w:rPr>
        <w:t>Circaetus gallicus</w:t>
      </w:r>
      <w:r w:rsidR="00DE1441" w:rsidRPr="007375EB">
        <w:rPr>
          <w:lang w:val="bg-BG"/>
        </w:rPr>
        <w:t xml:space="preserve">, A103 </w:t>
      </w:r>
      <w:r w:rsidR="00DE1441" w:rsidRPr="007375EB">
        <w:rPr>
          <w:i/>
          <w:iCs/>
          <w:lang w:val="bg-BG"/>
        </w:rPr>
        <w:t>Falco peregrinus</w:t>
      </w:r>
      <w:r w:rsidR="00DE1441" w:rsidRPr="007375EB">
        <w:rPr>
          <w:lang w:val="bg-BG"/>
        </w:rPr>
        <w:t xml:space="preserve">, A215 </w:t>
      </w:r>
      <w:r w:rsidR="00DE1441" w:rsidRPr="007375EB">
        <w:rPr>
          <w:i/>
          <w:iCs/>
          <w:lang w:val="bg-BG"/>
        </w:rPr>
        <w:t>Bubo bubo</w:t>
      </w:r>
      <w:r w:rsidR="00DE1441" w:rsidRPr="007375EB">
        <w:rPr>
          <w:lang w:val="bg-BG"/>
        </w:rPr>
        <w:t xml:space="preserve">, A403 </w:t>
      </w:r>
      <w:r w:rsidR="00DE1441" w:rsidRPr="007375EB">
        <w:rPr>
          <w:i/>
          <w:iCs/>
          <w:lang w:val="bg-BG"/>
        </w:rPr>
        <w:t>Buteo rufinus</w:t>
      </w:r>
      <w:r w:rsidR="00DE1441" w:rsidRPr="007375EB">
        <w:rPr>
          <w:lang w:val="bg-BG"/>
        </w:rPr>
        <w:t xml:space="preserve">, A404 </w:t>
      </w:r>
      <w:r w:rsidR="00DE1441" w:rsidRPr="007375EB">
        <w:rPr>
          <w:i/>
          <w:iCs/>
          <w:lang w:val="bg-BG"/>
        </w:rPr>
        <w:t>Aquila heliacal</w:t>
      </w:r>
      <w:r w:rsidR="00DE1441" w:rsidRPr="007375EB">
        <w:rPr>
          <w:lang w:val="bg-BG"/>
        </w:rPr>
        <w:t xml:space="preserve">, A089 </w:t>
      </w:r>
      <w:r w:rsidR="00DE1441" w:rsidRPr="007375EB">
        <w:rPr>
          <w:i/>
          <w:iCs/>
          <w:lang w:val="bg-BG"/>
        </w:rPr>
        <w:t>Aquila pomarina</w:t>
      </w:r>
      <w:r w:rsidR="00DE1441" w:rsidRPr="007375EB">
        <w:rPr>
          <w:lang w:val="bg-BG"/>
        </w:rPr>
        <w:t xml:space="preserve">, A081 </w:t>
      </w:r>
      <w:r w:rsidR="00DE1441" w:rsidRPr="007375EB">
        <w:rPr>
          <w:i/>
          <w:iCs/>
          <w:lang w:val="bg-BG"/>
        </w:rPr>
        <w:t>Circus aeruginosus</w:t>
      </w:r>
      <w:r w:rsidR="00DE1441" w:rsidRPr="007375EB">
        <w:rPr>
          <w:lang w:val="bg-BG"/>
        </w:rPr>
        <w:t xml:space="preserve">, A429 </w:t>
      </w:r>
      <w:r w:rsidR="00DE1441" w:rsidRPr="007375EB">
        <w:rPr>
          <w:i/>
          <w:iCs/>
          <w:lang w:val="bg-BG"/>
        </w:rPr>
        <w:t>Dendrocopos syriacus</w:t>
      </w:r>
      <w:r w:rsidR="00DE1441" w:rsidRPr="007375EB">
        <w:rPr>
          <w:lang w:val="bg-BG"/>
        </w:rPr>
        <w:t xml:space="preserve">, A073 </w:t>
      </w:r>
      <w:r w:rsidR="00DE1441" w:rsidRPr="007375EB">
        <w:rPr>
          <w:i/>
          <w:iCs/>
          <w:lang w:val="bg-BG"/>
        </w:rPr>
        <w:t>Milvus migrans</w:t>
      </w:r>
      <w:r w:rsidR="00DE1441" w:rsidRPr="007375EB">
        <w:rPr>
          <w:lang w:val="bg-BG"/>
        </w:rPr>
        <w:t xml:space="preserve">, A379 </w:t>
      </w:r>
      <w:r w:rsidR="00DE1441" w:rsidRPr="007375EB">
        <w:rPr>
          <w:i/>
          <w:iCs/>
          <w:lang w:val="bg-BG"/>
        </w:rPr>
        <w:t>Emberiza hortulana</w:t>
      </w:r>
      <w:r w:rsidR="00DE1441" w:rsidRPr="007375EB">
        <w:rPr>
          <w:lang w:val="bg-BG"/>
        </w:rPr>
        <w:t xml:space="preserve">, A307 </w:t>
      </w:r>
      <w:r w:rsidR="00DE1441" w:rsidRPr="007375EB">
        <w:rPr>
          <w:i/>
          <w:iCs/>
          <w:lang w:val="bg-BG"/>
        </w:rPr>
        <w:t>Sylvia nisoria</w:t>
      </w:r>
      <w:r w:rsidR="0079033A" w:rsidRPr="007375EB">
        <w:rPr>
          <w:i/>
          <w:iCs/>
          <w:lang w:val="bg-BG"/>
        </w:rPr>
        <w:t>.</w:t>
      </w:r>
    </w:p>
    <w:p w14:paraId="11EAE747" w14:textId="6D534B3A" w:rsidR="00DE1441" w:rsidRPr="007375EB" w:rsidRDefault="00DE1441" w:rsidP="00DE1441">
      <w:pPr>
        <w:spacing w:after="120" w:line="360" w:lineRule="auto"/>
        <w:jc w:val="both"/>
        <w:rPr>
          <w:lang w:val="bg-BG"/>
        </w:rPr>
      </w:pPr>
      <w:r w:rsidRPr="007375EB">
        <w:rPr>
          <w:b/>
          <w:bCs/>
          <w:i/>
          <w:iCs/>
          <w:lang w:val="bg-BG"/>
        </w:rPr>
        <w:t xml:space="preserve">ROSAC0157 </w:t>
      </w:r>
      <w:r w:rsidR="0077279B" w:rsidRPr="007375EB">
        <w:rPr>
          <w:b/>
          <w:bCs/>
          <w:i/>
          <w:iCs/>
          <w:lang w:val="bg-BG" w:eastAsia="ro-RO"/>
        </w:rPr>
        <w:t>Гората Хаджиени-Коту Въи</w:t>
      </w:r>
      <w:r w:rsidR="0077279B" w:rsidRPr="007375EB">
        <w:rPr>
          <w:lang w:val="bg-BG"/>
        </w:rPr>
        <w:t xml:space="preserve"> </w:t>
      </w:r>
      <w:r w:rsidR="00D75582" w:rsidRPr="007375EB">
        <w:rPr>
          <w:lang w:val="bg-BG"/>
        </w:rPr>
        <w:t>е създадена със Заповед на министъра на околната среда и устойчивото развитие № 1964/2007 за създаване на режим на защитени природни територии с обекти от значение за Общността, като неразделна част от европейската екологична мрежа Природа 2000 в Румъния, с последващи изменения и допълнения</w:t>
      </w:r>
      <w:r w:rsidRPr="007375EB">
        <w:rPr>
          <w:lang w:val="bg-BG"/>
        </w:rPr>
        <w:t>.</w:t>
      </w:r>
    </w:p>
    <w:p w14:paraId="7BB7475C" w14:textId="41F7FF7F" w:rsidR="00DE1441" w:rsidRPr="007375EB" w:rsidRDefault="00DE1441" w:rsidP="00DE1441">
      <w:pPr>
        <w:spacing w:after="120" w:line="360" w:lineRule="auto"/>
        <w:jc w:val="both"/>
        <w:rPr>
          <w:lang w:val="bg-BG"/>
        </w:rPr>
      </w:pPr>
      <w:r w:rsidRPr="007375EB">
        <w:rPr>
          <w:lang w:val="bg-BG"/>
        </w:rPr>
        <w:t xml:space="preserve">ROSCI0157 </w:t>
      </w:r>
      <w:r w:rsidR="00D75582" w:rsidRPr="007375EB">
        <w:rPr>
          <w:lang w:val="bg-BG" w:eastAsia="ro-RO"/>
        </w:rPr>
        <w:t>Гората Хаджиени-Коту Въи</w:t>
      </w:r>
      <w:r w:rsidR="00D75582" w:rsidRPr="007375EB">
        <w:rPr>
          <w:lang w:val="bg-BG"/>
        </w:rPr>
        <w:t xml:space="preserve"> е от голямо научно значение за 6 местообитания и 18 вида от интерес за Общността, за които е обявен за специална защитена зона за орнитофауната.</w:t>
      </w:r>
    </w:p>
    <w:p w14:paraId="395EED11" w14:textId="29C97DF4" w:rsidR="00D75582" w:rsidRPr="007375EB" w:rsidRDefault="00DE1441" w:rsidP="00DE1441">
      <w:pPr>
        <w:spacing w:after="120" w:line="360" w:lineRule="auto"/>
        <w:jc w:val="both"/>
        <w:rPr>
          <w:lang w:val="bg-BG"/>
        </w:rPr>
      </w:pPr>
      <w:r w:rsidRPr="007375EB">
        <w:rPr>
          <w:lang w:val="bg-BG"/>
        </w:rPr>
        <w:t xml:space="preserve">R0SCI0157 </w:t>
      </w:r>
      <w:r w:rsidR="00D75582" w:rsidRPr="007375EB">
        <w:rPr>
          <w:lang w:val="bg-BG" w:eastAsia="ro-RO"/>
        </w:rPr>
        <w:t>Гората Хаджиени-Коту Въи</w:t>
      </w:r>
      <w:r w:rsidR="00D75582" w:rsidRPr="007375EB">
        <w:rPr>
          <w:lang w:val="bg-BG"/>
        </w:rPr>
        <w:t xml:space="preserve"> има площ от 3618 ха и се припокрива с R0SPA0094 </w:t>
      </w:r>
      <w:r w:rsidR="00D75582" w:rsidRPr="007375EB">
        <w:rPr>
          <w:lang w:val="bg-BG" w:eastAsia="ro-RO"/>
        </w:rPr>
        <w:t>Гората Хаджиени</w:t>
      </w:r>
      <w:r w:rsidR="00D75582" w:rsidRPr="007375EB">
        <w:rPr>
          <w:lang w:val="bg-BG"/>
        </w:rPr>
        <w:t xml:space="preserve"> и Горски резерват </w:t>
      </w:r>
      <w:r w:rsidR="00D75582" w:rsidRPr="007375EB">
        <w:rPr>
          <w:lang w:val="bg-BG" w:eastAsia="ro-RO"/>
        </w:rPr>
        <w:t>Хаджиени</w:t>
      </w:r>
      <w:r w:rsidR="00D75582" w:rsidRPr="007375EB">
        <w:rPr>
          <w:lang w:val="bg-BG"/>
        </w:rPr>
        <w:t xml:space="preserve"> - код 2.360.</w:t>
      </w:r>
    </w:p>
    <w:p w14:paraId="59D3A6C3" w14:textId="29FC131B" w:rsidR="00DE1441" w:rsidRPr="007375EB" w:rsidRDefault="00D75582" w:rsidP="00DE1441">
      <w:pPr>
        <w:spacing w:after="120" w:line="360" w:lineRule="auto"/>
        <w:jc w:val="both"/>
        <w:rPr>
          <w:lang w:val="bg-BG"/>
        </w:rPr>
      </w:pPr>
      <w:r w:rsidRPr="007375EB">
        <w:rPr>
          <w:lang w:val="bg-BG"/>
        </w:rPr>
        <w:t>Типове местообитания на територията - 6 типа местообитания</w:t>
      </w:r>
      <w:r w:rsidR="00DE1441" w:rsidRPr="007375EB">
        <w:rPr>
          <w:lang w:val="bg-BG"/>
        </w:rPr>
        <w:t>:</w:t>
      </w:r>
    </w:p>
    <w:p w14:paraId="27B17C7B" w14:textId="23BF16A4" w:rsidR="00DE1441" w:rsidRPr="007375EB" w:rsidRDefault="00DE1441" w:rsidP="00355DC6">
      <w:pPr>
        <w:pStyle w:val="ListParagraph"/>
        <w:numPr>
          <w:ilvl w:val="0"/>
          <w:numId w:val="92"/>
        </w:numPr>
        <w:spacing w:after="120" w:line="360" w:lineRule="auto"/>
        <w:jc w:val="both"/>
        <w:rPr>
          <w:rFonts w:asciiTheme="minorHAnsi" w:hAnsiTheme="minorHAnsi" w:cs="Segoe UI Symbol"/>
          <w:lang w:val="bg-BG"/>
        </w:rPr>
      </w:pPr>
      <w:r w:rsidRPr="007375EB">
        <w:rPr>
          <w:rFonts w:asciiTheme="minorHAnsi" w:hAnsiTheme="minorHAnsi" w:cs="Segoe UI Symbol"/>
          <w:lang w:val="bg-BG"/>
        </w:rPr>
        <w:t xml:space="preserve">3150 </w:t>
      </w:r>
      <w:r w:rsidR="00D75582" w:rsidRPr="007375EB">
        <w:rPr>
          <w:rFonts w:asciiTheme="minorHAnsi" w:hAnsiTheme="minorHAnsi" w:cs="Segoe UI Symbol"/>
          <w:lang w:val="bg-BG"/>
        </w:rPr>
        <w:t>Естествени еутрофни езера с растителност от вида Magnopotamion или Hydrocharition</w:t>
      </w:r>
    </w:p>
    <w:p w14:paraId="5F0134E7" w14:textId="38C0714D" w:rsidR="00DE1441" w:rsidRPr="007375EB" w:rsidRDefault="00DE1441" w:rsidP="00355DC6">
      <w:pPr>
        <w:pStyle w:val="ListParagraph"/>
        <w:numPr>
          <w:ilvl w:val="0"/>
          <w:numId w:val="92"/>
        </w:numPr>
        <w:spacing w:after="120" w:line="360" w:lineRule="auto"/>
        <w:jc w:val="both"/>
        <w:rPr>
          <w:rFonts w:asciiTheme="minorHAnsi" w:hAnsiTheme="minorHAnsi" w:cs="Segoe UI Symbol"/>
          <w:lang w:val="bg-BG"/>
        </w:rPr>
      </w:pPr>
      <w:r w:rsidRPr="007375EB">
        <w:rPr>
          <w:rFonts w:asciiTheme="minorHAnsi" w:hAnsiTheme="minorHAnsi" w:cs="Segoe UI Symbol"/>
          <w:lang w:val="bg-BG"/>
        </w:rPr>
        <w:t xml:space="preserve">6430 </w:t>
      </w:r>
      <w:r w:rsidR="00D75582" w:rsidRPr="007375EB">
        <w:rPr>
          <w:rFonts w:asciiTheme="minorHAnsi" w:hAnsiTheme="minorHAnsi" w:cs="Segoe UI Symbol"/>
          <w:lang w:val="bg-BG"/>
        </w:rPr>
        <w:t>Низини, възвишения до планински и алпийски масиви, висока трева, хигрофилни местообитания на възвишенията</w:t>
      </w:r>
    </w:p>
    <w:p w14:paraId="4C5760ED" w14:textId="189FDDD9" w:rsidR="00DE1441" w:rsidRPr="007375EB" w:rsidRDefault="00DE1441" w:rsidP="00355DC6">
      <w:pPr>
        <w:pStyle w:val="ListParagraph"/>
        <w:numPr>
          <w:ilvl w:val="0"/>
          <w:numId w:val="92"/>
        </w:numPr>
        <w:spacing w:after="120" w:line="360" w:lineRule="auto"/>
        <w:jc w:val="both"/>
        <w:rPr>
          <w:rFonts w:asciiTheme="minorHAnsi" w:hAnsiTheme="minorHAnsi" w:cs="Segoe UI Symbol"/>
          <w:lang w:val="bg-BG"/>
        </w:rPr>
      </w:pPr>
      <w:r w:rsidRPr="007375EB">
        <w:rPr>
          <w:rFonts w:asciiTheme="minorHAnsi" w:hAnsiTheme="minorHAnsi" w:cs="Segoe UI Symbol"/>
          <w:lang w:val="bg-BG"/>
        </w:rPr>
        <w:t xml:space="preserve">91AA </w:t>
      </w:r>
      <w:r w:rsidR="00D75582" w:rsidRPr="007375EB">
        <w:rPr>
          <w:rFonts w:asciiTheme="minorHAnsi" w:hAnsiTheme="minorHAnsi" w:cs="Segoe UI Symbol"/>
          <w:lang w:val="bg-BG"/>
        </w:rPr>
        <w:t>Понто-сарматска горска растителност с космат дъб</w:t>
      </w:r>
    </w:p>
    <w:p w14:paraId="4F2E4A39" w14:textId="4A1242F1" w:rsidR="00DE1441" w:rsidRPr="007375EB" w:rsidRDefault="00DE1441" w:rsidP="00355DC6">
      <w:pPr>
        <w:pStyle w:val="ListParagraph"/>
        <w:numPr>
          <w:ilvl w:val="0"/>
          <w:numId w:val="92"/>
        </w:numPr>
        <w:spacing w:after="120" w:line="360" w:lineRule="auto"/>
        <w:jc w:val="both"/>
        <w:rPr>
          <w:rFonts w:asciiTheme="minorHAnsi" w:hAnsiTheme="minorHAnsi" w:cs="Segoe UI Symbol"/>
          <w:lang w:val="bg-BG"/>
        </w:rPr>
      </w:pPr>
      <w:r w:rsidRPr="007375EB">
        <w:rPr>
          <w:rFonts w:asciiTheme="minorHAnsi" w:hAnsiTheme="minorHAnsi" w:cs="Segoe UI Symbol"/>
          <w:lang w:val="bg-BG"/>
        </w:rPr>
        <w:t xml:space="preserve">40C0* </w:t>
      </w:r>
      <w:r w:rsidR="00D75582" w:rsidRPr="007375EB">
        <w:rPr>
          <w:rFonts w:asciiTheme="minorHAnsi" w:hAnsiTheme="minorHAnsi" w:cs="Segoe UI Symbol"/>
          <w:lang w:val="bg-BG"/>
        </w:rPr>
        <w:t>Понто-сарматски широколистни храсталаци</w:t>
      </w:r>
    </w:p>
    <w:p w14:paraId="3DE25CA6" w14:textId="1D60058F" w:rsidR="00DE1441" w:rsidRPr="007375EB" w:rsidRDefault="00DE1441" w:rsidP="00355DC6">
      <w:pPr>
        <w:pStyle w:val="ListParagraph"/>
        <w:numPr>
          <w:ilvl w:val="0"/>
          <w:numId w:val="92"/>
        </w:numPr>
        <w:spacing w:after="120" w:line="360" w:lineRule="auto"/>
        <w:jc w:val="both"/>
        <w:rPr>
          <w:rFonts w:asciiTheme="minorHAnsi" w:hAnsiTheme="minorHAnsi" w:cs="Segoe UI Symbol"/>
          <w:lang w:val="bg-BG"/>
        </w:rPr>
      </w:pPr>
      <w:r w:rsidRPr="007375EB">
        <w:rPr>
          <w:rFonts w:asciiTheme="minorHAnsi" w:hAnsiTheme="minorHAnsi" w:cs="Segoe UI Symbol"/>
          <w:lang w:val="bg-BG"/>
        </w:rPr>
        <w:t xml:space="preserve">62C0* </w:t>
      </w:r>
      <w:r w:rsidR="00D75582" w:rsidRPr="007375EB">
        <w:rPr>
          <w:rFonts w:asciiTheme="minorHAnsi" w:hAnsiTheme="minorHAnsi" w:cs="Segoe UI Symbol"/>
          <w:lang w:val="bg-BG"/>
        </w:rPr>
        <w:t>Понто-сарматски степи</w:t>
      </w:r>
    </w:p>
    <w:p w14:paraId="30093462" w14:textId="6746AA02" w:rsidR="00DE1441" w:rsidRPr="007375EB" w:rsidRDefault="00DE1441" w:rsidP="00355DC6">
      <w:pPr>
        <w:pStyle w:val="ListParagraph"/>
        <w:numPr>
          <w:ilvl w:val="0"/>
          <w:numId w:val="92"/>
        </w:numPr>
        <w:spacing w:after="120" w:line="360" w:lineRule="auto"/>
        <w:jc w:val="both"/>
        <w:rPr>
          <w:rFonts w:asciiTheme="minorHAnsi" w:hAnsiTheme="minorHAnsi" w:cs="Segoe UI Symbol"/>
          <w:lang w:val="bg-BG"/>
        </w:rPr>
      </w:pPr>
      <w:r w:rsidRPr="007375EB">
        <w:rPr>
          <w:rFonts w:asciiTheme="minorHAnsi" w:hAnsiTheme="minorHAnsi" w:cs="Segoe UI Symbol"/>
          <w:lang w:val="bg-BG"/>
        </w:rPr>
        <w:t xml:space="preserve">91M0 </w:t>
      </w:r>
      <w:r w:rsidR="00D75582" w:rsidRPr="007375EB">
        <w:rPr>
          <w:rFonts w:asciiTheme="minorHAnsi" w:hAnsiTheme="minorHAnsi" w:cs="Segoe UI Symbol"/>
          <w:lang w:val="bg-BG"/>
        </w:rPr>
        <w:t xml:space="preserve">Балкано-панонски гори от </w:t>
      </w:r>
      <w:r w:rsidR="00D75582" w:rsidRPr="007375EB">
        <w:rPr>
          <w:lang w:val="bg-BG"/>
        </w:rPr>
        <w:t xml:space="preserve">австрийски дъб </w:t>
      </w:r>
      <w:r w:rsidR="00D75582" w:rsidRPr="007375EB">
        <w:rPr>
          <w:rFonts w:asciiTheme="minorHAnsi" w:hAnsiTheme="minorHAnsi" w:cs="Segoe UI Symbol"/>
          <w:lang w:val="bg-BG"/>
        </w:rPr>
        <w:t>и горун</w:t>
      </w:r>
    </w:p>
    <w:p w14:paraId="6C2B528A" w14:textId="218CC755" w:rsidR="00DE1441" w:rsidRPr="007375EB" w:rsidRDefault="00D75582" w:rsidP="00DE1441">
      <w:pPr>
        <w:spacing w:after="120" w:line="360" w:lineRule="auto"/>
        <w:jc w:val="both"/>
        <w:rPr>
          <w:lang w:val="bg-BG"/>
        </w:rPr>
      </w:pPr>
      <w:r w:rsidRPr="007375EB">
        <w:rPr>
          <w:lang w:val="bg-BG"/>
        </w:rPr>
        <w:t>На мястото се намират</w:t>
      </w:r>
      <w:r w:rsidR="00DE1441" w:rsidRPr="007375EB">
        <w:rPr>
          <w:lang w:val="bg-BG"/>
        </w:rPr>
        <w:t>:</w:t>
      </w:r>
    </w:p>
    <w:p w14:paraId="550A6826" w14:textId="4D70C94A" w:rsidR="00DE1441" w:rsidRPr="007375EB" w:rsidRDefault="00D75582" w:rsidP="00355DC6">
      <w:pPr>
        <w:pStyle w:val="ListParagraph"/>
        <w:numPr>
          <w:ilvl w:val="0"/>
          <w:numId w:val="92"/>
        </w:numPr>
        <w:spacing w:after="120" w:line="360" w:lineRule="auto"/>
        <w:jc w:val="both"/>
        <w:rPr>
          <w:rFonts w:asciiTheme="minorHAnsi" w:hAnsiTheme="minorHAnsi" w:cs="Segoe UI Symbol"/>
          <w:lang w:val="bg-BG"/>
        </w:rPr>
      </w:pPr>
      <w:r w:rsidRPr="007375EB">
        <w:rPr>
          <w:rFonts w:asciiTheme="minorHAnsi" w:hAnsiTheme="minorHAnsi" w:cs="Segoe UI Symbol"/>
          <w:lang w:val="bg-BG"/>
        </w:rPr>
        <w:t xml:space="preserve">7 вида млекопитаещи, включени в приложение II към Директива 92/43/ЕИО </w:t>
      </w:r>
      <w:r w:rsidR="00DE1441" w:rsidRPr="007375EB">
        <w:rPr>
          <w:rFonts w:asciiTheme="minorHAnsi" w:hAnsiTheme="minorHAnsi" w:cs="Segoe UI Symbol"/>
          <w:i/>
          <w:iCs/>
          <w:lang w:val="bg-BG"/>
        </w:rPr>
        <w:t>Spermophilus citellus, Mesocricetus newtoni, Rhinolophus mehelyi, Miniopterus schreibersii, Rhinolophus ferrumequinum, Myotis capaccinii, Mustela eversmannii</w:t>
      </w:r>
      <w:r w:rsidR="00DE1441" w:rsidRPr="007375EB">
        <w:rPr>
          <w:rFonts w:asciiTheme="minorHAnsi" w:hAnsiTheme="minorHAnsi" w:cs="Segoe UI Symbol"/>
          <w:lang w:val="bg-BG"/>
        </w:rPr>
        <w:t>;</w:t>
      </w:r>
    </w:p>
    <w:p w14:paraId="0B4A68ED" w14:textId="2006ED97" w:rsidR="00DE1441" w:rsidRPr="007375EB" w:rsidRDefault="00D75582" w:rsidP="00355DC6">
      <w:pPr>
        <w:pStyle w:val="ListParagraph"/>
        <w:numPr>
          <w:ilvl w:val="0"/>
          <w:numId w:val="92"/>
        </w:numPr>
        <w:spacing w:after="120" w:line="360" w:lineRule="auto"/>
        <w:jc w:val="both"/>
        <w:rPr>
          <w:rFonts w:asciiTheme="minorHAnsi" w:hAnsiTheme="minorHAnsi" w:cs="Segoe UI Symbol"/>
          <w:lang w:val="bg-BG"/>
        </w:rPr>
      </w:pPr>
      <w:r w:rsidRPr="007375EB">
        <w:rPr>
          <w:rFonts w:asciiTheme="minorHAnsi" w:hAnsiTheme="minorHAnsi" w:cs="Segoe UI Symbol"/>
          <w:lang w:val="bg-BG"/>
        </w:rPr>
        <w:t>2 вида земноводни и влечуги, включени в приложение II към Директива 92/43/ЕИО</w:t>
      </w:r>
      <w:r w:rsidR="00DE1441" w:rsidRPr="007375EB">
        <w:rPr>
          <w:rFonts w:asciiTheme="minorHAnsi" w:hAnsiTheme="minorHAnsi" w:cs="Segoe UI Symbol"/>
          <w:lang w:val="bg-BG"/>
        </w:rPr>
        <w:t xml:space="preserve">: </w:t>
      </w:r>
      <w:r w:rsidR="00DE1441" w:rsidRPr="007375EB">
        <w:rPr>
          <w:rFonts w:asciiTheme="minorHAnsi" w:hAnsiTheme="minorHAnsi" w:cs="Segoe UI Symbol"/>
          <w:i/>
          <w:iCs/>
          <w:lang w:val="bg-BG"/>
        </w:rPr>
        <w:t>Testudo graeca, Emys orbicularis</w:t>
      </w:r>
      <w:r w:rsidR="00DE1441" w:rsidRPr="007375EB">
        <w:rPr>
          <w:rFonts w:asciiTheme="minorHAnsi" w:hAnsiTheme="minorHAnsi" w:cs="Segoe UI Symbol"/>
          <w:lang w:val="bg-BG"/>
        </w:rPr>
        <w:t>;</w:t>
      </w:r>
    </w:p>
    <w:p w14:paraId="40A80DE3" w14:textId="4B737364" w:rsidR="00DE1441" w:rsidRPr="007375EB" w:rsidRDefault="00D75582" w:rsidP="00355DC6">
      <w:pPr>
        <w:pStyle w:val="ListParagraph"/>
        <w:numPr>
          <w:ilvl w:val="0"/>
          <w:numId w:val="92"/>
        </w:numPr>
        <w:spacing w:after="120" w:line="360" w:lineRule="auto"/>
        <w:jc w:val="both"/>
        <w:rPr>
          <w:rFonts w:asciiTheme="minorHAnsi" w:hAnsiTheme="minorHAnsi" w:cs="Segoe UI Symbol"/>
          <w:lang w:val="bg-BG"/>
        </w:rPr>
      </w:pPr>
      <w:r w:rsidRPr="007375EB">
        <w:rPr>
          <w:rFonts w:asciiTheme="minorHAnsi" w:hAnsiTheme="minorHAnsi" w:cs="Segoe UI Symbol"/>
          <w:lang w:val="bg-BG"/>
        </w:rPr>
        <w:t>4 растителни вида, включени в приложение II към Директива 92/43/ЕИО</w:t>
      </w:r>
      <w:r w:rsidR="00DE1441" w:rsidRPr="007375EB">
        <w:rPr>
          <w:rFonts w:asciiTheme="minorHAnsi" w:hAnsiTheme="minorHAnsi" w:cs="Segoe UI Symbol"/>
          <w:lang w:val="bg-BG"/>
        </w:rPr>
        <w:t xml:space="preserve">: </w:t>
      </w:r>
      <w:r w:rsidR="00DE1441" w:rsidRPr="007375EB">
        <w:rPr>
          <w:rFonts w:asciiTheme="minorHAnsi" w:hAnsiTheme="minorHAnsi" w:cs="Segoe UI Symbol"/>
          <w:i/>
          <w:iCs/>
          <w:lang w:val="bg-BG"/>
        </w:rPr>
        <w:t>Himantoglossum caprinum, Potentilla emilii-popii, Centaurea jankae, Echium russicum</w:t>
      </w:r>
      <w:r w:rsidR="00DE1441" w:rsidRPr="007375EB">
        <w:rPr>
          <w:rFonts w:asciiTheme="minorHAnsi" w:hAnsiTheme="minorHAnsi" w:cs="Segoe UI Symbol"/>
          <w:lang w:val="bg-BG"/>
        </w:rPr>
        <w:t>:</w:t>
      </w:r>
    </w:p>
    <w:p w14:paraId="0A298360" w14:textId="2785AD99" w:rsidR="00DE1441" w:rsidRPr="007375EB" w:rsidRDefault="00D75582" w:rsidP="00355DC6">
      <w:pPr>
        <w:pStyle w:val="ListParagraph"/>
        <w:numPr>
          <w:ilvl w:val="0"/>
          <w:numId w:val="92"/>
        </w:numPr>
        <w:spacing w:after="120" w:line="360" w:lineRule="auto"/>
        <w:jc w:val="both"/>
        <w:rPr>
          <w:rFonts w:asciiTheme="minorHAnsi" w:hAnsiTheme="minorHAnsi" w:cs="Segoe UI Symbol"/>
          <w:lang w:val="bg-BG"/>
        </w:rPr>
      </w:pPr>
      <w:r w:rsidRPr="007375EB">
        <w:rPr>
          <w:rFonts w:asciiTheme="minorHAnsi" w:hAnsiTheme="minorHAnsi" w:cs="Segoe UI Symbol"/>
          <w:lang w:val="bg-BG"/>
        </w:rPr>
        <w:t>42 Други важни растителни и животински видове</w:t>
      </w:r>
      <w:r w:rsidR="00DE1441" w:rsidRPr="007375EB">
        <w:rPr>
          <w:rFonts w:asciiTheme="minorHAnsi" w:hAnsiTheme="minorHAnsi" w:cs="Segoe UI Symbol"/>
          <w:i/>
          <w:iCs/>
          <w:u w:val="single"/>
          <w:lang w:val="bg-BG"/>
        </w:rPr>
        <w:t>:</w:t>
      </w:r>
      <w:r w:rsidR="00DE1441" w:rsidRPr="007375EB">
        <w:rPr>
          <w:rFonts w:asciiTheme="minorHAnsi" w:hAnsiTheme="minorHAnsi" w:cs="Segoe UI Symbol"/>
          <w:lang w:val="bg-BG"/>
        </w:rPr>
        <w:t xml:space="preserve"> </w:t>
      </w:r>
      <w:r w:rsidR="00DE1441" w:rsidRPr="007375EB">
        <w:rPr>
          <w:rFonts w:asciiTheme="minorHAnsi" w:hAnsiTheme="minorHAnsi" w:cs="Segoe UI Symbol"/>
          <w:i/>
          <w:iCs/>
          <w:lang w:val="bg-BG"/>
        </w:rPr>
        <w:t xml:space="preserve">Anacamptis pyramidalis, Beta trigyna, Centaurea napulifera ssp. thirkei, Centaurea rutifolia ssp. jurineifolia, Centaurea varnensis, Chamaecytisus jankae, Colchicum fominii Convolvulus lineatus, Crocus chrysanthus, Dictamnus albus, Galanthus elwesii, Heliotropium dolosum, Hottonia palustris, Minuartia bilykiana, Myrrhoides nodosa, Nepeta parviflora, Ononis pusilla, Onosma taurica, Opopanax bulgaricus, Orchis purpurea, Orchis simian, Ornithogalum comosum, Ornithogalum oreoides, Paeonia peregrine, Paeonia tenuifolia, Parietaria lusitanica ssp. serbica, Phleum subulatum, Plumbago europaea, Prunus tenella, Rindera umbellate, Salvia ringens, Salvinia natans, Scabiosa </w:t>
      </w:r>
      <w:r w:rsidR="00DE1441" w:rsidRPr="007375EB">
        <w:rPr>
          <w:rFonts w:asciiTheme="minorHAnsi" w:hAnsiTheme="minorHAnsi" w:cs="Segoe UI Symbol"/>
          <w:i/>
          <w:iCs/>
          <w:lang w:val="bg-BG"/>
        </w:rPr>
        <w:lastRenderedPageBreak/>
        <w:t xml:space="preserve">micrantha, Scorzonera mollis, Seseli tortuosum, Silene dichotoma, Stachys oblique, Sternbergia colchiciflora, Stipa ucrainica, Trapa natans, Trigonella gladiate, Trigonella monspeliaca </w:t>
      </w:r>
      <w:r w:rsidRPr="007375EB">
        <w:rPr>
          <w:rFonts w:asciiTheme="minorHAnsi" w:hAnsiTheme="minorHAnsi" w:cs="Segoe UI Symbol"/>
          <w:i/>
          <w:iCs/>
          <w:u w:val="single"/>
          <w:lang w:val="bg-BG"/>
        </w:rPr>
        <w:t>и животински видове</w:t>
      </w:r>
      <w:r w:rsidR="00DE1441" w:rsidRPr="007375EB">
        <w:rPr>
          <w:rFonts w:asciiTheme="minorHAnsi" w:hAnsiTheme="minorHAnsi" w:cs="Segoe UI Symbol"/>
          <w:i/>
          <w:iCs/>
          <w:u w:val="single"/>
          <w:lang w:val="bg-BG"/>
        </w:rPr>
        <w:t>:</w:t>
      </w:r>
      <w:r w:rsidR="00DE1441" w:rsidRPr="007375EB">
        <w:rPr>
          <w:rFonts w:asciiTheme="minorHAnsi" w:hAnsiTheme="minorHAnsi" w:cs="Segoe UI Symbol"/>
          <w:i/>
          <w:iCs/>
          <w:lang w:val="bg-BG"/>
        </w:rPr>
        <w:t xml:space="preserve"> Vipera ammodytes, Lacerta viridis, Lacerta taurica, Coluber jugularis</w:t>
      </w:r>
    </w:p>
    <w:p w14:paraId="2531F434" w14:textId="65F4918E" w:rsidR="00F44BC2" w:rsidRPr="007375EB" w:rsidRDefault="00DE1441" w:rsidP="00F44BC2">
      <w:pPr>
        <w:spacing w:after="120" w:line="360" w:lineRule="auto"/>
        <w:jc w:val="both"/>
        <w:rPr>
          <w:lang w:val="bg-BG"/>
        </w:rPr>
      </w:pPr>
      <w:r w:rsidRPr="007375EB">
        <w:rPr>
          <w:b/>
          <w:bCs/>
          <w:i/>
          <w:iCs/>
          <w:lang w:val="bg-BG"/>
        </w:rPr>
        <w:t xml:space="preserve">ROSPA0151 </w:t>
      </w:r>
      <w:r w:rsidR="00F44BC2" w:rsidRPr="007375EB">
        <w:rPr>
          <w:b/>
          <w:bCs/>
          <w:i/>
          <w:iCs/>
          <w:lang w:val="bg-BG"/>
        </w:rPr>
        <w:t>Чобъница-Османча</w:t>
      </w:r>
      <w:r w:rsidRPr="007375EB">
        <w:rPr>
          <w:b/>
          <w:bCs/>
          <w:i/>
          <w:iCs/>
          <w:lang w:val="bg-BG"/>
        </w:rPr>
        <w:t xml:space="preserve"> </w:t>
      </w:r>
      <w:r w:rsidR="00F44BC2" w:rsidRPr="007375EB">
        <w:rPr>
          <w:lang w:val="bg-BG"/>
        </w:rPr>
        <w:t>е създадена като специална защитена зона за орнитофауната с РП № 663/2016 г. за установяване на режима на защитените природни територии и обявяване на специалните защитени зони за орнитофауната като неразделна част от европейската екологична мрежа Природа 2000 в Румъния.</w:t>
      </w:r>
    </w:p>
    <w:p w14:paraId="5938E833" w14:textId="4E185085" w:rsidR="00DE1441" w:rsidRPr="007375EB" w:rsidRDefault="00F44BC2" w:rsidP="00F44BC2">
      <w:pPr>
        <w:spacing w:after="120" w:line="360" w:lineRule="auto"/>
        <w:jc w:val="both"/>
        <w:rPr>
          <w:lang w:val="bg-BG"/>
        </w:rPr>
      </w:pPr>
      <w:r w:rsidRPr="007375EB">
        <w:rPr>
          <w:lang w:val="bg-BG"/>
        </w:rPr>
        <w:t>ROSPA0151 Чобъница-Османча</w:t>
      </w:r>
      <w:r w:rsidRPr="007375EB">
        <w:rPr>
          <w:b/>
          <w:bCs/>
          <w:i/>
          <w:iCs/>
          <w:lang w:val="bg-BG"/>
        </w:rPr>
        <w:t xml:space="preserve"> </w:t>
      </w:r>
      <w:r w:rsidRPr="007375EB">
        <w:rPr>
          <w:lang w:val="bg-BG"/>
        </w:rPr>
        <w:t xml:space="preserve">е с площ от 211,30 га и е разположена между населените места Османча, Чобъница, Касича и Крединца. Мястото се пресича от три долини: </w:t>
      </w:r>
      <w:r w:rsidR="000A0DA2" w:rsidRPr="007375EB">
        <w:rPr>
          <w:lang w:val="bg-BG"/>
        </w:rPr>
        <w:t>Долината Османча</w:t>
      </w:r>
      <w:r w:rsidRPr="007375EB">
        <w:rPr>
          <w:lang w:val="bg-BG"/>
        </w:rPr>
        <w:t xml:space="preserve">, </w:t>
      </w:r>
      <w:r w:rsidR="000A0DA2" w:rsidRPr="007375EB">
        <w:rPr>
          <w:lang w:val="bg-BG"/>
        </w:rPr>
        <w:t>Долината Агемией</w:t>
      </w:r>
      <w:r w:rsidRPr="007375EB">
        <w:rPr>
          <w:lang w:val="bg-BG"/>
        </w:rPr>
        <w:t xml:space="preserve"> и </w:t>
      </w:r>
      <w:r w:rsidR="000A0DA2" w:rsidRPr="007375EB">
        <w:rPr>
          <w:lang w:val="bg-BG"/>
        </w:rPr>
        <w:t>Долината Чаыр</w:t>
      </w:r>
      <w:r w:rsidRPr="007375EB">
        <w:rPr>
          <w:lang w:val="bg-BG"/>
        </w:rPr>
        <w:t>. Мястото няма план за управление</w:t>
      </w:r>
      <w:r w:rsidR="00DE1441" w:rsidRPr="007375EB">
        <w:rPr>
          <w:lang w:val="bg-BG"/>
        </w:rPr>
        <w:t>.</w:t>
      </w:r>
    </w:p>
    <w:p w14:paraId="7730CA42" w14:textId="636D5810" w:rsidR="00DE1441" w:rsidRPr="007375EB" w:rsidRDefault="000C3054" w:rsidP="00DE1441">
      <w:pPr>
        <w:spacing w:after="120" w:line="360" w:lineRule="auto"/>
        <w:jc w:val="both"/>
        <w:rPr>
          <w:lang w:val="bg-BG"/>
        </w:rPr>
      </w:pPr>
      <w:r w:rsidRPr="007375EB">
        <w:rPr>
          <w:lang w:val="bg-BG"/>
        </w:rPr>
        <w:t>Според бележката на ANANP относно специфичните за обекта цели на опазване, на територията на обекта се срещат следните класове местообитания: благоустроени пасища - 144,38 ха, зърнени култури - 35,43 ха, преходни гори - 27,13 ха, антропогенни местообитания - 4,33 ха.</w:t>
      </w:r>
      <w:r w:rsidR="00DE1441" w:rsidRPr="007375EB">
        <w:rPr>
          <w:lang w:val="bg-BG"/>
        </w:rPr>
        <w:t xml:space="preserve"> </w:t>
      </w:r>
    </w:p>
    <w:p w14:paraId="137A3245" w14:textId="778FD683" w:rsidR="000C3054" w:rsidRPr="007375EB" w:rsidRDefault="000C3054" w:rsidP="00DE1441">
      <w:pPr>
        <w:spacing w:after="120" w:line="360" w:lineRule="auto"/>
        <w:jc w:val="both"/>
        <w:rPr>
          <w:lang w:val="bg-BG"/>
        </w:rPr>
      </w:pPr>
      <w:r w:rsidRPr="007375EB">
        <w:rPr>
          <w:lang w:val="bg-BG"/>
        </w:rPr>
        <w:t>Във вътрешността на обекта, близо до Чобъница, има действаща кариера, а между Османча и Чобъница има голямо насаждение от гладиоли (Gleditsia triacanthos) с колония от вечерен ястреб (Falco vespertinus) и обикновена врана (Corvus frugilegus). Между Чобъница и Касича има малко насаждение от акация.</w:t>
      </w:r>
    </w:p>
    <w:p w14:paraId="2A033525" w14:textId="30D8C07C" w:rsidR="00DE1441" w:rsidRPr="007375EB" w:rsidRDefault="000C3054" w:rsidP="00DE1441">
      <w:pPr>
        <w:spacing w:after="120" w:line="360" w:lineRule="auto"/>
        <w:jc w:val="both"/>
        <w:rPr>
          <w:lang w:val="bg-BG"/>
        </w:rPr>
      </w:pPr>
      <w:r w:rsidRPr="007375EB">
        <w:rPr>
          <w:lang w:val="bg-BG"/>
        </w:rPr>
        <w:t>Видовете птици, изброени в приложение II към Директива 92/43/ЕИО, включват</w:t>
      </w:r>
      <w:r w:rsidR="00DE1441" w:rsidRPr="007375EB">
        <w:rPr>
          <w:lang w:val="bg-BG"/>
        </w:rPr>
        <w:t xml:space="preserve">: A255 </w:t>
      </w:r>
      <w:r w:rsidR="00DE1441" w:rsidRPr="007375EB">
        <w:rPr>
          <w:i/>
          <w:iCs/>
          <w:lang w:val="bg-BG"/>
        </w:rPr>
        <w:t>Anthus campestris</w:t>
      </w:r>
      <w:r w:rsidR="00DE1441" w:rsidRPr="007375EB">
        <w:rPr>
          <w:lang w:val="bg-BG"/>
        </w:rPr>
        <w:t xml:space="preserve">, A403 </w:t>
      </w:r>
      <w:r w:rsidR="00DE1441" w:rsidRPr="007375EB">
        <w:rPr>
          <w:i/>
          <w:iCs/>
          <w:lang w:val="bg-BG"/>
        </w:rPr>
        <w:t>Buteo rufinus</w:t>
      </w:r>
      <w:r w:rsidR="00DE1441" w:rsidRPr="007375EB">
        <w:rPr>
          <w:lang w:val="bg-BG"/>
        </w:rPr>
        <w:t xml:space="preserve">, A243 </w:t>
      </w:r>
      <w:r w:rsidR="00DE1441" w:rsidRPr="007375EB">
        <w:rPr>
          <w:i/>
          <w:iCs/>
          <w:lang w:val="bg-BG"/>
        </w:rPr>
        <w:t>Calandrella brachydactyla</w:t>
      </w:r>
      <w:r w:rsidR="00DE1441" w:rsidRPr="007375EB">
        <w:rPr>
          <w:lang w:val="bg-BG"/>
        </w:rPr>
        <w:t xml:space="preserve">, A082 </w:t>
      </w:r>
      <w:r w:rsidR="00DE1441" w:rsidRPr="007375EB">
        <w:rPr>
          <w:i/>
          <w:iCs/>
          <w:lang w:val="bg-BG"/>
        </w:rPr>
        <w:t>Circus cyaneus</w:t>
      </w:r>
      <w:r w:rsidR="00DE1441" w:rsidRPr="007375EB">
        <w:rPr>
          <w:lang w:val="bg-BG"/>
        </w:rPr>
        <w:t xml:space="preserve">, A379 </w:t>
      </w:r>
      <w:r w:rsidR="00DE1441" w:rsidRPr="007375EB">
        <w:rPr>
          <w:i/>
          <w:iCs/>
          <w:lang w:val="bg-BG"/>
        </w:rPr>
        <w:t>Emberiza hortulana</w:t>
      </w:r>
      <w:r w:rsidR="00DE1441" w:rsidRPr="007375EB">
        <w:rPr>
          <w:lang w:val="bg-BG"/>
        </w:rPr>
        <w:t xml:space="preserve">, A098 </w:t>
      </w:r>
      <w:r w:rsidR="00DE1441" w:rsidRPr="007375EB">
        <w:rPr>
          <w:i/>
          <w:iCs/>
          <w:lang w:val="bg-BG"/>
        </w:rPr>
        <w:t>Falco columbarius</w:t>
      </w:r>
      <w:r w:rsidR="00DE1441" w:rsidRPr="007375EB">
        <w:rPr>
          <w:lang w:val="bg-BG"/>
        </w:rPr>
        <w:t xml:space="preserve">, A097 </w:t>
      </w:r>
      <w:r w:rsidR="00DE1441" w:rsidRPr="007375EB">
        <w:rPr>
          <w:i/>
          <w:iCs/>
          <w:lang w:val="bg-BG"/>
        </w:rPr>
        <w:t>Falco vespertinus</w:t>
      </w:r>
      <w:r w:rsidR="00DE1441" w:rsidRPr="007375EB">
        <w:rPr>
          <w:lang w:val="bg-BG"/>
        </w:rPr>
        <w:t xml:space="preserve">, A338 </w:t>
      </w:r>
      <w:r w:rsidR="00DE1441" w:rsidRPr="007375EB">
        <w:rPr>
          <w:i/>
          <w:iCs/>
          <w:lang w:val="bg-BG"/>
        </w:rPr>
        <w:t>Lanius collurio</w:t>
      </w:r>
      <w:r w:rsidR="00DE1441" w:rsidRPr="007375EB">
        <w:rPr>
          <w:lang w:val="bg-BG"/>
        </w:rPr>
        <w:t xml:space="preserve">, A339 </w:t>
      </w:r>
      <w:r w:rsidR="00DE1441" w:rsidRPr="007375EB">
        <w:rPr>
          <w:i/>
          <w:iCs/>
          <w:lang w:val="bg-BG"/>
        </w:rPr>
        <w:t>Lanius minor</w:t>
      </w:r>
      <w:r w:rsidR="00DE1441" w:rsidRPr="007375EB">
        <w:rPr>
          <w:lang w:val="bg-BG"/>
        </w:rPr>
        <w:t xml:space="preserve">, A242 </w:t>
      </w:r>
      <w:r w:rsidR="00DE1441" w:rsidRPr="007375EB">
        <w:rPr>
          <w:i/>
          <w:iCs/>
          <w:lang w:val="bg-BG"/>
        </w:rPr>
        <w:t>Melanocorypha calandra</w:t>
      </w:r>
      <w:r w:rsidR="00DE1441" w:rsidRPr="007375EB">
        <w:rPr>
          <w:lang w:val="bg-BG"/>
        </w:rPr>
        <w:t>.</w:t>
      </w:r>
    </w:p>
    <w:p w14:paraId="581A95B8" w14:textId="00F3E493" w:rsidR="00DE1441" w:rsidRPr="007375EB" w:rsidRDefault="00DE1441" w:rsidP="00DE1441">
      <w:pPr>
        <w:spacing w:after="120" w:line="360" w:lineRule="auto"/>
        <w:jc w:val="both"/>
        <w:rPr>
          <w:lang w:val="bg-BG"/>
        </w:rPr>
      </w:pPr>
      <w:r w:rsidRPr="007375EB">
        <w:rPr>
          <w:b/>
          <w:bCs/>
          <w:lang w:val="bg-BG"/>
        </w:rPr>
        <w:t xml:space="preserve">BG0000569 </w:t>
      </w:r>
      <w:r w:rsidR="000C3054" w:rsidRPr="007375EB">
        <w:rPr>
          <w:b/>
          <w:bCs/>
          <w:lang w:val="bg-BG"/>
        </w:rPr>
        <w:t>Кардам</w:t>
      </w:r>
      <w:r w:rsidRPr="007375EB">
        <w:rPr>
          <w:b/>
          <w:bCs/>
          <w:lang w:val="bg-BG"/>
        </w:rPr>
        <w:t xml:space="preserve"> </w:t>
      </w:r>
      <w:r w:rsidR="000C3054" w:rsidRPr="007375EB">
        <w:rPr>
          <w:lang w:val="bg-BG"/>
        </w:rPr>
        <w:t>е обявен за обект от значение за Общността през 2008 г. и обхваща 918,92 хектара. Мястото е важно за съществуващата безгръбначна фауна. Малки изолирани участъци от степи и сухи карстови долини и каньони са важни за дребните млекопитаещи и редките степни прилепи.</w:t>
      </w:r>
    </w:p>
    <w:p w14:paraId="0EEEA66A" w14:textId="57070422" w:rsidR="00DE1441" w:rsidRPr="007375EB" w:rsidRDefault="000C3054" w:rsidP="00DE1441">
      <w:pPr>
        <w:spacing w:after="120" w:line="360" w:lineRule="auto"/>
        <w:jc w:val="both"/>
        <w:rPr>
          <w:b/>
          <w:bCs/>
          <w:lang w:val="bg-BG"/>
        </w:rPr>
      </w:pPr>
      <w:r w:rsidRPr="007375EB">
        <w:rPr>
          <w:lang w:val="bg-BG"/>
        </w:rPr>
        <w:t xml:space="preserve">Мястото е обявено за опазване на 8 животински вида: 4 влечуги </w:t>
      </w:r>
      <w:r w:rsidR="00DE1441" w:rsidRPr="007375EB">
        <w:rPr>
          <w:lang w:val="bg-BG"/>
        </w:rPr>
        <w:t>(</w:t>
      </w:r>
      <w:r w:rsidR="00CB15D7" w:rsidRPr="007375EB">
        <w:rPr>
          <w:i/>
          <w:iCs/>
          <w:lang w:val="bg-BG"/>
        </w:rPr>
        <w:t>T</w:t>
      </w:r>
      <w:r w:rsidR="00DE1441" w:rsidRPr="007375EB">
        <w:rPr>
          <w:i/>
          <w:iCs/>
          <w:lang w:val="bg-BG"/>
        </w:rPr>
        <w:t xml:space="preserve">estudo hermanni, </w:t>
      </w:r>
      <w:r w:rsidR="00CB15D7" w:rsidRPr="007375EB">
        <w:rPr>
          <w:i/>
          <w:iCs/>
          <w:lang w:val="bg-BG"/>
        </w:rPr>
        <w:t>T</w:t>
      </w:r>
      <w:r w:rsidR="00DE1441" w:rsidRPr="007375EB">
        <w:rPr>
          <w:i/>
          <w:iCs/>
          <w:lang w:val="bg-BG"/>
        </w:rPr>
        <w:t xml:space="preserve">estudo graeca, </w:t>
      </w:r>
      <w:r w:rsidR="00CB15D7" w:rsidRPr="007375EB">
        <w:rPr>
          <w:i/>
          <w:iCs/>
          <w:lang w:val="bg-BG"/>
        </w:rPr>
        <w:t>E</w:t>
      </w:r>
      <w:r w:rsidR="00DE1441" w:rsidRPr="007375EB">
        <w:rPr>
          <w:i/>
          <w:iCs/>
          <w:lang w:val="bg-BG"/>
        </w:rPr>
        <w:t xml:space="preserve">mys orbicularis, </w:t>
      </w:r>
      <w:r w:rsidR="00CB15D7" w:rsidRPr="007375EB">
        <w:rPr>
          <w:i/>
          <w:iCs/>
          <w:lang w:val="bg-BG"/>
        </w:rPr>
        <w:t>E</w:t>
      </w:r>
      <w:r w:rsidR="00DE1441" w:rsidRPr="007375EB">
        <w:rPr>
          <w:i/>
          <w:iCs/>
          <w:lang w:val="bg-BG"/>
        </w:rPr>
        <w:t>laphe sauromates</w:t>
      </w:r>
      <w:r w:rsidR="00DE1441" w:rsidRPr="007375EB">
        <w:rPr>
          <w:lang w:val="bg-BG"/>
        </w:rPr>
        <w:t xml:space="preserve">) </w:t>
      </w:r>
      <w:r w:rsidRPr="007375EB">
        <w:rPr>
          <w:lang w:val="bg-BG"/>
        </w:rPr>
        <w:t xml:space="preserve">и 4 млекопитаещи </w:t>
      </w:r>
      <w:r w:rsidR="00DE1441" w:rsidRPr="007375EB">
        <w:rPr>
          <w:lang w:val="bg-BG"/>
        </w:rPr>
        <w:t>(</w:t>
      </w:r>
      <w:r w:rsidR="00CB15D7" w:rsidRPr="007375EB">
        <w:rPr>
          <w:i/>
          <w:iCs/>
          <w:lang w:val="bg-BG"/>
        </w:rPr>
        <w:t>V</w:t>
      </w:r>
      <w:r w:rsidR="00DE1441" w:rsidRPr="007375EB">
        <w:rPr>
          <w:i/>
          <w:iCs/>
          <w:lang w:val="bg-BG"/>
        </w:rPr>
        <w:t xml:space="preserve">ormela peregusna, </w:t>
      </w:r>
      <w:r w:rsidR="00CB15D7" w:rsidRPr="007375EB">
        <w:rPr>
          <w:i/>
          <w:iCs/>
          <w:lang w:val="bg-BG"/>
        </w:rPr>
        <w:t>S</w:t>
      </w:r>
      <w:r w:rsidR="00DE1441" w:rsidRPr="007375EB">
        <w:rPr>
          <w:i/>
          <w:iCs/>
          <w:lang w:val="bg-BG"/>
        </w:rPr>
        <w:t xml:space="preserve">permophilus citellus, </w:t>
      </w:r>
      <w:r w:rsidR="00CB15D7" w:rsidRPr="007375EB">
        <w:rPr>
          <w:i/>
          <w:iCs/>
          <w:lang w:val="bg-BG"/>
        </w:rPr>
        <w:t>M</w:t>
      </w:r>
      <w:r w:rsidR="00DE1441" w:rsidRPr="007375EB">
        <w:rPr>
          <w:i/>
          <w:iCs/>
          <w:lang w:val="bg-BG"/>
        </w:rPr>
        <w:t xml:space="preserve">ustela eversmanii, </w:t>
      </w:r>
      <w:r w:rsidR="00CB15D7" w:rsidRPr="007375EB">
        <w:rPr>
          <w:i/>
          <w:iCs/>
          <w:lang w:val="bg-BG"/>
        </w:rPr>
        <w:t>M</w:t>
      </w:r>
      <w:r w:rsidR="00DE1441" w:rsidRPr="007375EB">
        <w:rPr>
          <w:i/>
          <w:iCs/>
          <w:lang w:val="bg-BG"/>
        </w:rPr>
        <w:t>esocricetus newtoni</w:t>
      </w:r>
      <w:r w:rsidR="00DE1441" w:rsidRPr="007375EB">
        <w:rPr>
          <w:lang w:val="bg-BG"/>
        </w:rPr>
        <w:t xml:space="preserve">) </w:t>
      </w:r>
      <w:r w:rsidRPr="007375EB">
        <w:rPr>
          <w:lang w:val="bg-BG"/>
        </w:rPr>
        <w:t>и две местообитания (6110 Скални тревни пасища с пионерни видове и 6210 Степни тревни масиви)</w:t>
      </w:r>
      <w:r w:rsidR="00DE1441" w:rsidRPr="007375EB">
        <w:rPr>
          <w:lang w:val="bg-BG"/>
        </w:rPr>
        <w:t>.</w:t>
      </w:r>
    </w:p>
    <w:p w14:paraId="7472D991" w14:textId="6383F831" w:rsidR="00DE1441" w:rsidRPr="007375EB" w:rsidRDefault="00DE1441" w:rsidP="000C3054">
      <w:pPr>
        <w:spacing w:after="120" w:line="360" w:lineRule="auto"/>
        <w:jc w:val="both"/>
        <w:rPr>
          <w:lang w:val="bg-BG"/>
        </w:rPr>
      </w:pPr>
      <w:r w:rsidRPr="007375EB">
        <w:rPr>
          <w:b/>
          <w:bCs/>
          <w:lang w:val="bg-BG"/>
        </w:rPr>
        <w:t xml:space="preserve">BG0000570 </w:t>
      </w:r>
      <w:r w:rsidR="000C3054" w:rsidRPr="007375EB">
        <w:rPr>
          <w:b/>
          <w:bCs/>
          <w:lang w:val="bg-BG"/>
        </w:rPr>
        <w:t>Изворово</w:t>
      </w:r>
      <w:r w:rsidRPr="007375EB">
        <w:rPr>
          <w:b/>
          <w:bCs/>
          <w:lang w:val="bg-BG"/>
        </w:rPr>
        <w:t xml:space="preserve"> – </w:t>
      </w:r>
      <w:r w:rsidR="000C3054" w:rsidRPr="007375EB">
        <w:rPr>
          <w:b/>
          <w:bCs/>
          <w:lang w:val="bg-BG"/>
        </w:rPr>
        <w:t xml:space="preserve">Краище </w:t>
      </w:r>
      <w:r w:rsidR="000C3054" w:rsidRPr="007375EB">
        <w:rPr>
          <w:lang w:val="bg-BG"/>
        </w:rPr>
        <w:t>е обявен за обект от значение за Общността през 2008 г. и обхваща 1081,52 хектара. Мястото е важно за съществуващата безгръбначна фауна. Малки изолирани участъци от степи и сухи карстови долини и каньони са важни за дребните млекопитаещи и редките степни прилепи.</w:t>
      </w:r>
    </w:p>
    <w:p w14:paraId="75117E31" w14:textId="3AF98150" w:rsidR="00DE1441" w:rsidRPr="007375EB" w:rsidRDefault="000C3054" w:rsidP="00DE1441">
      <w:pPr>
        <w:spacing w:after="120" w:line="360" w:lineRule="auto"/>
        <w:jc w:val="both"/>
        <w:rPr>
          <w:b/>
          <w:bCs/>
          <w:lang w:val="bg-BG"/>
        </w:rPr>
      </w:pPr>
      <w:r w:rsidRPr="007375EB">
        <w:rPr>
          <w:lang w:val="bg-BG"/>
        </w:rPr>
        <w:t>Мястото е обявено за опазване на 11 животински вида</w:t>
      </w:r>
      <w:r w:rsidR="00DE1441" w:rsidRPr="007375EB">
        <w:rPr>
          <w:lang w:val="bg-BG"/>
        </w:rPr>
        <w:t xml:space="preserve">: </w:t>
      </w:r>
      <w:r w:rsidR="00DE1441" w:rsidRPr="007375EB">
        <w:rPr>
          <w:i/>
          <w:iCs/>
          <w:lang w:val="bg-BG"/>
        </w:rPr>
        <w:t xml:space="preserve">4 </w:t>
      </w:r>
      <w:r w:rsidRPr="007375EB">
        <w:rPr>
          <w:lang w:val="bg-BG"/>
        </w:rPr>
        <w:t xml:space="preserve">влечуги </w:t>
      </w:r>
      <w:r w:rsidR="00DE1441" w:rsidRPr="007375EB">
        <w:rPr>
          <w:lang w:val="bg-BG"/>
        </w:rPr>
        <w:t>(</w:t>
      </w:r>
      <w:r w:rsidR="00CB15D7" w:rsidRPr="007375EB">
        <w:rPr>
          <w:i/>
          <w:iCs/>
          <w:lang w:val="bg-BG"/>
        </w:rPr>
        <w:t>T</w:t>
      </w:r>
      <w:r w:rsidR="00DE1441" w:rsidRPr="007375EB">
        <w:rPr>
          <w:i/>
          <w:iCs/>
          <w:lang w:val="bg-BG"/>
        </w:rPr>
        <w:t xml:space="preserve">estudo hermanni, </w:t>
      </w:r>
      <w:r w:rsidR="00CB15D7" w:rsidRPr="007375EB">
        <w:rPr>
          <w:i/>
          <w:iCs/>
          <w:lang w:val="bg-BG"/>
        </w:rPr>
        <w:t>T</w:t>
      </w:r>
      <w:r w:rsidR="00DE1441" w:rsidRPr="007375EB">
        <w:rPr>
          <w:i/>
          <w:iCs/>
          <w:lang w:val="bg-BG"/>
        </w:rPr>
        <w:t xml:space="preserve">estudo graeca, </w:t>
      </w:r>
      <w:r w:rsidR="00CB15D7" w:rsidRPr="007375EB">
        <w:rPr>
          <w:i/>
          <w:iCs/>
          <w:lang w:val="bg-BG"/>
        </w:rPr>
        <w:t>E</w:t>
      </w:r>
      <w:r w:rsidR="00DE1441" w:rsidRPr="007375EB">
        <w:rPr>
          <w:i/>
          <w:iCs/>
          <w:lang w:val="bg-BG"/>
        </w:rPr>
        <w:t xml:space="preserve">mys orbicularis, </w:t>
      </w:r>
      <w:r w:rsidR="00CB15D7" w:rsidRPr="007375EB">
        <w:rPr>
          <w:i/>
          <w:iCs/>
          <w:lang w:val="bg-BG"/>
        </w:rPr>
        <w:t>E</w:t>
      </w:r>
      <w:r w:rsidR="00DE1441" w:rsidRPr="007375EB">
        <w:rPr>
          <w:i/>
          <w:iCs/>
          <w:lang w:val="bg-BG"/>
        </w:rPr>
        <w:t>laphe sauromates</w:t>
      </w:r>
      <w:r w:rsidR="00DE1441" w:rsidRPr="007375EB">
        <w:rPr>
          <w:lang w:val="bg-BG"/>
        </w:rPr>
        <w:t xml:space="preserve">), </w:t>
      </w:r>
      <w:r w:rsidR="00DE1441" w:rsidRPr="007375EB">
        <w:rPr>
          <w:i/>
          <w:iCs/>
          <w:lang w:val="bg-BG"/>
        </w:rPr>
        <w:t xml:space="preserve">6 </w:t>
      </w:r>
      <w:r w:rsidRPr="007375EB">
        <w:rPr>
          <w:lang w:val="bg-BG"/>
        </w:rPr>
        <w:t xml:space="preserve">млекопитаещи </w:t>
      </w:r>
      <w:r w:rsidR="00DE1441" w:rsidRPr="007375EB">
        <w:rPr>
          <w:lang w:val="bg-BG"/>
        </w:rPr>
        <w:t>(</w:t>
      </w:r>
      <w:r w:rsidR="00CB15D7" w:rsidRPr="007375EB">
        <w:rPr>
          <w:i/>
          <w:iCs/>
          <w:lang w:val="bg-BG"/>
        </w:rPr>
        <w:t>C</w:t>
      </w:r>
      <w:r w:rsidR="00DE1441" w:rsidRPr="007375EB">
        <w:rPr>
          <w:i/>
          <w:iCs/>
          <w:lang w:val="bg-BG"/>
        </w:rPr>
        <w:t xml:space="preserve">anis lupus, </w:t>
      </w:r>
      <w:r w:rsidR="00CB15D7" w:rsidRPr="007375EB">
        <w:rPr>
          <w:i/>
          <w:iCs/>
          <w:lang w:val="bg-BG"/>
        </w:rPr>
        <w:t>V</w:t>
      </w:r>
      <w:r w:rsidR="00DE1441" w:rsidRPr="007375EB">
        <w:rPr>
          <w:i/>
          <w:iCs/>
          <w:lang w:val="bg-BG"/>
        </w:rPr>
        <w:t xml:space="preserve">ormela peregusna, </w:t>
      </w:r>
      <w:r w:rsidR="00CB15D7" w:rsidRPr="007375EB">
        <w:rPr>
          <w:i/>
          <w:iCs/>
          <w:lang w:val="bg-BG"/>
        </w:rPr>
        <w:t>S</w:t>
      </w:r>
      <w:r w:rsidR="00DE1441" w:rsidRPr="007375EB">
        <w:rPr>
          <w:i/>
          <w:iCs/>
          <w:lang w:val="bg-BG"/>
        </w:rPr>
        <w:t xml:space="preserve">permophilus citellus, </w:t>
      </w:r>
      <w:r w:rsidR="00CB15D7" w:rsidRPr="007375EB">
        <w:rPr>
          <w:i/>
          <w:iCs/>
          <w:lang w:val="bg-BG"/>
        </w:rPr>
        <w:t>R</w:t>
      </w:r>
      <w:r w:rsidR="00DE1441" w:rsidRPr="007375EB">
        <w:rPr>
          <w:i/>
          <w:iCs/>
          <w:lang w:val="bg-BG"/>
        </w:rPr>
        <w:t xml:space="preserve">hinolophus mehelyi, </w:t>
      </w:r>
      <w:r w:rsidR="00CB15D7" w:rsidRPr="007375EB">
        <w:rPr>
          <w:i/>
          <w:iCs/>
          <w:lang w:val="bg-BG"/>
        </w:rPr>
        <w:t>M</w:t>
      </w:r>
      <w:r w:rsidR="00DE1441" w:rsidRPr="007375EB">
        <w:rPr>
          <w:i/>
          <w:iCs/>
          <w:lang w:val="bg-BG"/>
        </w:rPr>
        <w:t xml:space="preserve">ustela eversmanii, </w:t>
      </w:r>
      <w:r w:rsidR="00CB15D7" w:rsidRPr="007375EB">
        <w:rPr>
          <w:i/>
          <w:iCs/>
          <w:lang w:val="bg-BG"/>
        </w:rPr>
        <w:t>M</w:t>
      </w:r>
      <w:r w:rsidR="00DE1441" w:rsidRPr="007375EB">
        <w:rPr>
          <w:i/>
          <w:iCs/>
          <w:lang w:val="bg-BG"/>
        </w:rPr>
        <w:t>esocricetus newtoni</w:t>
      </w:r>
      <w:r w:rsidR="00DE1441" w:rsidRPr="007375EB">
        <w:rPr>
          <w:lang w:val="bg-BG"/>
        </w:rPr>
        <w:t xml:space="preserve">) </w:t>
      </w:r>
      <w:r w:rsidRPr="007375EB">
        <w:rPr>
          <w:i/>
          <w:iCs/>
          <w:lang w:val="bg-BG"/>
        </w:rPr>
        <w:t>и безгръбначно животно</w:t>
      </w:r>
      <w:r w:rsidR="00DE1441" w:rsidRPr="007375EB">
        <w:rPr>
          <w:lang w:val="bg-BG"/>
        </w:rPr>
        <w:t xml:space="preserve"> (</w:t>
      </w:r>
      <w:r w:rsidR="00DE1441" w:rsidRPr="007375EB">
        <w:rPr>
          <w:i/>
          <w:iCs/>
          <w:lang w:val="bg-BG"/>
        </w:rPr>
        <w:t>Lycaena dispar</w:t>
      </w:r>
      <w:r w:rsidR="00DE1441" w:rsidRPr="007375EB">
        <w:rPr>
          <w:lang w:val="bg-BG"/>
        </w:rPr>
        <w:t xml:space="preserve">) </w:t>
      </w:r>
      <w:r w:rsidRPr="007375EB">
        <w:rPr>
          <w:lang w:val="bg-BG"/>
        </w:rPr>
        <w:t>и две местообитания (6110 Скални тревни пасища с пионерни видове и</w:t>
      </w:r>
      <w:r w:rsidR="00DE1441" w:rsidRPr="007375EB">
        <w:rPr>
          <w:lang w:val="bg-BG"/>
        </w:rPr>
        <w:t xml:space="preserve"> 62C0 </w:t>
      </w:r>
      <w:r w:rsidRPr="007375EB">
        <w:rPr>
          <w:lang w:val="bg-BG"/>
        </w:rPr>
        <w:t>Понто-сарматски степи</w:t>
      </w:r>
      <w:r w:rsidR="00DE1441" w:rsidRPr="007375EB">
        <w:rPr>
          <w:lang w:val="bg-BG"/>
        </w:rPr>
        <w:t>).</w:t>
      </w:r>
    </w:p>
    <w:p w14:paraId="3B231B02" w14:textId="1F2B15A9" w:rsidR="00DE1441" w:rsidRPr="007375EB" w:rsidRDefault="00DE1441" w:rsidP="000C3054">
      <w:pPr>
        <w:spacing w:after="120" w:line="360" w:lineRule="auto"/>
        <w:jc w:val="both"/>
        <w:rPr>
          <w:lang w:val="bg-BG"/>
        </w:rPr>
      </w:pPr>
      <w:r w:rsidRPr="007375EB">
        <w:rPr>
          <w:b/>
          <w:bCs/>
          <w:lang w:val="bg-BG"/>
        </w:rPr>
        <w:t xml:space="preserve">BG0000130 </w:t>
      </w:r>
      <w:r w:rsidR="000C3054" w:rsidRPr="007375EB">
        <w:rPr>
          <w:b/>
          <w:bCs/>
          <w:lang w:val="bg-BG"/>
        </w:rPr>
        <w:t xml:space="preserve">Крайморска Добруджа </w:t>
      </w:r>
      <w:r w:rsidR="000C3054" w:rsidRPr="007375EB">
        <w:rPr>
          <w:lang w:val="bg-BG"/>
        </w:rPr>
        <w:t xml:space="preserve">е обявен за обект от значение за Общността през 2008 г. и обхваща 6657,70 ха. Мястото е важно за съществуващата безгръбначна фауна. Тясна ивица от </w:t>
      </w:r>
      <w:r w:rsidR="000C3054" w:rsidRPr="007375EB">
        <w:rPr>
          <w:lang w:val="bg-BG"/>
        </w:rPr>
        <w:lastRenderedPageBreak/>
        <w:t>полустепни тревни масиви от двете страни на дълъг залесен овраг (широколистни дървесни видове), в средата на голяма площ обработваема земя. Освен значението на местообитанието, тя е потенциално важен „коридор“ за мигриращите птици (североизток-югозапад).</w:t>
      </w:r>
    </w:p>
    <w:p w14:paraId="012B09C5" w14:textId="06E3138D" w:rsidR="00675D67" w:rsidRPr="007375EB" w:rsidRDefault="000C3054" w:rsidP="00675D67">
      <w:pPr>
        <w:spacing w:after="120" w:line="360" w:lineRule="auto"/>
        <w:jc w:val="both"/>
        <w:rPr>
          <w:lang w:val="bg-BG"/>
        </w:rPr>
      </w:pPr>
      <w:r w:rsidRPr="007375EB">
        <w:rPr>
          <w:lang w:val="bg-BG"/>
        </w:rPr>
        <w:t>Мястото е обявено за опазване на 19 животински вида</w:t>
      </w:r>
      <w:r w:rsidR="00DE1441" w:rsidRPr="007375EB">
        <w:rPr>
          <w:lang w:val="bg-BG"/>
        </w:rPr>
        <w:t>:1</w:t>
      </w:r>
      <w:r w:rsidRPr="007375EB">
        <w:rPr>
          <w:lang w:val="bg-BG"/>
        </w:rPr>
        <w:t xml:space="preserve"> едно цвете (</w:t>
      </w:r>
      <w:r w:rsidRPr="007375EB">
        <w:rPr>
          <w:i/>
          <w:iCs/>
          <w:lang w:val="bg-BG"/>
        </w:rPr>
        <w:t>Potentilla emilii-popii</w:t>
      </w:r>
      <w:r w:rsidRPr="007375EB">
        <w:rPr>
          <w:lang w:val="bg-BG"/>
        </w:rPr>
        <w:t>), 2 влечуги (</w:t>
      </w:r>
      <w:r w:rsidRPr="007375EB">
        <w:rPr>
          <w:i/>
          <w:iCs/>
          <w:lang w:val="bg-BG"/>
        </w:rPr>
        <w:t>Testudo graeca, Elaphe sauromates</w:t>
      </w:r>
      <w:r w:rsidRPr="007375EB">
        <w:rPr>
          <w:lang w:val="bg-BG"/>
        </w:rPr>
        <w:t xml:space="preserve">), 12 млекопитаещи </w:t>
      </w:r>
      <w:r w:rsidR="00DE1441" w:rsidRPr="007375EB">
        <w:rPr>
          <w:lang w:val="bg-BG"/>
        </w:rPr>
        <w:t>(</w:t>
      </w:r>
      <w:r w:rsidR="00DE1441" w:rsidRPr="007375EB">
        <w:rPr>
          <w:i/>
          <w:iCs/>
          <w:lang w:val="bg-BG"/>
        </w:rPr>
        <w:t>Barbastella barbastellus, Mesocricetus newtoni, Miniopterus schreibersii, Mustela eversmanii, Myotis capaccinii, Myotis emarginatus, Rhinolophus blasii, Rhinolophus euryale, Rhinolophus mehelyi, Spermophilus citellus, Rhinolophus ferrumequinum, Vormela peregusna</w:t>
      </w:r>
      <w:r w:rsidR="00DE1441" w:rsidRPr="007375EB">
        <w:rPr>
          <w:lang w:val="bg-BG"/>
        </w:rPr>
        <w:t xml:space="preserve">) </w:t>
      </w:r>
      <w:r w:rsidRPr="007375EB">
        <w:rPr>
          <w:lang w:val="bg-BG"/>
        </w:rPr>
        <w:t xml:space="preserve">и 4 вида безгръбначни животни </w:t>
      </w:r>
      <w:r w:rsidR="00DE1441" w:rsidRPr="007375EB">
        <w:rPr>
          <w:lang w:val="bg-BG"/>
        </w:rPr>
        <w:t>(L</w:t>
      </w:r>
      <w:r w:rsidR="00DE1441" w:rsidRPr="007375EB">
        <w:rPr>
          <w:i/>
          <w:iCs/>
          <w:lang w:val="bg-BG"/>
        </w:rPr>
        <w:t>ycaena dispar, Cerambyx cerdo, Lucanus cervus, Morimus funereus</w:t>
      </w:r>
      <w:r w:rsidR="00DE1441" w:rsidRPr="007375EB">
        <w:rPr>
          <w:lang w:val="bg-BG"/>
        </w:rPr>
        <w:t xml:space="preserve">) </w:t>
      </w:r>
      <w:r w:rsidRPr="007375EB">
        <w:rPr>
          <w:lang w:val="bg-BG"/>
        </w:rPr>
        <w:t>и две местообитания (6110 Скални тревни пасища с пионерни видове</w:t>
      </w:r>
      <w:r w:rsidR="00DE1441" w:rsidRPr="007375EB">
        <w:rPr>
          <w:lang w:val="bg-BG"/>
        </w:rPr>
        <w:t xml:space="preserve">, 8310 </w:t>
      </w:r>
      <w:r w:rsidRPr="007375EB">
        <w:rPr>
          <w:lang w:val="bg-BG"/>
        </w:rPr>
        <w:t>Пещери, затворени за обществен достъп</w:t>
      </w:r>
      <w:r w:rsidR="00DE1441" w:rsidRPr="007375EB">
        <w:rPr>
          <w:lang w:val="bg-BG"/>
        </w:rPr>
        <w:t xml:space="preserve">, 91G0 </w:t>
      </w:r>
      <w:r w:rsidRPr="007375EB">
        <w:rPr>
          <w:lang w:val="bg-BG"/>
        </w:rPr>
        <w:t>Панонски дъбови гори</w:t>
      </w:r>
      <w:r w:rsidR="00DE1441" w:rsidRPr="007375EB">
        <w:rPr>
          <w:lang w:val="bg-BG"/>
        </w:rPr>
        <w:t xml:space="preserve">, 91H0 </w:t>
      </w:r>
      <w:r w:rsidRPr="007375EB">
        <w:rPr>
          <w:lang w:val="bg-BG"/>
        </w:rPr>
        <w:t xml:space="preserve">Панонска горска растителност с </w:t>
      </w:r>
      <w:r w:rsidR="00DE1441" w:rsidRPr="007375EB">
        <w:rPr>
          <w:i/>
          <w:iCs/>
          <w:lang w:val="bg-BG"/>
        </w:rPr>
        <w:t>Quercus pubescens</w:t>
      </w:r>
      <w:r w:rsidR="00DE1441" w:rsidRPr="007375EB">
        <w:rPr>
          <w:lang w:val="bg-BG"/>
        </w:rPr>
        <w:t xml:space="preserve">., 40A0 </w:t>
      </w:r>
      <w:r w:rsidRPr="007375EB">
        <w:rPr>
          <w:lang w:val="bg-BG"/>
        </w:rPr>
        <w:t>Перипанонски субконтинентални храсталаци</w:t>
      </w:r>
      <w:r w:rsidR="00DE1441" w:rsidRPr="007375EB">
        <w:rPr>
          <w:lang w:val="bg-BG"/>
        </w:rPr>
        <w:t xml:space="preserve">, 91M0 </w:t>
      </w:r>
      <w:r w:rsidRPr="007375EB">
        <w:rPr>
          <w:rFonts w:asciiTheme="minorHAnsi" w:hAnsiTheme="minorHAnsi" w:cs="Segoe UI Symbol"/>
          <w:lang w:val="bg-BG"/>
        </w:rPr>
        <w:t xml:space="preserve">Балкано-панонски гори от </w:t>
      </w:r>
      <w:r w:rsidRPr="007375EB">
        <w:rPr>
          <w:lang w:val="bg-BG"/>
        </w:rPr>
        <w:t xml:space="preserve">австрийски дъб </w:t>
      </w:r>
      <w:r w:rsidRPr="007375EB">
        <w:rPr>
          <w:rFonts w:asciiTheme="minorHAnsi" w:hAnsiTheme="minorHAnsi" w:cs="Segoe UI Symbol"/>
          <w:lang w:val="bg-BG"/>
        </w:rPr>
        <w:t>и горун</w:t>
      </w:r>
      <w:r w:rsidRPr="007375EB">
        <w:rPr>
          <w:lang w:val="bg-BG"/>
        </w:rPr>
        <w:t xml:space="preserve"> и </w:t>
      </w:r>
      <w:r w:rsidR="00DE1441" w:rsidRPr="007375EB">
        <w:rPr>
          <w:lang w:val="bg-BG"/>
        </w:rPr>
        <w:t xml:space="preserve">62C0 </w:t>
      </w:r>
      <w:r w:rsidR="0014580E" w:rsidRPr="007375EB">
        <w:rPr>
          <w:lang w:val="bg-BG"/>
        </w:rPr>
        <w:t>Понто-сарматски степи</w:t>
      </w:r>
      <w:r w:rsidR="00DE1441" w:rsidRPr="007375EB">
        <w:rPr>
          <w:lang w:val="bg-BG"/>
        </w:rPr>
        <w:t>).</w:t>
      </w:r>
    </w:p>
    <w:p w14:paraId="58C09C1A" w14:textId="77777777" w:rsidR="0014580E" w:rsidRPr="007375EB" w:rsidRDefault="0014580E" w:rsidP="0014580E">
      <w:pPr>
        <w:rPr>
          <w:rFonts w:eastAsia="Times New Roman" w:cs="Calibri"/>
          <w:lang w:val="bg-BG" w:eastAsia="en-GB"/>
        </w:rPr>
      </w:pPr>
      <w:r w:rsidRPr="007375EB">
        <w:rPr>
          <w:rFonts w:eastAsia="Times New Roman" w:cs="Calibri"/>
          <w:lang w:val="bg-BG" w:eastAsia="en-GB"/>
        </w:rPr>
        <w:t>На следващата фигура е показано местоположението на проекта по отношение на защитените природни зони.</w:t>
      </w:r>
    </w:p>
    <w:p w14:paraId="265DE08D" w14:textId="77777777" w:rsidR="00DD08D0" w:rsidRPr="007375EB" w:rsidRDefault="00DD08D0" w:rsidP="009B5E28">
      <w:pPr>
        <w:spacing w:after="120" w:line="360" w:lineRule="auto"/>
        <w:rPr>
          <w:lang w:val="bg-BG"/>
        </w:rPr>
        <w:sectPr w:rsidR="00DD08D0" w:rsidRPr="007375EB" w:rsidSect="00B06053">
          <w:footnotePr>
            <w:numRestart w:val="eachSect"/>
          </w:footnotePr>
          <w:pgSz w:w="11906" w:h="16838" w:code="9"/>
          <w:pgMar w:top="1418" w:right="1416" w:bottom="709" w:left="1191" w:header="839" w:footer="479" w:gutter="0"/>
          <w:cols w:space="708"/>
          <w:docGrid w:linePitch="360"/>
        </w:sectPr>
      </w:pPr>
    </w:p>
    <w:p w14:paraId="0DD17F62" w14:textId="19DFEE4C" w:rsidR="00DD08D0" w:rsidRPr="007375EB" w:rsidRDefault="00B84A94" w:rsidP="008040CA">
      <w:pPr>
        <w:spacing w:after="120" w:line="240" w:lineRule="auto"/>
        <w:jc w:val="center"/>
        <w:rPr>
          <w:lang w:val="bg-BG"/>
        </w:rPr>
      </w:pPr>
      <w:r w:rsidRPr="007375EB">
        <w:rPr>
          <w:noProof/>
          <w:lang w:val="bg-BG"/>
        </w:rPr>
        <w:lastRenderedPageBreak/>
        <w:drawing>
          <wp:inline distT="0" distB="0" distL="0" distR="0" wp14:anchorId="66A84D2D" wp14:editId="086B124C">
            <wp:extent cx="7979591" cy="5534214"/>
            <wp:effectExtent l="0" t="0" r="254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8010901" cy="5555929"/>
                    </a:xfrm>
                    <a:prstGeom prst="rect">
                      <a:avLst/>
                    </a:prstGeom>
                    <a:noFill/>
                    <a:ln>
                      <a:noFill/>
                    </a:ln>
                  </pic:spPr>
                </pic:pic>
              </a:graphicData>
            </a:graphic>
          </wp:inline>
        </w:drawing>
      </w:r>
    </w:p>
    <w:p w14:paraId="38C1DA97" w14:textId="53F241F6" w:rsidR="00C97036" w:rsidRPr="007375EB" w:rsidRDefault="0014580E" w:rsidP="00F23505">
      <w:pPr>
        <w:pStyle w:val="Caption"/>
        <w:spacing w:before="0" w:after="120" w:line="240" w:lineRule="auto"/>
        <w:jc w:val="center"/>
        <w:rPr>
          <w:sz w:val="16"/>
          <w:szCs w:val="16"/>
          <w:vertAlign w:val="subscript"/>
          <w:lang w:val="bg-BG"/>
        </w:rPr>
      </w:pPr>
      <w:bookmarkStart w:id="20" w:name="_Hlk149496397"/>
      <w:bookmarkStart w:id="21" w:name="_Hlk167796766"/>
      <w:r w:rsidRPr="007375EB">
        <w:rPr>
          <w:sz w:val="16"/>
          <w:szCs w:val="16"/>
          <w:lang w:val="bg-BG"/>
        </w:rPr>
        <w:t>Фигура</w:t>
      </w:r>
      <w:r w:rsidR="000740C9" w:rsidRPr="007375EB">
        <w:rPr>
          <w:sz w:val="16"/>
          <w:szCs w:val="16"/>
          <w:lang w:val="bg-BG"/>
        </w:rPr>
        <w:t xml:space="preserve"> 2. </w:t>
      </w:r>
      <w:r w:rsidR="000740C9" w:rsidRPr="007375EB">
        <w:rPr>
          <w:sz w:val="16"/>
          <w:szCs w:val="16"/>
          <w:lang w:val="bg-BG"/>
        </w:rPr>
        <w:fldChar w:fldCharType="begin"/>
      </w:r>
      <w:r w:rsidR="000740C9" w:rsidRPr="007375EB">
        <w:rPr>
          <w:sz w:val="16"/>
          <w:szCs w:val="16"/>
          <w:lang w:val="bg-BG"/>
        </w:rPr>
        <w:instrText xml:space="preserve"> SEQ Figura_2. \* ARABIC </w:instrText>
      </w:r>
      <w:r w:rsidR="000740C9" w:rsidRPr="007375EB">
        <w:rPr>
          <w:sz w:val="16"/>
          <w:szCs w:val="16"/>
          <w:lang w:val="bg-BG"/>
        </w:rPr>
        <w:fldChar w:fldCharType="separate"/>
      </w:r>
      <w:r w:rsidR="00683271" w:rsidRPr="007375EB">
        <w:rPr>
          <w:noProof/>
          <w:sz w:val="16"/>
          <w:szCs w:val="16"/>
          <w:lang w:val="bg-BG"/>
        </w:rPr>
        <w:t>15</w:t>
      </w:r>
      <w:r w:rsidR="000740C9" w:rsidRPr="007375EB">
        <w:rPr>
          <w:sz w:val="16"/>
          <w:szCs w:val="16"/>
          <w:lang w:val="bg-BG"/>
        </w:rPr>
        <w:fldChar w:fldCharType="end"/>
      </w:r>
      <w:r w:rsidR="000740C9" w:rsidRPr="007375EB">
        <w:rPr>
          <w:sz w:val="16"/>
          <w:szCs w:val="16"/>
          <w:lang w:val="bg-BG"/>
        </w:rPr>
        <w:t xml:space="preserve"> </w:t>
      </w:r>
      <w:bookmarkEnd w:id="20"/>
      <w:r w:rsidRPr="007375EB">
        <w:rPr>
          <w:sz w:val="16"/>
          <w:szCs w:val="16"/>
          <w:lang w:val="bg-BG"/>
        </w:rPr>
        <w:t>Местоположение на ЗГП по отношение на границите на защитените природни зони</w:t>
      </w:r>
    </w:p>
    <w:bookmarkEnd w:id="21"/>
    <w:p w14:paraId="7A7C5032" w14:textId="47C3B900" w:rsidR="000740C9" w:rsidRPr="007375EB" w:rsidRDefault="000740C9" w:rsidP="00C97036">
      <w:pPr>
        <w:spacing w:after="120" w:line="360" w:lineRule="auto"/>
        <w:jc w:val="center"/>
        <w:rPr>
          <w:b/>
          <w:bCs/>
          <w:color w:val="009DF0" w:themeColor="text2"/>
          <w:sz w:val="16"/>
          <w:szCs w:val="16"/>
          <w:lang w:val="bg-BG"/>
        </w:rPr>
        <w:sectPr w:rsidR="000740C9" w:rsidRPr="007375EB" w:rsidSect="00DD08D0">
          <w:pgSz w:w="16838" w:h="11906" w:orient="landscape" w:code="9"/>
          <w:pgMar w:top="1191" w:right="2013" w:bottom="1416" w:left="1418" w:header="839" w:footer="680" w:gutter="0"/>
          <w:cols w:space="708"/>
          <w:docGrid w:linePitch="360"/>
        </w:sectPr>
      </w:pPr>
    </w:p>
    <w:p w14:paraId="62379535" w14:textId="3EFCF292" w:rsidR="00A27805" w:rsidRPr="007375EB" w:rsidRDefault="00365895" w:rsidP="00EC2BE6">
      <w:pPr>
        <w:spacing w:after="120" w:line="360" w:lineRule="auto"/>
        <w:jc w:val="both"/>
        <w:rPr>
          <w:lang w:val="bg-BG"/>
        </w:rPr>
      </w:pPr>
      <w:r w:rsidRPr="007375EB">
        <w:rPr>
          <w:lang w:val="bg-BG"/>
        </w:rPr>
        <w:lastRenderedPageBreak/>
        <w:t>Според окончателния доклад за мониторинг на биологичното разнообразие за бъдещия вятърен парк ДУМБРЪВЕНИ-ЧЕРКЕЗУ, за да се анализират местообитанията в района на проучването, първоначално е извършен анализ на категориите земеползване, за да се определят площите с естествен или полуестествен режим на земеползване. За този анализ беше използвана базата данни Corine Land Cover 2018, достъпна на адрес www.copernicus.eu. Проучваната зона по отношение на местообитанията беше установена чрез пресичане на административно-териториалните единици от трето ниво (общини) с общия брой на предложените вятърни турбини. Установено е, че всички вятърни турбини ще бъдат разположени в административната територия на община Черкезу, в райони със селскостопанско предназначение, без да пресичат пасищните райони</w:t>
      </w:r>
      <w:r w:rsidR="00BC1CCD" w:rsidRPr="007375EB">
        <w:rPr>
          <w:lang w:val="bg-BG"/>
        </w:rPr>
        <w:t>.</w:t>
      </w:r>
    </w:p>
    <w:p w14:paraId="2CE57678" w14:textId="4CC34CD7" w:rsidR="00BC1CCD" w:rsidRPr="007375EB" w:rsidRDefault="00365895" w:rsidP="00261C8C">
      <w:pPr>
        <w:spacing w:after="120" w:line="360" w:lineRule="auto"/>
        <w:jc w:val="both"/>
        <w:rPr>
          <w:lang w:val="bg-BG"/>
        </w:rPr>
      </w:pPr>
      <w:r w:rsidRPr="007375EB">
        <w:rPr>
          <w:lang w:val="bg-BG"/>
        </w:rPr>
        <w:t xml:space="preserve">Районът в южната част на Черчезу се характеризира с преобладаваща тревиста растителност с редки храсти, видимо засегнат от паша, тъй като е заобиколен от земеделски земи. Поради това ограничение растителността е прекомерно пасищна, с по-малко от 100 % почвена покривка. Растителността се състои предимно от местни тревисти видове, като най-представените семейства са </w:t>
      </w:r>
      <w:r w:rsidRPr="007375EB">
        <w:rPr>
          <w:i/>
          <w:iCs/>
          <w:lang w:val="bg-BG"/>
        </w:rPr>
        <w:t>Asteraceae</w:t>
      </w:r>
      <w:r w:rsidRPr="007375EB">
        <w:rPr>
          <w:lang w:val="bg-BG"/>
        </w:rPr>
        <w:t xml:space="preserve"> и </w:t>
      </w:r>
      <w:r w:rsidRPr="007375EB">
        <w:rPr>
          <w:i/>
          <w:iCs/>
          <w:lang w:val="bg-BG"/>
        </w:rPr>
        <w:t>Poaceae</w:t>
      </w:r>
      <w:r w:rsidR="00256C28" w:rsidRPr="007375EB">
        <w:rPr>
          <w:lang w:val="bg-BG"/>
        </w:rPr>
        <w:t>.</w:t>
      </w:r>
    </w:p>
    <w:p w14:paraId="433F4F28" w14:textId="390BBE9D" w:rsidR="008327C8" w:rsidRPr="007375EB" w:rsidRDefault="00365895" w:rsidP="00261C8C">
      <w:pPr>
        <w:spacing w:after="120" w:line="360" w:lineRule="auto"/>
        <w:jc w:val="both"/>
        <w:rPr>
          <w:lang w:val="bg-BG"/>
        </w:rPr>
      </w:pPr>
      <w:r w:rsidRPr="007375EB">
        <w:rPr>
          <w:lang w:val="bg-BG"/>
        </w:rPr>
        <w:t>По време на теренните дейности в районите с естествена или полуестествена растителност, т.е. пасища и земи, заети предимно от земеделие, със значителни площи естествена растителност, беше отчетено наличието на някои форми на дейности, които представляват натиск върху растителните съобщества, т.е. пашуване (</w:t>
      </w:r>
      <w:r w:rsidRPr="007375EB">
        <w:rPr>
          <w:b/>
          <w:bCs/>
          <w:lang w:val="bg-BG"/>
        </w:rPr>
        <w:t>вж. фигура № 2.16</w:t>
      </w:r>
      <w:r w:rsidRPr="007375EB">
        <w:rPr>
          <w:lang w:val="bg-BG"/>
        </w:rPr>
        <w:t>) и наличие на пътища, благоприятстващи разпространението на неместни видове</w:t>
      </w:r>
      <w:r w:rsidR="00954A53" w:rsidRPr="007375EB">
        <w:rPr>
          <w:lang w:val="bg-BG"/>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9"/>
        <w:gridCol w:w="4650"/>
      </w:tblGrid>
      <w:tr w:rsidR="001D27B3" w:rsidRPr="007375EB" w14:paraId="52742489" w14:textId="77777777" w:rsidTr="001D27B3">
        <w:trPr>
          <w:jc w:val="center"/>
        </w:trPr>
        <w:tc>
          <w:tcPr>
            <w:tcW w:w="4649" w:type="dxa"/>
            <w:vAlign w:val="center"/>
          </w:tcPr>
          <w:p w14:paraId="0BA0E4C8" w14:textId="77777777" w:rsidR="001D27B3" w:rsidRPr="007375EB" w:rsidRDefault="001D27B3">
            <w:pPr>
              <w:rPr>
                <w:lang w:val="bg-BG"/>
              </w:rPr>
            </w:pPr>
            <w:r w:rsidRPr="007375EB">
              <w:rPr>
                <w:noProof/>
                <w:lang w:val="bg-BG"/>
              </w:rPr>
              <w:drawing>
                <wp:inline distT="0" distB="0" distL="0" distR="0" wp14:anchorId="0F744BE8" wp14:editId="7B90B4F5">
                  <wp:extent cx="3240000" cy="3240000"/>
                  <wp:effectExtent l="0" t="0" r="0" b="0"/>
                  <wp:docPr id="222032366" name="Picture 22203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12518" r="12518"/>
                          <a:stretch/>
                        </pic:blipFill>
                        <pic:spPr bwMode="auto">
                          <a:xfrm>
                            <a:off x="0" y="0"/>
                            <a:ext cx="3240000" cy="324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50" w:type="dxa"/>
            <w:vAlign w:val="center"/>
          </w:tcPr>
          <w:p w14:paraId="367570C6" w14:textId="77777777" w:rsidR="001D27B3" w:rsidRPr="007375EB" w:rsidRDefault="001D27B3">
            <w:pPr>
              <w:rPr>
                <w:lang w:val="bg-BG"/>
              </w:rPr>
            </w:pPr>
            <w:r w:rsidRPr="007375EB">
              <w:rPr>
                <w:noProof/>
                <w:lang w:val="bg-BG"/>
              </w:rPr>
              <w:drawing>
                <wp:inline distT="0" distB="0" distL="0" distR="0" wp14:anchorId="797B0540" wp14:editId="7F8557F7">
                  <wp:extent cx="3240000" cy="3240000"/>
                  <wp:effectExtent l="0" t="0" r="0" b="0"/>
                  <wp:docPr id="222032367" name="Picture 22203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8633" r="16403"/>
                          <a:stretch/>
                        </pic:blipFill>
                        <pic:spPr bwMode="auto">
                          <a:xfrm>
                            <a:off x="0" y="0"/>
                            <a:ext cx="3240000" cy="32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D27B3" w:rsidRPr="007375EB" w14:paraId="534321D0" w14:textId="77777777" w:rsidTr="001D27B3">
        <w:trPr>
          <w:jc w:val="center"/>
        </w:trPr>
        <w:tc>
          <w:tcPr>
            <w:tcW w:w="4649" w:type="dxa"/>
            <w:vAlign w:val="center"/>
          </w:tcPr>
          <w:p w14:paraId="4CAA75FC" w14:textId="24707AFB" w:rsidR="001D27B3" w:rsidRPr="007375EB" w:rsidRDefault="00365895">
            <w:pPr>
              <w:jc w:val="center"/>
              <w:rPr>
                <w:lang w:val="bg-BG"/>
              </w:rPr>
            </w:pPr>
            <w:r w:rsidRPr="007375EB">
              <w:rPr>
                <w:lang w:val="bg-BG"/>
              </w:rPr>
              <w:t>Район с естествена растителност между Черкезу и Вироага</w:t>
            </w:r>
          </w:p>
        </w:tc>
        <w:tc>
          <w:tcPr>
            <w:tcW w:w="4650" w:type="dxa"/>
            <w:vAlign w:val="center"/>
          </w:tcPr>
          <w:p w14:paraId="427D12B2" w14:textId="72514C23" w:rsidR="001D27B3" w:rsidRPr="007375EB" w:rsidRDefault="00365895">
            <w:pPr>
              <w:jc w:val="center"/>
              <w:rPr>
                <w:lang w:val="bg-BG"/>
              </w:rPr>
            </w:pPr>
            <w:r w:rsidRPr="007375EB">
              <w:rPr>
                <w:lang w:val="bg-BG"/>
              </w:rPr>
              <w:t>Площ с естествена растителност, използвана за пашуване на домашни животни</w:t>
            </w:r>
          </w:p>
        </w:tc>
      </w:tr>
    </w:tbl>
    <w:p w14:paraId="08D3C8E7" w14:textId="77777777" w:rsidR="00C33C51" w:rsidRPr="007375EB" w:rsidRDefault="00C33C51" w:rsidP="001D27B3">
      <w:pPr>
        <w:pStyle w:val="Caption"/>
        <w:spacing w:before="0" w:after="120" w:line="240" w:lineRule="auto"/>
        <w:jc w:val="center"/>
        <w:rPr>
          <w:sz w:val="16"/>
          <w:szCs w:val="16"/>
          <w:lang w:val="bg-BG"/>
        </w:rPr>
      </w:pPr>
      <w:bookmarkStart w:id="22" w:name="_Ref103591242"/>
      <w:bookmarkStart w:id="23" w:name="_Toc132117051"/>
    </w:p>
    <w:p w14:paraId="0997D3FE" w14:textId="6A5E9572" w:rsidR="001D27B3" w:rsidRPr="007375EB" w:rsidRDefault="00365895" w:rsidP="001D27B3">
      <w:pPr>
        <w:pStyle w:val="Caption"/>
        <w:spacing w:before="0" w:after="120" w:line="240" w:lineRule="auto"/>
        <w:jc w:val="center"/>
        <w:rPr>
          <w:sz w:val="16"/>
          <w:szCs w:val="16"/>
          <w:lang w:val="bg-BG"/>
        </w:rPr>
      </w:pPr>
      <w:r w:rsidRPr="007375EB">
        <w:rPr>
          <w:sz w:val="16"/>
          <w:szCs w:val="16"/>
          <w:lang w:val="bg-BG"/>
        </w:rPr>
        <w:t>Фигура</w:t>
      </w:r>
      <w:r w:rsidR="001D27B3" w:rsidRPr="007375EB">
        <w:rPr>
          <w:sz w:val="16"/>
          <w:szCs w:val="16"/>
          <w:lang w:val="bg-BG"/>
        </w:rPr>
        <w:t xml:space="preserve"> 2. </w:t>
      </w:r>
      <w:r w:rsidR="001D27B3" w:rsidRPr="007375EB">
        <w:rPr>
          <w:sz w:val="16"/>
          <w:szCs w:val="16"/>
          <w:lang w:val="bg-BG"/>
        </w:rPr>
        <w:fldChar w:fldCharType="begin"/>
      </w:r>
      <w:r w:rsidR="001D27B3" w:rsidRPr="007375EB">
        <w:rPr>
          <w:sz w:val="16"/>
          <w:szCs w:val="16"/>
          <w:lang w:val="bg-BG"/>
        </w:rPr>
        <w:instrText xml:space="preserve"> SEQ Figura_2. \* ARABIC </w:instrText>
      </w:r>
      <w:r w:rsidR="001D27B3" w:rsidRPr="007375EB">
        <w:rPr>
          <w:sz w:val="16"/>
          <w:szCs w:val="16"/>
          <w:lang w:val="bg-BG"/>
        </w:rPr>
        <w:fldChar w:fldCharType="separate"/>
      </w:r>
      <w:r w:rsidR="00902F7D" w:rsidRPr="007375EB">
        <w:rPr>
          <w:noProof/>
          <w:sz w:val="16"/>
          <w:szCs w:val="16"/>
          <w:lang w:val="bg-BG"/>
        </w:rPr>
        <w:t>16</w:t>
      </w:r>
      <w:r w:rsidR="001D27B3" w:rsidRPr="007375EB">
        <w:rPr>
          <w:sz w:val="16"/>
          <w:szCs w:val="16"/>
          <w:lang w:val="bg-BG"/>
        </w:rPr>
        <w:fldChar w:fldCharType="end"/>
      </w:r>
      <w:r w:rsidR="001D27B3" w:rsidRPr="007375EB">
        <w:rPr>
          <w:sz w:val="16"/>
          <w:szCs w:val="16"/>
          <w:lang w:val="bg-BG"/>
        </w:rPr>
        <w:t xml:space="preserve"> </w:t>
      </w:r>
      <w:r w:rsidRPr="007375EB">
        <w:rPr>
          <w:sz w:val="16"/>
          <w:szCs w:val="16"/>
          <w:lang w:val="bg-BG"/>
        </w:rPr>
        <w:t>Снимки, свързани с натиска върху местообитанията</w:t>
      </w:r>
    </w:p>
    <w:bookmarkEnd w:id="22"/>
    <w:bookmarkEnd w:id="23"/>
    <w:p w14:paraId="54B783D5" w14:textId="77777777" w:rsidR="00954A53" w:rsidRPr="007375EB" w:rsidRDefault="00954A53" w:rsidP="00261C8C">
      <w:pPr>
        <w:spacing w:after="120" w:line="360" w:lineRule="auto"/>
        <w:jc w:val="both"/>
        <w:rPr>
          <w:lang w:val="bg-BG"/>
        </w:rPr>
      </w:pPr>
    </w:p>
    <w:p w14:paraId="3F618AED" w14:textId="7FF2EA71" w:rsidR="00365895" w:rsidRPr="007375EB" w:rsidRDefault="00365895" w:rsidP="00365895">
      <w:pPr>
        <w:spacing w:after="120" w:line="360" w:lineRule="auto"/>
        <w:jc w:val="both"/>
        <w:rPr>
          <w:lang w:val="bg-BG"/>
        </w:rPr>
      </w:pPr>
      <w:r w:rsidRPr="007375EB">
        <w:rPr>
          <w:lang w:val="bg-BG"/>
        </w:rPr>
        <w:lastRenderedPageBreak/>
        <w:t>По време на периода на мониторинг в изследваната зона (под която разбираме както обекта на проекта, така и южния край на Природа 2000 зона ROSCI0071 Думбръвени - Долината Урлуя - Езерото Ведероаса) са установени 14 вида млекопитаещи, два вида земноводни, четири вида влечуги и 63 вида птици (общо почти 3800 индивида).</w:t>
      </w:r>
    </w:p>
    <w:p w14:paraId="7C47BA73" w14:textId="1C1B8EED" w:rsidR="00CB0365" w:rsidRPr="007375EB" w:rsidRDefault="00365895" w:rsidP="00365895">
      <w:pPr>
        <w:spacing w:after="120" w:line="360" w:lineRule="auto"/>
        <w:jc w:val="both"/>
        <w:rPr>
          <w:lang w:val="bg-BG"/>
        </w:rPr>
      </w:pPr>
      <w:r w:rsidRPr="007375EB">
        <w:rPr>
          <w:lang w:val="bg-BG"/>
        </w:rPr>
        <w:t>За да се наблюдава активността на хироптерите в обекта, бяха приложени най-добрите хироптерични практики с помощта на най-съвременно оборудване</w:t>
      </w:r>
      <w:r w:rsidR="007A4EF1" w:rsidRPr="007375EB">
        <w:rPr>
          <w:lang w:val="bg-BG"/>
        </w:rPr>
        <w:t>.</w:t>
      </w:r>
    </w:p>
    <w:p w14:paraId="1ACD2773" w14:textId="624C41ED" w:rsidR="00211890" w:rsidRPr="007375EB" w:rsidRDefault="00365895" w:rsidP="00211890">
      <w:pPr>
        <w:spacing w:after="120" w:line="360" w:lineRule="auto"/>
        <w:jc w:val="both"/>
        <w:rPr>
          <w:lang w:val="bg-BG"/>
        </w:rPr>
      </w:pPr>
      <w:r w:rsidRPr="007375EB">
        <w:rPr>
          <w:lang w:val="bg-BG"/>
        </w:rPr>
        <w:t>Районът на изследването е част от южния сектор на Добруджа, зона на миграция на хироптерите</w:t>
      </w:r>
      <w:r w:rsidR="00211890" w:rsidRPr="007375EB">
        <w:rPr>
          <w:lang w:val="bg-BG"/>
        </w:rPr>
        <w:t xml:space="preserve">. </w:t>
      </w:r>
    </w:p>
    <w:p w14:paraId="57E06C17" w14:textId="1847FF42" w:rsidR="0053749F" w:rsidRPr="007375EB" w:rsidRDefault="00365895" w:rsidP="0053749F">
      <w:pPr>
        <w:spacing w:after="120" w:line="360" w:lineRule="auto"/>
        <w:jc w:val="both"/>
        <w:rPr>
          <w:lang w:val="bg-BG"/>
        </w:rPr>
      </w:pPr>
      <w:r w:rsidRPr="007375EB">
        <w:rPr>
          <w:lang w:val="bg-BG"/>
        </w:rPr>
        <w:t xml:space="preserve">Най-чувствителният вид, установен на мястото, но и с висок риск от въздействие от вятърната енергия, е </w:t>
      </w:r>
      <w:r w:rsidRPr="007375EB">
        <w:rPr>
          <w:i/>
          <w:iCs/>
          <w:lang w:val="bg-BG"/>
        </w:rPr>
        <w:t>Miniopterus schreibersii</w:t>
      </w:r>
      <w:r w:rsidRPr="007375EB">
        <w:rPr>
          <w:lang w:val="bg-BG"/>
        </w:rPr>
        <w:t>. Този вид е регионално мигриращ и са документирани миграции между Южна Добруджа и Централна България. В Румъния видът мигрира, за да образува майчини колонии, но има и случаи на зимуващи колонии. Миграционните коридори са неизвестни, но в Южна Добруджа те най-вероятно са тясно свързани с каналите (сухи каньонни долини). В югозападната и западната част на предложения проект има такива долини (долината Мъгура - долината Олтени и Къчулаци, долината на Арон - между местностите Черкезу и Късчоареле), които могат да бъдат използвани от всички видове хироптери</w:t>
      </w:r>
      <w:r w:rsidR="0053749F" w:rsidRPr="007375EB">
        <w:rPr>
          <w:lang w:val="bg-BG"/>
        </w:rPr>
        <w:t>.</w:t>
      </w:r>
    </w:p>
    <w:p w14:paraId="579F80C7" w14:textId="48824824" w:rsidR="0053749F" w:rsidRPr="007375EB" w:rsidRDefault="00365895" w:rsidP="0053749F">
      <w:pPr>
        <w:spacing w:after="120" w:line="360" w:lineRule="auto"/>
        <w:jc w:val="both"/>
        <w:rPr>
          <w:lang w:val="bg-BG"/>
        </w:rPr>
      </w:pPr>
      <w:r w:rsidRPr="007375EB">
        <w:rPr>
          <w:lang w:val="bg-BG"/>
        </w:rPr>
        <w:t xml:space="preserve">Други установени чувствителни видове хироптери са всички видове от род </w:t>
      </w:r>
      <w:r w:rsidR="0053749F" w:rsidRPr="007375EB">
        <w:rPr>
          <w:i/>
          <w:iCs/>
          <w:lang w:val="bg-BG"/>
        </w:rPr>
        <w:t>Nyctalus sp</w:t>
      </w:r>
      <w:r w:rsidR="0053749F" w:rsidRPr="007375EB">
        <w:rPr>
          <w:lang w:val="bg-BG"/>
        </w:rPr>
        <w:t xml:space="preserve">, </w:t>
      </w:r>
      <w:r w:rsidR="0053749F" w:rsidRPr="007375EB">
        <w:rPr>
          <w:i/>
          <w:iCs/>
          <w:lang w:val="bg-BG"/>
        </w:rPr>
        <w:t>Pipistrellus sp</w:t>
      </w:r>
      <w:r w:rsidR="0053749F" w:rsidRPr="007375EB">
        <w:rPr>
          <w:lang w:val="bg-BG"/>
        </w:rPr>
        <w:t xml:space="preserve">, </w:t>
      </w:r>
      <w:r w:rsidR="0053749F" w:rsidRPr="007375EB">
        <w:rPr>
          <w:i/>
          <w:iCs/>
          <w:lang w:val="bg-BG"/>
        </w:rPr>
        <w:t>Vespertilio murinus</w:t>
      </w:r>
      <w:r w:rsidR="0053749F" w:rsidRPr="007375EB">
        <w:rPr>
          <w:lang w:val="bg-BG"/>
        </w:rPr>
        <w:t xml:space="preserve"> </w:t>
      </w:r>
      <w:r w:rsidRPr="007375EB">
        <w:rPr>
          <w:lang w:val="bg-BG"/>
        </w:rPr>
        <w:t>и</w:t>
      </w:r>
      <w:r w:rsidR="0053749F" w:rsidRPr="007375EB">
        <w:rPr>
          <w:lang w:val="bg-BG"/>
        </w:rPr>
        <w:t xml:space="preserve"> </w:t>
      </w:r>
      <w:r w:rsidR="0053749F" w:rsidRPr="007375EB">
        <w:rPr>
          <w:i/>
          <w:iCs/>
          <w:lang w:val="bg-BG"/>
        </w:rPr>
        <w:t>Eptesicus serotinus</w:t>
      </w:r>
      <w:r w:rsidR="0053749F" w:rsidRPr="007375EB">
        <w:rPr>
          <w:lang w:val="bg-BG"/>
        </w:rPr>
        <w:t xml:space="preserve">. </w:t>
      </w:r>
      <w:r w:rsidRPr="007375EB">
        <w:rPr>
          <w:lang w:val="bg-BG"/>
        </w:rPr>
        <w:t>Тези видове могат да имат висок риск от въздействие по време на експлоатацията (случайно убиване). Останалите идентифицирани видове летят много по-ниско, за да се хранят или мигрират, и рискът от въздействие е нисък (но не отсъства). За тези видове паркът може да окаже по-голямо въздействие чрез бариерен ефект, но също така и чрез промяна на местообитанията (пътища, подземни електропроводи), дори рудерална растителност, използвана от всички видове, които ловуват в непосредствена близост до земята</w:t>
      </w:r>
      <w:r w:rsidR="0053749F" w:rsidRPr="007375EB">
        <w:rPr>
          <w:lang w:val="bg-BG"/>
        </w:rPr>
        <w:t>.</w:t>
      </w:r>
    </w:p>
    <w:p w14:paraId="49FD73AA" w14:textId="77777777" w:rsidR="00365895" w:rsidRPr="007375EB" w:rsidRDefault="00365895" w:rsidP="00365895">
      <w:pPr>
        <w:spacing w:after="120" w:line="360" w:lineRule="auto"/>
        <w:jc w:val="both"/>
        <w:rPr>
          <w:lang w:val="bg-BG"/>
        </w:rPr>
      </w:pPr>
      <w:r w:rsidRPr="007375EB">
        <w:rPr>
          <w:lang w:val="bg-BG"/>
        </w:rPr>
        <w:t>Установени са 11 вида хироптери, 8 от които са изложени на висок риск от въздействие на вятърната енергия.</w:t>
      </w:r>
    </w:p>
    <w:p w14:paraId="4E1362C7" w14:textId="77777777" w:rsidR="00365895" w:rsidRPr="007375EB" w:rsidRDefault="00365895" w:rsidP="00365895">
      <w:pPr>
        <w:spacing w:after="120" w:line="360" w:lineRule="auto"/>
        <w:jc w:val="both"/>
        <w:rPr>
          <w:lang w:val="bg-BG"/>
        </w:rPr>
      </w:pPr>
      <w:r w:rsidRPr="007375EB">
        <w:rPr>
          <w:lang w:val="bg-BG"/>
        </w:rPr>
        <w:t xml:space="preserve">Разбивка на резултатите от мониторинга, осъществен за целия жизнен цикъл, са описани подробно в глава </w:t>
      </w:r>
    </w:p>
    <w:p w14:paraId="6E56310E" w14:textId="237A0132" w:rsidR="0066464B" w:rsidRPr="007375EB" w:rsidRDefault="0066464B" w:rsidP="00365895">
      <w:pPr>
        <w:spacing w:after="120" w:line="360" w:lineRule="auto"/>
        <w:jc w:val="both"/>
        <w:rPr>
          <w:lang w:val="bg-BG"/>
        </w:rPr>
      </w:pPr>
      <w:r w:rsidRPr="007375EB">
        <w:rPr>
          <w:b/>
          <w:bCs/>
          <w:lang w:val="bg-BG"/>
        </w:rPr>
        <w:t xml:space="preserve">3. </w:t>
      </w:r>
      <w:r w:rsidR="00365895" w:rsidRPr="007375EB">
        <w:rPr>
          <w:b/>
          <w:bCs/>
          <w:lang w:val="bg-BG"/>
        </w:rPr>
        <w:t>Представяне на резултатите от дейностите на полето, свързани с Изследването за адекватна оценка</w:t>
      </w:r>
      <w:r w:rsidR="00F13334" w:rsidRPr="007375EB">
        <w:rPr>
          <w:b/>
          <w:bCs/>
          <w:lang w:val="bg-BG"/>
        </w:rPr>
        <w:t>.</w:t>
      </w:r>
    </w:p>
    <w:p w14:paraId="68FBA48C" w14:textId="73985CA2" w:rsidR="00211890" w:rsidRPr="007375EB" w:rsidRDefault="00365895" w:rsidP="00211890">
      <w:pPr>
        <w:spacing w:after="120" w:line="360" w:lineRule="auto"/>
        <w:jc w:val="both"/>
        <w:rPr>
          <w:lang w:val="bg-BG"/>
        </w:rPr>
      </w:pPr>
      <w:bookmarkStart w:id="24" w:name="_Hlk169266912"/>
      <w:r w:rsidRPr="007375EB">
        <w:rPr>
          <w:lang w:val="bg-BG"/>
        </w:rPr>
        <w:t>Районът на плана не пресича зони от Природа 2000, но граничи с 5 зони от Природа 2000 в Румъния, които могат да бъдат повлияни от строителството и експлоатацията му: ROSCI0071/ROSAC0071 Думбръвени - Долината Урлуя - Езерото Ведероаса, ROSCI0157/ROSAC157 Гората Хаджиени – Котул Въи, ROSPA0036 Думбръвени, ROSPA0166 Плопени-Кирногени, ROSPA0094 Гората Хаджиени - Котул Въи и с 2 места от Природа 2000 в България: BG0000569 Кардам, BG0000570 Изворово - Краище</w:t>
      </w:r>
      <w:r w:rsidR="00211890" w:rsidRPr="007375EB">
        <w:rPr>
          <w:lang w:val="bg-BG"/>
        </w:rPr>
        <w:t>.</w:t>
      </w:r>
      <w:bookmarkEnd w:id="24"/>
    </w:p>
    <w:p w14:paraId="18E48A45" w14:textId="6D5FB7BE" w:rsidR="00211890" w:rsidRPr="007375EB" w:rsidRDefault="00F77D11" w:rsidP="00211890">
      <w:pPr>
        <w:spacing w:after="120" w:line="360" w:lineRule="auto"/>
        <w:jc w:val="both"/>
        <w:rPr>
          <w:lang w:val="bg-BG"/>
        </w:rPr>
      </w:pPr>
      <w:r w:rsidRPr="007375EB">
        <w:rPr>
          <w:lang w:val="bg-BG"/>
        </w:rPr>
        <w:t>Тези обекти бяха анализирани в изследването на адекватната оценка от гледна точка на въздействието на проекта върху тяхната цялост.</w:t>
      </w:r>
    </w:p>
    <w:p w14:paraId="129932C4" w14:textId="0940368F" w:rsidR="00211890" w:rsidRPr="007375EB" w:rsidRDefault="00F77D11" w:rsidP="00211890">
      <w:pPr>
        <w:spacing w:after="120" w:line="360" w:lineRule="auto"/>
        <w:jc w:val="both"/>
        <w:rPr>
          <w:lang w:val="bg-BG"/>
        </w:rPr>
      </w:pPr>
      <w:r w:rsidRPr="007375EB">
        <w:rPr>
          <w:lang w:val="bg-BG"/>
        </w:rPr>
        <w:t xml:space="preserve">Оценката на въздействието на проекта върху обектите от мрежата „Природа 2000“, които могат да бъдат засегнати, е извършена въз основа на Специфичните цели за опазване, определени от ANANP за периода 2021-2023 г. за всички обекти, разгледани в оценката. При оценката е взето </w:t>
      </w:r>
      <w:r w:rsidRPr="007375EB">
        <w:rPr>
          <w:lang w:val="bg-BG"/>
        </w:rPr>
        <w:lastRenderedPageBreak/>
        <w:t>предвид потенциалното кумулативно въздействие, което може да бъде генерирано заедно с предложените и съществуващите вятърни паркове както на територията на Румъния, така и на България</w:t>
      </w:r>
      <w:r w:rsidR="00211890" w:rsidRPr="007375EB">
        <w:rPr>
          <w:lang w:val="bg-BG"/>
        </w:rPr>
        <w:t xml:space="preserve">. </w:t>
      </w:r>
    </w:p>
    <w:p w14:paraId="1A3D3770" w14:textId="643E4856" w:rsidR="00211890" w:rsidRPr="007375EB" w:rsidRDefault="00F77D11" w:rsidP="00211890">
      <w:pPr>
        <w:spacing w:after="120" w:line="360" w:lineRule="auto"/>
        <w:jc w:val="both"/>
        <w:rPr>
          <w:lang w:val="bg-BG"/>
        </w:rPr>
      </w:pPr>
      <w:r w:rsidRPr="007375EB">
        <w:rPr>
          <w:lang w:val="bg-BG"/>
        </w:rPr>
        <w:t>Най-важното потенциално въздействие, свързано с проекта, е намаляването на популациите на дивите животни, което може да настъпи по време на етапите на строителство и експлоатация в резултат на строителните работи, сблъсъците със строителния трафик и най-вече сблъсъците с вятърните турбини (особено за видовете птици и хироптери). Намаляването на числеността на популациите вероятно ще окаже значително въздействие върху популациите на дивите животни и ще се отрази на параметрите за численост на популациите, определени в специфичните природозащитни цели за видовете</w:t>
      </w:r>
      <w:r w:rsidR="00211890" w:rsidRPr="007375EB">
        <w:rPr>
          <w:lang w:val="bg-BG"/>
        </w:rPr>
        <w:t>.</w:t>
      </w:r>
    </w:p>
    <w:p w14:paraId="398479F0" w14:textId="150EFC1B" w:rsidR="00211890" w:rsidRPr="007375EB" w:rsidRDefault="00F77D11" w:rsidP="00211890">
      <w:pPr>
        <w:spacing w:after="120" w:line="360" w:lineRule="auto"/>
        <w:jc w:val="both"/>
        <w:rPr>
          <w:lang w:val="bg-BG"/>
        </w:rPr>
      </w:pPr>
      <w:r w:rsidRPr="007375EB">
        <w:rPr>
          <w:lang w:val="bg-BG"/>
        </w:rPr>
        <w:t>Мерките, предложени в адекватната оценка за избягване и смекчаване на въздействието, обхващат всички форми на установените въздействия, които могат да повлияят на параметрите на природозащитните цели, определени за местообитанията и видовете от интерес за Общността в потенциално засегнатите зони от Природа 2000.</w:t>
      </w:r>
    </w:p>
    <w:p w14:paraId="2A46B325" w14:textId="0A539434" w:rsidR="00211890" w:rsidRPr="00C5710F" w:rsidRDefault="00F77D11" w:rsidP="00211890">
      <w:pPr>
        <w:spacing w:after="120" w:line="360" w:lineRule="auto"/>
        <w:jc w:val="both"/>
        <w:rPr>
          <w:lang w:val="bg-BG"/>
        </w:rPr>
      </w:pPr>
      <w:r w:rsidRPr="007375EB">
        <w:rPr>
          <w:lang w:val="bg-BG"/>
        </w:rPr>
        <w:t xml:space="preserve">Проучването на адекватната оценка установи необходимостта от прилагане на мерки, които могат </w:t>
      </w:r>
      <w:r w:rsidRPr="00C5710F">
        <w:rPr>
          <w:lang w:val="bg-BG"/>
        </w:rPr>
        <w:t>да гарантират запазването на незначително остатъчно въздействие. За да се потвърди ефективността на мерките за избягване и смекчаване на въздействието, е предложена програма за мониторинг, която включва разпоредби както за строителния, така и за експлоатационния период. Изпълнението на програмата за мониторинг е от съществено значение, за да може да се гарантира правилното изпълнение и функционалност на мерките за избягване и смекчаване на въздействието.</w:t>
      </w:r>
    </w:p>
    <w:p w14:paraId="7909BBA5" w14:textId="560ACC18" w:rsidR="007F04E9" w:rsidRPr="00C5710F" w:rsidRDefault="00C5710F" w:rsidP="00211890">
      <w:pPr>
        <w:spacing w:after="120" w:line="360" w:lineRule="auto"/>
        <w:jc w:val="both"/>
        <w:rPr>
          <w:lang w:val="bg-BG"/>
        </w:rPr>
      </w:pPr>
      <w:bookmarkStart w:id="25" w:name="_Hlk170379948"/>
      <w:r w:rsidRPr="00C5710F">
        <w:rPr>
          <w:lang w:val="bg-BG"/>
        </w:rPr>
        <w:t>Заключенията от подробното изследване на подходящата оценка за всеки засегнат ANPIC и заключенията от изследването на риска от сблъсък с плаващи птици са приложени към настоящото изследване</w:t>
      </w:r>
      <w:r w:rsidR="00F77D11" w:rsidRPr="00C5710F">
        <w:rPr>
          <w:lang w:val="bg-BG"/>
        </w:rPr>
        <w:t>.</w:t>
      </w:r>
    </w:p>
    <w:bookmarkEnd w:id="25"/>
    <w:p w14:paraId="15869BB4" w14:textId="5EAFAD87" w:rsidR="00E54B89" w:rsidRPr="007375EB" w:rsidRDefault="00F77D11" w:rsidP="00AC5470">
      <w:pPr>
        <w:pStyle w:val="ListParagraph"/>
        <w:numPr>
          <w:ilvl w:val="2"/>
          <w:numId w:val="21"/>
        </w:numPr>
        <w:spacing w:after="120" w:line="360" w:lineRule="auto"/>
        <w:jc w:val="both"/>
        <w:outlineLvl w:val="2"/>
        <w:rPr>
          <w:rFonts w:cs="Arial"/>
          <w:b/>
          <w:i/>
          <w:color w:val="00B0F0"/>
          <w:lang w:val="bg-BG"/>
        </w:rPr>
      </w:pPr>
      <w:r w:rsidRPr="007375EB">
        <w:rPr>
          <w:rFonts w:cs="Arial"/>
          <w:b/>
          <w:i/>
          <w:color w:val="00B0F0"/>
          <w:lang w:val="bg-BG"/>
        </w:rPr>
        <w:t>Население и здраве на хората</w:t>
      </w:r>
    </w:p>
    <w:p w14:paraId="0E116AF3" w14:textId="5307A824" w:rsidR="00F77D11" w:rsidRPr="007375EB" w:rsidRDefault="00F77D11" w:rsidP="00F77D11">
      <w:pPr>
        <w:spacing w:after="120" w:line="360" w:lineRule="auto"/>
        <w:jc w:val="both"/>
        <w:rPr>
          <w:lang w:val="bg-BG"/>
        </w:rPr>
      </w:pPr>
      <w:r w:rsidRPr="007375EB">
        <w:rPr>
          <w:lang w:val="bg-BG"/>
        </w:rPr>
        <w:t>Според последното преброяване, проведено през 2021 г., общият брой на населението по местоживеене на община Черкезу към 1 юли е 1360 души, от които 645 жени и 711 мъже.</w:t>
      </w:r>
    </w:p>
    <w:p w14:paraId="001F46B3" w14:textId="4D409915" w:rsidR="00A26467" w:rsidRPr="007375EB" w:rsidRDefault="00F77D11" w:rsidP="00F77D11">
      <w:pPr>
        <w:spacing w:after="120" w:line="360" w:lineRule="auto"/>
        <w:jc w:val="both"/>
        <w:rPr>
          <w:lang w:val="bg-BG"/>
        </w:rPr>
      </w:pPr>
      <w:r w:rsidRPr="007375EB">
        <w:rPr>
          <w:lang w:val="bg-BG"/>
        </w:rPr>
        <w:t>Структурата на населението по възраст и пол към датата на последното преброяване е показана в таблицата по-долу</w:t>
      </w:r>
      <w:r w:rsidR="004E4206" w:rsidRPr="007375EB">
        <w:rPr>
          <w:lang w:val="bg-BG"/>
        </w:rPr>
        <w:t>:</w:t>
      </w:r>
    </w:p>
    <w:p w14:paraId="529D1AE1" w14:textId="69831952" w:rsidR="0021671B" w:rsidRPr="007375EB" w:rsidRDefault="00F77D11" w:rsidP="0021671B">
      <w:pPr>
        <w:pStyle w:val="Caption"/>
        <w:rPr>
          <w:sz w:val="16"/>
          <w:szCs w:val="16"/>
          <w:lang w:val="bg-BG"/>
        </w:rPr>
      </w:pPr>
      <w:r w:rsidRPr="007375EB">
        <w:rPr>
          <w:sz w:val="16"/>
          <w:szCs w:val="16"/>
          <w:lang w:val="bg-BG"/>
        </w:rPr>
        <w:t>Таблица</w:t>
      </w:r>
      <w:r w:rsidR="0021671B" w:rsidRPr="007375EB">
        <w:rPr>
          <w:sz w:val="16"/>
          <w:szCs w:val="16"/>
          <w:lang w:val="bg-BG"/>
        </w:rPr>
        <w:t xml:space="preserve"> 2 - </w:t>
      </w:r>
      <w:r w:rsidR="0021671B" w:rsidRPr="007375EB">
        <w:rPr>
          <w:sz w:val="16"/>
          <w:szCs w:val="16"/>
          <w:lang w:val="bg-BG"/>
        </w:rPr>
        <w:fldChar w:fldCharType="begin"/>
      </w:r>
      <w:r w:rsidR="0021671B" w:rsidRPr="007375EB">
        <w:rPr>
          <w:sz w:val="16"/>
          <w:szCs w:val="16"/>
          <w:lang w:val="bg-BG"/>
        </w:rPr>
        <w:instrText xml:space="preserve"> SEQ Tabel_2_- \* ARABIC </w:instrText>
      </w:r>
      <w:r w:rsidR="0021671B" w:rsidRPr="007375EB">
        <w:rPr>
          <w:sz w:val="16"/>
          <w:szCs w:val="16"/>
          <w:lang w:val="bg-BG"/>
        </w:rPr>
        <w:fldChar w:fldCharType="separate"/>
      </w:r>
      <w:r w:rsidR="00415C8C" w:rsidRPr="007375EB">
        <w:rPr>
          <w:noProof/>
          <w:sz w:val="16"/>
          <w:szCs w:val="16"/>
          <w:lang w:val="bg-BG"/>
        </w:rPr>
        <w:t>3</w:t>
      </w:r>
      <w:r w:rsidR="0021671B" w:rsidRPr="007375EB">
        <w:rPr>
          <w:sz w:val="16"/>
          <w:szCs w:val="16"/>
          <w:lang w:val="bg-BG"/>
        </w:rPr>
        <w:fldChar w:fldCharType="end"/>
      </w:r>
      <w:r w:rsidR="0021671B" w:rsidRPr="007375EB">
        <w:rPr>
          <w:sz w:val="16"/>
          <w:szCs w:val="16"/>
          <w:lang w:val="bg-BG"/>
        </w:rPr>
        <w:t>:</w:t>
      </w:r>
      <w:r w:rsidR="0021671B" w:rsidRPr="007375EB">
        <w:rPr>
          <w:color w:val="00B0F0"/>
          <w:sz w:val="16"/>
          <w:szCs w:val="16"/>
          <w:lang w:val="bg-BG"/>
        </w:rPr>
        <w:t xml:space="preserve"> </w:t>
      </w:r>
      <w:r w:rsidRPr="007375EB">
        <w:rPr>
          <w:sz w:val="16"/>
          <w:szCs w:val="16"/>
          <w:lang w:val="bg-BG"/>
        </w:rPr>
        <w:t xml:space="preserve">Структура на населението при последното преброяване </w:t>
      </w:r>
      <w:r w:rsidR="0021671B" w:rsidRPr="007375EB">
        <w:rPr>
          <w:sz w:val="16"/>
          <w:szCs w:val="16"/>
          <w:lang w:val="bg-BG"/>
        </w:rPr>
        <w:t>(2021)</w:t>
      </w:r>
    </w:p>
    <w:tbl>
      <w:tblPr>
        <w:tblW w:w="10826" w:type="dxa"/>
        <w:tblInd w:w="-28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903"/>
        <w:gridCol w:w="671"/>
        <w:gridCol w:w="510"/>
        <w:gridCol w:w="395"/>
        <w:gridCol w:w="564"/>
        <w:gridCol w:w="483"/>
        <w:gridCol w:w="483"/>
        <w:gridCol w:w="483"/>
        <w:gridCol w:w="536"/>
        <w:gridCol w:w="483"/>
        <w:gridCol w:w="509"/>
        <w:gridCol w:w="483"/>
        <w:gridCol w:w="509"/>
        <w:gridCol w:w="483"/>
        <w:gridCol w:w="509"/>
        <w:gridCol w:w="567"/>
        <w:gridCol w:w="483"/>
        <w:gridCol w:w="483"/>
        <w:gridCol w:w="483"/>
        <w:gridCol w:w="806"/>
      </w:tblGrid>
      <w:tr w:rsidR="00430B20" w:rsidRPr="007375EB" w14:paraId="1DCC9E6C" w14:textId="77777777" w:rsidTr="00F77D11">
        <w:trPr>
          <w:trHeight w:val="177"/>
        </w:trPr>
        <w:tc>
          <w:tcPr>
            <w:tcW w:w="903" w:type="dxa"/>
            <w:shd w:val="clear" w:color="auto" w:fill="00B0F0"/>
            <w:noWrap/>
            <w:vAlign w:val="bottom"/>
            <w:hideMark/>
          </w:tcPr>
          <w:p w14:paraId="409811BA" w14:textId="77777777" w:rsidR="00714F7D" w:rsidRPr="007375EB" w:rsidRDefault="00714F7D">
            <w:pPr>
              <w:spacing w:line="240" w:lineRule="auto"/>
              <w:jc w:val="center"/>
              <w:rPr>
                <w:rFonts w:eastAsia="Times New Roman" w:cs="Times New Roman"/>
                <w:color w:val="FFFFFF" w:themeColor="background1"/>
                <w:sz w:val="14"/>
                <w:szCs w:val="14"/>
                <w:lang w:val="bg-BG" w:eastAsia="ro-RO"/>
              </w:rPr>
            </w:pPr>
          </w:p>
        </w:tc>
        <w:tc>
          <w:tcPr>
            <w:tcW w:w="671" w:type="dxa"/>
            <w:shd w:val="clear" w:color="auto" w:fill="00B0F0"/>
            <w:noWrap/>
            <w:vAlign w:val="bottom"/>
          </w:tcPr>
          <w:p w14:paraId="24ECDCBF"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p>
        </w:tc>
        <w:tc>
          <w:tcPr>
            <w:tcW w:w="9252" w:type="dxa"/>
            <w:gridSpan w:val="18"/>
            <w:shd w:val="clear" w:color="auto" w:fill="00B0F0"/>
            <w:noWrap/>
            <w:vAlign w:val="bottom"/>
          </w:tcPr>
          <w:p w14:paraId="2DDD4C80" w14:textId="0861567F" w:rsidR="00714F7D" w:rsidRPr="007375EB" w:rsidRDefault="00F77D11">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ВЪЗРАСТОВИ ГРУПИ</w:t>
            </w:r>
          </w:p>
        </w:tc>
      </w:tr>
      <w:tr w:rsidR="00A234B0" w:rsidRPr="007375EB" w14:paraId="3D49AB6D" w14:textId="77777777" w:rsidTr="00F77D11">
        <w:trPr>
          <w:trHeight w:val="300"/>
        </w:trPr>
        <w:tc>
          <w:tcPr>
            <w:tcW w:w="903" w:type="dxa"/>
            <w:shd w:val="clear" w:color="auto" w:fill="00B0F0"/>
            <w:noWrap/>
            <w:vAlign w:val="bottom"/>
          </w:tcPr>
          <w:p w14:paraId="4DE6597E" w14:textId="77777777" w:rsidR="00714F7D" w:rsidRPr="007375EB" w:rsidRDefault="00714F7D">
            <w:pPr>
              <w:spacing w:line="240" w:lineRule="auto"/>
              <w:jc w:val="center"/>
              <w:rPr>
                <w:rFonts w:eastAsia="Times New Roman" w:cs="Times New Roman"/>
                <w:color w:val="FFFFFF" w:themeColor="background1"/>
                <w:sz w:val="14"/>
                <w:szCs w:val="14"/>
                <w:lang w:val="bg-BG" w:eastAsia="ro-RO"/>
              </w:rPr>
            </w:pPr>
          </w:p>
        </w:tc>
        <w:tc>
          <w:tcPr>
            <w:tcW w:w="671" w:type="dxa"/>
            <w:shd w:val="clear" w:color="auto" w:fill="00B0F0"/>
            <w:noWrap/>
            <w:vAlign w:val="bottom"/>
          </w:tcPr>
          <w:p w14:paraId="190422D3" w14:textId="5EC28073" w:rsidR="00714F7D" w:rsidRPr="007375EB" w:rsidRDefault="00F77D11">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Общо</w:t>
            </w:r>
          </w:p>
        </w:tc>
        <w:tc>
          <w:tcPr>
            <w:tcW w:w="510" w:type="dxa"/>
            <w:shd w:val="clear" w:color="auto" w:fill="00B0F0"/>
            <w:noWrap/>
            <w:vAlign w:val="bottom"/>
          </w:tcPr>
          <w:p w14:paraId="4EB8A948" w14:textId="3F7806E2" w:rsidR="00714F7D" w:rsidRPr="007375EB" w:rsidRDefault="00F77D11">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под 5</w:t>
            </w:r>
          </w:p>
        </w:tc>
        <w:tc>
          <w:tcPr>
            <w:tcW w:w="395" w:type="dxa"/>
            <w:shd w:val="clear" w:color="auto" w:fill="00B0F0"/>
            <w:noWrap/>
            <w:vAlign w:val="bottom"/>
          </w:tcPr>
          <w:p w14:paraId="1D430494"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5-9.</w:t>
            </w:r>
          </w:p>
        </w:tc>
        <w:tc>
          <w:tcPr>
            <w:tcW w:w="564" w:type="dxa"/>
            <w:shd w:val="clear" w:color="auto" w:fill="00B0F0"/>
            <w:noWrap/>
            <w:vAlign w:val="bottom"/>
          </w:tcPr>
          <w:p w14:paraId="2F1357F1"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10-14.</w:t>
            </w:r>
          </w:p>
        </w:tc>
        <w:tc>
          <w:tcPr>
            <w:tcW w:w="483" w:type="dxa"/>
            <w:shd w:val="clear" w:color="auto" w:fill="00B0F0"/>
            <w:noWrap/>
            <w:vAlign w:val="bottom"/>
          </w:tcPr>
          <w:p w14:paraId="1421788B"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15-19</w:t>
            </w:r>
          </w:p>
        </w:tc>
        <w:tc>
          <w:tcPr>
            <w:tcW w:w="483" w:type="dxa"/>
            <w:shd w:val="clear" w:color="auto" w:fill="00B0F0"/>
            <w:noWrap/>
            <w:vAlign w:val="bottom"/>
          </w:tcPr>
          <w:p w14:paraId="631A249E"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20-24</w:t>
            </w:r>
          </w:p>
        </w:tc>
        <w:tc>
          <w:tcPr>
            <w:tcW w:w="483" w:type="dxa"/>
            <w:shd w:val="clear" w:color="auto" w:fill="00B0F0"/>
            <w:noWrap/>
            <w:vAlign w:val="bottom"/>
          </w:tcPr>
          <w:p w14:paraId="7CFB9D1B"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25-29</w:t>
            </w:r>
          </w:p>
        </w:tc>
        <w:tc>
          <w:tcPr>
            <w:tcW w:w="536" w:type="dxa"/>
            <w:shd w:val="clear" w:color="auto" w:fill="00B0F0"/>
            <w:noWrap/>
            <w:vAlign w:val="bottom"/>
          </w:tcPr>
          <w:p w14:paraId="5BC72199"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30-34</w:t>
            </w:r>
          </w:p>
        </w:tc>
        <w:tc>
          <w:tcPr>
            <w:tcW w:w="483" w:type="dxa"/>
            <w:shd w:val="clear" w:color="auto" w:fill="00B0F0"/>
            <w:noWrap/>
            <w:vAlign w:val="bottom"/>
          </w:tcPr>
          <w:p w14:paraId="0160D01D"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35-39</w:t>
            </w:r>
          </w:p>
        </w:tc>
        <w:tc>
          <w:tcPr>
            <w:tcW w:w="509" w:type="dxa"/>
            <w:shd w:val="clear" w:color="auto" w:fill="00B0F0"/>
            <w:noWrap/>
            <w:vAlign w:val="bottom"/>
          </w:tcPr>
          <w:p w14:paraId="7A1CA0BA"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40-44</w:t>
            </w:r>
          </w:p>
        </w:tc>
        <w:tc>
          <w:tcPr>
            <w:tcW w:w="483" w:type="dxa"/>
            <w:shd w:val="clear" w:color="auto" w:fill="00B0F0"/>
            <w:noWrap/>
            <w:vAlign w:val="bottom"/>
          </w:tcPr>
          <w:p w14:paraId="374F089E"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45-49</w:t>
            </w:r>
          </w:p>
        </w:tc>
        <w:tc>
          <w:tcPr>
            <w:tcW w:w="509" w:type="dxa"/>
            <w:shd w:val="clear" w:color="auto" w:fill="00B0F0"/>
            <w:noWrap/>
            <w:vAlign w:val="bottom"/>
          </w:tcPr>
          <w:p w14:paraId="6E0A5CF4"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50-54</w:t>
            </w:r>
          </w:p>
        </w:tc>
        <w:tc>
          <w:tcPr>
            <w:tcW w:w="483" w:type="dxa"/>
            <w:shd w:val="clear" w:color="auto" w:fill="00B0F0"/>
            <w:noWrap/>
            <w:vAlign w:val="bottom"/>
          </w:tcPr>
          <w:p w14:paraId="1E9CE864"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55-59</w:t>
            </w:r>
          </w:p>
        </w:tc>
        <w:tc>
          <w:tcPr>
            <w:tcW w:w="509" w:type="dxa"/>
            <w:shd w:val="clear" w:color="auto" w:fill="00B0F0"/>
            <w:noWrap/>
            <w:vAlign w:val="bottom"/>
          </w:tcPr>
          <w:p w14:paraId="048BFF9A"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60-64</w:t>
            </w:r>
          </w:p>
        </w:tc>
        <w:tc>
          <w:tcPr>
            <w:tcW w:w="567" w:type="dxa"/>
            <w:shd w:val="clear" w:color="auto" w:fill="00B0F0"/>
            <w:noWrap/>
            <w:vAlign w:val="bottom"/>
          </w:tcPr>
          <w:p w14:paraId="09D95E10"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65-69</w:t>
            </w:r>
          </w:p>
        </w:tc>
        <w:tc>
          <w:tcPr>
            <w:tcW w:w="483" w:type="dxa"/>
            <w:shd w:val="clear" w:color="auto" w:fill="00B0F0"/>
            <w:noWrap/>
            <w:vAlign w:val="bottom"/>
          </w:tcPr>
          <w:p w14:paraId="72FA383E"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70-74</w:t>
            </w:r>
          </w:p>
        </w:tc>
        <w:tc>
          <w:tcPr>
            <w:tcW w:w="483" w:type="dxa"/>
            <w:shd w:val="clear" w:color="auto" w:fill="00B0F0"/>
            <w:noWrap/>
            <w:vAlign w:val="bottom"/>
          </w:tcPr>
          <w:p w14:paraId="044C97B7"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75-79</w:t>
            </w:r>
          </w:p>
        </w:tc>
        <w:tc>
          <w:tcPr>
            <w:tcW w:w="483" w:type="dxa"/>
            <w:shd w:val="clear" w:color="auto" w:fill="00B0F0"/>
            <w:noWrap/>
            <w:vAlign w:val="bottom"/>
          </w:tcPr>
          <w:p w14:paraId="0964FE42" w14:textId="77777777" w:rsidR="00714F7D" w:rsidRPr="007375EB" w:rsidRDefault="00714F7D">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80-84</w:t>
            </w:r>
          </w:p>
        </w:tc>
        <w:tc>
          <w:tcPr>
            <w:tcW w:w="806" w:type="dxa"/>
            <w:shd w:val="clear" w:color="auto" w:fill="00B0F0"/>
            <w:noWrap/>
            <w:vAlign w:val="bottom"/>
          </w:tcPr>
          <w:p w14:paraId="027AD4FD" w14:textId="138E734F" w:rsidR="00714F7D" w:rsidRPr="007375EB" w:rsidRDefault="00F77D11">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Повече от</w:t>
            </w:r>
            <w:r w:rsidR="00714F7D" w:rsidRPr="007375EB">
              <w:rPr>
                <w:rFonts w:eastAsia="Times New Roman" w:cs="Calibri"/>
                <w:b/>
                <w:bCs/>
                <w:color w:val="FFFFFF" w:themeColor="background1"/>
                <w:sz w:val="14"/>
                <w:szCs w:val="14"/>
                <w:lang w:val="bg-BG" w:eastAsia="ro-RO"/>
              </w:rPr>
              <w:t xml:space="preserve"> 85</w:t>
            </w:r>
          </w:p>
        </w:tc>
      </w:tr>
      <w:tr w:rsidR="00775896" w:rsidRPr="007375EB" w14:paraId="73548AEA" w14:textId="77777777" w:rsidTr="00F77D11">
        <w:trPr>
          <w:trHeight w:val="157"/>
        </w:trPr>
        <w:tc>
          <w:tcPr>
            <w:tcW w:w="903" w:type="dxa"/>
            <w:shd w:val="clear" w:color="auto" w:fill="auto"/>
            <w:noWrap/>
            <w:vAlign w:val="bottom"/>
            <w:hideMark/>
          </w:tcPr>
          <w:p w14:paraId="4E42534F" w14:textId="300801D4" w:rsidR="00714F7D" w:rsidRPr="007375EB" w:rsidRDefault="00F77D11">
            <w:pPr>
              <w:spacing w:line="240" w:lineRule="auto"/>
              <w:rPr>
                <w:rFonts w:eastAsia="Times New Roman" w:cs="Calibri"/>
                <w:b/>
                <w:bCs/>
                <w:color w:val="000000"/>
                <w:sz w:val="14"/>
                <w:szCs w:val="14"/>
                <w:lang w:val="bg-BG" w:eastAsia="ro-RO"/>
              </w:rPr>
            </w:pPr>
            <w:r w:rsidRPr="007375EB">
              <w:rPr>
                <w:rFonts w:eastAsia="Times New Roman" w:cs="Calibri"/>
                <w:b/>
                <w:bCs/>
                <w:color w:val="000000"/>
                <w:sz w:val="14"/>
                <w:szCs w:val="14"/>
                <w:lang w:val="bg-BG" w:eastAsia="ro-RO"/>
              </w:rPr>
              <w:t>Общо</w:t>
            </w:r>
          </w:p>
        </w:tc>
        <w:tc>
          <w:tcPr>
            <w:tcW w:w="671" w:type="dxa"/>
            <w:shd w:val="clear" w:color="auto" w:fill="auto"/>
            <w:noWrap/>
            <w:vAlign w:val="bottom"/>
            <w:hideMark/>
          </w:tcPr>
          <w:p w14:paraId="6182DEF4"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1349</w:t>
            </w:r>
          </w:p>
        </w:tc>
        <w:tc>
          <w:tcPr>
            <w:tcW w:w="510" w:type="dxa"/>
            <w:shd w:val="clear" w:color="auto" w:fill="auto"/>
            <w:vAlign w:val="bottom"/>
            <w:hideMark/>
          </w:tcPr>
          <w:p w14:paraId="74B02E00"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71</w:t>
            </w:r>
          </w:p>
        </w:tc>
        <w:tc>
          <w:tcPr>
            <w:tcW w:w="395" w:type="dxa"/>
            <w:shd w:val="clear" w:color="auto" w:fill="auto"/>
            <w:vAlign w:val="bottom"/>
            <w:hideMark/>
          </w:tcPr>
          <w:p w14:paraId="25E19D67"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74</w:t>
            </w:r>
          </w:p>
        </w:tc>
        <w:tc>
          <w:tcPr>
            <w:tcW w:w="564" w:type="dxa"/>
            <w:shd w:val="clear" w:color="auto" w:fill="auto"/>
            <w:vAlign w:val="bottom"/>
            <w:hideMark/>
          </w:tcPr>
          <w:p w14:paraId="5B60455E"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80</w:t>
            </w:r>
          </w:p>
        </w:tc>
        <w:tc>
          <w:tcPr>
            <w:tcW w:w="483" w:type="dxa"/>
            <w:shd w:val="clear" w:color="auto" w:fill="auto"/>
            <w:vAlign w:val="bottom"/>
            <w:hideMark/>
          </w:tcPr>
          <w:p w14:paraId="175215E5"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80</w:t>
            </w:r>
          </w:p>
        </w:tc>
        <w:tc>
          <w:tcPr>
            <w:tcW w:w="483" w:type="dxa"/>
            <w:shd w:val="clear" w:color="auto" w:fill="auto"/>
            <w:vAlign w:val="bottom"/>
            <w:hideMark/>
          </w:tcPr>
          <w:p w14:paraId="431EB780"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87</w:t>
            </w:r>
          </w:p>
        </w:tc>
        <w:tc>
          <w:tcPr>
            <w:tcW w:w="483" w:type="dxa"/>
            <w:shd w:val="clear" w:color="auto" w:fill="auto"/>
            <w:vAlign w:val="bottom"/>
            <w:hideMark/>
          </w:tcPr>
          <w:p w14:paraId="0C728404"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84</w:t>
            </w:r>
          </w:p>
        </w:tc>
        <w:tc>
          <w:tcPr>
            <w:tcW w:w="536" w:type="dxa"/>
            <w:shd w:val="clear" w:color="auto" w:fill="auto"/>
            <w:vAlign w:val="bottom"/>
            <w:hideMark/>
          </w:tcPr>
          <w:p w14:paraId="203F511E"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105</w:t>
            </w:r>
          </w:p>
        </w:tc>
        <w:tc>
          <w:tcPr>
            <w:tcW w:w="483" w:type="dxa"/>
            <w:shd w:val="clear" w:color="auto" w:fill="auto"/>
            <w:vAlign w:val="bottom"/>
            <w:hideMark/>
          </w:tcPr>
          <w:p w14:paraId="3817A033"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79</w:t>
            </w:r>
          </w:p>
        </w:tc>
        <w:tc>
          <w:tcPr>
            <w:tcW w:w="509" w:type="dxa"/>
            <w:shd w:val="clear" w:color="auto" w:fill="auto"/>
            <w:vAlign w:val="bottom"/>
            <w:hideMark/>
          </w:tcPr>
          <w:p w14:paraId="7D69961F"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91</w:t>
            </w:r>
          </w:p>
        </w:tc>
        <w:tc>
          <w:tcPr>
            <w:tcW w:w="483" w:type="dxa"/>
            <w:shd w:val="clear" w:color="auto" w:fill="auto"/>
            <w:vAlign w:val="bottom"/>
            <w:hideMark/>
          </w:tcPr>
          <w:p w14:paraId="56B11C0C"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94</w:t>
            </w:r>
          </w:p>
        </w:tc>
        <w:tc>
          <w:tcPr>
            <w:tcW w:w="509" w:type="dxa"/>
            <w:shd w:val="clear" w:color="auto" w:fill="auto"/>
            <w:vAlign w:val="bottom"/>
            <w:hideMark/>
          </w:tcPr>
          <w:p w14:paraId="638DCAB4"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112</w:t>
            </w:r>
          </w:p>
        </w:tc>
        <w:tc>
          <w:tcPr>
            <w:tcW w:w="483" w:type="dxa"/>
            <w:shd w:val="clear" w:color="auto" w:fill="auto"/>
            <w:vAlign w:val="bottom"/>
            <w:hideMark/>
          </w:tcPr>
          <w:p w14:paraId="51A64D22"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72</w:t>
            </w:r>
          </w:p>
        </w:tc>
        <w:tc>
          <w:tcPr>
            <w:tcW w:w="509" w:type="dxa"/>
            <w:shd w:val="clear" w:color="auto" w:fill="auto"/>
            <w:vAlign w:val="bottom"/>
            <w:hideMark/>
          </w:tcPr>
          <w:p w14:paraId="73E9E0D9"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72</w:t>
            </w:r>
          </w:p>
        </w:tc>
        <w:tc>
          <w:tcPr>
            <w:tcW w:w="567" w:type="dxa"/>
            <w:shd w:val="clear" w:color="auto" w:fill="auto"/>
            <w:vAlign w:val="bottom"/>
            <w:hideMark/>
          </w:tcPr>
          <w:p w14:paraId="6E63DA51"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78</w:t>
            </w:r>
          </w:p>
        </w:tc>
        <w:tc>
          <w:tcPr>
            <w:tcW w:w="483" w:type="dxa"/>
            <w:shd w:val="clear" w:color="auto" w:fill="auto"/>
            <w:vAlign w:val="bottom"/>
            <w:hideMark/>
          </w:tcPr>
          <w:p w14:paraId="07BB4E70"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83</w:t>
            </w:r>
          </w:p>
        </w:tc>
        <w:tc>
          <w:tcPr>
            <w:tcW w:w="483" w:type="dxa"/>
            <w:shd w:val="clear" w:color="auto" w:fill="auto"/>
            <w:vAlign w:val="bottom"/>
            <w:hideMark/>
          </w:tcPr>
          <w:p w14:paraId="37BCDFA7"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32</w:t>
            </w:r>
          </w:p>
        </w:tc>
        <w:tc>
          <w:tcPr>
            <w:tcW w:w="483" w:type="dxa"/>
            <w:shd w:val="clear" w:color="auto" w:fill="auto"/>
            <w:vAlign w:val="bottom"/>
            <w:hideMark/>
          </w:tcPr>
          <w:p w14:paraId="63DCCFA6"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31</w:t>
            </w:r>
          </w:p>
        </w:tc>
        <w:tc>
          <w:tcPr>
            <w:tcW w:w="806" w:type="dxa"/>
            <w:shd w:val="clear" w:color="auto" w:fill="auto"/>
            <w:vAlign w:val="bottom"/>
            <w:hideMark/>
          </w:tcPr>
          <w:p w14:paraId="2917062C"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24</w:t>
            </w:r>
          </w:p>
        </w:tc>
      </w:tr>
      <w:tr w:rsidR="00775896" w:rsidRPr="007375EB" w14:paraId="3246D56B" w14:textId="77777777" w:rsidTr="00F77D11">
        <w:trPr>
          <w:trHeight w:val="145"/>
        </w:trPr>
        <w:tc>
          <w:tcPr>
            <w:tcW w:w="903" w:type="dxa"/>
            <w:shd w:val="clear" w:color="auto" w:fill="auto"/>
            <w:noWrap/>
            <w:vAlign w:val="bottom"/>
            <w:hideMark/>
          </w:tcPr>
          <w:p w14:paraId="0D623769" w14:textId="77777777" w:rsidR="00714F7D" w:rsidRPr="007375EB" w:rsidRDefault="00714F7D">
            <w:pPr>
              <w:spacing w:line="240" w:lineRule="auto"/>
              <w:rPr>
                <w:rFonts w:eastAsia="Times New Roman" w:cs="Calibri"/>
                <w:b/>
                <w:bCs/>
                <w:color w:val="000000"/>
                <w:sz w:val="14"/>
                <w:szCs w:val="14"/>
                <w:lang w:val="bg-BG" w:eastAsia="ro-RO"/>
              </w:rPr>
            </w:pPr>
            <w:r w:rsidRPr="007375EB">
              <w:rPr>
                <w:rFonts w:eastAsia="Times New Roman" w:cs="Calibri"/>
                <w:b/>
                <w:bCs/>
                <w:color w:val="000000"/>
                <w:sz w:val="14"/>
                <w:szCs w:val="14"/>
                <w:lang w:val="bg-BG" w:eastAsia="ro-RO"/>
              </w:rPr>
              <w:t>Masculin</w:t>
            </w:r>
          </w:p>
        </w:tc>
        <w:tc>
          <w:tcPr>
            <w:tcW w:w="671" w:type="dxa"/>
            <w:shd w:val="clear" w:color="auto" w:fill="auto"/>
            <w:noWrap/>
            <w:vAlign w:val="bottom"/>
            <w:hideMark/>
          </w:tcPr>
          <w:p w14:paraId="0BF46920"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711</w:t>
            </w:r>
          </w:p>
        </w:tc>
        <w:tc>
          <w:tcPr>
            <w:tcW w:w="510" w:type="dxa"/>
            <w:shd w:val="clear" w:color="auto" w:fill="auto"/>
            <w:vAlign w:val="bottom"/>
            <w:hideMark/>
          </w:tcPr>
          <w:p w14:paraId="3A71AA05"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45</w:t>
            </w:r>
          </w:p>
        </w:tc>
        <w:tc>
          <w:tcPr>
            <w:tcW w:w="395" w:type="dxa"/>
            <w:shd w:val="clear" w:color="auto" w:fill="auto"/>
            <w:vAlign w:val="bottom"/>
            <w:hideMark/>
          </w:tcPr>
          <w:p w14:paraId="359460E7"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33</w:t>
            </w:r>
          </w:p>
        </w:tc>
        <w:tc>
          <w:tcPr>
            <w:tcW w:w="564" w:type="dxa"/>
            <w:shd w:val="clear" w:color="auto" w:fill="auto"/>
            <w:vAlign w:val="bottom"/>
            <w:hideMark/>
          </w:tcPr>
          <w:p w14:paraId="185644A7"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44</w:t>
            </w:r>
          </w:p>
        </w:tc>
        <w:tc>
          <w:tcPr>
            <w:tcW w:w="483" w:type="dxa"/>
            <w:shd w:val="clear" w:color="auto" w:fill="auto"/>
            <w:vAlign w:val="bottom"/>
            <w:hideMark/>
          </w:tcPr>
          <w:p w14:paraId="40948020"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39</w:t>
            </w:r>
          </w:p>
        </w:tc>
        <w:tc>
          <w:tcPr>
            <w:tcW w:w="483" w:type="dxa"/>
            <w:shd w:val="clear" w:color="auto" w:fill="auto"/>
            <w:vAlign w:val="bottom"/>
            <w:hideMark/>
          </w:tcPr>
          <w:p w14:paraId="1C043414"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54</w:t>
            </w:r>
          </w:p>
        </w:tc>
        <w:tc>
          <w:tcPr>
            <w:tcW w:w="483" w:type="dxa"/>
            <w:shd w:val="clear" w:color="auto" w:fill="auto"/>
            <w:vAlign w:val="bottom"/>
            <w:hideMark/>
          </w:tcPr>
          <w:p w14:paraId="684E9EAE"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46</w:t>
            </w:r>
          </w:p>
        </w:tc>
        <w:tc>
          <w:tcPr>
            <w:tcW w:w="536" w:type="dxa"/>
            <w:shd w:val="clear" w:color="auto" w:fill="auto"/>
            <w:vAlign w:val="bottom"/>
            <w:hideMark/>
          </w:tcPr>
          <w:p w14:paraId="2B2A7AFD"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62</w:t>
            </w:r>
          </w:p>
        </w:tc>
        <w:tc>
          <w:tcPr>
            <w:tcW w:w="483" w:type="dxa"/>
            <w:shd w:val="clear" w:color="auto" w:fill="auto"/>
            <w:vAlign w:val="bottom"/>
            <w:hideMark/>
          </w:tcPr>
          <w:p w14:paraId="17BD0677"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43</w:t>
            </w:r>
          </w:p>
        </w:tc>
        <w:tc>
          <w:tcPr>
            <w:tcW w:w="509" w:type="dxa"/>
            <w:shd w:val="clear" w:color="auto" w:fill="auto"/>
            <w:vAlign w:val="bottom"/>
            <w:hideMark/>
          </w:tcPr>
          <w:p w14:paraId="49ADD2CE"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44</w:t>
            </w:r>
          </w:p>
        </w:tc>
        <w:tc>
          <w:tcPr>
            <w:tcW w:w="483" w:type="dxa"/>
            <w:shd w:val="clear" w:color="auto" w:fill="auto"/>
            <w:vAlign w:val="bottom"/>
            <w:hideMark/>
          </w:tcPr>
          <w:p w14:paraId="2C7CFEEE"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56</w:t>
            </w:r>
          </w:p>
        </w:tc>
        <w:tc>
          <w:tcPr>
            <w:tcW w:w="509" w:type="dxa"/>
            <w:shd w:val="clear" w:color="auto" w:fill="auto"/>
            <w:vAlign w:val="bottom"/>
            <w:hideMark/>
          </w:tcPr>
          <w:p w14:paraId="524CBEFC"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65</w:t>
            </w:r>
          </w:p>
        </w:tc>
        <w:tc>
          <w:tcPr>
            <w:tcW w:w="483" w:type="dxa"/>
            <w:shd w:val="clear" w:color="auto" w:fill="auto"/>
            <w:vAlign w:val="bottom"/>
            <w:hideMark/>
          </w:tcPr>
          <w:p w14:paraId="6547B12C"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41</w:t>
            </w:r>
          </w:p>
        </w:tc>
        <w:tc>
          <w:tcPr>
            <w:tcW w:w="509" w:type="dxa"/>
            <w:shd w:val="clear" w:color="auto" w:fill="auto"/>
            <w:vAlign w:val="bottom"/>
            <w:hideMark/>
          </w:tcPr>
          <w:p w14:paraId="0A64C6D8"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38</w:t>
            </w:r>
          </w:p>
        </w:tc>
        <w:tc>
          <w:tcPr>
            <w:tcW w:w="567" w:type="dxa"/>
            <w:shd w:val="clear" w:color="auto" w:fill="auto"/>
            <w:vAlign w:val="bottom"/>
            <w:hideMark/>
          </w:tcPr>
          <w:p w14:paraId="572D087C"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30</w:t>
            </w:r>
          </w:p>
        </w:tc>
        <w:tc>
          <w:tcPr>
            <w:tcW w:w="483" w:type="dxa"/>
            <w:shd w:val="clear" w:color="auto" w:fill="auto"/>
            <w:vAlign w:val="bottom"/>
            <w:hideMark/>
          </w:tcPr>
          <w:p w14:paraId="75AB69D7"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37</w:t>
            </w:r>
          </w:p>
        </w:tc>
        <w:tc>
          <w:tcPr>
            <w:tcW w:w="483" w:type="dxa"/>
            <w:shd w:val="clear" w:color="auto" w:fill="auto"/>
            <w:vAlign w:val="bottom"/>
            <w:hideMark/>
          </w:tcPr>
          <w:p w14:paraId="4C08536B"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15</w:t>
            </w:r>
          </w:p>
        </w:tc>
        <w:tc>
          <w:tcPr>
            <w:tcW w:w="483" w:type="dxa"/>
            <w:shd w:val="clear" w:color="auto" w:fill="auto"/>
            <w:vAlign w:val="bottom"/>
            <w:hideMark/>
          </w:tcPr>
          <w:p w14:paraId="76750284"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9</w:t>
            </w:r>
          </w:p>
        </w:tc>
        <w:tc>
          <w:tcPr>
            <w:tcW w:w="806" w:type="dxa"/>
            <w:shd w:val="clear" w:color="auto" w:fill="auto"/>
            <w:vAlign w:val="bottom"/>
            <w:hideMark/>
          </w:tcPr>
          <w:p w14:paraId="01EE6935"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10</w:t>
            </w:r>
          </w:p>
        </w:tc>
      </w:tr>
      <w:tr w:rsidR="00775896" w:rsidRPr="007375EB" w14:paraId="4F3AE272" w14:textId="77777777" w:rsidTr="00F77D11">
        <w:trPr>
          <w:trHeight w:val="87"/>
        </w:trPr>
        <w:tc>
          <w:tcPr>
            <w:tcW w:w="903" w:type="dxa"/>
            <w:shd w:val="clear" w:color="auto" w:fill="auto"/>
            <w:noWrap/>
            <w:vAlign w:val="bottom"/>
            <w:hideMark/>
          </w:tcPr>
          <w:p w14:paraId="6276486E" w14:textId="77777777" w:rsidR="00714F7D" w:rsidRPr="007375EB" w:rsidRDefault="00714F7D">
            <w:pPr>
              <w:spacing w:line="240" w:lineRule="auto"/>
              <w:rPr>
                <w:rFonts w:eastAsia="Times New Roman" w:cs="Calibri"/>
                <w:b/>
                <w:bCs/>
                <w:color w:val="000000"/>
                <w:sz w:val="14"/>
                <w:szCs w:val="14"/>
                <w:lang w:val="bg-BG" w:eastAsia="ro-RO"/>
              </w:rPr>
            </w:pPr>
            <w:r w:rsidRPr="007375EB">
              <w:rPr>
                <w:rFonts w:eastAsia="Times New Roman" w:cs="Calibri"/>
                <w:b/>
                <w:bCs/>
                <w:color w:val="000000"/>
                <w:sz w:val="14"/>
                <w:szCs w:val="14"/>
                <w:lang w:val="bg-BG" w:eastAsia="ro-RO"/>
              </w:rPr>
              <w:t>Feminin</w:t>
            </w:r>
          </w:p>
        </w:tc>
        <w:tc>
          <w:tcPr>
            <w:tcW w:w="671" w:type="dxa"/>
            <w:shd w:val="clear" w:color="auto" w:fill="auto"/>
            <w:noWrap/>
            <w:vAlign w:val="bottom"/>
            <w:hideMark/>
          </w:tcPr>
          <w:p w14:paraId="6EC59DA4"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638</w:t>
            </w:r>
          </w:p>
        </w:tc>
        <w:tc>
          <w:tcPr>
            <w:tcW w:w="510" w:type="dxa"/>
            <w:shd w:val="clear" w:color="auto" w:fill="auto"/>
            <w:vAlign w:val="bottom"/>
            <w:hideMark/>
          </w:tcPr>
          <w:p w14:paraId="2E3D9C2F"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26</w:t>
            </w:r>
          </w:p>
        </w:tc>
        <w:tc>
          <w:tcPr>
            <w:tcW w:w="395" w:type="dxa"/>
            <w:shd w:val="clear" w:color="auto" w:fill="auto"/>
            <w:vAlign w:val="bottom"/>
            <w:hideMark/>
          </w:tcPr>
          <w:p w14:paraId="0C9D7771"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41</w:t>
            </w:r>
          </w:p>
        </w:tc>
        <w:tc>
          <w:tcPr>
            <w:tcW w:w="564" w:type="dxa"/>
            <w:shd w:val="clear" w:color="auto" w:fill="auto"/>
            <w:vAlign w:val="bottom"/>
            <w:hideMark/>
          </w:tcPr>
          <w:p w14:paraId="0FFBDEA7"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36</w:t>
            </w:r>
          </w:p>
        </w:tc>
        <w:tc>
          <w:tcPr>
            <w:tcW w:w="483" w:type="dxa"/>
            <w:shd w:val="clear" w:color="auto" w:fill="auto"/>
            <w:vAlign w:val="bottom"/>
            <w:hideMark/>
          </w:tcPr>
          <w:p w14:paraId="4C9973C6"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41</w:t>
            </w:r>
          </w:p>
        </w:tc>
        <w:tc>
          <w:tcPr>
            <w:tcW w:w="483" w:type="dxa"/>
            <w:shd w:val="clear" w:color="auto" w:fill="auto"/>
            <w:vAlign w:val="bottom"/>
            <w:hideMark/>
          </w:tcPr>
          <w:p w14:paraId="35FB5B3B"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33</w:t>
            </w:r>
          </w:p>
        </w:tc>
        <w:tc>
          <w:tcPr>
            <w:tcW w:w="483" w:type="dxa"/>
            <w:shd w:val="clear" w:color="auto" w:fill="auto"/>
            <w:vAlign w:val="bottom"/>
            <w:hideMark/>
          </w:tcPr>
          <w:p w14:paraId="06E7BA48"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38</w:t>
            </w:r>
          </w:p>
        </w:tc>
        <w:tc>
          <w:tcPr>
            <w:tcW w:w="536" w:type="dxa"/>
            <w:shd w:val="clear" w:color="auto" w:fill="auto"/>
            <w:vAlign w:val="bottom"/>
            <w:hideMark/>
          </w:tcPr>
          <w:p w14:paraId="02E21974"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43</w:t>
            </w:r>
          </w:p>
        </w:tc>
        <w:tc>
          <w:tcPr>
            <w:tcW w:w="483" w:type="dxa"/>
            <w:shd w:val="clear" w:color="auto" w:fill="auto"/>
            <w:vAlign w:val="bottom"/>
            <w:hideMark/>
          </w:tcPr>
          <w:p w14:paraId="36F71A95"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36</w:t>
            </w:r>
          </w:p>
        </w:tc>
        <w:tc>
          <w:tcPr>
            <w:tcW w:w="509" w:type="dxa"/>
            <w:shd w:val="clear" w:color="auto" w:fill="auto"/>
            <w:vAlign w:val="bottom"/>
            <w:hideMark/>
          </w:tcPr>
          <w:p w14:paraId="40C39CC0"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47</w:t>
            </w:r>
          </w:p>
        </w:tc>
        <w:tc>
          <w:tcPr>
            <w:tcW w:w="483" w:type="dxa"/>
            <w:shd w:val="clear" w:color="auto" w:fill="auto"/>
            <w:vAlign w:val="bottom"/>
            <w:hideMark/>
          </w:tcPr>
          <w:p w14:paraId="2B613B55"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38</w:t>
            </w:r>
          </w:p>
        </w:tc>
        <w:tc>
          <w:tcPr>
            <w:tcW w:w="509" w:type="dxa"/>
            <w:shd w:val="clear" w:color="auto" w:fill="auto"/>
            <w:vAlign w:val="bottom"/>
            <w:hideMark/>
          </w:tcPr>
          <w:p w14:paraId="4C2DED97"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47</w:t>
            </w:r>
          </w:p>
        </w:tc>
        <w:tc>
          <w:tcPr>
            <w:tcW w:w="483" w:type="dxa"/>
            <w:shd w:val="clear" w:color="auto" w:fill="auto"/>
            <w:vAlign w:val="bottom"/>
            <w:hideMark/>
          </w:tcPr>
          <w:p w14:paraId="19009F29"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31</w:t>
            </w:r>
          </w:p>
        </w:tc>
        <w:tc>
          <w:tcPr>
            <w:tcW w:w="509" w:type="dxa"/>
            <w:shd w:val="clear" w:color="auto" w:fill="auto"/>
            <w:vAlign w:val="bottom"/>
            <w:hideMark/>
          </w:tcPr>
          <w:p w14:paraId="47E6B18D"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34</w:t>
            </w:r>
          </w:p>
        </w:tc>
        <w:tc>
          <w:tcPr>
            <w:tcW w:w="567" w:type="dxa"/>
            <w:shd w:val="clear" w:color="auto" w:fill="auto"/>
            <w:vAlign w:val="bottom"/>
            <w:hideMark/>
          </w:tcPr>
          <w:p w14:paraId="783636E6"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48</w:t>
            </w:r>
          </w:p>
        </w:tc>
        <w:tc>
          <w:tcPr>
            <w:tcW w:w="483" w:type="dxa"/>
            <w:shd w:val="clear" w:color="auto" w:fill="auto"/>
            <w:vAlign w:val="bottom"/>
            <w:hideMark/>
          </w:tcPr>
          <w:p w14:paraId="52E51D19"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46</w:t>
            </w:r>
          </w:p>
        </w:tc>
        <w:tc>
          <w:tcPr>
            <w:tcW w:w="483" w:type="dxa"/>
            <w:shd w:val="clear" w:color="auto" w:fill="auto"/>
            <w:vAlign w:val="bottom"/>
            <w:hideMark/>
          </w:tcPr>
          <w:p w14:paraId="3A9A388D"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17</w:t>
            </w:r>
          </w:p>
        </w:tc>
        <w:tc>
          <w:tcPr>
            <w:tcW w:w="483" w:type="dxa"/>
            <w:shd w:val="clear" w:color="auto" w:fill="auto"/>
            <w:vAlign w:val="bottom"/>
            <w:hideMark/>
          </w:tcPr>
          <w:p w14:paraId="49784559"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22</w:t>
            </w:r>
          </w:p>
        </w:tc>
        <w:tc>
          <w:tcPr>
            <w:tcW w:w="806" w:type="dxa"/>
            <w:shd w:val="clear" w:color="auto" w:fill="auto"/>
            <w:vAlign w:val="bottom"/>
            <w:hideMark/>
          </w:tcPr>
          <w:p w14:paraId="26095627" w14:textId="77777777" w:rsidR="00714F7D" w:rsidRPr="007375EB" w:rsidRDefault="00714F7D">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14</w:t>
            </w:r>
          </w:p>
        </w:tc>
      </w:tr>
    </w:tbl>
    <w:p w14:paraId="708519A4" w14:textId="494B70FC" w:rsidR="004E4206" w:rsidRPr="007375EB" w:rsidRDefault="00F77D11" w:rsidP="009B5E28">
      <w:pPr>
        <w:spacing w:after="120" w:line="360" w:lineRule="auto"/>
        <w:rPr>
          <w:i/>
          <w:iCs/>
          <w:color w:val="00B0F0"/>
          <w:sz w:val="14"/>
          <w:szCs w:val="14"/>
          <w:lang w:val="bg-BG"/>
        </w:rPr>
      </w:pPr>
      <w:r w:rsidRPr="007375EB">
        <w:rPr>
          <w:i/>
          <w:iCs/>
          <w:color w:val="00B0F0"/>
          <w:sz w:val="14"/>
          <w:szCs w:val="14"/>
          <w:lang w:val="bg-BG"/>
        </w:rPr>
        <w:t>Източник: обработка по данни на Националния статистически институт</w:t>
      </w:r>
    </w:p>
    <w:p w14:paraId="08007FFD" w14:textId="0C6C2145" w:rsidR="00BE6A1B" w:rsidRPr="007375EB" w:rsidRDefault="00F77D11" w:rsidP="00446EEB">
      <w:pPr>
        <w:spacing w:after="120" w:line="360" w:lineRule="auto"/>
        <w:jc w:val="both"/>
        <w:rPr>
          <w:lang w:val="bg-BG"/>
        </w:rPr>
      </w:pPr>
      <w:r w:rsidRPr="007375EB">
        <w:rPr>
          <w:lang w:val="bg-BG"/>
        </w:rPr>
        <w:t>Гъстотата на населението на община Черкезу регистрира стойност от 16,25 души/км</w:t>
      </w:r>
      <w:r w:rsidRPr="007375EB">
        <w:rPr>
          <w:vertAlign w:val="superscript"/>
          <w:lang w:val="bg-BG"/>
        </w:rPr>
        <w:t>2</w:t>
      </w:r>
      <w:r w:rsidRPr="007375EB">
        <w:rPr>
          <w:lang w:val="bg-BG"/>
        </w:rPr>
        <w:t xml:space="preserve"> през 2021 г., което е по-ниска в сравнение с окръжната (108,6 души/ км</w:t>
      </w:r>
      <w:r w:rsidRPr="007375EB">
        <w:rPr>
          <w:vertAlign w:val="superscript"/>
          <w:lang w:val="bg-BG"/>
        </w:rPr>
        <w:t>2</w:t>
      </w:r>
      <w:r w:rsidRPr="007375EB">
        <w:rPr>
          <w:lang w:val="bg-BG"/>
        </w:rPr>
        <w:t>), регионалната (71,2 души/ км</w:t>
      </w:r>
      <w:r w:rsidRPr="007375EB">
        <w:rPr>
          <w:vertAlign w:val="superscript"/>
          <w:lang w:val="bg-BG"/>
        </w:rPr>
        <w:t>2</w:t>
      </w:r>
      <w:r w:rsidRPr="007375EB">
        <w:rPr>
          <w:lang w:val="bg-BG"/>
        </w:rPr>
        <w:t>) и националната (84,4 души) гъстота/ км</w:t>
      </w:r>
      <w:r w:rsidRPr="007375EB">
        <w:rPr>
          <w:vertAlign w:val="superscript"/>
          <w:lang w:val="bg-BG"/>
        </w:rPr>
        <w:t>2</w:t>
      </w:r>
      <w:r w:rsidR="00446EEB" w:rsidRPr="007375EB">
        <w:rPr>
          <w:lang w:val="bg-BG"/>
        </w:rPr>
        <w:t>)</w:t>
      </w:r>
      <w:r w:rsidR="00BE6A1B" w:rsidRPr="007375EB">
        <w:rPr>
          <w:lang w:val="bg-BG"/>
        </w:rPr>
        <w:t>.</w:t>
      </w:r>
    </w:p>
    <w:p w14:paraId="4F7AD471" w14:textId="33DE5BF4" w:rsidR="00C846A7" w:rsidRPr="007375EB" w:rsidRDefault="00DB69C7" w:rsidP="00BE6A1B">
      <w:pPr>
        <w:spacing w:after="120" w:line="360" w:lineRule="auto"/>
        <w:rPr>
          <w:lang w:val="bg-BG"/>
        </w:rPr>
      </w:pPr>
      <w:r w:rsidRPr="007375EB">
        <w:rPr>
          <w:noProof/>
          <w:lang w:val="bg-BG"/>
        </w:rPr>
        <w:lastRenderedPageBreak/>
        <w:drawing>
          <wp:inline distT="0" distB="0" distL="0" distR="0" wp14:anchorId="5386D515" wp14:editId="5FD3626D">
            <wp:extent cx="6142007" cy="4341479"/>
            <wp:effectExtent l="0" t="0" r="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45921" cy="4344245"/>
                    </a:xfrm>
                    <a:prstGeom prst="rect">
                      <a:avLst/>
                    </a:prstGeom>
                    <a:noFill/>
                    <a:ln>
                      <a:noFill/>
                    </a:ln>
                  </pic:spPr>
                </pic:pic>
              </a:graphicData>
            </a:graphic>
          </wp:inline>
        </w:drawing>
      </w:r>
    </w:p>
    <w:p w14:paraId="50577672" w14:textId="54BA7078" w:rsidR="00BE6A1B" w:rsidRPr="007375EB" w:rsidRDefault="00F77D11" w:rsidP="00C846A7">
      <w:pPr>
        <w:pStyle w:val="Caption"/>
        <w:jc w:val="center"/>
        <w:rPr>
          <w:color w:val="00B0F0"/>
          <w:sz w:val="16"/>
          <w:szCs w:val="16"/>
          <w:lang w:val="bg-BG"/>
        </w:rPr>
      </w:pPr>
      <w:r w:rsidRPr="007375EB">
        <w:rPr>
          <w:sz w:val="16"/>
          <w:szCs w:val="16"/>
          <w:lang w:val="bg-BG"/>
        </w:rPr>
        <w:t>Фигура</w:t>
      </w:r>
      <w:r w:rsidR="00BE6A1B" w:rsidRPr="007375EB">
        <w:rPr>
          <w:sz w:val="16"/>
          <w:szCs w:val="16"/>
          <w:lang w:val="bg-BG"/>
        </w:rPr>
        <w:t xml:space="preserve"> 2. </w:t>
      </w:r>
      <w:r w:rsidR="00BE6A1B" w:rsidRPr="007375EB">
        <w:rPr>
          <w:sz w:val="16"/>
          <w:szCs w:val="16"/>
          <w:lang w:val="bg-BG"/>
        </w:rPr>
        <w:fldChar w:fldCharType="begin"/>
      </w:r>
      <w:r w:rsidR="00BE6A1B" w:rsidRPr="007375EB">
        <w:rPr>
          <w:sz w:val="16"/>
          <w:szCs w:val="16"/>
          <w:lang w:val="bg-BG"/>
        </w:rPr>
        <w:instrText xml:space="preserve"> SEQ Figura_2. \* ARABIC </w:instrText>
      </w:r>
      <w:r w:rsidR="00BE6A1B" w:rsidRPr="007375EB">
        <w:rPr>
          <w:sz w:val="16"/>
          <w:szCs w:val="16"/>
          <w:lang w:val="bg-BG"/>
        </w:rPr>
        <w:fldChar w:fldCharType="separate"/>
      </w:r>
      <w:r w:rsidR="00683271" w:rsidRPr="007375EB">
        <w:rPr>
          <w:noProof/>
          <w:sz w:val="16"/>
          <w:szCs w:val="16"/>
          <w:lang w:val="bg-BG"/>
        </w:rPr>
        <w:t>17</w:t>
      </w:r>
      <w:r w:rsidR="00BE6A1B" w:rsidRPr="007375EB">
        <w:rPr>
          <w:sz w:val="16"/>
          <w:szCs w:val="16"/>
          <w:lang w:val="bg-BG"/>
        </w:rPr>
        <w:fldChar w:fldCharType="end"/>
      </w:r>
      <w:r w:rsidR="00BE6A1B" w:rsidRPr="007375EB">
        <w:rPr>
          <w:sz w:val="16"/>
          <w:szCs w:val="16"/>
          <w:lang w:val="bg-BG"/>
        </w:rPr>
        <w:t xml:space="preserve"> </w:t>
      </w:r>
      <w:r w:rsidRPr="007375EB">
        <w:rPr>
          <w:color w:val="00B0F0"/>
          <w:sz w:val="16"/>
          <w:szCs w:val="16"/>
          <w:lang w:val="bg-BG"/>
        </w:rPr>
        <w:t>Гъстота на населението в община Черкезу</w:t>
      </w:r>
    </w:p>
    <w:p w14:paraId="2ADBD18D" w14:textId="77777777" w:rsidR="00BE6A1B" w:rsidRPr="007375EB" w:rsidRDefault="00BE6A1B" w:rsidP="009B5E28">
      <w:pPr>
        <w:spacing w:after="120" w:line="360" w:lineRule="auto"/>
        <w:rPr>
          <w:lang w:val="bg-BG"/>
        </w:rPr>
      </w:pPr>
    </w:p>
    <w:p w14:paraId="796338FA" w14:textId="300F6D05" w:rsidR="00F77D11" w:rsidRPr="007375EB" w:rsidRDefault="00B230C6" w:rsidP="000E38DB">
      <w:pPr>
        <w:spacing w:after="120" w:line="360" w:lineRule="auto"/>
        <w:jc w:val="both"/>
        <w:rPr>
          <w:b/>
          <w:bCs/>
          <w:color w:val="5DC6FF" w:themeColor="text2" w:themeTint="99"/>
          <w:lang w:val="bg-BG"/>
        </w:rPr>
      </w:pPr>
      <w:r w:rsidRPr="007375EB">
        <w:rPr>
          <w:b/>
          <w:bCs/>
          <w:color w:val="5DC6FF" w:themeColor="text2" w:themeTint="99"/>
          <w:lang w:val="bg-BG"/>
        </w:rPr>
        <w:t>Развитието на населението</w:t>
      </w:r>
    </w:p>
    <w:p w14:paraId="607F2021" w14:textId="153DA803" w:rsidR="00BE6A1B" w:rsidRPr="007375EB" w:rsidRDefault="00F77D11" w:rsidP="000E38DB">
      <w:pPr>
        <w:spacing w:after="120" w:line="360" w:lineRule="auto"/>
        <w:jc w:val="both"/>
        <w:rPr>
          <w:lang w:val="bg-BG"/>
        </w:rPr>
      </w:pPr>
      <w:r w:rsidRPr="007375EB">
        <w:rPr>
          <w:lang w:val="bg-BG"/>
        </w:rPr>
        <w:t>Според данните, предоставени от Националния статистически институт, развитието на населението на община Черкесу показва тенденция към намаляване през периода 2011-2024 г., както поради естественото движение (раждания и смърт), така и поради миграцията. В сравнение с 2011 г. населението на община Черчесу ще намалее с 15 % през 2024 г.</w:t>
      </w:r>
    </w:p>
    <w:p w14:paraId="7229839E" w14:textId="7D30B639" w:rsidR="003D4FAE" w:rsidRPr="007375EB" w:rsidRDefault="00A51FBA" w:rsidP="00A67591">
      <w:pPr>
        <w:spacing w:line="240" w:lineRule="auto"/>
        <w:jc w:val="center"/>
        <w:rPr>
          <w:lang w:val="bg-BG"/>
        </w:rPr>
      </w:pPr>
      <w:r w:rsidRPr="007375EB">
        <w:rPr>
          <w:noProof/>
          <w:lang w:val="bg-BG"/>
        </w:rPr>
        <w:lastRenderedPageBreak/>
        <w:drawing>
          <wp:inline distT="0" distB="0" distL="0" distR="0" wp14:anchorId="50CB9DAB" wp14:editId="4B61DE75">
            <wp:extent cx="4977441" cy="3183147"/>
            <wp:effectExtent l="0" t="0" r="13970" b="17780"/>
            <wp:docPr id="15" name="Chart 15">
              <a:extLst xmlns:a="http://schemas.openxmlformats.org/drawingml/2006/main">
                <a:ext uri="{FF2B5EF4-FFF2-40B4-BE49-F238E27FC236}">
                  <a16:creationId xmlns:a16="http://schemas.microsoft.com/office/drawing/2014/main" id="{849E53B1-FDF8-FD64-C286-E5FD0471F54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3C77B956" w14:textId="347CA37F" w:rsidR="00526AC7" w:rsidRPr="007375EB" w:rsidRDefault="00F77D11" w:rsidP="00A67591">
      <w:pPr>
        <w:spacing w:line="240" w:lineRule="auto"/>
        <w:ind w:left="-20" w:right="-20" w:firstLine="1154"/>
        <w:rPr>
          <w:i/>
          <w:iCs/>
          <w:color w:val="009DF0" w:themeColor="text2"/>
          <w:sz w:val="14"/>
          <w:lang w:val="bg-BG"/>
        </w:rPr>
      </w:pPr>
      <w:r w:rsidRPr="007375EB">
        <w:rPr>
          <w:i/>
          <w:iCs/>
          <w:color w:val="00B0F0"/>
          <w:sz w:val="14"/>
          <w:szCs w:val="14"/>
          <w:lang w:val="bg-BG"/>
        </w:rPr>
        <w:t>Източник: обработка по данни на Националния статистически институт</w:t>
      </w:r>
    </w:p>
    <w:p w14:paraId="10FBD737" w14:textId="5579FA58" w:rsidR="00526AC7" w:rsidRPr="007375EB" w:rsidRDefault="00B230C6" w:rsidP="00526AC7">
      <w:pPr>
        <w:pStyle w:val="Caption"/>
        <w:jc w:val="center"/>
        <w:rPr>
          <w:sz w:val="16"/>
          <w:szCs w:val="16"/>
          <w:vertAlign w:val="subscript"/>
          <w:lang w:val="bg-BG"/>
        </w:rPr>
      </w:pPr>
      <w:r w:rsidRPr="007375EB">
        <w:rPr>
          <w:sz w:val="16"/>
          <w:szCs w:val="16"/>
          <w:lang w:val="bg-BG"/>
        </w:rPr>
        <w:t>Фигура</w:t>
      </w:r>
      <w:r w:rsidR="00526AC7" w:rsidRPr="007375EB">
        <w:rPr>
          <w:sz w:val="16"/>
          <w:szCs w:val="16"/>
          <w:lang w:val="bg-BG"/>
        </w:rPr>
        <w:t xml:space="preserve"> 2. </w:t>
      </w:r>
      <w:r w:rsidR="00526AC7" w:rsidRPr="007375EB">
        <w:rPr>
          <w:sz w:val="16"/>
          <w:szCs w:val="16"/>
          <w:lang w:val="bg-BG"/>
        </w:rPr>
        <w:fldChar w:fldCharType="begin"/>
      </w:r>
      <w:r w:rsidR="00526AC7" w:rsidRPr="007375EB">
        <w:rPr>
          <w:sz w:val="16"/>
          <w:szCs w:val="16"/>
          <w:lang w:val="bg-BG"/>
        </w:rPr>
        <w:instrText xml:space="preserve"> SEQ Figura_2. \* ARABIC </w:instrText>
      </w:r>
      <w:r w:rsidR="00526AC7" w:rsidRPr="007375EB">
        <w:rPr>
          <w:sz w:val="16"/>
          <w:szCs w:val="16"/>
          <w:lang w:val="bg-BG"/>
        </w:rPr>
        <w:fldChar w:fldCharType="separate"/>
      </w:r>
      <w:r w:rsidR="00683271" w:rsidRPr="007375EB">
        <w:rPr>
          <w:noProof/>
          <w:sz w:val="16"/>
          <w:szCs w:val="16"/>
          <w:lang w:val="bg-BG"/>
        </w:rPr>
        <w:t>18</w:t>
      </w:r>
      <w:r w:rsidR="00526AC7" w:rsidRPr="007375EB">
        <w:rPr>
          <w:sz w:val="16"/>
          <w:szCs w:val="16"/>
          <w:lang w:val="bg-BG"/>
        </w:rPr>
        <w:fldChar w:fldCharType="end"/>
      </w:r>
      <w:r w:rsidR="00526AC7" w:rsidRPr="007375EB">
        <w:rPr>
          <w:sz w:val="16"/>
          <w:szCs w:val="16"/>
          <w:lang w:val="bg-BG"/>
        </w:rPr>
        <w:t xml:space="preserve"> </w:t>
      </w:r>
      <w:r w:rsidRPr="007375EB">
        <w:rPr>
          <w:sz w:val="16"/>
          <w:szCs w:val="16"/>
          <w:lang w:val="bg-BG"/>
        </w:rPr>
        <w:t>Развитието на населението в община Черкезу в периода 2011-2024 г.</w:t>
      </w:r>
    </w:p>
    <w:p w14:paraId="74D4132E" w14:textId="77777777" w:rsidR="00526AC7" w:rsidRPr="007375EB" w:rsidRDefault="00526AC7" w:rsidP="009B5E28">
      <w:pPr>
        <w:spacing w:after="120" w:line="360" w:lineRule="auto"/>
        <w:rPr>
          <w:lang w:val="bg-BG"/>
        </w:rPr>
      </w:pPr>
    </w:p>
    <w:p w14:paraId="4C511C95" w14:textId="7785215E" w:rsidR="00CB7ECE" w:rsidRPr="007375EB" w:rsidRDefault="00B230C6" w:rsidP="000551D5">
      <w:pPr>
        <w:spacing w:after="120" w:line="360" w:lineRule="auto"/>
        <w:jc w:val="both"/>
        <w:rPr>
          <w:lang w:val="bg-BG"/>
        </w:rPr>
      </w:pPr>
      <w:r w:rsidRPr="007375EB">
        <w:rPr>
          <w:lang w:val="bg-BG"/>
        </w:rPr>
        <w:t>По отношение на разпределението на населението на общината по пол в периода 2011-2024 г. мъжкото население е по-многобройно от женското. В сравнение с 2011 г. през 2024 г. женското население на Черчезу е намаляло с около 19%, а мъжкото с 12%.</w:t>
      </w:r>
    </w:p>
    <w:p w14:paraId="51718C98" w14:textId="19DC6049" w:rsidR="00C03E3E" w:rsidRPr="007375EB" w:rsidRDefault="00B230C6" w:rsidP="00C03E3E">
      <w:pPr>
        <w:spacing w:after="120" w:line="360" w:lineRule="auto"/>
        <w:jc w:val="both"/>
        <w:rPr>
          <w:b/>
          <w:bCs/>
          <w:iCs/>
          <w:color w:val="00B0F0"/>
          <w:lang w:val="bg-BG" w:eastAsia="ro-RO"/>
        </w:rPr>
      </w:pPr>
      <w:r w:rsidRPr="007375EB">
        <w:rPr>
          <w:b/>
          <w:bCs/>
          <w:iCs/>
          <w:color w:val="00B0F0"/>
          <w:lang w:val="bg-BG" w:eastAsia="ro-RO"/>
        </w:rPr>
        <w:t>Движение на населението</w:t>
      </w:r>
    </w:p>
    <w:p w14:paraId="65AEFC67" w14:textId="0266DDFC" w:rsidR="00CF3893" w:rsidRPr="007375EB" w:rsidRDefault="00B230C6" w:rsidP="00A92B1F">
      <w:pPr>
        <w:spacing w:after="120" w:line="360" w:lineRule="auto"/>
        <w:jc w:val="both"/>
        <w:rPr>
          <w:lang w:val="bg-BG"/>
        </w:rPr>
      </w:pPr>
      <w:r w:rsidRPr="007375EB">
        <w:rPr>
          <w:lang w:val="bg-BG"/>
        </w:rPr>
        <w:t>Основните демографски показатели, които характеризират движението на населението са: естествен прираст и миграционен прираст. В периода 2012-2022 г. естественият прираст на ниво област регистрира все по-отрицателни стойности с максимум през 2021 г., като прирастът на ниво села е -696 души на ниво от 2022 г. Темпът на растеж запазва отрицателна тенденция и на ниво селски райони е по-нисък от този на регионално, макрорегионално и национално ниво</w:t>
      </w:r>
      <w:r w:rsidR="00CC5197" w:rsidRPr="007375EB">
        <w:rPr>
          <w:lang w:val="bg-BG"/>
        </w:rPr>
        <w:t>.</w:t>
      </w:r>
    </w:p>
    <w:p w14:paraId="162E41B9" w14:textId="77777777" w:rsidR="00B230C6" w:rsidRPr="007375EB" w:rsidRDefault="00B230C6" w:rsidP="00B230C6">
      <w:pPr>
        <w:spacing w:after="120" w:line="360" w:lineRule="auto"/>
        <w:jc w:val="both"/>
        <w:rPr>
          <w:lang w:val="bg-BG"/>
        </w:rPr>
      </w:pPr>
      <w:r w:rsidRPr="007375EB">
        <w:rPr>
          <w:lang w:val="bg-BG"/>
        </w:rPr>
        <w:t>Ниските стойности на естествения прираст обясняват застаряването на населението в селската среда, в резултат на миграцията на младите сили, годни за работа от съставните населени места към градските и индустриални центрове на окръг Констанца или извън него.</w:t>
      </w:r>
    </w:p>
    <w:p w14:paraId="36FE7031" w14:textId="079C17EC" w:rsidR="001E0714" w:rsidRPr="007375EB" w:rsidRDefault="00B230C6" w:rsidP="00B230C6">
      <w:pPr>
        <w:spacing w:after="120" w:line="360" w:lineRule="auto"/>
        <w:jc w:val="both"/>
        <w:rPr>
          <w:lang w:val="bg-BG"/>
        </w:rPr>
      </w:pPr>
      <w:r w:rsidRPr="007375EB">
        <w:rPr>
          <w:lang w:val="bg-BG"/>
        </w:rPr>
        <w:t>Степента на миграция е отрицателна. Дефинитивната миграция, изразена чрез разликата между броя на населените места и броя на заминаващите с пребиваване, има отрицателни стойности от 2005 г. насам, като на ниво от 2022 г. е -10 души</w:t>
      </w:r>
      <w:r w:rsidR="00826F0B" w:rsidRPr="007375EB">
        <w:rPr>
          <w:lang w:val="bg-BG"/>
        </w:rPr>
        <w:t>.</w:t>
      </w:r>
    </w:p>
    <w:p w14:paraId="73C75CBE" w14:textId="77777777" w:rsidR="00DB69C7" w:rsidRPr="007375EB" w:rsidRDefault="00DB69C7" w:rsidP="00A92B1F">
      <w:pPr>
        <w:spacing w:after="120" w:line="360" w:lineRule="auto"/>
        <w:jc w:val="both"/>
        <w:rPr>
          <w:lang w:val="bg-BG"/>
        </w:rPr>
      </w:pPr>
    </w:p>
    <w:p w14:paraId="63CC9B9D" w14:textId="77777777" w:rsidR="00B230C6" w:rsidRPr="007375EB" w:rsidRDefault="00B230C6" w:rsidP="004C06B5">
      <w:pPr>
        <w:spacing w:after="120" w:line="360" w:lineRule="auto"/>
        <w:jc w:val="both"/>
        <w:rPr>
          <w:b/>
          <w:bCs/>
          <w:iCs/>
          <w:color w:val="00B0F0"/>
          <w:lang w:val="bg-BG" w:eastAsia="ro-RO"/>
        </w:rPr>
      </w:pPr>
      <w:r w:rsidRPr="007375EB">
        <w:rPr>
          <w:b/>
          <w:bCs/>
          <w:iCs/>
          <w:color w:val="00B0F0"/>
          <w:lang w:val="bg-BG" w:eastAsia="ro-RO"/>
        </w:rPr>
        <w:t>Етническа принадлежност</w:t>
      </w:r>
    </w:p>
    <w:p w14:paraId="714658C7" w14:textId="480CF405" w:rsidR="00A92B1F" w:rsidRPr="007375EB" w:rsidRDefault="00B230C6" w:rsidP="004C06B5">
      <w:pPr>
        <w:spacing w:after="120" w:line="360" w:lineRule="auto"/>
        <w:jc w:val="both"/>
        <w:rPr>
          <w:lang w:val="bg-BG"/>
        </w:rPr>
      </w:pPr>
      <w:r w:rsidRPr="007375EB">
        <w:rPr>
          <w:lang w:val="bg-BG"/>
        </w:rPr>
        <w:t>В община Черкезу е регистрирана само една етническа група: Румънска</w:t>
      </w:r>
      <w:r w:rsidRPr="007375EB">
        <w:rPr>
          <w:vertAlign w:val="superscript"/>
          <w:lang w:val="bg-BG"/>
        </w:rPr>
        <w:t xml:space="preserve"> </w:t>
      </w:r>
      <w:r w:rsidR="000827D5" w:rsidRPr="007375EB">
        <w:rPr>
          <w:rStyle w:val="FootnoteReference"/>
          <w:lang w:val="bg-BG"/>
        </w:rPr>
        <w:footnoteReference w:id="22"/>
      </w:r>
      <w:r w:rsidR="00932520" w:rsidRPr="007375EB">
        <w:rPr>
          <w:lang w:val="bg-BG"/>
        </w:rPr>
        <w:t>.</w:t>
      </w:r>
    </w:p>
    <w:p w14:paraId="10717F92" w14:textId="77777777" w:rsidR="00B230C6" w:rsidRPr="007375EB" w:rsidRDefault="00B230C6" w:rsidP="00B230C6">
      <w:pPr>
        <w:spacing w:after="120" w:line="360" w:lineRule="auto"/>
        <w:jc w:val="both"/>
        <w:rPr>
          <w:b/>
          <w:bCs/>
          <w:iCs/>
          <w:color w:val="00B0F0"/>
          <w:lang w:val="bg-BG" w:eastAsia="ro-RO"/>
        </w:rPr>
      </w:pPr>
      <w:r w:rsidRPr="007375EB">
        <w:rPr>
          <w:b/>
          <w:bCs/>
          <w:iCs/>
          <w:color w:val="00B0F0"/>
          <w:lang w:val="bg-BG" w:eastAsia="ro-RO"/>
        </w:rPr>
        <w:t>Религия</w:t>
      </w:r>
    </w:p>
    <w:p w14:paraId="672455ED" w14:textId="7E2DA8C8" w:rsidR="00C860F4" w:rsidRPr="007375EB" w:rsidRDefault="00B230C6" w:rsidP="00C860F4">
      <w:pPr>
        <w:spacing w:after="120" w:line="360" w:lineRule="auto"/>
        <w:jc w:val="both"/>
        <w:rPr>
          <w:lang w:val="bg-BG"/>
        </w:rPr>
      </w:pPr>
      <w:r w:rsidRPr="007375EB">
        <w:rPr>
          <w:lang w:val="bg-BG"/>
        </w:rPr>
        <w:lastRenderedPageBreak/>
        <w:t>От религиозна гледна точка по-голямата част от жителите на община Черкезу са православни (90,84%), а за 8,52% религиозната принадлежност е неизвестна</w:t>
      </w:r>
      <w:r w:rsidR="00C860F4" w:rsidRPr="007375EB">
        <w:rPr>
          <w:lang w:val="bg-BG"/>
        </w:rPr>
        <w:t>.</w:t>
      </w:r>
    </w:p>
    <w:p w14:paraId="43F9563E" w14:textId="485BDC21" w:rsidR="00AC00A3" w:rsidRPr="007375EB" w:rsidRDefault="00B230C6" w:rsidP="00AC00A3">
      <w:pPr>
        <w:spacing w:after="120" w:line="360" w:lineRule="auto"/>
        <w:jc w:val="both"/>
        <w:rPr>
          <w:b/>
          <w:bCs/>
          <w:iCs/>
          <w:color w:val="00B0F0"/>
          <w:lang w:val="bg-BG" w:eastAsia="ro-RO"/>
        </w:rPr>
      </w:pPr>
      <w:r w:rsidRPr="007375EB">
        <w:rPr>
          <w:b/>
          <w:bCs/>
          <w:iCs/>
          <w:color w:val="00B0F0"/>
          <w:lang w:val="bg-BG" w:eastAsia="ro-RO"/>
        </w:rPr>
        <w:t>Работна сила</w:t>
      </w:r>
    </w:p>
    <w:p w14:paraId="54CE8E1C" w14:textId="63CAD9E9" w:rsidR="00B230C6" w:rsidRPr="007375EB" w:rsidRDefault="00B230C6" w:rsidP="0023472D">
      <w:pPr>
        <w:spacing w:after="120" w:line="360" w:lineRule="auto"/>
        <w:jc w:val="both"/>
        <w:rPr>
          <w:lang w:val="bg-BG"/>
        </w:rPr>
      </w:pPr>
      <w:r w:rsidRPr="007375EB">
        <w:rPr>
          <w:lang w:val="bg-BG"/>
        </w:rPr>
        <w:t xml:space="preserve">По данни на Националния статистически институт в община Черкесу средният брой на заетите лица показва тенденция към намаляване през периода 2018-2022 г., като най-ниската стойност е отчетена през 2022 г. (77 заети лица), а най-високата - през 2021 г. (86 заети лица). </w:t>
      </w:r>
    </w:p>
    <w:p w14:paraId="4E46E812" w14:textId="132EA948" w:rsidR="0023472D" w:rsidRPr="007375EB" w:rsidRDefault="00B230C6" w:rsidP="0023472D">
      <w:pPr>
        <w:spacing w:after="120" w:line="360" w:lineRule="auto"/>
        <w:jc w:val="both"/>
        <w:rPr>
          <w:lang w:val="bg-BG"/>
        </w:rPr>
      </w:pPr>
      <w:r w:rsidRPr="007375EB">
        <w:rPr>
          <w:lang w:val="bg-BG"/>
        </w:rPr>
        <w:t>Така броят на заетите през 2022 г. е с 3,75% по-нисък от този през 2018 г. и с 10,46% по-нисък от този през 2021 г.</w:t>
      </w:r>
    </w:p>
    <w:p w14:paraId="00BC2759" w14:textId="77777777" w:rsidR="00B230C6" w:rsidRPr="007375EB" w:rsidRDefault="00B230C6" w:rsidP="0023472D">
      <w:pPr>
        <w:spacing w:after="120" w:line="360" w:lineRule="auto"/>
        <w:jc w:val="both"/>
        <w:rPr>
          <w:lang w:val="bg-BG"/>
        </w:rPr>
      </w:pPr>
      <w:r w:rsidRPr="007375EB">
        <w:rPr>
          <w:lang w:val="bg-BG"/>
        </w:rPr>
        <w:t xml:space="preserve">Що се отнася до коефициента на заетост, няма налични данни на местно ниво, но на ниво окръг Констанца той е относително постоянен между 2018 г. и 2022 г. и достига 66,8 през 2022 г., което е по-високо от националното ниво. </w:t>
      </w:r>
    </w:p>
    <w:p w14:paraId="4F6E5A1F" w14:textId="166F9732" w:rsidR="00AC00A3" w:rsidRPr="007375EB" w:rsidRDefault="00B230C6" w:rsidP="0023472D">
      <w:pPr>
        <w:spacing w:after="120" w:line="360" w:lineRule="auto"/>
        <w:jc w:val="both"/>
        <w:rPr>
          <w:color w:val="000000" w:themeColor="text1"/>
          <w:lang w:val="bg-BG"/>
        </w:rPr>
      </w:pPr>
      <w:r w:rsidRPr="007375EB">
        <w:rPr>
          <w:lang w:val="bg-BG"/>
        </w:rPr>
        <w:t>Според данните, предоставени от Националния статистически институт, в община Черкесу най-малко безработни лица са регистрирани през ноември 2014 г. (8 безработни лица), а най-голям брой безработни лица са регистрирани през юни и юли 2021 г. (67 безработни лица). През декември 2022 г. броят на безработните лица в община Черчесу е 44 лица</w:t>
      </w:r>
      <w:r w:rsidR="0023472D" w:rsidRPr="007375EB">
        <w:rPr>
          <w:color w:val="000000" w:themeColor="text1"/>
          <w:lang w:val="bg-BG"/>
        </w:rPr>
        <w:t xml:space="preserve">. </w:t>
      </w:r>
    </w:p>
    <w:p w14:paraId="527279E6" w14:textId="03FB4FC7" w:rsidR="00007473" w:rsidRPr="007375EB" w:rsidRDefault="00B230C6" w:rsidP="00007473">
      <w:pPr>
        <w:spacing w:after="120" w:line="360" w:lineRule="auto"/>
        <w:jc w:val="both"/>
        <w:rPr>
          <w:color w:val="000000" w:themeColor="text1"/>
          <w:lang w:val="bg-BG"/>
        </w:rPr>
      </w:pPr>
      <w:r w:rsidRPr="007375EB">
        <w:rPr>
          <w:color w:val="000000" w:themeColor="text1"/>
          <w:lang w:val="bg-BG"/>
        </w:rPr>
        <w:t>Според данните, регистрирани от НСИ, броят на безработните в община Черкезу през периода 2010-2023 г. има възходяща тенденция, като през 2023 г. броят на безработните е регистриран на стойност 44 безработни, което е с 54% повече в сравнение с 2013 г.</w:t>
      </w:r>
    </w:p>
    <w:p w14:paraId="1041432C" w14:textId="7D7DE700" w:rsidR="007A22BF" w:rsidRPr="007375EB" w:rsidRDefault="004C1341" w:rsidP="007A22BF">
      <w:pPr>
        <w:spacing w:after="120" w:line="360" w:lineRule="auto"/>
        <w:jc w:val="both"/>
        <w:rPr>
          <w:b/>
          <w:bCs/>
          <w:iCs/>
          <w:color w:val="00B0F0"/>
          <w:lang w:val="bg-BG" w:eastAsia="ro-RO"/>
        </w:rPr>
      </w:pPr>
      <w:r w:rsidRPr="007375EB">
        <w:rPr>
          <w:b/>
          <w:bCs/>
          <w:iCs/>
          <w:color w:val="00B0F0"/>
          <w:lang w:val="bg-BG" w:eastAsia="ro-RO"/>
        </w:rPr>
        <w:t>Nivelul de trai</w:t>
      </w:r>
    </w:p>
    <w:p w14:paraId="4EE652D4" w14:textId="34067573" w:rsidR="004C1341" w:rsidRPr="007375EB" w:rsidRDefault="00B230C6" w:rsidP="004C1341">
      <w:pPr>
        <w:spacing w:after="120" w:line="360" w:lineRule="auto"/>
        <w:ind w:left="28" w:right="-23"/>
        <w:jc w:val="both"/>
        <w:rPr>
          <w:lang w:val="bg-BG"/>
        </w:rPr>
      </w:pPr>
      <w:r w:rsidRPr="007375EB">
        <w:rPr>
          <w:rFonts w:eastAsia="Verdana" w:cs="Verdana"/>
          <w:color w:val="000000" w:themeColor="text1"/>
          <w:lang w:val="bg-BG"/>
        </w:rPr>
        <w:t>Стандарти на живот Общата картина на стандарта на живот в изследвания район може да бъде изразена чрез показатели като относителния дял на бедността , който през периода 2012-2022 г. бележи тенденция към намаляване за Югоизточния регион за развитие, който включва окръг Констанца и по подразбиране община Черкезу. Въпреки това, като се съпоставят данните на ниво окръг с тези на ниво община и като се вземе предвид икономическият профил на района, може да се заключи, че относителният дял на бедността в Черкезу е по-висок от този на ниво окръг.</w:t>
      </w:r>
    </w:p>
    <w:p w14:paraId="0BA44D21" w14:textId="1447B3FB" w:rsidR="000E176C" w:rsidRPr="007375EB" w:rsidRDefault="00E33DD5" w:rsidP="00DB69C7">
      <w:pPr>
        <w:spacing w:line="240" w:lineRule="auto"/>
        <w:jc w:val="center"/>
        <w:rPr>
          <w:color w:val="000000" w:themeColor="text1"/>
          <w:lang w:val="bg-BG"/>
        </w:rPr>
      </w:pPr>
      <w:r w:rsidRPr="007375EB">
        <w:rPr>
          <w:noProof/>
          <w:lang w:val="bg-BG"/>
        </w:rPr>
        <w:lastRenderedPageBreak/>
        <mc:AlternateContent>
          <mc:Choice Requires="wps">
            <w:drawing>
              <wp:anchor distT="0" distB="0" distL="114300" distR="114300" simplePos="0" relativeHeight="251662352" behindDoc="0" locked="0" layoutInCell="1" allowOverlap="1" wp14:anchorId="1DD0575D" wp14:editId="1D13CB92">
                <wp:simplePos x="0" y="0"/>
                <wp:positionH relativeFrom="column">
                  <wp:posOffset>469842</wp:posOffset>
                </wp:positionH>
                <wp:positionV relativeFrom="paragraph">
                  <wp:posOffset>110836</wp:posOffset>
                </wp:positionV>
                <wp:extent cx="339437" cy="2112819"/>
                <wp:effectExtent l="0" t="0" r="22860" b="20955"/>
                <wp:wrapNone/>
                <wp:docPr id="2039875918" name="Text Box 27"/>
                <wp:cNvGraphicFramePr/>
                <a:graphic xmlns:a="http://schemas.openxmlformats.org/drawingml/2006/main">
                  <a:graphicData uri="http://schemas.microsoft.com/office/word/2010/wordprocessingShape">
                    <wps:wsp>
                      <wps:cNvSpPr txBox="1"/>
                      <wps:spPr>
                        <a:xfrm>
                          <a:off x="0" y="0"/>
                          <a:ext cx="339437" cy="2112819"/>
                        </a:xfrm>
                        <a:prstGeom prst="rect">
                          <a:avLst/>
                        </a:prstGeom>
                        <a:solidFill>
                          <a:schemeClr val="lt1"/>
                        </a:solidFill>
                        <a:ln w="6350">
                          <a:solidFill>
                            <a:prstClr val="black"/>
                          </a:solidFill>
                        </a:ln>
                      </wps:spPr>
                      <wps:txbx>
                        <w:txbxContent>
                          <w:p w14:paraId="4ED4B917" w14:textId="434B89CC" w:rsidR="00E33DD5" w:rsidRPr="00E33DD5" w:rsidRDefault="00E33DD5" w:rsidP="00E33DD5">
                            <w:pPr>
                              <w:spacing w:line="240" w:lineRule="auto"/>
                              <w:jc w:val="center"/>
                              <w:rPr>
                                <w:sz w:val="12"/>
                                <w:szCs w:val="12"/>
                                <w:lang w:val="bg-BG"/>
                              </w:rPr>
                            </w:pPr>
                            <w:r w:rsidRPr="00E33DD5">
                              <w:rPr>
                                <w:sz w:val="12"/>
                                <w:szCs w:val="12"/>
                                <w:lang w:val="bg-BG"/>
                              </w:rPr>
                              <w:t>Относително ниво на бедност</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D0575D" id="Text Box 27" o:spid="_x0000_s1033" type="#_x0000_t202" style="position:absolute;left:0;text-align:left;margin-left:37pt;margin-top:8.75pt;width:26.75pt;height:166.35pt;z-index:25166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" fillcolor="white [3201]" strokeweight=".5pt">
                <v:textbox style="layout-flow:vertical;mso-layout-flow-alt:bottom-to-top">
                  <w:txbxContent>
                    <w:p w14:paraId="4ED4B917" w14:textId="434B89CC" w:rsidR="00E33DD5" w:rsidRPr="00E33DD5" w:rsidRDefault="00E33DD5" w:rsidP="00E33DD5">
                      <w:pPr>
                        <w:spacing w:line="240" w:lineRule="auto"/>
                        <w:jc w:val="center"/>
                        <w:rPr>
                          <w:sz w:val="12"/>
                          <w:szCs w:val="12"/>
                          <w:lang w:val="bg-BG"/>
                        </w:rPr>
                      </w:pPr>
                      <w:r w:rsidRPr="00E33DD5">
                        <w:rPr>
                          <w:sz w:val="12"/>
                          <w:szCs w:val="12"/>
                          <w:lang w:val="bg-BG"/>
                        </w:rPr>
                        <w:t>Относително ниво на бедност</w:t>
                      </w:r>
                    </w:p>
                  </w:txbxContent>
                </v:textbox>
              </v:shape>
            </w:pict>
          </mc:Fallback>
        </mc:AlternateContent>
      </w:r>
      <w:r w:rsidR="000E176C" w:rsidRPr="007375EB">
        <w:rPr>
          <w:noProof/>
          <w:lang w:val="bg-BG"/>
        </w:rPr>
        <w:drawing>
          <wp:inline distT="0" distB="0" distL="0" distR="0" wp14:anchorId="30A63B3A" wp14:editId="1BB808F4">
            <wp:extent cx="4942935" cy="3165894"/>
            <wp:effectExtent l="0" t="0" r="10160" b="15875"/>
            <wp:docPr id="16" name="Chart 16">
              <a:extLst xmlns:a="http://schemas.openxmlformats.org/drawingml/2006/main">
                <a:ext uri="{FF2B5EF4-FFF2-40B4-BE49-F238E27FC236}">
                  <a16:creationId xmlns:a16="http://schemas.microsoft.com/office/drawing/2014/main" id="{97459517-D046-F26C-0BA9-01CC9F8C9B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09FB8A6B" w14:textId="04B9CA87" w:rsidR="00F14FFB" w:rsidRPr="007375EB" w:rsidRDefault="00F77D11" w:rsidP="00DB69C7">
      <w:pPr>
        <w:spacing w:line="240" w:lineRule="auto"/>
        <w:ind w:left="-20" w:right="-20" w:firstLine="1154"/>
        <w:rPr>
          <w:i/>
          <w:iCs/>
          <w:color w:val="009DF0" w:themeColor="text2"/>
          <w:sz w:val="14"/>
          <w:lang w:val="bg-BG"/>
        </w:rPr>
      </w:pPr>
      <w:r w:rsidRPr="007375EB">
        <w:rPr>
          <w:i/>
          <w:iCs/>
          <w:color w:val="00B0F0"/>
          <w:sz w:val="14"/>
          <w:szCs w:val="14"/>
          <w:lang w:val="bg-BG"/>
        </w:rPr>
        <w:t>Източник: обработка по данни на Националния статистически институт</w:t>
      </w:r>
    </w:p>
    <w:p w14:paraId="5E372A2B" w14:textId="77777777" w:rsidR="00E33DD5" w:rsidRPr="007375EB" w:rsidRDefault="00E33DD5" w:rsidP="00E33DD5">
      <w:pPr>
        <w:spacing w:line="240" w:lineRule="auto"/>
        <w:jc w:val="center"/>
        <w:rPr>
          <w:sz w:val="16"/>
          <w:szCs w:val="16"/>
          <w:lang w:val="bg-BG"/>
        </w:rPr>
      </w:pPr>
    </w:p>
    <w:p w14:paraId="43AE34B2" w14:textId="5A00728B" w:rsidR="00E33DD5" w:rsidRPr="007375EB" w:rsidRDefault="00B230C6" w:rsidP="00E33DD5">
      <w:pPr>
        <w:spacing w:line="240" w:lineRule="auto"/>
        <w:jc w:val="center"/>
        <w:rPr>
          <w:b/>
          <w:bCs/>
          <w:color w:val="5DC6FF" w:themeColor="text2" w:themeTint="99"/>
          <w:sz w:val="16"/>
          <w:szCs w:val="16"/>
          <w:lang w:val="bg-BG"/>
        </w:rPr>
      </w:pPr>
      <w:r w:rsidRPr="007375EB">
        <w:rPr>
          <w:b/>
          <w:bCs/>
          <w:color w:val="5DC6FF" w:themeColor="text2" w:themeTint="99"/>
          <w:sz w:val="16"/>
          <w:szCs w:val="16"/>
          <w:lang w:val="bg-BG"/>
        </w:rPr>
        <w:t>Фигура</w:t>
      </w:r>
      <w:r w:rsidR="00F14FFB" w:rsidRPr="007375EB">
        <w:rPr>
          <w:b/>
          <w:bCs/>
          <w:color w:val="5DC6FF" w:themeColor="text2" w:themeTint="99"/>
          <w:sz w:val="16"/>
          <w:szCs w:val="16"/>
          <w:lang w:val="bg-BG"/>
        </w:rPr>
        <w:t xml:space="preserve"> 2. </w:t>
      </w:r>
      <w:r w:rsidR="00F14FFB" w:rsidRPr="007375EB">
        <w:rPr>
          <w:b/>
          <w:bCs/>
          <w:color w:val="5DC6FF" w:themeColor="text2" w:themeTint="99"/>
          <w:sz w:val="16"/>
          <w:szCs w:val="16"/>
          <w:lang w:val="bg-BG"/>
        </w:rPr>
        <w:fldChar w:fldCharType="begin"/>
      </w:r>
      <w:r w:rsidR="00F14FFB" w:rsidRPr="007375EB">
        <w:rPr>
          <w:b/>
          <w:bCs/>
          <w:color w:val="5DC6FF" w:themeColor="text2" w:themeTint="99"/>
          <w:sz w:val="16"/>
          <w:szCs w:val="16"/>
          <w:lang w:val="bg-BG"/>
        </w:rPr>
        <w:instrText xml:space="preserve"> SEQ Figura_2. \* ARABIC </w:instrText>
      </w:r>
      <w:r w:rsidR="00F14FFB" w:rsidRPr="007375EB">
        <w:rPr>
          <w:b/>
          <w:bCs/>
          <w:color w:val="5DC6FF" w:themeColor="text2" w:themeTint="99"/>
          <w:sz w:val="16"/>
          <w:szCs w:val="16"/>
          <w:lang w:val="bg-BG"/>
        </w:rPr>
        <w:fldChar w:fldCharType="separate"/>
      </w:r>
      <w:r w:rsidR="00683271" w:rsidRPr="007375EB">
        <w:rPr>
          <w:b/>
          <w:bCs/>
          <w:noProof/>
          <w:color w:val="5DC6FF" w:themeColor="text2" w:themeTint="99"/>
          <w:sz w:val="16"/>
          <w:szCs w:val="16"/>
          <w:lang w:val="bg-BG"/>
        </w:rPr>
        <w:t>19</w:t>
      </w:r>
      <w:r w:rsidR="00F14FFB" w:rsidRPr="007375EB">
        <w:rPr>
          <w:b/>
          <w:bCs/>
          <w:color w:val="5DC6FF" w:themeColor="text2" w:themeTint="99"/>
          <w:sz w:val="16"/>
          <w:szCs w:val="16"/>
          <w:lang w:val="bg-BG"/>
        </w:rPr>
        <w:fldChar w:fldCharType="end"/>
      </w:r>
      <w:r w:rsidR="00F14FFB" w:rsidRPr="007375EB">
        <w:rPr>
          <w:b/>
          <w:bCs/>
          <w:color w:val="5DC6FF" w:themeColor="text2" w:themeTint="99"/>
          <w:sz w:val="16"/>
          <w:szCs w:val="16"/>
          <w:lang w:val="bg-BG"/>
        </w:rPr>
        <w:t xml:space="preserve"> </w:t>
      </w:r>
      <w:r w:rsidR="00E33DD5" w:rsidRPr="007375EB">
        <w:rPr>
          <w:b/>
          <w:bCs/>
          <w:color w:val="5DC6FF" w:themeColor="text2" w:themeTint="99"/>
          <w:sz w:val="16"/>
          <w:szCs w:val="16"/>
          <w:lang w:val="bg-BG"/>
        </w:rPr>
        <w:t>Относително ниво на бедност</w:t>
      </w:r>
    </w:p>
    <w:p w14:paraId="45B6C17A" w14:textId="0D2871ED" w:rsidR="00F14FFB" w:rsidRPr="007375EB" w:rsidRDefault="00F14FFB" w:rsidP="00F14FFB">
      <w:pPr>
        <w:pStyle w:val="Caption"/>
        <w:jc w:val="center"/>
        <w:rPr>
          <w:sz w:val="16"/>
          <w:szCs w:val="16"/>
          <w:vertAlign w:val="subscript"/>
          <w:lang w:val="bg-BG"/>
        </w:rPr>
      </w:pPr>
    </w:p>
    <w:p w14:paraId="601AD0E8" w14:textId="77777777" w:rsidR="00086334" w:rsidRPr="007375EB" w:rsidRDefault="00086334" w:rsidP="008A0076">
      <w:pPr>
        <w:spacing w:after="120" w:line="360" w:lineRule="auto"/>
        <w:ind w:left="39" w:right="-20" w:hanging="11"/>
        <w:jc w:val="both"/>
        <w:rPr>
          <w:rFonts w:eastAsia="Verdana" w:cs="Verdana"/>
          <w:b/>
          <w:bCs/>
          <w:color w:val="0074B3" w:themeColor="text2" w:themeShade="BF"/>
          <w:lang w:val="bg-BG"/>
        </w:rPr>
      </w:pPr>
      <w:r w:rsidRPr="007375EB">
        <w:rPr>
          <w:rFonts w:eastAsia="Verdana" w:cs="Verdana"/>
          <w:b/>
          <w:bCs/>
          <w:color w:val="0074B3" w:themeColor="text2" w:themeShade="BF"/>
          <w:lang w:val="bg-BG"/>
        </w:rPr>
        <w:t xml:space="preserve">Здраве на населението </w:t>
      </w:r>
    </w:p>
    <w:p w14:paraId="6AFDD072" w14:textId="6431F676" w:rsidR="008A0076" w:rsidRPr="007375EB" w:rsidRDefault="00086334" w:rsidP="008A0076">
      <w:pPr>
        <w:spacing w:after="120" w:line="360" w:lineRule="auto"/>
        <w:ind w:left="39" w:right="-20" w:hanging="11"/>
        <w:jc w:val="both"/>
        <w:rPr>
          <w:lang w:val="bg-BG"/>
        </w:rPr>
      </w:pPr>
      <w:r w:rsidRPr="007375EB">
        <w:rPr>
          <w:rFonts w:eastAsia="Verdana" w:cs="Verdana"/>
          <w:color w:val="000000" w:themeColor="text1"/>
          <w:lang w:val="bg-BG"/>
        </w:rPr>
        <w:t>Националният център за мониторинг на рисковете в среда на Общността, създаден със Заповед № 2846/2002, има за предмет на дейност, наред с другото, мониторинг на здравето във връзка с околната среда. Чрез наблюдение и оценка на здравния статус на населението и разпространението на рисковите фактори той участва в определянето на приоритетите на стратегическите цели в областта на общественото здраве</w:t>
      </w:r>
      <w:r w:rsidR="008A0076" w:rsidRPr="007375EB">
        <w:rPr>
          <w:rFonts w:eastAsia="Verdana" w:cs="Verdana"/>
          <w:color w:val="000000" w:themeColor="text1"/>
          <w:lang w:val="bg-BG"/>
        </w:rPr>
        <w:t>.</w:t>
      </w:r>
    </w:p>
    <w:p w14:paraId="4A37F951" w14:textId="0C1B473C" w:rsidR="00086334" w:rsidRPr="007375EB" w:rsidRDefault="00086334" w:rsidP="00086334">
      <w:pPr>
        <w:spacing w:after="120" w:line="360" w:lineRule="auto"/>
        <w:ind w:left="39" w:right="-20" w:hanging="11"/>
        <w:jc w:val="both"/>
        <w:rPr>
          <w:rFonts w:eastAsia="Verdana" w:cs="Verdana"/>
          <w:color w:val="000000" w:themeColor="text1"/>
          <w:lang w:val="bg-BG"/>
        </w:rPr>
      </w:pPr>
      <w:r w:rsidRPr="007375EB">
        <w:rPr>
          <w:rFonts w:eastAsia="Verdana" w:cs="Verdana"/>
          <w:color w:val="000000" w:themeColor="text1"/>
          <w:lang w:val="bg-BG"/>
        </w:rPr>
        <w:t>Националната програма за мониторинг на определящите фактори на жизнената и работната среда (наричана по-нататък - НП V) представлява организиран набор от дейности и услуги, установени със закон с цел опазване на общественото здраве чрез превенция на заболяванията, свързани с определящите рискови фактори в жизнената и работната среда.</w:t>
      </w:r>
    </w:p>
    <w:p w14:paraId="7D98AC48" w14:textId="5CE7EA52" w:rsidR="008A0076" w:rsidRPr="007375EB" w:rsidRDefault="00086334" w:rsidP="008A0076">
      <w:pPr>
        <w:spacing w:after="120" w:line="360" w:lineRule="auto"/>
        <w:ind w:left="39" w:right="-20" w:hanging="11"/>
        <w:jc w:val="both"/>
        <w:rPr>
          <w:lang w:val="bg-BG"/>
        </w:rPr>
      </w:pPr>
      <w:r w:rsidRPr="007375EB">
        <w:rPr>
          <w:rFonts w:eastAsia="Verdana" w:cs="Verdana"/>
          <w:color w:val="000000" w:themeColor="text1"/>
          <w:lang w:val="bg-BG"/>
        </w:rPr>
        <w:t>Така за област „Опазване на здравето и профилактика на заболявания, свързани с рискови фактори в жизнената среда“ са дефинирани 6 методики, прилагани от Националния институт по обществено здраве и териториалните дирекции „Обществено здраве“, сред които релевантни за установяване на текущото състояние на населението и здравето на хората, свързани с този ЗГП са</w:t>
      </w:r>
      <w:r w:rsidR="008A0076" w:rsidRPr="007375EB">
        <w:rPr>
          <w:rFonts w:eastAsia="Verdana" w:cs="Verdana"/>
          <w:color w:val="000000" w:themeColor="text1"/>
          <w:lang w:val="bg-BG"/>
        </w:rPr>
        <w:t>:</w:t>
      </w:r>
    </w:p>
    <w:p w14:paraId="65163965" w14:textId="042EBA9F" w:rsidR="008A0076" w:rsidRPr="007375EB" w:rsidRDefault="00086334" w:rsidP="0041531F">
      <w:pPr>
        <w:pStyle w:val="ListParagraph"/>
        <w:numPr>
          <w:ilvl w:val="0"/>
          <w:numId w:val="68"/>
        </w:numPr>
        <w:spacing w:after="120" w:line="360" w:lineRule="auto"/>
        <w:ind w:right="-20"/>
        <w:contextualSpacing w:val="0"/>
        <w:jc w:val="both"/>
        <w:rPr>
          <w:rFonts w:eastAsia="Verdana" w:cs="Verdana"/>
          <w:color w:val="000000" w:themeColor="text1"/>
          <w:lang w:val="bg-BG"/>
        </w:rPr>
      </w:pPr>
      <w:r w:rsidRPr="007375EB">
        <w:rPr>
          <w:rFonts w:eastAsia="Verdana" w:cs="Verdana"/>
          <w:color w:val="000000" w:themeColor="text1"/>
          <w:lang w:val="bg-BG"/>
        </w:rPr>
        <w:t>• Опазване на общественото здраве във връзка с хигиената на водата чрез „Надзор на питейната вода, разпределена в централизирана система в големи зони за доставка“ с цел защита на общественото здраве чрез предотвратяване на заболявания, свързани с определящите рискови фактори в жизнената и работната среда</w:t>
      </w:r>
      <w:r w:rsidR="008A0076" w:rsidRPr="007375EB">
        <w:rPr>
          <w:rFonts w:eastAsia="Verdana" w:cs="Verdana"/>
          <w:color w:val="000000" w:themeColor="text1"/>
          <w:lang w:val="bg-BG"/>
        </w:rPr>
        <w:t>;</w:t>
      </w:r>
    </w:p>
    <w:p w14:paraId="20A4BF9F" w14:textId="37536759" w:rsidR="008A0076" w:rsidRPr="007375EB" w:rsidRDefault="00086334" w:rsidP="0041531F">
      <w:pPr>
        <w:pStyle w:val="ListParagraph"/>
        <w:numPr>
          <w:ilvl w:val="0"/>
          <w:numId w:val="68"/>
        </w:numPr>
        <w:spacing w:after="120" w:line="360" w:lineRule="auto"/>
        <w:ind w:right="-20"/>
        <w:contextualSpacing w:val="0"/>
        <w:jc w:val="both"/>
        <w:rPr>
          <w:rFonts w:eastAsia="Verdana" w:cs="Verdana"/>
          <w:color w:val="000000" w:themeColor="text1"/>
          <w:lang w:val="bg-BG"/>
        </w:rPr>
      </w:pPr>
      <w:r w:rsidRPr="007375EB">
        <w:rPr>
          <w:rFonts w:eastAsia="Verdana" w:cs="Verdana"/>
          <w:color w:val="000000" w:themeColor="text1"/>
          <w:lang w:val="bg-BG"/>
        </w:rPr>
        <w:t xml:space="preserve">• Опазване на общественото здраве във връзка с хигиената на въздуха чрез „Оценка на въздействието върху здравето на замърсителите на атмосферния въздух в градската среда“, която за опазване на здравето и превенция на заболявания, свързани със </w:t>
      </w:r>
      <w:r w:rsidRPr="007375EB">
        <w:rPr>
          <w:rFonts w:eastAsia="Verdana" w:cs="Verdana"/>
          <w:color w:val="000000" w:themeColor="text1"/>
          <w:lang w:val="bg-BG"/>
        </w:rPr>
        <w:lastRenderedPageBreak/>
        <w:t>замърсяването на атмосферния въздух от специфични атмосферни замърсители, мониторингът на здравното състояние на населението във връзка със замърсения въздух</w:t>
      </w:r>
      <w:r w:rsidR="008A0076" w:rsidRPr="007375EB">
        <w:rPr>
          <w:rFonts w:eastAsia="Verdana" w:cs="Verdana"/>
          <w:color w:val="000000" w:themeColor="text1"/>
          <w:lang w:val="bg-BG"/>
        </w:rPr>
        <w:t>.</w:t>
      </w:r>
    </w:p>
    <w:p w14:paraId="2B1B173A" w14:textId="0C8E271B" w:rsidR="00A43368" w:rsidRPr="007375EB" w:rsidRDefault="00086334" w:rsidP="00A43368">
      <w:pPr>
        <w:spacing w:after="120" w:line="360" w:lineRule="auto"/>
        <w:jc w:val="both"/>
        <w:rPr>
          <w:lang w:val="bg-BG"/>
        </w:rPr>
      </w:pPr>
      <w:r w:rsidRPr="007375EB">
        <w:rPr>
          <w:lang w:val="bg-BG"/>
        </w:rPr>
        <w:t>Човешкото здраве също може да бъде засегнато от лошо качество на околната среда. По отношение на въздействието на замърсяването на околната среда върху здравето на населението се споменава</w:t>
      </w:r>
      <w:r w:rsidR="00A43368" w:rsidRPr="007375EB">
        <w:rPr>
          <w:lang w:val="bg-BG"/>
        </w:rPr>
        <w:t>:</w:t>
      </w:r>
    </w:p>
    <w:p w14:paraId="240FC0B8" w14:textId="75902B35" w:rsidR="00A43368" w:rsidRPr="007375EB" w:rsidRDefault="00086334" w:rsidP="00125F99">
      <w:pPr>
        <w:pStyle w:val="BodyTextIndent"/>
        <w:numPr>
          <w:ilvl w:val="0"/>
          <w:numId w:val="61"/>
        </w:numPr>
        <w:tabs>
          <w:tab w:val="left" w:pos="567"/>
        </w:tabs>
        <w:spacing w:after="0" w:line="360" w:lineRule="auto"/>
        <w:ind w:left="284" w:firstLine="76"/>
        <w:jc w:val="both"/>
        <w:rPr>
          <w:rFonts w:cs="Arial"/>
          <w:b/>
          <w:bCs/>
          <w:lang w:val="bg-BG" w:eastAsia="ro-RO"/>
        </w:rPr>
      </w:pPr>
      <w:r w:rsidRPr="007375EB">
        <w:rPr>
          <w:rFonts w:cs="Arial"/>
          <w:b/>
          <w:bCs/>
          <w:lang w:val="bg-BG" w:eastAsia="ro-RO"/>
        </w:rPr>
        <w:t>• Въздействие на качеството на въздуха върху човешкото здраве</w:t>
      </w:r>
    </w:p>
    <w:p w14:paraId="2E097A27" w14:textId="75D28ED8" w:rsidR="00E31E7E" w:rsidRPr="007375EB" w:rsidRDefault="00086334" w:rsidP="00E31E7E">
      <w:pPr>
        <w:spacing w:after="120" w:line="360" w:lineRule="auto"/>
        <w:jc w:val="both"/>
        <w:rPr>
          <w:rFonts w:eastAsia="Verdana" w:cs="Verdana"/>
          <w:color w:val="000000" w:themeColor="text1"/>
          <w:lang w:val="bg-BG"/>
        </w:rPr>
      </w:pPr>
      <w:r w:rsidRPr="007375EB">
        <w:rPr>
          <w:rFonts w:eastAsia="Verdana" w:cs="Verdana"/>
          <w:color w:val="000000" w:themeColor="text1"/>
          <w:lang w:val="bg-BG"/>
        </w:rPr>
        <w:t>Качеството на въздуха може да повлияе на определени здравословни показатели. Проследяването на развитието на тези показатели може да ни даде представа за въздействието на атмосферното замърсяване върху здравето на населението</w:t>
      </w:r>
      <w:r w:rsidR="00E31E7E" w:rsidRPr="007375EB">
        <w:rPr>
          <w:rFonts w:eastAsia="Verdana" w:cs="Verdana"/>
          <w:color w:val="000000" w:themeColor="text1"/>
          <w:lang w:val="bg-BG"/>
        </w:rPr>
        <w:t>.</w:t>
      </w:r>
    </w:p>
    <w:p w14:paraId="32816ACE" w14:textId="3F2DADEC" w:rsidR="00086334" w:rsidRPr="007375EB" w:rsidRDefault="00086334" w:rsidP="00E31E7E">
      <w:pPr>
        <w:spacing w:after="120" w:line="360" w:lineRule="auto"/>
        <w:jc w:val="both"/>
        <w:rPr>
          <w:lang w:val="bg-BG"/>
        </w:rPr>
      </w:pPr>
      <w:r w:rsidRPr="007375EB">
        <w:rPr>
          <w:lang w:val="bg-BG"/>
        </w:rPr>
        <w:t>Замърсяването на въздуха под формата на фини прахови частици (PM</w:t>
      </w:r>
      <w:r w:rsidRPr="007375EB">
        <w:rPr>
          <w:vertAlign w:val="subscript"/>
          <w:lang w:val="bg-BG"/>
        </w:rPr>
        <w:t>2.5</w:t>
      </w:r>
      <w:r w:rsidRPr="007375EB">
        <w:rPr>
          <w:lang w:val="bg-BG"/>
        </w:rPr>
        <w:t>) и експозиция на озон е допринесло, както е оценено</w:t>
      </w:r>
      <w:r w:rsidRPr="007375EB">
        <w:rPr>
          <w:rStyle w:val="FootnoteReference"/>
          <w:lang w:val="bg-BG"/>
        </w:rPr>
        <w:footnoteReference w:id="23"/>
      </w:r>
      <w:r w:rsidRPr="007375EB">
        <w:rPr>
          <w:lang w:val="bg-BG"/>
        </w:rPr>
        <w:t>, за приблизително 7% от всички смъртни случаи през 2019 г. (над 17 000 смъртни случая) - много повече от средното за страните от ЕС (4%). В повечето случаи замърсяването на въздуха допринася за смъртността от сърдечносъдови и респираторни заболявания и някои видове рак</w:t>
      </w:r>
    </w:p>
    <w:p w14:paraId="09BC3F66" w14:textId="2B5BA6F9" w:rsidR="00FD05ED" w:rsidRPr="007375EB" w:rsidRDefault="000E6788" w:rsidP="00FD05ED">
      <w:pPr>
        <w:spacing w:after="120" w:line="360" w:lineRule="auto"/>
        <w:ind w:left="39" w:right="-23" w:hanging="11"/>
        <w:jc w:val="both"/>
        <w:rPr>
          <w:lang w:val="bg-BG"/>
        </w:rPr>
      </w:pPr>
      <w:r w:rsidRPr="007375EB">
        <w:rPr>
          <w:rFonts w:eastAsia="Verdana" w:cs="Verdana"/>
          <w:color w:val="000000" w:themeColor="text1"/>
          <w:lang w:val="bg-BG"/>
        </w:rPr>
        <w:t xml:space="preserve">Някои от най-вредните за човешкото здраве замърсители на въздуха са </w:t>
      </w:r>
      <w:r w:rsidR="00FD05ED" w:rsidRPr="007375EB">
        <w:rPr>
          <w:rFonts w:eastAsia="Verdana" w:cs="Verdana"/>
          <w:color w:val="000000" w:themeColor="text1"/>
          <w:lang w:val="bg-BG"/>
        </w:rPr>
        <w:t>PM</w:t>
      </w:r>
      <w:r w:rsidR="00FD05ED" w:rsidRPr="007375EB">
        <w:rPr>
          <w:rFonts w:eastAsia="Verdana" w:cs="Verdana"/>
          <w:color w:val="000000" w:themeColor="text1"/>
          <w:vertAlign w:val="subscript"/>
          <w:lang w:val="bg-BG"/>
        </w:rPr>
        <w:t>10</w:t>
      </w:r>
      <w:r w:rsidR="00FD05ED" w:rsidRPr="007375EB">
        <w:rPr>
          <w:rFonts w:eastAsia="Verdana" w:cs="Verdana"/>
          <w:color w:val="000000" w:themeColor="text1"/>
          <w:lang w:val="bg-BG"/>
        </w:rPr>
        <w:t xml:space="preserve"> </w:t>
      </w:r>
      <w:r w:rsidRPr="007375EB">
        <w:rPr>
          <w:rFonts w:eastAsia="Verdana" w:cs="Verdana"/>
          <w:color w:val="000000" w:themeColor="text1"/>
          <w:lang w:val="bg-BG"/>
        </w:rPr>
        <w:t>и</w:t>
      </w:r>
      <w:r w:rsidR="00FD05ED" w:rsidRPr="007375EB">
        <w:rPr>
          <w:rFonts w:eastAsia="Verdana" w:cs="Verdana"/>
          <w:color w:val="000000" w:themeColor="text1"/>
          <w:lang w:val="bg-BG"/>
        </w:rPr>
        <w:t xml:space="preserve"> PM</w:t>
      </w:r>
      <w:r w:rsidR="00FD05ED" w:rsidRPr="007375EB">
        <w:rPr>
          <w:rFonts w:eastAsia="Verdana" w:cs="Verdana"/>
          <w:color w:val="000000" w:themeColor="text1"/>
          <w:vertAlign w:val="subscript"/>
          <w:lang w:val="bg-BG"/>
        </w:rPr>
        <w:t>2.5</w:t>
      </w:r>
      <w:r w:rsidR="00FD05ED" w:rsidRPr="007375EB">
        <w:rPr>
          <w:rFonts w:eastAsia="Verdana" w:cs="Verdana"/>
          <w:color w:val="000000" w:themeColor="text1"/>
          <w:lang w:val="bg-BG"/>
        </w:rPr>
        <w:t>.</w:t>
      </w:r>
    </w:p>
    <w:p w14:paraId="61D5BD66" w14:textId="64782A08" w:rsidR="00A01A37" w:rsidRPr="007375EB" w:rsidRDefault="000E6788" w:rsidP="000E6788">
      <w:pPr>
        <w:spacing w:after="120" w:line="360" w:lineRule="auto"/>
        <w:ind w:left="39" w:right="-23" w:hanging="11"/>
        <w:jc w:val="both"/>
        <w:rPr>
          <w:rFonts w:eastAsia="Verdana" w:cs="Verdana"/>
          <w:color w:val="000000" w:themeColor="text1"/>
          <w:lang w:val="bg-BG"/>
        </w:rPr>
      </w:pPr>
      <w:r w:rsidRPr="007375EB">
        <w:rPr>
          <w:rFonts w:eastAsia="Verdana" w:cs="Verdana"/>
          <w:color w:val="000000" w:themeColor="text1"/>
          <w:lang w:val="bg-BG"/>
        </w:rPr>
        <w:t>Националните емисии на PM</w:t>
      </w:r>
      <w:r w:rsidRPr="007375EB">
        <w:rPr>
          <w:rFonts w:eastAsia="Verdana" w:cs="Verdana"/>
          <w:color w:val="000000" w:themeColor="text1"/>
          <w:vertAlign w:val="subscript"/>
          <w:lang w:val="bg-BG"/>
        </w:rPr>
        <w:t>10</w:t>
      </w:r>
      <w:r w:rsidRPr="007375EB">
        <w:rPr>
          <w:rFonts w:eastAsia="Verdana" w:cs="Verdana"/>
          <w:color w:val="000000" w:themeColor="text1"/>
          <w:lang w:val="bg-BG"/>
        </w:rPr>
        <w:t xml:space="preserve"> и PM</w:t>
      </w:r>
      <w:r w:rsidRPr="007375EB">
        <w:rPr>
          <w:rFonts w:eastAsia="Verdana" w:cs="Verdana"/>
          <w:color w:val="000000" w:themeColor="text1"/>
          <w:vertAlign w:val="subscript"/>
          <w:lang w:val="bg-BG"/>
        </w:rPr>
        <w:t>2,5,</w:t>
      </w:r>
      <w:r w:rsidRPr="007375EB">
        <w:rPr>
          <w:rFonts w:eastAsia="Verdana" w:cs="Verdana"/>
          <w:color w:val="000000" w:themeColor="text1"/>
          <w:lang w:val="bg-BG"/>
        </w:rPr>
        <w:t xml:space="preserve"> докладвани на европейско равнище, показват тенденция към намаляване от 2012 г. до 2017 г., след което следва тенденция към увеличаване. Според общоевропейските данни средногодишната експозиция на населението на замърсяване на въздуха с PM</w:t>
      </w:r>
      <w:r w:rsidRPr="007375EB">
        <w:rPr>
          <w:rFonts w:eastAsia="Verdana" w:cs="Verdana"/>
          <w:color w:val="000000" w:themeColor="text1"/>
          <w:vertAlign w:val="subscript"/>
          <w:lang w:val="bg-BG"/>
        </w:rPr>
        <w:t>10</w:t>
      </w:r>
      <w:r w:rsidRPr="007375EB">
        <w:rPr>
          <w:rFonts w:eastAsia="Verdana" w:cs="Verdana"/>
          <w:color w:val="000000" w:themeColor="text1"/>
          <w:lang w:val="bg-BG"/>
        </w:rPr>
        <w:t xml:space="preserve"> и PM</w:t>
      </w:r>
      <w:r w:rsidRPr="007375EB">
        <w:rPr>
          <w:rFonts w:eastAsia="Verdana" w:cs="Verdana"/>
          <w:color w:val="000000" w:themeColor="text1"/>
          <w:vertAlign w:val="subscript"/>
          <w:lang w:val="bg-BG"/>
        </w:rPr>
        <w:t xml:space="preserve">2,5 </w:t>
      </w:r>
      <w:r w:rsidRPr="007375EB">
        <w:rPr>
          <w:rFonts w:eastAsia="Verdana" w:cs="Verdana"/>
          <w:color w:val="000000" w:themeColor="text1"/>
          <w:lang w:val="bg-BG"/>
        </w:rPr>
        <w:t>за периода 2012-2019 г. показва низходяща тенденция за емисиите на PM</w:t>
      </w:r>
      <w:r w:rsidRPr="007375EB">
        <w:rPr>
          <w:rFonts w:eastAsia="Verdana" w:cs="Verdana"/>
          <w:color w:val="000000" w:themeColor="text1"/>
          <w:vertAlign w:val="subscript"/>
          <w:lang w:val="bg-BG"/>
        </w:rPr>
        <w:t>10</w:t>
      </w:r>
      <w:r w:rsidRPr="007375EB">
        <w:rPr>
          <w:rFonts w:eastAsia="Verdana" w:cs="Verdana"/>
          <w:color w:val="000000" w:themeColor="text1"/>
          <w:lang w:val="bg-BG"/>
        </w:rPr>
        <w:t xml:space="preserve"> и лека възходяща тенденция за емисиите на PM</w:t>
      </w:r>
      <w:r w:rsidRPr="007375EB">
        <w:rPr>
          <w:rFonts w:eastAsia="Verdana" w:cs="Verdana"/>
          <w:color w:val="000000" w:themeColor="text1"/>
          <w:vertAlign w:val="subscript"/>
          <w:lang w:val="bg-BG"/>
        </w:rPr>
        <w:t>2,5</w:t>
      </w:r>
      <w:r w:rsidR="00A01A37" w:rsidRPr="007375EB">
        <w:rPr>
          <w:rFonts w:eastAsia="Verdana" w:cs="Verdana"/>
          <w:color w:val="000000" w:themeColor="text1"/>
          <w:lang w:val="bg-BG"/>
        </w:rPr>
        <w:t>:</w:t>
      </w:r>
    </w:p>
    <w:p w14:paraId="347DA8F9" w14:textId="796438F8" w:rsidR="009B3EB8" w:rsidRPr="007375EB" w:rsidRDefault="00086334" w:rsidP="009B3EB8">
      <w:pPr>
        <w:spacing w:line="240" w:lineRule="auto"/>
        <w:jc w:val="center"/>
        <w:rPr>
          <w:rFonts w:ascii="Times New Roman" w:eastAsia="Times New Roman" w:hAnsi="Times New Roman" w:cs="Times New Roman"/>
          <w:sz w:val="24"/>
          <w:szCs w:val="24"/>
          <w:lang w:val="bg-BG" w:eastAsia="ro-RO"/>
        </w:rPr>
      </w:pPr>
      <w:r w:rsidRPr="007375EB">
        <w:rPr>
          <w:noProof/>
          <w:lang w:val="bg-BG"/>
        </w:rPr>
        <mc:AlternateContent>
          <mc:Choice Requires="wps">
            <w:drawing>
              <wp:anchor distT="0" distB="0" distL="114300" distR="114300" simplePos="0" relativeHeight="251663376" behindDoc="0" locked="0" layoutInCell="1" allowOverlap="1" wp14:anchorId="14EA7A48" wp14:editId="168CE66E">
                <wp:simplePos x="0" y="0"/>
                <wp:positionH relativeFrom="margin">
                  <wp:posOffset>546042</wp:posOffset>
                </wp:positionH>
                <wp:positionV relativeFrom="paragraph">
                  <wp:posOffset>210531</wp:posOffset>
                </wp:positionV>
                <wp:extent cx="304800" cy="1995055"/>
                <wp:effectExtent l="0" t="0" r="19050" b="24765"/>
                <wp:wrapNone/>
                <wp:docPr id="1584019081" name="Text Box 28"/>
                <wp:cNvGraphicFramePr/>
                <a:graphic xmlns:a="http://schemas.openxmlformats.org/drawingml/2006/main">
                  <a:graphicData uri="http://schemas.microsoft.com/office/word/2010/wordprocessingShape">
                    <wps:wsp>
                      <wps:cNvSpPr txBox="1"/>
                      <wps:spPr>
                        <a:xfrm>
                          <a:off x="0" y="0"/>
                          <a:ext cx="304800" cy="1995055"/>
                        </a:xfrm>
                        <a:prstGeom prst="rect">
                          <a:avLst/>
                        </a:prstGeom>
                        <a:solidFill>
                          <a:schemeClr val="lt1"/>
                        </a:solidFill>
                        <a:ln w="6350">
                          <a:solidFill>
                            <a:prstClr val="black"/>
                          </a:solidFill>
                        </a:ln>
                      </wps:spPr>
                      <wps:txbx>
                        <w:txbxContent>
                          <w:p w14:paraId="084BA165" w14:textId="44CF807C" w:rsidR="00086334" w:rsidRPr="00086334" w:rsidRDefault="00086334" w:rsidP="00086334">
                            <w:pPr>
                              <w:spacing w:line="240" w:lineRule="auto"/>
                              <w:jc w:val="center"/>
                            </w:pPr>
                            <w:r w:rsidRPr="00086334">
                              <w:rPr>
                                <w:sz w:val="14"/>
                                <w:szCs w:val="14"/>
                                <w:lang w:val="bg-BG"/>
                              </w:rPr>
                              <w:t>Процент на изложеното население</w:t>
                            </w:r>
                            <w:r>
                              <w:rPr>
                                <w:sz w:val="14"/>
                                <w:szCs w:val="14"/>
                              </w:rPr>
                              <w:t xml:space="preserve"> %</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EA7A48" id="Text Box 28" o:spid="_x0000_s1034" type="#_x0000_t202" style="position:absolute;left:0;text-align:left;margin-left:43pt;margin-top:16.6pt;width:24pt;height:157.1pt;z-index:251663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" fillcolor="white [3201]" strokeweight=".5pt">
                <v:textbox style="layout-flow:vertical;mso-layout-flow-alt:bottom-to-top">
                  <w:txbxContent>
                    <w:p w14:paraId="084BA165" w14:textId="44CF807C" w:rsidR="00086334" w:rsidRPr="00086334" w:rsidRDefault="00086334" w:rsidP="00086334">
                      <w:pPr>
                        <w:spacing w:line="240" w:lineRule="auto"/>
                        <w:jc w:val="center"/>
                      </w:pPr>
                      <w:r w:rsidRPr="00086334">
                        <w:rPr>
                          <w:sz w:val="14"/>
                          <w:szCs w:val="14"/>
                          <w:lang w:val="bg-BG"/>
                        </w:rPr>
                        <w:t>Процент на изложеното население</w:t>
                      </w:r>
                      <w:r>
                        <w:rPr>
                          <w:sz w:val="14"/>
                          <w:szCs w:val="14"/>
                        </w:rPr>
                        <w:t xml:space="preserve"> %</w:t>
                      </w:r>
                    </w:p>
                  </w:txbxContent>
                </v:textbox>
                <w10:wrap anchorx="margin"/>
              </v:shape>
            </w:pict>
          </mc:Fallback>
        </mc:AlternateContent>
      </w:r>
      <w:r w:rsidR="009B3EB8" w:rsidRPr="007375EB">
        <w:rPr>
          <w:noProof/>
          <w:lang w:val="bg-BG"/>
        </w:rPr>
        <w:drawing>
          <wp:inline distT="0" distB="0" distL="0" distR="0" wp14:anchorId="2CCC4B9E" wp14:editId="51911DA2">
            <wp:extent cx="4758664" cy="234632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63839" cy="2348876"/>
                    </a:xfrm>
                    <a:prstGeom prst="rect">
                      <a:avLst/>
                    </a:prstGeom>
                    <a:noFill/>
                    <a:ln>
                      <a:noFill/>
                    </a:ln>
                  </pic:spPr>
                </pic:pic>
              </a:graphicData>
            </a:graphic>
          </wp:inline>
        </w:drawing>
      </w:r>
    </w:p>
    <w:p w14:paraId="49414E0B" w14:textId="5BA16633" w:rsidR="009B3EB8" w:rsidRPr="007375EB" w:rsidRDefault="00F77D11" w:rsidP="009B3EB8">
      <w:pPr>
        <w:ind w:left="39" w:right="-20" w:hanging="11"/>
        <w:jc w:val="center"/>
        <w:rPr>
          <w:lang w:val="bg-BG"/>
        </w:rPr>
      </w:pPr>
      <w:r w:rsidRPr="007375EB">
        <w:rPr>
          <w:i/>
          <w:iCs/>
          <w:color w:val="00B0F0"/>
          <w:sz w:val="14"/>
          <w:szCs w:val="14"/>
          <w:lang w:val="bg-BG"/>
        </w:rPr>
        <w:t xml:space="preserve">Източник: обработка по данни </w:t>
      </w:r>
      <w:r w:rsidR="009B3EB8" w:rsidRPr="007375EB">
        <w:rPr>
          <w:rFonts w:eastAsia="Verdana" w:cs="Verdana"/>
          <w:i/>
          <w:iCs/>
          <w:color w:val="00B0F0"/>
          <w:sz w:val="14"/>
          <w:szCs w:val="14"/>
          <w:lang w:val="bg-BG"/>
        </w:rPr>
        <w:t>ECHI Data Tool (</w:t>
      </w:r>
      <w:hyperlink r:id="rId49">
        <w:r w:rsidR="009B3EB8" w:rsidRPr="007375EB">
          <w:rPr>
            <w:rFonts w:eastAsia="Verdana" w:cs="Verdana"/>
            <w:color w:val="00B0F0"/>
            <w:sz w:val="14"/>
            <w:szCs w:val="14"/>
            <w:lang w:val="bg-BG"/>
          </w:rPr>
          <w:t>https://webgate.ec.europa.eu/dyna/echi/?indlist=10a</w:t>
        </w:r>
      </w:hyperlink>
      <w:r w:rsidR="009B3EB8" w:rsidRPr="007375EB">
        <w:rPr>
          <w:rFonts w:eastAsia="Verdana" w:cs="Verdana"/>
          <w:i/>
          <w:iCs/>
          <w:color w:val="00B0F0"/>
          <w:sz w:val="14"/>
          <w:szCs w:val="14"/>
          <w:lang w:val="bg-BG"/>
        </w:rPr>
        <w:t>)</w:t>
      </w:r>
      <w:r w:rsidRPr="007375EB">
        <w:rPr>
          <w:rFonts w:eastAsia="Verdana" w:cs="Verdana"/>
          <w:i/>
          <w:iCs/>
          <w:color w:val="00B0F0"/>
          <w:sz w:val="14"/>
          <w:szCs w:val="14"/>
          <w:lang w:val="bg-BG"/>
        </w:rPr>
        <w:t xml:space="preserve"> </w:t>
      </w:r>
    </w:p>
    <w:p w14:paraId="2E0A960F" w14:textId="7B6A1F6A" w:rsidR="000E6788" w:rsidRPr="007375EB" w:rsidRDefault="00B230C6" w:rsidP="00BE1EFA">
      <w:pPr>
        <w:pStyle w:val="Caption"/>
        <w:jc w:val="center"/>
        <w:rPr>
          <w:sz w:val="16"/>
          <w:szCs w:val="16"/>
          <w:lang w:val="bg-BG"/>
        </w:rPr>
      </w:pPr>
      <w:r w:rsidRPr="007375EB">
        <w:rPr>
          <w:sz w:val="16"/>
          <w:szCs w:val="16"/>
          <w:lang w:val="bg-BG"/>
        </w:rPr>
        <w:t>Фигура</w:t>
      </w:r>
      <w:r w:rsidR="00BE1EFA" w:rsidRPr="007375EB">
        <w:rPr>
          <w:sz w:val="16"/>
          <w:szCs w:val="16"/>
          <w:lang w:val="bg-BG"/>
        </w:rPr>
        <w:t xml:space="preserve"> 2. </w:t>
      </w:r>
      <w:r w:rsidR="00BE1EFA" w:rsidRPr="007375EB">
        <w:rPr>
          <w:sz w:val="16"/>
          <w:szCs w:val="16"/>
          <w:lang w:val="bg-BG"/>
        </w:rPr>
        <w:fldChar w:fldCharType="begin"/>
      </w:r>
      <w:r w:rsidR="00BE1EFA" w:rsidRPr="007375EB">
        <w:rPr>
          <w:sz w:val="16"/>
          <w:szCs w:val="16"/>
          <w:lang w:val="bg-BG"/>
        </w:rPr>
        <w:instrText xml:space="preserve"> SEQ Figura_2. \* ARABIC </w:instrText>
      </w:r>
      <w:r w:rsidR="00BE1EFA" w:rsidRPr="007375EB">
        <w:rPr>
          <w:sz w:val="16"/>
          <w:szCs w:val="16"/>
          <w:lang w:val="bg-BG"/>
        </w:rPr>
        <w:fldChar w:fldCharType="separate"/>
      </w:r>
      <w:r w:rsidR="00683271" w:rsidRPr="007375EB">
        <w:rPr>
          <w:noProof/>
          <w:sz w:val="16"/>
          <w:szCs w:val="16"/>
          <w:lang w:val="bg-BG"/>
        </w:rPr>
        <w:t>20</w:t>
      </w:r>
      <w:r w:rsidR="00BE1EFA" w:rsidRPr="007375EB">
        <w:rPr>
          <w:sz w:val="16"/>
          <w:szCs w:val="16"/>
          <w:lang w:val="bg-BG"/>
        </w:rPr>
        <w:fldChar w:fldCharType="end"/>
      </w:r>
      <w:r w:rsidR="00BE1EFA" w:rsidRPr="007375EB">
        <w:rPr>
          <w:sz w:val="16"/>
          <w:szCs w:val="16"/>
          <w:lang w:val="bg-BG"/>
        </w:rPr>
        <w:t xml:space="preserve"> </w:t>
      </w:r>
      <w:r w:rsidR="000E6788" w:rsidRPr="007375EB">
        <w:rPr>
          <w:sz w:val="16"/>
          <w:szCs w:val="16"/>
          <w:lang w:val="bg-BG"/>
        </w:rPr>
        <w:t>Национална тенденция за средногодишна експозиция на замърсяване с PM</w:t>
      </w:r>
      <w:r w:rsidR="000E6788" w:rsidRPr="007375EB">
        <w:rPr>
          <w:sz w:val="16"/>
          <w:szCs w:val="16"/>
          <w:vertAlign w:val="subscript"/>
          <w:lang w:val="bg-BG"/>
        </w:rPr>
        <w:t>10</w:t>
      </w:r>
      <w:r w:rsidR="000E6788" w:rsidRPr="007375EB">
        <w:rPr>
          <w:sz w:val="16"/>
          <w:szCs w:val="16"/>
          <w:lang w:val="bg-BG"/>
        </w:rPr>
        <w:t xml:space="preserve"> и PM</w:t>
      </w:r>
      <w:r w:rsidR="000E6788" w:rsidRPr="007375EB">
        <w:rPr>
          <w:sz w:val="16"/>
          <w:szCs w:val="16"/>
          <w:vertAlign w:val="subscript"/>
          <w:lang w:val="bg-BG"/>
        </w:rPr>
        <w:t xml:space="preserve">2,5 </w:t>
      </w:r>
      <w:r w:rsidR="000E6788" w:rsidRPr="007375EB">
        <w:rPr>
          <w:sz w:val="16"/>
          <w:szCs w:val="16"/>
          <w:lang w:val="bg-BG"/>
        </w:rPr>
        <w:t>през 2012-2021 г.</w:t>
      </w:r>
    </w:p>
    <w:p w14:paraId="39B37AC9" w14:textId="58D8ACD9" w:rsidR="00B820B3" w:rsidRPr="007375EB" w:rsidRDefault="000E6788" w:rsidP="00B820B3">
      <w:pPr>
        <w:spacing w:after="120" w:line="360" w:lineRule="auto"/>
        <w:jc w:val="both"/>
        <w:rPr>
          <w:lang w:val="bg-BG"/>
        </w:rPr>
      </w:pPr>
      <w:r w:rsidRPr="007375EB">
        <w:rPr>
          <w:lang w:val="bg-BG"/>
        </w:rPr>
        <w:t>Резултатите от станциите за мониторинг на качеството на въздуха в цялата страна показват, че замърсяването на въздуха е по-високо в градските райони, отколкото в селските. Хората, живеещи в районите на големите градски агломерации и в близост до пътища и промишлени центрове, са по-изложени на замърсяване</w:t>
      </w:r>
      <w:r w:rsidR="00B820B3" w:rsidRPr="007375EB">
        <w:rPr>
          <w:lang w:val="bg-BG"/>
        </w:rPr>
        <w:t>.</w:t>
      </w:r>
    </w:p>
    <w:p w14:paraId="52F6AF1E" w14:textId="3CCF44D3" w:rsidR="00BE1EFA" w:rsidRPr="007375EB" w:rsidRDefault="006C0D8F" w:rsidP="00BE1EFA">
      <w:pPr>
        <w:spacing w:after="120" w:line="360" w:lineRule="auto"/>
        <w:jc w:val="both"/>
        <w:rPr>
          <w:lang w:val="bg-BG"/>
        </w:rPr>
      </w:pPr>
      <w:r w:rsidRPr="007375EB">
        <w:rPr>
          <w:lang w:val="bg-BG"/>
        </w:rPr>
        <w:lastRenderedPageBreak/>
        <w:t>В окръг Констанца само една станция наблюдава фракцията PM</w:t>
      </w:r>
      <w:r w:rsidRPr="007375EB">
        <w:rPr>
          <w:vertAlign w:val="subscript"/>
          <w:lang w:val="bg-BG"/>
        </w:rPr>
        <w:t>2,5</w:t>
      </w:r>
      <w:r w:rsidRPr="007375EB">
        <w:rPr>
          <w:lang w:val="bg-BG"/>
        </w:rPr>
        <w:t xml:space="preserve"> на суспендирания прах, CT2 – градска фонова станция, разположена в парковата зона на кметството. Записите, направени съгласно действащата нормативна уредба, показват възходяща тенденция в периода 2017-2019 г., последвана от спад до 2022 г. Регистрираните стойности са около стойността от 12 µг/м</w:t>
      </w:r>
      <w:r w:rsidRPr="007375EB">
        <w:rPr>
          <w:vertAlign w:val="superscript"/>
          <w:lang w:val="bg-BG"/>
        </w:rPr>
        <w:t>3</w:t>
      </w:r>
      <w:r w:rsidRPr="007375EB">
        <w:rPr>
          <w:lang w:val="bg-BG"/>
        </w:rPr>
        <w:t>, което е по-ниско от пределно допустимата стойност, през за периода на анализ не са регистрирани превишения</w:t>
      </w:r>
      <w:r w:rsidR="00BE1EFA" w:rsidRPr="007375EB">
        <w:rPr>
          <w:lang w:val="bg-BG"/>
        </w:rPr>
        <w:t>.</w:t>
      </w:r>
    </w:p>
    <w:p w14:paraId="14C73481" w14:textId="4FAFFB4E" w:rsidR="006C0D8F" w:rsidRPr="007375EB" w:rsidRDefault="006C0D8F" w:rsidP="00B820B3">
      <w:pPr>
        <w:spacing w:after="120" w:line="360" w:lineRule="auto"/>
        <w:jc w:val="both"/>
        <w:rPr>
          <w:lang w:val="bg-BG"/>
        </w:rPr>
      </w:pPr>
      <w:r w:rsidRPr="007375EB">
        <w:rPr>
          <w:lang w:val="bg-BG"/>
        </w:rPr>
        <w:t>В община Черкезу най-важният източник на замърсяване на въздуха в момента е транспортната дейност (пътното движение), но това също е незначително предвид факта, че на ниво община пътищата са представени от един окръжен път и три общински. Основните замърсители от транспортната дейност, които засягат човешкото здраве, са: материални частици (PM</w:t>
      </w:r>
      <w:r w:rsidRPr="007375EB">
        <w:rPr>
          <w:vertAlign w:val="subscript"/>
          <w:lang w:val="bg-BG"/>
        </w:rPr>
        <w:t>10</w:t>
      </w:r>
      <w:r w:rsidRPr="007375EB">
        <w:rPr>
          <w:lang w:val="bg-BG"/>
        </w:rPr>
        <w:t xml:space="preserve"> и PM</w:t>
      </w:r>
      <w:r w:rsidRPr="007375EB">
        <w:rPr>
          <w:vertAlign w:val="subscript"/>
          <w:lang w:val="bg-BG"/>
        </w:rPr>
        <w:t>2,5</w:t>
      </w:r>
      <w:r w:rsidRPr="007375EB">
        <w:rPr>
          <w:lang w:val="bg-BG"/>
        </w:rPr>
        <w:t>), COx, NOx, SOx, летливи органични съединения, тежки метали, бензен и други неизгорели въглеводороди.</w:t>
      </w:r>
    </w:p>
    <w:p w14:paraId="5E396BD3" w14:textId="77777777" w:rsidR="006C0D8F" w:rsidRPr="007375EB" w:rsidRDefault="006C0D8F" w:rsidP="006C0D8F">
      <w:pPr>
        <w:spacing w:after="120" w:line="360" w:lineRule="auto"/>
        <w:jc w:val="both"/>
        <w:rPr>
          <w:lang w:val="bg-BG"/>
        </w:rPr>
      </w:pPr>
      <w:r w:rsidRPr="007375EB">
        <w:rPr>
          <w:lang w:val="bg-BG"/>
        </w:rPr>
        <w:t xml:space="preserve">В Румъния няма статистика за броя на случаите на респираторни или сърдечно-съдови заболявания, дължащи се на транспортния сектор или замърсяването на въздуха. </w:t>
      </w:r>
    </w:p>
    <w:p w14:paraId="6E4BB090" w14:textId="5BEA7191" w:rsidR="00525DEA" w:rsidRPr="007375EB" w:rsidRDefault="006C0D8F" w:rsidP="006C0D8F">
      <w:pPr>
        <w:spacing w:after="120" w:line="360" w:lineRule="auto"/>
        <w:jc w:val="both"/>
        <w:rPr>
          <w:lang w:val="bg-BG"/>
        </w:rPr>
      </w:pPr>
      <w:r w:rsidRPr="007375EB">
        <w:rPr>
          <w:lang w:val="bg-BG"/>
        </w:rPr>
        <w:t>Смъртността от респираторни заболявания и смъртността от сърдечно-съдови заболявания заемат значителен процент от общата смъртност на национално ниво, като делът им е по-висок в градската среда в сравнение със селата, като причината се дължи и на факта, че градската среда е много по-замърсени</w:t>
      </w:r>
      <w:r w:rsidR="00525DEA" w:rsidRPr="007375EB">
        <w:rPr>
          <w:lang w:val="bg-BG"/>
        </w:rPr>
        <w:t>.</w:t>
      </w:r>
    </w:p>
    <w:p w14:paraId="4A4202FD" w14:textId="39772974" w:rsidR="00CC573A" w:rsidRPr="007375EB" w:rsidRDefault="006C0D8F" w:rsidP="00525DEA">
      <w:pPr>
        <w:spacing w:after="120" w:line="360" w:lineRule="auto"/>
        <w:jc w:val="both"/>
        <w:rPr>
          <w:lang w:val="bg-BG"/>
        </w:rPr>
      </w:pPr>
      <w:r w:rsidRPr="007375EB">
        <w:rPr>
          <w:lang w:val="bg-BG"/>
        </w:rPr>
        <w:t>Ситуацията със смъртните случаи, свързани със замърсяването на въздуха, на окръжно ниво е следната</w:t>
      </w:r>
      <w:r w:rsidR="00146763" w:rsidRPr="007375EB">
        <w:rPr>
          <w:lang w:val="bg-BG"/>
        </w:rPr>
        <w:t>:</w:t>
      </w:r>
    </w:p>
    <w:p w14:paraId="2570A358" w14:textId="1F5FDD37" w:rsidR="00146763" w:rsidRPr="007375EB" w:rsidRDefault="006C0D8F" w:rsidP="00CD78B5">
      <w:pPr>
        <w:spacing w:line="240" w:lineRule="auto"/>
        <w:jc w:val="center"/>
        <w:rPr>
          <w:lang w:val="bg-BG"/>
        </w:rPr>
      </w:pPr>
      <w:r w:rsidRPr="007375EB">
        <w:rPr>
          <w:noProof/>
          <w:lang w:val="bg-BG"/>
        </w:rPr>
        <mc:AlternateContent>
          <mc:Choice Requires="wps">
            <w:drawing>
              <wp:anchor distT="0" distB="0" distL="114300" distR="114300" simplePos="0" relativeHeight="251664400" behindDoc="0" locked="0" layoutInCell="1" allowOverlap="1" wp14:anchorId="3BB65475" wp14:editId="49A288E4">
                <wp:simplePos x="0" y="0"/>
                <wp:positionH relativeFrom="column">
                  <wp:posOffset>1162570</wp:posOffset>
                </wp:positionH>
                <wp:positionV relativeFrom="paragraph">
                  <wp:posOffset>279804</wp:posOffset>
                </wp:positionV>
                <wp:extent cx="1558636" cy="2140527"/>
                <wp:effectExtent l="0" t="0" r="22860" b="12700"/>
                <wp:wrapNone/>
                <wp:docPr id="623252776" name="Text Box 29"/>
                <wp:cNvGraphicFramePr/>
                <a:graphic xmlns:a="http://schemas.openxmlformats.org/drawingml/2006/main">
                  <a:graphicData uri="http://schemas.microsoft.com/office/word/2010/wordprocessingShape">
                    <wps:wsp>
                      <wps:cNvSpPr txBox="1"/>
                      <wps:spPr>
                        <a:xfrm>
                          <a:off x="0" y="0"/>
                          <a:ext cx="1558636" cy="2140527"/>
                        </a:xfrm>
                        <a:prstGeom prst="rect">
                          <a:avLst/>
                        </a:prstGeom>
                        <a:solidFill>
                          <a:schemeClr val="lt1"/>
                        </a:solidFill>
                        <a:ln w="6350">
                          <a:solidFill>
                            <a:prstClr val="black"/>
                          </a:solidFill>
                        </a:ln>
                      </wps:spPr>
                      <wps:txbx>
                        <w:txbxContent>
                          <w:p w14:paraId="474458F4" w14:textId="236FB84C" w:rsidR="006C0D8F" w:rsidRPr="006C0D8F" w:rsidRDefault="006C0D8F" w:rsidP="006C0D8F">
                            <w:pPr>
                              <w:rPr>
                                <w:sz w:val="12"/>
                                <w:szCs w:val="12"/>
                                <w:lang w:val="bg-BG"/>
                              </w:rPr>
                            </w:pPr>
                            <w:r w:rsidRPr="006C0D8F">
                              <w:rPr>
                                <w:sz w:val="12"/>
                                <w:szCs w:val="12"/>
                                <w:lang w:val="bg-BG"/>
                              </w:rPr>
                              <w:t>Тумори</w:t>
                            </w:r>
                          </w:p>
                          <w:p w14:paraId="24155C0A" w14:textId="74B67285" w:rsidR="006C0D8F" w:rsidRPr="006C0D8F" w:rsidRDefault="006C0D8F" w:rsidP="006C0D8F">
                            <w:pPr>
                              <w:rPr>
                                <w:sz w:val="12"/>
                                <w:szCs w:val="12"/>
                                <w:lang w:val="bg-BG"/>
                              </w:rPr>
                            </w:pPr>
                            <w:r w:rsidRPr="006C0D8F">
                              <w:rPr>
                                <w:sz w:val="12"/>
                                <w:szCs w:val="12"/>
                                <w:lang w:val="bg-BG"/>
                              </w:rPr>
                              <w:t>Заболявания на нервната система</w:t>
                            </w:r>
                          </w:p>
                          <w:p w14:paraId="0EA2F05E" w14:textId="77777777" w:rsidR="006C0D8F" w:rsidRPr="006C0D8F" w:rsidRDefault="006C0D8F" w:rsidP="006C0D8F">
                            <w:pPr>
                              <w:rPr>
                                <w:sz w:val="12"/>
                                <w:szCs w:val="12"/>
                                <w:lang w:val="bg-BG"/>
                              </w:rPr>
                            </w:pPr>
                          </w:p>
                          <w:p w14:paraId="6278BC7B" w14:textId="2614FFB8" w:rsidR="006C0D8F" w:rsidRPr="006C0D8F" w:rsidRDefault="006C0D8F" w:rsidP="006C0D8F">
                            <w:pPr>
                              <w:rPr>
                                <w:sz w:val="12"/>
                                <w:szCs w:val="12"/>
                                <w:lang w:val="bg-BG"/>
                              </w:rPr>
                            </w:pPr>
                            <w:r w:rsidRPr="006C0D8F">
                              <w:rPr>
                                <w:sz w:val="12"/>
                                <w:szCs w:val="12"/>
                                <w:lang w:val="bg-BG"/>
                              </w:rPr>
                              <w:t>Болести на кръвоносната система</w:t>
                            </w:r>
                          </w:p>
                          <w:p w14:paraId="4CE39426" w14:textId="0BA2A4AE" w:rsidR="006C0D8F" w:rsidRPr="006C0D8F" w:rsidRDefault="006C0D8F" w:rsidP="006C0D8F">
                            <w:pPr>
                              <w:rPr>
                                <w:sz w:val="12"/>
                                <w:szCs w:val="12"/>
                                <w:lang w:val="bg-BG"/>
                              </w:rPr>
                            </w:pPr>
                            <w:r w:rsidRPr="006C0D8F">
                              <w:rPr>
                                <w:sz w:val="12"/>
                                <w:szCs w:val="12"/>
                                <w:lang w:val="bg-BG"/>
                              </w:rPr>
                              <w:t>Исхемична болест на сърцето</w:t>
                            </w:r>
                          </w:p>
                          <w:p w14:paraId="51B74AFF" w14:textId="4992DC70" w:rsidR="006C0D8F" w:rsidRPr="006C0D8F" w:rsidRDefault="006C0D8F" w:rsidP="006C0D8F">
                            <w:pPr>
                              <w:rPr>
                                <w:sz w:val="12"/>
                                <w:szCs w:val="12"/>
                                <w:lang w:val="bg-BG"/>
                              </w:rPr>
                            </w:pPr>
                            <w:r w:rsidRPr="006C0D8F">
                              <w:rPr>
                                <w:sz w:val="12"/>
                                <w:szCs w:val="12"/>
                                <w:lang w:val="bg-BG"/>
                              </w:rPr>
                              <w:t>Мозъчно-съдови заболявания</w:t>
                            </w:r>
                          </w:p>
                          <w:p w14:paraId="7FC506A1" w14:textId="42BF077C" w:rsidR="006C0D8F" w:rsidRPr="006C0D8F" w:rsidRDefault="006C0D8F" w:rsidP="006C0D8F">
                            <w:pPr>
                              <w:rPr>
                                <w:sz w:val="12"/>
                                <w:szCs w:val="12"/>
                                <w:lang w:val="bg-BG"/>
                              </w:rPr>
                            </w:pPr>
                            <w:r w:rsidRPr="006C0D8F">
                              <w:rPr>
                                <w:sz w:val="12"/>
                                <w:szCs w:val="12"/>
                                <w:lang w:val="bg-BG"/>
                              </w:rPr>
                              <w:t>Заболявания на дихателната система</w:t>
                            </w:r>
                          </w:p>
                          <w:p w14:paraId="449C4134" w14:textId="3B966657" w:rsidR="006C0D8F" w:rsidRPr="006C0D8F" w:rsidRDefault="006C0D8F" w:rsidP="006C0D8F">
                            <w:pPr>
                              <w:rPr>
                                <w:sz w:val="12"/>
                                <w:szCs w:val="12"/>
                                <w:lang w:val="bg-BG"/>
                              </w:rPr>
                            </w:pPr>
                            <w:r w:rsidRPr="006C0D8F">
                              <w:rPr>
                                <w:sz w:val="12"/>
                                <w:szCs w:val="12"/>
                                <w:lang w:val="bg-BG"/>
                              </w:rPr>
                              <w:t>Състояния от перинаталния период</w:t>
                            </w:r>
                          </w:p>
                          <w:p w14:paraId="397E4554" w14:textId="771A160F" w:rsidR="006C0D8F" w:rsidRPr="006C0D8F" w:rsidRDefault="006C0D8F" w:rsidP="006C0D8F">
                            <w:pPr>
                              <w:rPr>
                                <w:sz w:val="12"/>
                                <w:szCs w:val="12"/>
                                <w:lang w:val="bg-BG"/>
                              </w:rPr>
                            </w:pPr>
                            <w:r w:rsidRPr="006C0D8F">
                              <w:rPr>
                                <w:sz w:val="12"/>
                                <w:szCs w:val="12"/>
                                <w:lang w:val="bg-BG"/>
                              </w:rPr>
                              <w:t>Малформации</w:t>
                            </w:r>
                          </w:p>
                          <w:p w14:paraId="6EF30408" w14:textId="0F279E06" w:rsidR="006C0D8F" w:rsidRPr="006C0D8F" w:rsidRDefault="006C0D8F" w:rsidP="006C0D8F">
                            <w:pPr>
                              <w:rPr>
                                <w:sz w:val="12"/>
                                <w:szCs w:val="12"/>
                              </w:rPr>
                            </w:pPr>
                            <w:r w:rsidRPr="006C0D8F">
                              <w:rPr>
                                <w:sz w:val="12"/>
                                <w:szCs w:val="12"/>
                                <w:lang w:val="bg-BG"/>
                              </w:rPr>
                              <w:t>Други причини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B65475" id="Text Box 29" o:spid="_x0000_s1035" type="#_x0000_t202" style="position:absolute;left:0;text-align:left;margin-left:91.55pt;margin-top:22.05pt;width:122.75pt;height:168.55pt;z-index:25166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" fillcolor="white [3201]" strokeweight=".5pt">
                <v:textbox>
                  <w:txbxContent>
                    <w:p w14:paraId="474458F4" w14:textId="236FB84C" w:rsidR="006C0D8F" w:rsidRPr="006C0D8F" w:rsidRDefault="006C0D8F" w:rsidP="006C0D8F">
                      <w:pPr>
                        <w:rPr>
                          <w:sz w:val="12"/>
                          <w:szCs w:val="12"/>
                          <w:lang w:val="bg-BG"/>
                        </w:rPr>
                      </w:pPr>
                      <w:r w:rsidRPr="006C0D8F">
                        <w:rPr>
                          <w:sz w:val="12"/>
                          <w:szCs w:val="12"/>
                          <w:lang w:val="bg-BG"/>
                        </w:rPr>
                        <w:t>Тумори</w:t>
                      </w:r>
                    </w:p>
                    <w:p w14:paraId="24155C0A" w14:textId="74B67285" w:rsidR="006C0D8F" w:rsidRPr="006C0D8F" w:rsidRDefault="006C0D8F" w:rsidP="006C0D8F">
                      <w:pPr>
                        <w:rPr>
                          <w:sz w:val="12"/>
                          <w:szCs w:val="12"/>
                          <w:lang w:val="bg-BG"/>
                        </w:rPr>
                      </w:pPr>
                      <w:r w:rsidRPr="006C0D8F">
                        <w:rPr>
                          <w:sz w:val="12"/>
                          <w:szCs w:val="12"/>
                          <w:lang w:val="bg-BG"/>
                        </w:rPr>
                        <w:t>Заболявания на нервната система</w:t>
                      </w:r>
                    </w:p>
                    <w:p w14:paraId="0EA2F05E" w14:textId="77777777" w:rsidR="006C0D8F" w:rsidRPr="006C0D8F" w:rsidRDefault="006C0D8F" w:rsidP="006C0D8F">
                      <w:pPr>
                        <w:rPr>
                          <w:sz w:val="12"/>
                          <w:szCs w:val="12"/>
                          <w:lang w:val="bg-BG"/>
                        </w:rPr>
                      </w:pPr>
                    </w:p>
                    <w:p w14:paraId="6278BC7B" w14:textId="2614FFB8" w:rsidR="006C0D8F" w:rsidRPr="006C0D8F" w:rsidRDefault="006C0D8F" w:rsidP="006C0D8F">
                      <w:pPr>
                        <w:rPr>
                          <w:sz w:val="12"/>
                          <w:szCs w:val="12"/>
                          <w:lang w:val="bg-BG"/>
                        </w:rPr>
                      </w:pPr>
                      <w:r w:rsidRPr="006C0D8F">
                        <w:rPr>
                          <w:sz w:val="12"/>
                          <w:szCs w:val="12"/>
                          <w:lang w:val="bg-BG"/>
                        </w:rPr>
                        <w:t>Болести на кръвоносната система</w:t>
                      </w:r>
                    </w:p>
                    <w:p w14:paraId="4CE39426" w14:textId="0BA2A4AE" w:rsidR="006C0D8F" w:rsidRPr="006C0D8F" w:rsidRDefault="006C0D8F" w:rsidP="006C0D8F">
                      <w:pPr>
                        <w:rPr>
                          <w:sz w:val="12"/>
                          <w:szCs w:val="12"/>
                          <w:lang w:val="bg-BG"/>
                        </w:rPr>
                      </w:pPr>
                      <w:r w:rsidRPr="006C0D8F">
                        <w:rPr>
                          <w:sz w:val="12"/>
                          <w:szCs w:val="12"/>
                          <w:lang w:val="bg-BG"/>
                        </w:rPr>
                        <w:t>Исхемична болест на сърцето</w:t>
                      </w:r>
                    </w:p>
                    <w:p w14:paraId="51B74AFF" w14:textId="4992DC70" w:rsidR="006C0D8F" w:rsidRPr="006C0D8F" w:rsidRDefault="006C0D8F" w:rsidP="006C0D8F">
                      <w:pPr>
                        <w:rPr>
                          <w:sz w:val="12"/>
                          <w:szCs w:val="12"/>
                          <w:lang w:val="bg-BG"/>
                        </w:rPr>
                      </w:pPr>
                      <w:r w:rsidRPr="006C0D8F">
                        <w:rPr>
                          <w:sz w:val="12"/>
                          <w:szCs w:val="12"/>
                          <w:lang w:val="bg-BG"/>
                        </w:rPr>
                        <w:t>Мозъчно-съдови заболявания</w:t>
                      </w:r>
                    </w:p>
                    <w:p w14:paraId="7FC506A1" w14:textId="42BF077C" w:rsidR="006C0D8F" w:rsidRPr="006C0D8F" w:rsidRDefault="006C0D8F" w:rsidP="006C0D8F">
                      <w:pPr>
                        <w:rPr>
                          <w:sz w:val="12"/>
                          <w:szCs w:val="12"/>
                          <w:lang w:val="bg-BG"/>
                        </w:rPr>
                      </w:pPr>
                      <w:r w:rsidRPr="006C0D8F">
                        <w:rPr>
                          <w:sz w:val="12"/>
                          <w:szCs w:val="12"/>
                          <w:lang w:val="bg-BG"/>
                        </w:rPr>
                        <w:t>Заболявания на дихателната система</w:t>
                      </w:r>
                    </w:p>
                    <w:p w14:paraId="449C4134" w14:textId="3B966657" w:rsidR="006C0D8F" w:rsidRPr="006C0D8F" w:rsidRDefault="006C0D8F" w:rsidP="006C0D8F">
                      <w:pPr>
                        <w:rPr>
                          <w:sz w:val="12"/>
                          <w:szCs w:val="12"/>
                          <w:lang w:val="bg-BG"/>
                        </w:rPr>
                      </w:pPr>
                      <w:r w:rsidRPr="006C0D8F">
                        <w:rPr>
                          <w:sz w:val="12"/>
                          <w:szCs w:val="12"/>
                          <w:lang w:val="bg-BG"/>
                        </w:rPr>
                        <w:t>Състояния от перинаталния период</w:t>
                      </w:r>
                    </w:p>
                    <w:p w14:paraId="397E4554" w14:textId="771A160F" w:rsidR="006C0D8F" w:rsidRPr="006C0D8F" w:rsidRDefault="006C0D8F" w:rsidP="006C0D8F">
                      <w:pPr>
                        <w:rPr>
                          <w:sz w:val="12"/>
                          <w:szCs w:val="12"/>
                          <w:lang w:val="bg-BG"/>
                        </w:rPr>
                      </w:pPr>
                      <w:r w:rsidRPr="006C0D8F">
                        <w:rPr>
                          <w:sz w:val="12"/>
                          <w:szCs w:val="12"/>
                          <w:lang w:val="bg-BG"/>
                        </w:rPr>
                        <w:t>Малформации</w:t>
                      </w:r>
                    </w:p>
                    <w:p w14:paraId="6EF30408" w14:textId="0F279E06" w:rsidR="006C0D8F" w:rsidRPr="006C0D8F" w:rsidRDefault="006C0D8F" w:rsidP="006C0D8F">
                      <w:pPr>
                        <w:rPr>
                          <w:sz w:val="12"/>
                          <w:szCs w:val="12"/>
                        </w:rPr>
                      </w:pPr>
                      <w:r w:rsidRPr="006C0D8F">
                        <w:rPr>
                          <w:sz w:val="12"/>
                          <w:szCs w:val="12"/>
                          <w:lang w:val="bg-BG"/>
                        </w:rPr>
                        <w:t>Други причини</w:t>
                      </w:r>
                    </w:p>
                  </w:txbxContent>
                </v:textbox>
              </v:shape>
            </w:pict>
          </mc:Fallback>
        </mc:AlternateContent>
      </w:r>
      <w:r w:rsidR="00146763" w:rsidRPr="007375EB">
        <w:rPr>
          <w:noProof/>
          <w:lang w:val="bg-BG"/>
        </w:rPr>
        <w:drawing>
          <wp:inline distT="0" distB="0" distL="0" distR="0" wp14:anchorId="49671156" wp14:editId="43C39D17">
            <wp:extent cx="4260960" cy="2536466"/>
            <wp:effectExtent l="0" t="0" r="6350" b="16510"/>
            <wp:docPr id="18" name="Chart 18">
              <a:extLst xmlns:a="http://schemas.openxmlformats.org/drawingml/2006/main">
                <a:ext uri="{FF2B5EF4-FFF2-40B4-BE49-F238E27FC236}">
                  <a16:creationId xmlns:a16="http://schemas.microsoft.com/office/drawing/2014/main" id="{3D48AFCE-0B71-56EB-D154-E7792EBC99C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0199F08E" w14:textId="1E049B58" w:rsidR="006C0D8F" w:rsidRPr="007375EB" w:rsidRDefault="006C0D8F" w:rsidP="00CD78B5">
      <w:pPr>
        <w:pStyle w:val="Caption"/>
        <w:jc w:val="center"/>
        <w:rPr>
          <w:rFonts w:eastAsia="Verdana" w:cs="Verdana"/>
          <w:b w:val="0"/>
          <w:bCs w:val="0"/>
          <w:i/>
          <w:iCs/>
          <w:color w:val="00B0F0"/>
          <w:szCs w:val="14"/>
          <w:lang w:val="bg-BG"/>
        </w:rPr>
      </w:pPr>
      <w:r w:rsidRPr="007375EB">
        <w:rPr>
          <w:rFonts w:eastAsia="Verdana" w:cs="Verdana"/>
          <w:b w:val="0"/>
          <w:bCs w:val="0"/>
          <w:i/>
          <w:iCs/>
          <w:color w:val="00B0F0"/>
          <w:szCs w:val="14"/>
          <w:lang w:val="bg-BG"/>
        </w:rPr>
        <w:t>Източник: Обработка по данни на НСИ</w:t>
      </w:r>
    </w:p>
    <w:p w14:paraId="7820744B" w14:textId="697417F0" w:rsidR="00CD78B5" w:rsidRPr="007375EB" w:rsidRDefault="00B230C6" w:rsidP="00CD78B5">
      <w:pPr>
        <w:pStyle w:val="Caption"/>
        <w:jc w:val="center"/>
        <w:rPr>
          <w:sz w:val="16"/>
          <w:szCs w:val="16"/>
          <w:vertAlign w:val="subscript"/>
          <w:lang w:val="bg-BG"/>
        </w:rPr>
      </w:pPr>
      <w:r w:rsidRPr="007375EB">
        <w:rPr>
          <w:sz w:val="16"/>
          <w:szCs w:val="16"/>
          <w:lang w:val="bg-BG"/>
        </w:rPr>
        <w:t>Фигура</w:t>
      </w:r>
      <w:r w:rsidR="00CD78B5" w:rsidRPr="007375EB">
        <w:rPr>
          <w:sz w:val="16"/>
          <w:szCs w:val="16"/>
          <w:lang w:val="bg-BG"/>
        </w:rPr>
        <w:t xml:space="preserve"> 2. </w:t>
      </w:r>
      <w:r w:rsidR="00CD78B5" w:rsidRPr="007375EB">
        <w:rPr>
          <w:sz w:val="16"/>
          <w:szCs w:val="16"/>
          <w:lang w:val="bg-BG"/>
        </w:rPr>
        <w:fldChar w:fldCharType="begin"/>
      </w:r>
      <w:r w:rsidR="00CD78B5" w:rsidRPr="007375EB">
        <w:rPr>
          <w:sz w:val="16"/>
          <w:szCs w:val="16"/>
          <w:lang w:val="bg-BG"/>
        </w:rPr>
        <w:instrText xml:space="preserve"> SEQ Figura_2. \* ARABIC </w:instrText>
      </w:r>
      <w:r w:rsidR="00CD78B5" w:rsidRPr="007375EB">
        <w:rPr>
          <w:sz w:val="16"/>
          <w:szCs w:val="16"/>
          <w:lang w:val="bg-BG"/>
        </w:rPr>
        <w:fldChar w:fldCharType="separate"/>
      </w:r>
      <w:r w:rsidR="00683271" w:rsidRPr="007375EB">
        <w:rPr>
          <w:noProof/>
          <w:sz w:val="16"/>
          <w:szCs w:val="16"/>
          <w:lang w:val="bg-BG"/>
        </w:rPr>
        <w:t>21</w:t>
      </w:r>
      <w:r w:rsidR="00CD78B5" w:rsidRPr="007375EB">
        <w:rPr>
          <w:sz w:val="16"/>
          <w:szCs w:val="16"/>
          <w:lang w:val="bg-BG"/>
        </w:rPr>
        <w:fldChar w:fldCharType="end"/>
      </w:r>
      <w:r w:rsidR="00CD78B5" w:rsidRPr="007375EB">
        <w:rPr>
          <w:sz w:val="16"/>
          <w:szCs w:val="16"/>
          <w:lang w:val="bg-BG"/>
        </w:rPr>
        <w:t xml:space="preserve"> </w:t>
      </w:r>
      <w:r w:rsidR="006C0D8F" w:rsidRPr="007375EB">
        <w:rPr>
          <w:sz w:val="16"/>
          <w:szCs w:val="16"/>
          <w:lang w:val="bg-BG"/>
        </w:rPr>
        <w:t>Ситуацията със смъртните случаи, свързани със замърсяването на въздуха</w:t>
      </w:r>
    </w:p>
    <w:p w14:paraId="5CA8E78A" w14:textId="68C179A6" w:rsidR="00BE1EFA" w:rsidRPr="007375EB" w:rsidRDefault="00BE1EFA" w:rsidP="00BE1EFA">
      <w:pPr>
        <w:spacing w:after="120" w:line="360" w:lineRule="auto"/>
        <w:jc w:val="both"/>
        <w:rPr>
          <w:lang w:val="bg-BG"/>
        </w:rPr>
      </w:pPr>
    </w:p>
    <w:p w14:paraId="28DCCCBA" w14:textId="7C97C5EA" w:rsidR="00A43368" w:rsidRPr="007375EB" w:rsidRDefault="006C0D8F" w:rsidP="00125F99">
      <w:pPr>
        <w:pStyle w:val="BodyTextIndent"/>
        <w:numPr>
          <w:ilvl w:val="0"/>
          <w:numId w:val="61"/>
        </w:numPr>
        <w:tabs>
          <w:tab w:val="left" w:pos="567"/>
        </w:tabs>
        <w:spacing w:line="360" w:lineRule="auto"/>
        <w:ind w:left="284" w:firstLine="76"/>
        <w:jc w:val="both"/>
        <w:rPr>
          <w:sz w:val="16"/>
          <w:szCs w:val="16"/>
          <w:lang w:val="bg-BG"/>
        </w:rPr>
      </w:pPr>
      <w:r w:rsidRPr="007375EB">
        <w:rPr>
          <w:rFonts w:cs="Arial"/>
          <w:b/>
          <w:bCs/>
          <w:lang w:val="bg-BG"/>
        </w:rPr>
        <w:t>• Ефекти от шумовото замърсяване върху човешкото здраве</w:t>
      </w:r>
    </w:p>
    <w:p w14:paraId="4E1148F1" w14:textId="1B51752F" w:rsidR="00A43368" w:rsidRPr="007375EB" w:rsidRDefault="006C0D8F" w:rsidP="00344E3C">
      <w:pPr>
        <w:spacing w:after="120" w:line="360" w:lineRule="auto"/>
        <w:jc w:val="both"/>
        <w:rPr>
          <w:lang w:val="bg-BG"/>
        </w:rPr>
      </w:pPr>
      <w:r w:rsidRPr="007375EB">
        <w:rPr>
          <w:lang w:val="bg-BG"/>
        </w:rPr>
        <w:t xml:space="preserve">Друг стресов фактор, който може да влоши определени състояния (загуба на слуха, психични заболявания, сърдечно-съдови заболявания, ендокринни заболявания) е шумът, който </w:t>
      </w:r>
      <w:r w:rsidRPr="007375EB">
        <w:rPr>
          <w:lang w:val="bg-BG"/>
        </w:rPr>
        <w:lastRenderedPageBreak/>
        <w:t>представлява една от най-разпространените заплахи за здравето на населението в индустриализираните страни.</w:t>
      </w:r>
      <w:r w:rsidR="00A43368" w:rsidRPr="007375EB">
        <w:rPr>
          <w:lang w:val="bg-BG"/>
        </w:rPr>
        <w:t xml:space="preserve"> </w:t>
      </w:r>
    </w:p>
    <w:p w14:paraId="08281368" w14:textId="313E5D9A" w:rsidR="00A43368" w:rsidRPr="007375EB" w:rsidRDefault="00E20892" w:rsidP="00344E3C">
      <w:pPr>
        <w:spacing w:after="120" w:line="360" w:lineRule="auto"/>
        <w:jc w:val="both"/>
        <w:rPr>
          <w:lang w:val="bg-BG"/>
        </w:rPr>
      </w:pPr>
      <w:r w:rsidRPr="007375EB">
        <w:rPr>
          <w:lang w:val="bg-BG"/>
        </w:rPr>
        <w:t>В община Черкезу транспортните източници не представляват значителен източник на шум, като се има предвид, че пътищата в общината са местни пътища (окръжни и общински пътища).</w:t>
      </w:r>
    </w:p>
    <w:p w14:paraId="6B1A86B6" w14:textId="57FD0C49" w:rsidR="00D067AB" w:rsidRPr="007375EB" w:rsidRDefault="00E20892" w:rsidP="000E03BC">
      <w:pPr>
        <w:spacing w:after="120" w:line="360" w:lineRule="auto"/>
        <w:jc w:val="both"/>
        <w:rPr>
          <w:lang w:val="bg-BG"/>
        </w:rPr>
      </w:pPr>
      <w:r w:rsidRPr="007375EB">
        <w:rPr>
          <w:lang w:val="bg-BG"/>
        </w:rPr>
        <w:t>Вятърните турбини могат да генерират постоянен и характерен шум, който може да повлияе на качеството на съня и да причини акустичен дискомфорт. Важна референтна стойност е нивото на шума извън жилищата, което не бива да надвишава границите, наложени от националните и международните разпоредби.</w:t>
      </w:r>
    </w:p>
    <w:p w14:paraId="1DC1F67C" w14:textId="129EDF66" w:rsidR="00C838C4" w:rsidRPr="007375EB" w:rsidRDefault="00E20892" w:rsidP="00C838C4">
      <w:pPr>
        <w:spacing w:after="120" w:line="360" w:lineRule="auto"/>
        <w:jc w:val="both"/>
        <w:rPr>
          <w:lang w:val="bg-BG"/>
        </w:rPr>
      </w:pPr>
      <w:r w:rsidRPr="007375EB">
        <w:rPr>
          <w:lang w:val="bg-BG"/>
        </w:rPr>
        <w:t>Постоянният шум, включително през нощта, може да повлияе на качеството на съня и да доведе до безсъние, когнитивни нарушения и тревожност или раздразнителност. Някои проучвания показват, че продължителното излагане на шум от вятърни турбини може да има отрицателно въздействие върху сърдечносъдовата система, като увеличава риска от високо кръвно налягане, сърдечни заболявания и инсулт</w:t>
      </w:r>
      <w:r w:rsidR="00C838C4" w:rsidRPr="007375EB">
        <w:rPr>
          <w:lang w:val="bg-BG"/>
        </w:rPr>
        <w:t>.</w:t>
      </w:r>
    </w:p>
    <w:p w14:paraId="359BAEA5" w14:textId="295E9EEA" w:rsidR="00C838C4" w:rsidRPr="007375EB" w:rsidRDefault="00E20892" w:rsidP="006B1FEC">
      <w:pPr>
        <w:spacing w:after="120" w:line="360" w:lineRule="auto"/>
        <w:jc w:val="both"/>
        <w:rPr>
          <w:lang w:val="bg-BG"/>
        </w:rPr>
      </w:pPr>
      <w:r w:rsidRPr="007375EB">
        <w:rPr>
          <w:lang w:val="bg-BG"/>
        </w:rPr>
        <w:t>Индивидуалните реакции към шума могат да варират в зависимост от личните, контекстуалните и индивидуалните фактори на чувствителност. Някои хора могат да бъдат по-чувствителни към специфичен шум от вятърни турбини и да изпитват по-изразени неблагоприятни ефекти.</w:t>
      </w:r>
    </w:p>
    <w:p w14:paraId="4ABD2783" w14:textId="6E0C2999" w:rsidR="00A43368" w:rsidRPr="007375EB" w:rsidRDefault="00E20892" w:rsidP="00125F99">
      <w:pPr>
        <w:pStyle w:val="BodyTextIndent"/>
        <w:numPr>
          <w:ilvl w:val="0"/>
          <w:numId w:val="61"/>
        </w:numPr>
        <w:tabs>
          <w:tab w:val="left" w:pos="567"/>
        </w:tabs>
        <w:spacing w:line="360" w:lineRule="auto"/>
        <w:ind w:left="284" w:firstLine="76"/>
        <w:jc w:val="both"/>
        <w:rPr>
          <w:b/>
          <w:bCs/>
          <w:lang w:val="bg-BG"/>
        </w:rPr>
      </w:pPr>
      <w:r w:rsidRPr="007375EB">
        <w:rPr>
          <w:b/>
          <w:bCs/>
          <w:lang w:val="bg-BG"/>
        </w:rPr>
        <w:t>Въздействие на качеството на водата върху човешкото здраве</w:t>
      </w:r>
    </w:p>
    <w:p w14:paraId="3896D7CF" w14:textId="1434B3B8" w:rsidR="00A43368" w:rsidRPr="007375EB" w:rsidRDefault="00E20892" w:rsidP="00344E3C">
      <w:pPr>
        <w:tabs>
          <w:tab w:val="left" w:pos="1418"/>
        </w:tabs>
        <w:spacing w:after="120" w:line="360" w:lineRule="auto"/>
        <w:jc w:val="both"/>
        <w:rPr>
          <w:lang w:val="bg-BG"/>
        </w:rPr>
      </w:pPr>
      <w:r w:rsidRPr="007375EB">
        <w:rPr>
          <w:lang w:val="bg-BG"/>
        </w:rPr>
        <w:t>Появата на свързани с водата заболявания във водата, предназначена за консумация от човека, се дължи на излишък или недостиг на определени химични елементи във водата, но също така и на наличието на вещества, чужди на нормалния състав на водата. Водата има разнообразен химичен състав с голям брой разтворени химични елементи. В резултат на замърсяването към нормалния състав могат да се добавят други химични вещества, които могат да имат различни ефекти върху човешкия организъм</w:t>
      </w:r>
      <w:r w:rsidR="00A43368" w:rsidRPr="007375EB">
        <w:rPr>
          <w:lang w:val="bg-BG"/>
        </w:rPr>
        <w:t xml:space="preserve">. </w:t>
      </w:r>
    </w:p>
    <w:p w14:paraId="329833EB" w14:textId="32AD72C8" w:rsidR="00A43368" w:rsidRPr="007375EB" w:rsidRDefault="00E20892" w:rsidP="00344E3C">
      <w:pPr>
        <w:tabs>
          <w:tab w:val="left" w:pos="1418"/>
        </w:tabs>
        <w:spacing w:after="120" w:line="360" w:lineRule="auto"/>
        <w:jc w:val="both"/>
        <w:rPr>
          <w:lang w:val="bg-BG"/>
        </w:rPr>
      </w:pPr>
      <w:r w:rsidRPr="007375EB">
        <w:rPr>
          <w:lang w:val="bg-BG"/>
        </w:rPr>
        <w:t>Водата може да бъде преносен път за много токсични химикали. Те могат да навлязат в организма чрез водата, която се пие всеки ден в малки количества, но за дълъг период от време, което благоприятства хроничните заболявания. Съществуват ситуации, в които токсичните вещества присъстват в големи количества и могат да причинят остро отравяне</w:t>
      </w:r>
      <w:r w:rsidR="00A43368" w:rsidRPr="007375EB">
        <w:rPr>
          <w:lang w:val="bg-BG"/>
        </w:rPr>
        <w:t>.</w:t>
      </w:r>
    </w:p>
    <w:p w14:paraId="3DA635ED" w14:textId="23CE88C1" w:rsidR="00A43368" w:rsidRPr="007375EB" w:rsidRDefault="00E20892" w:rsidP="00344E3C">
      <w:pPr>
        <w:tabs>
          <w:tab w:val="left" w:pos="1418"/>
        </w:tabs>
        <w:spacing w:after="120" w:line="360" w:lineRule="auto"/>
        <w:jc w:val="both"/>
        <w:rPr>
          <w:lang w:val="bg-BG"/>
        </w:rPr>
      </w:pPr>
      <w:r w:rsidRPr="007375EB">
        <w:rPr>
          <w:lang w:val="bg-BG"/>
        </w:rPr>
        <w:t>В окръг Констанца качеството на питейната вода се следи от Службата за обществено здраве в Констанца. Периодично се определят химични параметри: нитрити, нитрати, пестициди, кадмий, олово и индикаторни параметри: окисляемост, мътност, амоний, алуминий, желязо, манган.</w:t>
      </w:r>
    </w:p>
    <w:p w14:paraId="4F84E221" w14:textId="6D329D7B" w:rsidR="00A43368" w:rsidRPr="007375EB" w:rsidRDefault="00E20892" w:rsidP="00344E3C">
      <w:pPr>
        <w:tabs>
          <w:tab w:val="left" w:pos="1418"/>
        </w:tabs>
        <w:spacing w:after="120" w:line="360" w:lineRule="auto"/>
        <w:jc w:val="both"/>
        <w:rPr>
          <w:lang w:val="bg-BG"/>
        </w:rPr>
      </w:pPr>
      <w:r w:rsidRPr="007375EB">
        <w:rPr>
          <w:lang w:val="bg-BG"/>
        </w:rPr>
        <w:t>Разпределителната мрежа за питейна вода в община Черкезу е собственост на оператора S.C. RAJA S.A. Constanța, има дължина 12 км, обслужва население от 563 жители и осигурява воден обем от 19 м</w:t>
      </w:r>
      <w:r w:rsidRPr="007375EB">
        <w:rPr>
          <w:vertAlign w:val="superscript"/>
          <w:lang w:val="bg-BG"/>
        </w:rPr>
        <w:t>3</w:t>
      </w:r>
      <w:r w:rsidRPr="007375EB">
        <w:rPr>
          <w:lang w:val="bg-BG"/>
        </w:rPr>
        <w:t>/ден. ZAP Cerchezu има санитарно разрешително за експлоатация, издадено през 2014 г. и валидно до 2023</w:t>
      </w:r>
      <w:r w:rsidR="00F82A9F" w:rsidRPr="007375EB">
        <w:rPr>
          <w:rStyle w:val="FootnoteReference"/>
          <w:lang w:val="bg-BG"/>
        </w:rPr>
        <w:footnoteReference w:id="24"/>
      </w:r>
      <w:r w:rsidR="00A43368" w:rsidRPr="007375EB">
        <w:rPr>
          <w:lang w:val="bg-BG"/>
        </w:rPr>
        <w:t>.</w:t>
      </w:r>
    </w:p>
    <w:p w14:paraId="3CEC2813" w14:textId="05157923" w:rsidR="00A43368" w:rsidRPr="007375EB" w:rsidRDefault="002A69AB" w:rsidP="00344E3C">
      <w:pPr>
        <w:tabs>
          <w:tab w:val="left" w:pos="1418"/>
        </w:tabs>
        <w:spacing w:after="120" w:line="360" w:lineRule="auto"/>
        <w:jc w:val="both"/>
        <w:rPr>
          <w:lang w:val="bg-BG"/>
        </w:rPr>
      </w:pPr>
      <w:r w:rsidRPr="007375EB">
        <w:rPr>
          <w:lang w:val="bg-BG"/>
        </w:rPr>
        <w:t xml:space="preserve">Качеството на питейната вода, доставяна на населението на община Черкезу, е задоволително, няма параметри, за които системата да е обявена за несъответстваща, микробиологичните </w:t>
      </w:r>
      <w:r w:rsidRPr="007375EB">
        <w:rPr>
          <w:lang w:val="bg-BG"/>
        </w:rPr>
        <w:lastRenderedPageBreak/>
        <w:t>параметри и физико-химичните показатели на водата са в рамките на допустимите стойности съгласно бюлетините за анализ</w:t>
      </w:r>
      <w:r w:rsidR="008037D3" w:rsidRPr="007375EB">
        <w:rPr>
          <w:rStyle w:val="FootnoteReference"/>
          <w:lang w:val="bg-BG"/>
        </w:rPr>
        <w:footnoteReference w:id="25"/>
      </w:r>
      <w:r w:rsidR="00A43368" w:rsidRPr="007375EB">
        <w:rPr>
          <w:lang w:val="bg-BG"/>
        </w:rPr>
        <w:t>.</w:t>
      </w:r>
    </w:p>
    <w:p w14:paraId="4ACA46A8" w14:textId="0D5E3859" w:rsidR="00A43368" w:rsidRPr="007375EB" w:rsidRDefault="002A69AB" w:rsidP="00344E3C">
      <w:pPr>
        <w:tabs>
          <w:tab w:val="left" w:pos="1418"/>
        </w:tabs>
        <w:spacing w:after="120" w:line="360" w:lineRule="auto"/>
        <w:jc w:val="both"/>
        <w:rPr>
          <w:lang w:val="bg-BG"/>
        </w:rPr>
      </w:pPr>
      <w:r w:rsidRPr="007375EB">
        <w:rPr>
          <w:lang w:val="bg-BG"/>
        </w:rPr>
        <w:t>В община Черкезу няма кладенци и обществени кладенци</w:t>
      </w:r>
      <w:r w:rsidR="00172FD3" w:rsidRPr="007375EB">
        <w:rPr>
          <w:lang w:val="bg-BG"/>
        </w:rPr>
        <w:t>.</w:t>
      </w:r>
    </w:p>
    <w:p w14:paraId="2904A18D" w14:textId="59E55D11" w:rsidR="00A43368" w:rsidRPr="007375EB" w:rsidRDefault="002A69AB" w:rsidP="00125F99">
      <w:pPr>
        <w:pStyle w:val="BodyTextIndent"/>
        <w:numPr>
          <w:ilvl w:val="0"/>
          <w:numId w:val="61"/>
        </w:numPr>
        <w:tabs>
          <w:tab w:val="left" w:pos="567"/>
        </w:tabs>
        <w:spacing w:line="360" w:lineRule="auto"/>
        <w:ind w:left="284" w:firstLine="76"/>
        <w:jc w:val="both"/>
        <w:rPr>
          <w:lang w:val="bg-BG"/>
        </w:rPr>
      </w:pPr>
      <w:r w:rsidRPr="007375EB">
        <w:rPr>
          <w:b/>
          <w:bCs/>
          <w:lang w:val="bg-BG"/>
        </w:rPr>
        <w:t>• Зелените площи и ефектите върху здравето и качеството на живот</w:t>
      </w:r>
    </w:p>
    <w:p w14:paraId="458DD918" w14:textId="77777777" w:rsidR="002A69AB" w:rsidRPr="007375EB" w:rsidRDefault="002A69AB" w:rsidP="002A69AB">
      <w:pPr>
        <w:tabs>
          <w:tab w:val="left" w:pos="1418"/>
        </w:tabs>
        <w:spacing w:after="120" w:line="360" w:lineRule="auto"/>
        <w:jc w:val="both"/>
        <w:rPr>
          <w:lang w:val="bg-BG"/>
        </w:rPr>
      </w:pPr>
      <w:r w:rsidRPr="007375EB">
        <w:rPr>
          <w:lang w:val="bg-BG"/>
        </w:rPr>
        <w:t xml:space="preserve">Зелените пространства представляват функционална категория в рамките на местностите или свързани с тях, чиято специфика се определя, на първо място, от растителността и на второ място от застроената среда, включително съоръжения и оборудване, предназначени за културно-образователни, спортни или развлекателни дейности на населението. </w:t>
      </w:r>
    </w:p>
    <w:p w14:paraId="7ECE5E6A" w14:textId="6DCE44C8" w:rsidR="00BC5340" w:rsidRPr="007375EB" w:rsidRDefault="002A69AB" w:rsidP="002A69AB">
      <w:pPr>
        <w:tabs>
          <w:tab w:val="left" w:pos="1418"/>
        </w:tabs>
        <w:spacing w:after="120" w:line="360" w:lineRule="auto"/>
        <w:jc w:val="both"/>
        <w:rPr>
          <w:lang w:val="bg-BG"/>
        </w:rPr>
      </w:pPr>
      <w:r w:rsidRPr="007375EB">
        <w:rPr>
          <w:lang w:val="bg-BG"/>
        </w:rPr>
        <w:t>Според естеството на имота зелените площи могат да бъдат обществени (паркове, площади, места за спорт и отдих, защитени площи и различни по вид гори и площи със спонтанна растителност, които влизат в обществено достояние) или частни (зелени пространства частна собственост и които не се използват в обществен интерес</w:t>
      </w:r>
      <w:r w:rsidR="00BC5340" w:rsidRPr="007375EB">
        <w:rPr>
          <w:lang w:val="bg-BG"/>
        </w:rPr>
        <w:t>).</w:t>
      </w:r>
    </w:p>
    <w:p w14:paraId="2ACCCE78" w14:textId="186E8024" w:rsidR="00557EBE" w:rsidRPr="007375EB" w:rsidRDefault="002A69AB" w:rsidP="002E4F1A">
      <w:pPr>
        <w:tabs>
          <w:tab w:val="left" w:pos="1418"/>
        </w:tabs>
        <w:spacing w:after="120" w:line="360" w:lineRule="auto"/>
        <w:jc w:val="both"/>
        <w:rPr>
          <w:lang w:val="bg-BG"/>
        </w:rPr>
      </w:pPr>
      <w:r w:rsidRPr="007375EB">
        <w:rPr>
          <w:lang w:val="bg-BG"/>
        </w:rPr>
        <w:t>От екологична гледна точка, градските зелени площи са истински модератор на въздействието на човешките дейности върху околната среда. Те имат важен принос за химическото пречистване на атмосферата, което поддържа баланса ден-нощ в полза на производството на кислород, но и физическото му пречистване чрез задържане на прах и прах. По този начин 25 м</w:t>
      </w:r>
      <w:r w:rsidRPr="007375EB">
        <w:rPr>
          <w:vertAlign w:val="superscript"/>
          <w:lang w:val="bg-BG"/>
        </w:rPr>
        <w:t>2</w:t>
      </w:r>
      <w:r w:rsidRPr="007375EB">
        <w:rPr>
          <w:lang w:val="bg-BG"/>
        </w:rPr>
        <w:t xml:space="preserve"> листна площ осигурява кислорода, необходим за един човек, а тревната морава задържа 3–6 пъти повече прах от голата повърхност, а зрялото дърво задържа 10 пъти повече примеси от моравата с размер на проекция, чиято корона на земята</w:t>
      </w:r>
      <w:r w:rsidR="002E4F1A" w:rsidRPr="007375EB">
        <w:rPr>
          <w:lang w:val="bg-BG"/>
        </w:rPr>
        <w:t>.</w:t>
      </w:r>
    </w:p>
    <w:p w14:paraId="3D3E843F" w14:textId="47BE9EC7" w:rsidR="002A69AB" w:rsidRPr="007375EB" w:rsidRDefault="002A69AB" w:rsidP="002A69AB">
      <w:pPr>
        <w:tabs>
          <w:tab w:val="left" w:pos="1418"/>
        </w:tabs>
        <w:spacing w:after="120" w:line="360" w:lineRule="auto"/>
        <w:jc w:val="both"/>
        <w:rPr>
          <w:lang w:val="bg-BG"/>
        </w:rPr>
      </w:pPr>
      <w:r w:rsidRPr="007375EB">
        <w:rPr>
          <w:lang w:val="bg-BG"/>
        </w:rPr>
        <w:t>На ниво окръг площта на зелените площи има отрицателно развитие в периода 2010-2019 г., последвано от тенденция на нарастване, която достига 1080 ха през 2022 г., което при население от 656.631 жители означава площ на зелените площи от 16,45 м</w:t>
      </w:r>
      <w:r w:rsidRPr="007375EB">
        <w:rPr>
          <w:vertAlign w:val="superscript"/>
          <w:lang w:val="bg-BG"/>
        </w:rPr>
        <w:t>2</w:t>
      </w:r>
      <w:r w:rsidRPr="007375EB">
        <w:rPr>
          <w:lang w:val="bg-BG"/>
        </w:rPr>
        <w:t xml:space="preserve"> / жител, което е доста под средната европейска норма от 26 м</w:t>
      </w:r>
      <w:r w:rsidRPr="007375EB">
        <w:rPr>
          <w:vertAlign w:val="superscript"/>
          <w:lang w:val="bg-BG"/>
        </w:rPr>
        <w:t>2</w:t>
      </w:r>
      <w:r w:rsidRPr="007375EB">
        <w:rPr>
          <w:lang w:val="bg-BG"/>
        </w:rPr>
        <w:t xml:space="preserve"> зелени площи / жител.</w:t>
      </w:r>
    </w:p>
    <w:p w14:paraId="7BBB8C3F" w14:textId="77777777" w:rsidR="002A69AB" w:rsidRPr="007375EB" w:rsidRDefault="002A69AB" w:rsidP="002A69AB">
      <w:pPr>
        <w:tabs>
          <w:tab w:val="left" w:pos="1418"/>
        </w:tabs>
        <w:spacing w:after="120" w:line="360" w:lineRule="auto"/>
        <w:jc w:val="both"/>
        <w:rPr>
          <w:lang w:val="bg-BG"/>
        </w:rPr>
      </w:pPr>
    </w:p>
    <w:p w14:paraId="0B0C04BF" w14:textId="4C3F21F9" w:rsidR="00A43368" w:rsidRPr="007375EB" w:rsidRDefault="002A69AB" w:rsidP="002A69AB">
      <w:pPr>
        <w:tabs>
          <w:tab w:val="left" w:pos="1418"/>
        </w:tabs>
        <w:spacing w:after="120" w:line="360" w:lineRule="auto"/>
        <w:jc w:val="both"/>
        <w:rPr>
          <w:b/>
          <w:bCs/>
          <w:lang w:val="bg-BG"/>
        </w:rPr>
      </w:pPr>
      <w:r w:rsidRPr="007375EB">
        <w:rPr>
          <w:b/>
          <w:bCs/>
          <w:lang w:val="bg-BG"/>
        </w:rPr>
        <w:t>Изменението на климата и неговото въздействие върху здравето и качеството на живот</w:t>
      </w:r>
    </w:p>
    <w:p w14:paraId="238ED4A6" w14:textId="1AD51ABB" w:rsidR="00A43368" w:rsidRPr="007375EB" w:rsidRDefault="002A69AB" w:rsidP="005F0E91">
      <w:pPr>
        <w:tabs>
          <w:tab w:val="left" w:pos="1418"/>
        </w:tabs>
        <w:spacing w:after="120" w:line="360" w:lineRule="auto"/>
        <w:jc w:val="both"/>
        <w:rPr>
          <w:lang w:val="bg-BG"/>
        </w:rPr>
      </w:pPr>
      <w:r w:rsidRPr="007375EB">
        <w:rPr>
          <w:lang w:val="bg-BG"/>
        </w:rPr>
        <w:t>Основните въздействия на изменението на климата върху здравето са свързани с екстремни метеорологични явления, промени в разпространението на болести, повлияни от климата, и промени в екологичните и социалните условия. През последното десетилетие наводненията от реките и крайбрежните наводнения засегнаха милиони хора в Европа. Последиците за здравето включват наранявания, инфекции, излагане на химически опасности и последици за психичното здраве. Горещите вълни станаха по-чести и интензивни, причинявайки десетки хиляди случаи на преждевременна смърт в Европа. Очаква се тази тенденция да се увеличи и засили, ако не бъдат предприети подходящи мерки за адаптиране. Разпространението на видове кърлежи, азиатски тигрови комари и други преносители на болести увеличава риска от заболявания като лаймска болест, кърлежов енцефалит, западнонилска треска, треска денга, чикунгуня и лайшманиоза</w:t>
      </w:r>
      <w:r w:rsidR="00A43368" w:rsidRPr="007375EB">
        <w:rPr>
          <w:rStyle w:val="FootnoteReference"/>
          <w:lang w:val="bg-BG"/>
        </w:rPr>
        <w:footnoteReference w:id="26"/>
      </w:r>
      <w:r w:rsidR="00A43368" w:rsidRPr="007375EB">
        <w:rPr>
          <w:lang w:val="bg-BG"/>
        </w:rPr>
        <w:t>.</w:t>
      </w:r>
    </w:p>
    <w:p w14:paraId="16C15485" w14:textId="6E034BD9" w:rsidR="00A43368" w:rsidRPr="007375EB" w:rsidRDefault="002A69AB" w:rsidP="005F0E91">
      <w:pPr>
        <w:tabs>
          <w:tab w:val="left" w:pos="1418"/>
        </w:tabs>
        <w:spacing w:after="120" w:line="360" w:lineRule="auto"/>
        <w:jc w:val="both"/>
        <w:rPr>
          <w:lang w:val="bg-BG"/>
        </w:rPr>
      </w:pPr>
      <w:r w:rsidRPr="007375EB">
        <w:rPr>
          <w:lang w:val="bg-BG"/>
        </w:rPr>
        <w:lastRenderedPageBreak/>
        <w:t>Ниските температури през зимата и други средни максимални и минимални температури през лятото могат да допринесат за повишена смъртност от мозъчно-съдова болест и инфаркт на миокарда, а високата/ниската относителна влажност през същия месец също може да бъде рисков фактор за мозъчно-съдова болест и инфаркт на миокарда.</w:t>
      </w:r>
    </w:p>
    <w:p w14:paraId="237472ED" w14:textId="77777777" w:rsidR="000551D5" w:rsidRPr="007375EB" w:rsidRDefault="000551D5" w:rsidP="000551D5">
      <w:pPr>
        <w:spacing w:after="120" w:line="360" w:lineRule="auto"/>
        <w:jc w:val="both"/>
        <w:rPr>
          <w:lang w:val="bg-BG"/>
        </w:rPr>
      </w:pPr>
    </w:p>
    <w:p w14:paraId="47D9A9D9" w14:textId="21BD7AAD" w:rsidR="00E54B89" w:rsidRPr="007375EB" w:rsidRDefault="006C0D8F" w:rsidP="00AC5470">
      <w:pPr>
        <w:pStyle w:val="ListParagraph"/>
        <w:numPr>
          <w:ilvl w:val="2"/>
          <w:numId w:val="21"/>
        </w:numPr>
        <w:spacing w:after="120" w:line="360" w:lineRule="auto"/>
        <w:jc w:val="both"/>
        <w:outlineLvl w:val="2"/>
        <w:rPr>
          <w:rFonts w:cs="Arial"/>
          <w:b/>
          <w:i/>
          <w:color w:val="00B0F0"/>
          <w:lang w:val="bg-BG"/>
        </w:rPr>
      </w:pPr>
      <w:r w:rsidRPr="007375EB">
        <w:rPr>
          <w:rFonts w:cs="Arial"/>
          <w:b/>
          <w:i/>
          <w:color w:val="00B0F0"/>
          <w:lang w:val="bg-BG"/>
        </w:rPr>
        <w:t>Ландшафт</w:t>
      </w:r>
    </w:p>
    <w:p w14:paraId="6AF733EA" w14:textId="41287911" w:rsidR="00DB1BBB" w:rsidRPr="007375EB" w:rsidRDefault="004B7F3E" w:rsidP="000740C9">
      <w:pPr>
        <w:spacing w:after="120" w:line="360" w:lineRule="auto"/>
        <w:ind w:left="-20" w:right="-20"/>
        <w:jc w:val="both"/>
        <w:rPr>
          <w:lang w:val="bg-BG"/>
        </w:rPr>
      </w:pPr>
      <w:r w:rsidRPr="007375EB">
        <w:rPr>
          <w:rFonts w:eastAsia="Verdana" w:cs="Verdana"/>
          <w:color w:val="000000" w:themeColor="text1"/>
          <w:lang w:val="bg-BG"/>
        </w:rPr>
        <w:t>Европейската конвенция за ландшафта, приета във Флоренция на 20 октомври 2000 г. (ратифицирана в Румъния със Закон 451/2002), определя ландшафта като част от територията, възприемана като такава от населението, чийто характер е резултат от действието и взаимодействието на природни и/или човешки фактори. Основните характеристики, които придават стойност на ландшафта, са</w:t>
      </w:r>
      <w:r w:rsidR="00DB1BBB" w:rsidRPr="007375EB">
        <w:rPr>
          <w:rFonts w:eastAsia="Verdana" w:cs="Verdana"/>
          <w:color w:val="000000" w:themeColor="text1"/>
          <w:lang w:val="bg-BG"/>
        </w:rPr>
        <w:t>:</w:t>
      </w:r>
    </w:p>
    <w:p w14:paraId="288F7AD7" w14:textId="3D19675C" w:rsidR="00DB1BBB" w:rsidRPr="007375EB" w:rsidRDefault="004B7F3E" w:rsidP="00125F99">
      <w:pPr>
        <w:pStyle w:val="ListParagraph"/>
        <w:numPr>
          <w:ilvl w:val="0"/>
          <w:numId w:val="28"/>
        </w:numPr>
        <w:tabs>
          <w:tab w:val="left" w:pos="0"/>
        </w:tabs>
        <w:spacing w:after="120" w:line="360" w:lineRule="auto"/>
        <w:ind w:right="-20"/>
        <w:jc w:val="both"/>
        <w:rPr>
          <w:rFonts w:eastAsia="Verdana" w:cs="Verdana"/>
          <w:lang w:val="bg-BG"/>
        </w:rPr>
      </w:pPr>
      <w:r w:rsidRPr="007375EB">
        <w:rPr>
          <w:rFonts w:eastAsia="Verdana" w:cs="Verdana"/>
          <w:lang w:val="bg-BG"/>
        </w:rPr>
        <w:t>Естетическа стойност (особеност, разнообразие, съгласуваност на елементите на ландшафта)</w:t>
      </w:r>
      <w:r w:rsidR="00DB1BBB" w:rsidRPr="007375EB">
        <w:rPr>
          <w:rFonts w:eastAsia="Verdana" w:cs="Verdana"/>
          <w:lang w:val="bg-BG"/>
        </w:rPr>
        <w:t>;</w:t>
      </w:r>
    </w:p>
    <w:p w14:paraId="23685410" w14:textId="7C563D1B" w:rsidR="00DB1BBB" w:rsidRPr="007375EB" w:rsidRDefault="004B7F3E" w:rsidP="00125F99">
      <w:pPr>
        <w:pStyle w:val="ListParagraph"/>
        <w:numPr>
          <w:ilvl w:val="0"/>
          <w:numId w:val="28"/>
        </w:numPr>
        <w:tabs>
          <w:tab w:val="left" w:pos="0"/>
        </w:tabs>
        <w:spacing w:after="120" w:line="360" w:lineRule="auto"/>
        <w:ind w:right="-20"/>
        <w:jc w:val="both"/>
        <w:rPr>
          <w:rFonts w:eastAsia="Verdana" w:cs="Verdana"/>
          <w:lang w:val="bg-BG"/>
        </w:rPr>
      </w:pPr>
      <w:r w:rsidRPr="007375EB">
        <w:rPr>
          <w:rFonts w:eastAsia="Verdana" w:cs="Verdana"/>
          <w:lang w:val="bg-BG"/>
        </w:rPr>
        <w:t>Традиционна стойност (ендемични природни елементи, отличителни културни елементи</w:t>
      </w:r>
      <w:r w:rsidR="00DB1BBB" w:rsidRPr="007375EB">
        <w:rPr>
          <w:rFonts w:eastAsia="Verdana" w:cs="Verdana"/>
          <w:lang w:val="bg-BG"/>
        </w:rPr>
        <w:t>).</w:t>
      </w:r>
    </w:p>
    <w:p w14:paraId="746DA800" w14:textId="6EF586E9" w:rsidR="00DB1BBB" w:rsidRPr="007375EB" w:rsidRDefault="004B7F3E" w:rsidP="000740C9">
      <w:pPr>
        <w:spacing w:after="120" w:line="360" w:lineRule="auto"/>
        <w:ind w:left="-20" w:right="-20"/>
        <w:jc w:val="both"/>
        <w:rPr>
          <w:rFonts w:eastAsia="Verdana" w:cs="Verdana"/>
          <w:color w:val="000000" w:themeColor="text1"/>
          <w:lang w:val="bg-BG"/>
        </w:rPr>
      </w:pPr>
      <w:r w:rsidRPr="007375EB">
        <w:rPr>
          <w:rFonts w:eastAsia="Verdana" w:cs="Verdana"/>
          <w:color w:val="000000" w:themeColor="text1"/>
          <w:lang w:val="bg-BG"/>
        </w:rPr>
        <w:t>Основната цел е да се осигурят елементи за насърчаване на публичните органи да приемат местни, регионални и трансгранични политики и мерки за защита, управление и планиране на ландшафта по такъв начин, че да поддържат и подобряват качеството на ландшафта и да привлекат обществеността, институциите и местните и регионалните власти да признаят стойността и важността на ландшафта и да участват в свързаните с това обществени решения. Интегрирането на ландшафтното измерение в изготвянето на политики за управление на територията, както общи, така и секторни, ще доведе до по-добра защита и управление на природното наследство в трансграничния район</w:t>
      </w:r>
      <w:r w:rsidR="00DB1BBB" w:rsidRPr="007375EB">
        <w:rPr>
          <w:rFonts w:eastAsia="Verdana" w:cs="Verdana"/>
          <w:color w:val="000000" w:themeColor="text1"/>
          <w:lang w:val="bg-BG"/>
        </w:rPr>
        <w:t>.</w:t>
      </w:r>
    </w:p>
    <w:p w14:paraId="0F56D4A9" w14:textId="77777777" w:rsidR="004B7F3E" w:rsidRPr="007375EB" w:rsidRDefault="004B7F3E" w:rsidP="004B7F3E">
      <w:pPr>
        <w:spacing w:after="120" w:line="360" w:lineRule="auto"/>
        <w:ind w:left="-20" w:right="-20"/>
        <w:jc w:val="both"/>
        <w:rPr>
          <w:rFonts w:eastAsia="Verdana" w:cs="Verdana"/>
          <w:color w:val="000000" w:themeColor="text1"/>
          <w:lang w:val="bg-BG"/>
        </w:rPr>
      </w:pPr>
      <w:r w:rsidRPr="007375EB">
        <w:rPr>
          <w:rFonts w:eastAsia="Verdana" w:cs="Verdana"/>
          <w:color w:val="000000" w:themeColor="text1"/>
          <w:lang w:val="bg-BG"/>
        </w:rPr>
        <w:t>Проучваният район е предимно селскостопански район, с бучки естествени пасища, използвани за паша на домашни животни.</w:t>
      </w:r>
    </w:p>
    <w:p w14:paraId="0AE3EF79" w14:textId="1129234D" w:rsidR="00AB4ACB" w:rsidRPr="007375EB" w:rsidRDefault="004B7F3E" w:rsidP="004B7F3E">
      <w:pPr>
        <w:spacing w:after="120" w:line="360" w:lineRule="auto"/>
        <w:ind w:left="-20" w:right="-20"/>
        <w:jc w:val="both"/>
        <w:rPr>
          <w:rFonts w:eastAsia="Verdana" w:cs="Verdana"/>
          <w:color w:val="000000" w:themeColor="text1"/>
          <w:lang w:val="bg-BG"/>
        </w:rPr>
      </w:pPr>
      <w:r w:rsidRPr="007375EB">
        <w:rPr>
          <w:rFonts w:eastAsia="Verdana" w:cs="Verdana"/>
          <w:color w:val="000000" w:themeColor="text1"/>
          <w:lang w:val="bg-BG"/>
        </w:rPr>
        <w:t>Ландшафтът е типичен за Добруджа, като се открояват варовикови отлагания от канарски тип, на нивото на които се срещат и редки типични за Добруджа калцифилни видове. Освен това ливадата е оградена и покрита на част от повърхността си от акациево насаждение (Robinia pseudoacacia, инвазивен чужд вид</w:t>
      </w:r>
      <w:r w:rsidR="00AB4ACB" w:rsidRPr="007375EB">
        <w:rPr>
          <w:rFonts w:eastAsia="Verdana" w:cs="Verdana"/>
          <w:color w:val="000000" w:themeColor="text1"/>
          <w:lang w:val="bg-BG"/>
        </w:rPr>
        <w:t>).</w:t>
      </w:r>
    </w:p>
    <w:p w14:paraId="6566B5C5" w14:textId="17D53846" w:rsidR="00AB4ACB" w:rsidRPr="007375EB" w:rsidRDefault="004B7F3E" w:rsidP="00AB4ACB">
      <w:pPr>
        <w:spacing w:after="120" w:line="360" w:lineRule="auto"/>
        <w:ind w:left="-20" w:right="-20"/>
        <w:jc w:val="both"/>
        <w:rPr>
          <w:rFonts w:eastAsia="Verdana" w:cs="Verdana"/>
          <w:color w:val="000000" w:themeColor="text1"/>
          <w:lang w:val="bg-BG"/>
        </w:rPr>
      </w:pPr>
      <w:r w:rsidRPr="007375EB">
        <w:rPr>
          <w:rFonts w:eastAsia="Verdana" w:cs="Verdana"/>
          <w:color w:val="000000" w:themeColor="text1"/>
          <w:lang w:val="bg-BG"/>
        </w:rPr>
        <w:t>Разпределението на растителността е разнородно, редуващи се райони с изобилна растителност с екземпляри в добро състояние на опазване с райони с рядка растителност, с намален размер и покритие и засегнати от присъствието на рудерални и някои сегетални видове</w:t>
      </w:r>
      <w:r w:rsidR="00AB4ACB" w:rsidRPr="007375EB">
        <w:rPr>
          <w:rFonts w:eastAsia="Verdana" w:cs="Verdana"/>
          <w:color w:val="000000" w:themeColor="text1"/>
          <w:lang w:val="bg-BG"/>
        </w:rPr>
        <w:t>.</w:t>
      </w:r>
    </w:p>
    <w:p w14:paraId="5222525B" w14:textId="1B63FB62" w:rsidR="006C0D8F" w:rsidRPr="007375EB" w:rsidRDefault="006C0D8F" w:rsidP="00875522">
      <w:pPr>
        <w:spacing w:after="120" w:line="360" w:lineRule="auto"/>
        <w:jc w:val="both"/>
        <w:rPr>
          <w:rFonts w:eastAsia="Verdana" w:cs="Verdana"/>
          <w:lang w:val="bg-BG"/>
        </w:rPr>
      </w:pPr>
      <w:r w:rsidRPr="007375EB">
        <w:rPr>
          <w:rFonts w:eastAsia="Verdana" w:cs="Verdana"/>
          <w:lang w:val="bg-BG"/>
        </w:rPr>
        <w:t xml:space="preserve">Фрагментацията на ландшафта се оценява с помощта на индикатора „effective mesh size “ (meff, </w:t>
      </w:r>
      <w:r w:rsidR="0034375E" w:rsidRPr="007375EB">
        <w:rPr>
          <w:rFonts w:eastAsia="Verdana" w:cs="Verdana"/>
          <w:lang w:val="bg-BG"/>
        </w:rPr>
        <w:t>км</w:t>
      </w:r>
      <w:r w:rsidRPr="007375EB">
        <w:rPr>
          <w:rFonts w:eastAsia="Verdana" w:cs="Verdana"/>
          <w:vertAlign w:val="superscript"/>
          <w:lang w:val="bg-BG"/>
        </w:rPr>
        <w:t>2</w:t>
      </w:r>
      <w:r w:rsidRPr="007375EB">
        <w:rPr>
          <w:rFonts w:eastAsia="Verdana" w:cs="Verdana"/>
          <w:lang w:val="bg-BG"/>
        </w:rPr>
        <w:t>), който предполага вероятността две произволни точки в дадена област да бъдат свързани, без да се натъкнат на препятствия („Landscape fragmentation in Europe “). Този индикатор се използва в някои страни от Европейския съюз и Швейцария за оценка на състоянието на околната среда, по-точно за разбиране на екологичните процеси на ниво ландшафт. Следващата фигура показва променливостта на фрагментацията на релефа на ниво община Черкезу, като се използват данни от EEA. Колкото по-малка е стойността на „effective mesh size “, толкова по-фрагментиран е пейзажът и показва намалена свързаност</w:t>
      </w:r>
    </w:p>
    <w:p w14:paraId="7A7715C8" w14:textId="6B0495B6" w:rsidR="00850E93" w:rsidRPr="007375EB" w:rsidRDefault="006C0D8F" w:rsidP="00850E93">
      <w:pPr>
        <w:spacing w:after="120" w:line="360" w:lineRule="auto"/>
        <w:jc w:val="both"/>
        <w:rPr>
          <w:rFonts w:eastAsia="Verdana" w:cs="Verdana"/>
          <w:lang w:val="bg-BG"/>
        </w:rPr>
      </w:pPr>
      <w:r w:rsidRPr="007375EB">
        <w:rPr>
          <w:rFonts w:eastAsia="Verdana" w:cs="Verdana"/>
          <w:lang w:val="bg-BG"/>
        </w:rPr>
        <w:lastRenderedPageBreak/>
        <w:t>Индикаторът, който е в основата на картата, взема предвид „средна и голяма антропогенна фрагментация“ (пътища, железопътни линии, застроени територии и др.) и изключва естествените бариери. На фигурата по-долу може да се види как най-високите стойности на фрагментация на ландшафта се намират в северозападната част на обекта в района на турбината T32. Въз основа на анализа на фрагментацията на ландшафта можем да заключим, че зоната за изпълнение на проекта (комуна Черчезу) е свързана с много ниска стойност на фрагментация</w:t>
      </w:r>
      <w:r w:rsidR="00850E93" w:rsidRPr="007375EB">
        <w:rPr>
          <w:rFonts w:eastAsia="Verdana" w:cs="Verdana"/>
          <w:lang w:val="bg-BG"/>
        </w:rPr>
        <w:t>.</w:t>
      </w:r>
    </w:p>
    <w:p w14:paraId="5A4C95DC" w14:textId="43CFDDA4" w:rsidR="002378B6" w:rsidRPr="007375EB" w:rsidRDefault="00C96A71" w:rsidP="00A122CA">
      <w:pPr>
        <w:spacing w:line="360" w:lineRule="auto"/>
        <w:ind w:left="-20" w:right="-23"/>
        <w:jc w:val="center"/>
        <w:rPr>
          <w:rFonts w:eastAsia="Verdana" w:cs="Verdana"/>
          <w:b/>
          <w:bCs/>
          <w:color w:val="009DE0"/>
          <w:sz w:val="15"/>
          <w:szCs w:val="15"/>
          <w:lang w:val="bg-BG"/>
        </w:rPr>
      </w:pPr>
      <w:r w:rsidRPr="007375EB">
        <w:rPr>
          <w:rFonts w:eastAsia="Verdana" w:cs="Verdana"/>
          <w:b/>
          <w:bCs/>
          <w:color w:val="009DE0"/>
          <w:sz w:val="15"/>
          <w:szCs w:val="15"/>
          <w:lang w:val="bg-BG"/>
        </w:rPr>
        <w:t xml:space="preserve"> </w:t>
      </w:r>
      <w:r w:rsidR="00426719" w:rsidRPr="007375EB">
        <w:rPr>
          <w:noProof/>
          <w:lang w:val="bg-BG"/>
        </w:rPr>
        <w:drawing>
          <wp:inline distT="0" distB="0" distL="0" distR="0" wp14:anchorId="235E26B0" wp14:editId="6381D269">
            <wp:extent cx="5904865" cy="417512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04865" cy="4175125"/>
                    </a:xfrm>
                    <a:prstGeom prst="rect">
                      <a:avLst/>
                    </a:prstGeom>
                    <a:noFill/>
                    <a:ln>
                      <a:noFill/>
                    </a:ln>
                  </pic:spPr>
                </pic:pic>
              </a:graphicData>
            </a:graphic>
          </wp:inline>
        </w:drawing>
      </w:r>
    </w:p>
    <w:p w14:paraId="61C44312" w14:textId="3A21A968" w:rsidR="00FD4430" w:rsidRPr="007375EB" w:rsidRDefault="00555D59" w:rsidP="00FD4430">
      <w:pPr>
        <w:pStyle w:val="Caption"/>
        <w:rPr>
          <w:b w:val="0"/>
          <w:bCs w:val="0"/>
          <w:i/>
          <w:iCs/>
          <w:sz w:val="16"/>
          <w:szCs w:val="16"/>
          <w:lang w:val="bg-BG"/>
        </w:rPr>
      </w:pPr>
      <w:r w:rsidRPr="007375EB">
        <w:rPr>
          <w:b w:val="0"/>
          <w:bCs w:val="0"/>
          <w:i/>
          <w:iCs/>
          <w:sz w:val="16"/>
          <w:szCs w:val="16"/>
          <w:lang w:val="bg-BG"/>
        </w:rPr>
        <w:t>Източник: Европейска агенция по околна среда</w:t>
      </w:r>
      <w:r w:rsidRPr="007375EB">
        <w:rPr>
          <w:i/>
          <w:iCs/>
          <w:sz w:val="16"/>
          <w:szCs w:val="16"/>
          <w:vertAlign w:val="superscript"/>
          <w:lang w:val="bg-BG"/>
        </w:rPr>
        <w:t xml:space="preserve"> </w:t>
      </w:r>
      <w:r w:rsidR="00FD4430" w:rsidRPr="007375EB">
        <w:rPr>
          <w:rStyle w:val="FootnoteReference"/>
          <w:rFonts w:eastAsia="Verdana" w:cs="Verdana"/>
          <w:b w:val="0"/>
          <w:bCs w:val="0"/>
          <w:i/>
          <w:iCs/>
          <w:color w:val="009DE0"/>
          <w:sz w:val="15"/>
          <w:szCs w:val="15"/>
          <w:lang w:val="bg-BG"/>
        </w:rPr>
        <w:footnoteReference w:id="27"/>
      </w:r>
    </w:p>
    <w:p w14:paraId="67A89C94" w14:textId="32BEEC80" w:rsidR="00DA49D0" w:rsidRPr="007375EB" w:rsidRDefault="00B230C6" w:rsidP="00DA49D0">
      <w:pPr>
        <w:pStyle w:val="Caption"/>
        <w:jc w:val="center"/>
        <w:rPr>
          <w:sz w:val="16"/>
          <w:szCs w:val="16"/>
          <w:vertAlign w:val="subscript"/>
          <w:lang w:val="bg-BG"/>
        </w:rPr>
      </w:pPr>
      <w:bookmarkStart w:id="26" w:name="_Hlk168580370"/>
      <w:r w:rsidRPr="007375EB">
        <w:rPr>
          <w:sz w:val="16"/>
          <w:szCs w:val="16"/>
          <w:lang w:val="bg-BG"/>
        </w:rPr>
        <w:t>Фигура</w:t>
      </w:r>
      <w:r w:rsidR="00DA49D0" w:rsidRPr="007375EB">
        <w:rPr>
          <w:sz w:val="16"/>
          <w:szCs w:val="16"/>
          <w:lang w:val="bg-BG"/>
        </w:rPr>
        <w:t xml:space="preserve"> 2. </w:t>
      </w:r>
      <w:r w:rsidR="00DA49D0" w:rsidRPr="007375EB">
        <w:rPr>
          <w:sz w:val="16"/>
          <w:szCs w:val="16"/>
          <w:lang w:val="bg-BG"/>
        </w:rPr>
        <w:fldChar w:fldCharType="begin"/>
      </w:r>
      <w:r w:rsidR="00DA49D0" w:rsidRPr="007375EB">
        <w:rPr>
          <w:sz w:val="16"/>
          <w:szCs w:val="16"/>
          <w:lang w:val="bg-BG"/>
        </w:rPr>
        <w:instrText xml:space="preserve"> SEQ Figura_2. \* ARABIC </w:instrText>
      </w:r>
      <w:r w:rsidR="00DA49D0" w:rsidRPr="007375EB">
        <w:rPr>
          <w:sz w:val="16"/>
          <w:szCs w:val="16"/>
          <w:lang w:val="bg-BG"/>
        </w:rPr>
        <w:fldChar w:fldCharType="separate"/>
      </w:r>
      <w:r w:rsidR="00683271" w:rsidRPr="007375EB">
        <w:rPr>
          <w:noProof/>
          <w:sz w:val="16"/>
          <w:szCs w:val="16"/>
          <w:lang w:val="bg-BG"/>
        </w:rPr>
        <w:t>22</w:t>
      </w:r>
      <w:r w:rsidR="00DA49D0" w:rsidRPr="007375EB">
        <w:rPr>
          <w:sz w:val="16"/>
          <w:szCs w:val="16"/>
          <w:lang w:val="bg-BG"/>
        </w:rPr>
        <w:fldChar w:fldCharType="end"/>
      </w:r>
      <w:r w:rsidR="00DA49D0" w:rsidRPr="007375EB">
        <w:rPr>
          <w:sz w:val="16"/>
          <w:szCs w:val="16"/>
          <w:lang w:val="bg-BG"/>
        </w:rPr>
        <w:t xml:space="preserve"> </w:t>
      </w:r>
      <w:r w:rsidR="00555D59" w:rsidRPr="007375EB">
        <w:rPr>
          <w:sz w:val="16"/>
          <w:szCs w:val="16"/>
          <w:lang w:val="bg-BG"/>
        </w:rPr>
        <w:t>Степен на фрагментация на ландшафта в района на прилагане на ГЗП</w:t>
      </w:r>
    </w:p>
    <w:bookmarkEnd w:id="26"/>
    <w:p w14:paraId="2115D26B" w14:textId="7B22E76C" w:rsidR="009A6CB7" w:rsidRPr="007375EB" w:rsidRDefault="004B7F3E" w:rsidP="00DA1849">
      <w:pPr>
        <w:spacing w:after="120" w:line="360" w:lineRule="auto"/>
        <w:jc w:val="both"/>
        <w:rPr>
          <w:rFonts w:eastAsia="Verdana" w:cs="Verdana"/>
          <w:lang w:val="bg-BG"/>
        </w:rPr>
      </w:pPr>
      <w:r w:rsidRPr="007375EB">
        <w:rPr>
          <w:rFonts w:eastAsia="Verdana" w:cs="Verdana"/>
          <w:lang w:val="bg-BG"/>
        </w:rPr>
        <w:t>Според проучване за ефекта на сушата върху физическите характеристики на ландшафта, температурните промени имат косвен ефект върху промените в релефа и ландшафта. Повишаването на температурата директно променя компонентите на водния баланс, свойствата на почвата и растителността. Основното въздействие върху ландшафта ще бъде свързано с ефекта от промените в количествата на валежите, които могат да доведат до суша и след това до ерозия на почвата</w:t>
      </w:r>
      <w:r w:rsidR="009A6CB7" w:rsidRPr="007375EB">
        <w:rPr>
          <w:rFonts w:eastAsia="Verdana" w:cs="Verdana"/>
          <w:lang w:val="bg-BG"/>
        </w:rPr>
        <w:t xml:space="preserve">. </w:t>
      </w:r>
    </w:p>
    <w:p w14:paraId="5D362092" w14:textId="7AAC55E7" w:rsidR="009A6CB7" w:rsidRPr="007375EB" w:rsidRDefault="004B7F3E" w:rsidP="00DA1849">
      <w:pPr>
        <w:spacing w:after="120" w:line="360" w:lineRule="auto"/>
        <w:jc w:val="both"/>
        <w:rPr>
          <w:rFonts w:eastAsia="Verdana" w:cs="Verdana"/>
          <w:lang w:val="bg-BG"/>
        </w:rPr>
      </w:pPr>
      <w:r w:rsidRPr="007375EB">
        <w:rPr>
          <w:rFonts w:eastAsia="Verdana" w:cs="Verdana"/>
          <w:lang w:val="bg-BG"/>
        </w:rPr>
        <w:t>За определяне на типовете ландшафт в района на обекта е използвана съществуващата европейска база данни LANMAP3. Типовете ландшафти се определят въз основа на критерии, които отчитат следните елементи</w:t>
      </w:r>
      <w:r w:rsidR="009A6CB7" w:rsidRPr="007375EB">
        <w:rPr>
          <w:rFonts w:eastAsia="Verdana" w:cs="Verdana"/>
          <w:lang w:val="bg-BG"/>
        </w:rPr>
        <w:t>:</w:t>
      </w:r>
    </w:p>
    <w:p w14:paraId="16714F3A" w14:textId="2DA48000" w:rsidR="004B7F3E" w:rsidRPr="007375EB" w:rsidRDefault="004B7F3E" w:rsidP="0041531F">
      <w:pPr>
        <w:pStyle w:val="ListParagraph"/>
        <w:numPr>
          <w:ilvl w:val="0"/>
          <w:numId w:val="68"/>
        </w:numPr>
        <w:spacing w:after="120" w:line="360" w:lineRule="auto"/>
        <w:ind w:right="-20"/>
        <w:contextualSpacing w:val="0"/>
        <w:jc w:val="both"/>
        <w:rPr>
          <w:rFonts w:eastAsia="Verdana" w:cs="Verdana"/>
          <w:color w:val="000000" w:themeColor="text1"/>
          <w:lang w:val="bg-BG"/>
        </w:rPr>
      </w:pPr>
      <w:r w:rsidRPr="007375EB">
        <w:rPr>
          <w:rFonts w:eastAsia="Verdana" w:cs="Verdana"/>
          <w:color w:val="000000" w:themeColor="text1"/>
          <w:lang w:val="bg-BG"/>
        </w:rPr>
        <w:lastRenderedPageBreak/>
        <w:t xml:space="preserve">Тип климат на района; </w:t>
      </w:r>
    </w:p>
    <w:p w14:paraId="259B037D" w14:textId="531D18E7" w:rsidR="009A6CB7" w:rsidRPr="007375EB" w:rsidRDefault="004B7F3E" w:rsidP="0041531F">
      <w:pPr>
        <w:pStyle w:val="ListParagraph"/>
        <w:numPr>
          <w:ilvl w:val="0"/>
          <w:numId w:val="68"/>
        </w:numPr>
        <w:spacing w:after="120" w:line="360" w:lineRule="auto"/>
        <w:ind w:right="-20"/>
        <w:contextualSpacing w:val="0"/>
        <w:jc w:val="both"/>
        <w:rPr>
          <w:rFonts w:eastAsia="Verdana" w:cs="Verdana"/>
          <w:color w:val="000000" w:themeColor="text1"/>
          <w:lang w:val="bg-BG"/>
        </w:rPr>
      </w:pPr>
      <w:r w:rsidRPr="007375EB">
        <w:rPr>
          <w:rFonts w:eastAsia="Verdana" w:cs="Verdana"/>
          <w:color w:val="000000" w:themeColor="text1"/>
          <w:lang w:val="bg-BG"/>
        </w:rPr>
        <w:t>Топография на местността;</w:t>
      </w:r>
    </w:p>
    <w:p w14:paraId="73224BB7" w14:textId="77777777" w:rsidR="004B7F3E" w:rsidRPr="007375EB" w:rsidRDefault="004B7F3E" w:rsidP="0041531F">
      <w:pPr>
        <w:pStyle w:val="ListParagraph"/>
        <w:numPr>
          <w:ilvl w:val="0"/>
          <w:numId w:val="68"/>
        </w:numPr>
        <w:spacing w:after="120" w:line="360" w:lineRule="auto"/>
        <w:ind w:right="-20"/>
        <w:contextualSpacing w:val="0"/>
        <w:jc w:val="both"/>
        <w:rPr>
          <w:rFonts w:eastAsia="Verdana" w:cs="Verdana"/>
          <w:color w:val="000000" w:themeColor="text1"/>
          <w:lang w:val="bg-BG"/>
        </w:rPr>
      </w:pPr>
      <w:r w:rsidRPr="007375EB">
        <w:rPr>
          <w:rFonts w:eastAsia="Verdana" w:cs="Verdana"/>
          <w:color w:val="000000" w:themeColor="text1"/>
          <w:lang w:val="bg-BG"/>
        </w:rPr>
        <w:t xml:space="preserve">Родителски скален материал; </w:t>
      </w:r>
    </w:p>
    <w:p w14:paraId="5583CB02" w14:textId="105DA226" w:rsidR="009A6CB7" w:rsidRPr="007375EB" w:rsidRDefault="004B7F3E" w:rsidP="0041531F">
      <w:pPr>
        <w:pStyle w:val="ListParagraph"/>
        <w:numPr>
          <w:ilvl w:val="0"/>
          <w:numId w:val="68"/>
        </w:numPr>
        <w:spacing w:after="120" w:line="360" w:lineRule="auto"/>
        <w:ind w:right="-20"/>
        <w:contextualSpacing w:val="0"/>
        <w:jc w:val="both"/>
        <w:rPr>
          <w:rFonts w:eastAsia="Verdana" w:cs="Verdana"/>
          <w:color w:val="000000" w:themeColor="text1"/>
          <w:lang w:val="bg-BG"/>
        </w:rPr>
      </w:pPr>
      <w:r w:rsidRPr="007375EB">
        <w:rPr>
          <w:rFonts w:eastAsia="Verdana" w:cs="Verdana"/>
          <w:color w:val="000000" w:themeColor="text1"/>
          <w:lang w:val="bg-BG"/>
        </w:rPr>
        <w:t>Използване на земята</w:t>
      </w:r>
      <w:r w:rsidR="009A6CB7" w:rsidRPr="007375EB">
        <w:rPr>
          <w:rFonts w:eastAsia="Verdana" w:cs="Verdana"/>
          <w:color w:val="000000" w:themeColor="text1"/>
          <w:lang w:val="bg-BG"/>
        </w:rPr>
        <w:t>.</w:t>
      </w:r>
    </w:p>
    <w:p w14:paraId="5103BE2A" w14:textId="77777777" w:rsidR="008D534C" w:rsidRPr="007375EB" w:rsidRDefault="008D534C" w:rsidP="008D534C">
      <w:pPr>
        <w:spacing w:after="120" w:line="360" w:lineRule="auto"/>
        <w:ind w:right="-23"/>
        <w:jc w:val="both"/>
        <w:rPr>
          <w:rFonts w:eastAsia="Verdana" w:cs="Verdana"/>
          <w:lang w:val="bg-BG"/>
        </w:rPr>
      </w:pPr>
      <w:r w:rsidRPr="007375EB">
        <w:rPr>
          <w:rFonts w:eastAsia="Verdana" w:cs="Verdana"/>
          <w:lang w:val="bg-BG"/>
        </w:rPr>
        <w:t>В нашата страна има разнообразие от пейзажи, около 45 пейзажа с планини с проломи и каньони, хълмове и плата, равнини и речни низини, реки и езера.</w:t>
      </w:r>
    </w:p>
    <w:p w14:paraId="6AE1FE9E" w14:textId="69885D6A" w:rsidR="004D361A" w:rsidRPr="007375EB" w:rsidRDefault="008D534C" w:rsidP="008D534C">
      <w:pPr>
        <w:spacing w:after="120" w:line="360" w:lineRule="auto"/>
        <w:ind w:right="-23"/>
        <w:jc w:val="both"/>
        <w:rPr>
          <w:rFonts w:eastAsia="Verdana" w:cs="Verdana"/>
          <w:lang w:val="bg-BG"/>
        </w:rPr>
      </w:pPr>
      <w:r w:rsidRPr="007375EB">
        <w:rPr>
          <w:rFonts w:eastAsia="Verdana" w:cs="Verdana"/>
          <w:lang w:val="bg-BG"/>
        </w:rPr>
        <w:t>Според регионалната диференциация на ландшафтите в България (Велчев, Тодоров, Пенин, 2003) територията на България попада в три основни ландшафтни провинции на Евразия: Алпийска, Източносредиземноморска и Понтийска.</w:t>
      </w:r>
    </w:p>
    <w:p w14:paraId="3C0FE6D7" w14:textId="457BC965" w:rsidR="009A6CB7" w:rsidRPr="007375EB" w:rsidRDefault="008D534C" w:rsidP="00DA1849">
      <w:pPr>
        <w:spacing w:after="120" w:line="360" w:lineRule="auto"/>
        <w:jc w:val="both"/>
        <w:rPr>
          <w:rFonts w:eastAsia="Verdana" w:cs="Verdana"/>
          <w:lang w:val="bg-BG"/>
        </w:rPr>
      </w:pPr>
      <w:r w:rsidRPr="007375EB">
        <w:rPr>
          <w:rFonts w:eastAsia="Verdana" w:cs="Verdana"/>
          <w:lang w:val="bg-BG"/>
        </w:rPr>
        <w:t>Следната Фигура показва пространственото разпределение на типовете ландшафт в анализираната зона</w:t>
      </w:r>
      <w:r w:rsidR="009A6CB7" w:rsidRPr="007375EB">
        <w:rPr>
          <w:rFonts w:eastAsia="Verdana" w:cs="Verdana"/>
          <w:lang w:val="bg-BG"/>
        </w:rPr>
        <w:t>.</w:t>
      </w:r>
    </w:p>
    <w:p w14:paraId="6D07320C" w14:textId="235F8CDB" w:rsidR="00AD54D8" w:rsidRPr="007375EB" w:rsidRDefault="00C43221" w:rsidP="00CC47C8">
      <w:pPr>
        <w:spacing w:after="120" w:line="240" w:lineRule="auto"/>
        <w:jc w:val="center"/>
        <w:rPr>
          <w:rFonts w:ascii="Times New Roman" w:eastAsia="Times New Roman" w:hAnsi="Times New Roman" w:cs="Times New Roman"/>
          <w:sz w:val="24"/>
          <w:szCs w:val="24"/>
          <w:lang w:val="bg-BG" w:eastAsia="ro-RO"/>
        </w:rPr>
      </w:pPr>
      <w:r w:rsidRPr="007375EB">
        <w:rPr>
          <w:noProof/>
          <w:lang w:val="bg-BG"/>
        </w:rPr>
        <w:drawing>
          <wp:inline distT="0" distB="0" distL="0" distR="0" wp14:anchorId="206505AC" wp14:editId="3E2AD6FE">
            <wp:extent cx="5904865" cy="4176395"/>
            <wp:effectExtent l="0" t="0" r="63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04865" cy="4176395"/>
                    </a:xfrm>
                    <a:prstGeom prst="rect">
                      <a:avLst/>
                    </a:prstGeom>
                    <a:noFill/>
                    <a:ln>
                      <a:noFill/>
                    </a:ln>
                  </pic:spPr>
                </pic:pic>
              </a:graphicData>
            </a:graphic>
          </wp:inline>
        </w:drawing>
      </w:r>
    </w:p>
    <w:p w14:paraId="53E471F5" w14:textId="11B708A1" w:rsidR="00A722A6" w:rsidRPr="007375EB" w:rsidRDefault="00B230C6" w:rsidP="00CC47C8">
      <w:pPr>
        <w:pStyle w:val="Caption"/>
        <w:spacing w:before="0" w:after="120" w:line="240" w:lineRule="auto"/>
        <w:jc w:val="center"/>
        <w:rPr>
          <w:sz w:val="16"/>
          <w:szCs w:val="16"/>
          <w:vertAlign w:val="subscript"/>
          <w:lang w:val="bg-BG"/>
        </w:rPr>
      </w:pPr>
      <w:r w:rsidRPr="007375EB">
        <w:rPr>
          <w:sz w:val="16"/>
          <w:szCs w:val="16"/>
          <w:lang w:val="bg-BG"/>
        </w:rPr>
        <w:t>Фигура</w:t>
      </w:r>
      <w:r w:rsidR="00A722A6" w:rsidRPr="007375EB">
        <w:rPr>
          <w:sz w:val="16"/>
          <w:szCs w:val="16"/>
          <w:lang w:val="bg-BG"/>
        </w:rPr>
        <w:t xml:space="preserve"> 2. </w:t>
      </w:r>
      <w:r w:rsidR="00A722A6" w:rsidRPr="007375EB">
        <w:rPr>
          <w:sz w:val="16"/>
          <w:szCs w:val="16"/>
          <w:lang w:val="bg-BG"/>
        </w:rPr>
        <w:fldChar w:fldCharType="begin"/>
      </w:r>
      <w:r w:rsidR="00A722A6" w:rsidRPr="007375EB">
        <w:rPr>
          <w:sz w:val="16"/>
          <w:szCs w:val="16"/>
          <w:lang w:val="bg-BG"/>
        </w:rPr>
        <w:instrText xml:space="preserve"> SEQ Figura_2. \* ARABIC </w:instrText>
      </w:r>
      <w:r w:rsidR="00A722A6" w:rsidRPr="007375EB">
        <w:rPr>
          <w:sz w:val="16"/>
          <w:szCs w:val="16"/>
          <w:lang w:val="bg-BG"/>
        </w:rPr>
        <w:fldChar w:fldCharType="separate"/>
      </w:r>
      <w:r w:rsidR="00683271" w:rsidRPr="007375EB">
        <w:rPr>
          <w:noProof/>
          <w:sz w:val="16"/>
          <w:szCs w:val="16"/>
          <w:lang w:val="bg-BG"/>
        </w:rPr>
        <w:t>23</w:t>
      </w:r>
      <w:r w:rsidR="00A722A6" w:rsidRPr="007375EB">
        <w:rPr>
          <w:sz w:val="16"/>
          <w:szCs w:val="16"/>
          <w:lang w:val="bg-BG"/>
        </w:rPr>
        <w:fldChar w:fldCharType="end"/>
      </w:r>
      <w:r w:rsidR="00A722A6" w:rsidRPr="007375EB">
        <w:rPr>
          <w:sz w:val="16"/>
          <w:szCs w:val="16"/>
          <w:lang w:val="bg-BG"/>
        </w:rPr>
        <w:t xml:space="preserve"> </w:t>
      </w:r>
      <w:r w:rsidR="008D534C" w:rsidRPr="007375EB">
        <w:rPr>
          <w:sz w:val="16"/>
          <w:szCs w:val="16"/>
          <w:lang w:val="bg-BG"/>
        </w:rPr>
        <w:t xml:space="preserve">Типове ландшафт, характерни за района, в който се предлага </w:t>
      </w:r>
      <w:r w:rsidR="00A722A6" w:rsidRPr="007375EB">
        <w:rPr>
          <w:sz w:val="16"/>
          <w:szCs w:val="16"/>
          <w:lang w:val="bg-BG"/>
        </w:rPr>
        <w:t>PUZ</w:t>
      </w:r>
    </w:p>
    <w:p w14:paraId="1EC215AC" w14:textId="77777777" w:rsidR="00A722A6" w:rsidRPr="007375EB" w:rsidRDefault="00A722A6" w:rsidP="00C06516">
      <w:pPr>
        <w:spacing w:after="120" w:line="360" w:lineRule="auto"/>
        <w:jc w:val="both"/>
        <w:rPr>
          <w:rFonts w:eastAsia="Verdana" w:cs="Verdana"/>
          <w:lang w:val="bg-BG"/>
        </w:rPr>
      </w:pPr>
    </w:p>
    <w:p w14:paraId="2F0C2D54" w14:textId="77777777" w:rsidR="008D534C" w:rsidRPr="007375EB" w:rsidRDefault="008D534C" w:rsidP="008D534C">
      <w:pPr>
        <w:spacing w:after="120" w:line="360" w:lineRule="auto"/>
        <w:ind w:left="-20" w:right="-20"/>
        <w:jc w:val="both"/>
        <w:rPr>
          <w:rFonts w:eastAsia="Verdana" w:cs="Verdana"/>
          <w:lang w:val="bg-BG"/>
        </w:rPr>
      </w:pPr>
      <w:r w:rsidRPr="007375EB">
        <w:rPr>
          <w:rFonts w:eastAsia="Verdana" w:cs="Verdana"/>
          <w:lang w:val="bg-BG"/>
        </w:rPr>
        <w:t>От горната фигура се вижда, че общият облик на района е доминиран от следните типове ландшафт: континентален - хълмист - хълмисто-седиментен - обработваеми земи и степни - хълмисто-седиментен - обработваеми земи.</w:t>
      </w:r>
    </w:p>
    <w:p w14:paraId="280C35C8" w14:textId="2CCCDB81" w:rsidR="006C4D44" w:rsidRPr="007375EB" w:rsidRDefault="008D534C" w:rsidP="008D534C">
      <w:pPr>
        <w:spacing w:after="120" w:line="360" w:lineRule="auto"/>
        <w:ind w:left="-20" w:right="-20"/>
        <w:jc w:val="both"/>
        <w:rPr>
          <w:rFonts w:eastAsia="Verdana" w:cs="Verdana"/>
          <w:lang w:val="bg-BG"/>
        </w:rPr>
      </w:pPr>
      <w:r w:rsidRPr="007375EB">
        <w:rPr>
          <w:rFonts w:eastAsia="Verdana" w:cs="Verdana"/>
          <w:lang w:val="bg-BG"/>
        </w:rPr>
        <w:t>В заключение може да се отбележи, че в община Черкезу ландшафтът е предимно степна зона с хълмист релеф, предимно хълмиста с обработваеми площи. На нивото на цялата територия на плана не са идентифицирани зони с висока чувствителност на ландшафта</w:t>
      </w:r>
      <w:r w:rsidR="006C4D44" w:rsidRPr="007375EB">
        <w:rPr>
          <w:rFonts w:eastAsia="Verdana" w:cs="Verdana"/>
          <w:lang w:val="bg-BG"/>
        </w:rPr>
        <w:t>.</w:t>
      </w:r>
    </w:p>
    <w:p w14:paraId="7C5251C5" w14:textId="77777777" w:rsidR="008D534C" w:rsidRPr="007375EB" w:rsidRDefault="008D534C" w:rsidP="008D534C">
      <w:pPr>
        <w:spacing w:after="120" w:line="360" w:lineRule="auto"/>
        <w:rPr>
          <w:rFonts w:eastAsia="Verdana" w:cs="Verdana"/>
          <w:lang w:val="bg-BG"/>
        </w:rPr>
      </w:pPr>
      <w:r w:rsidRPr="007375EB">
        <w:rPr>
          <w:rFonts w:eastAsia="Verdana" w:cs="Verdana"/>
          <w:lang w:val="bg-BG"/>
        </w:rPr>
        <w:lastRenderedPageBreak/>
        <w:t>Умерено и силно чувствителните зони, идентифицирани в района на проучването, са природните зони, свързани със защитените природни зони в съседство с проекта.</w:t>
      </w:r>
    </w:p>
    <w:p w14:paraId="1F0E3880" w14:textId="04FBD499" w:rsidR="00E225F1" w:rsidRPr="007375EB" w:rsidRDefault="008D534C" w:rsidP="008D534C">
      <w:pPr>
        <w:spacing w:after="120" w:line="360" w:lineRule="auto"/>
        <w:jc w:val="both"/>
        <w:rPr>
          <w:lang w:val="bg-BG"/>
        </w:rPr>
      </w:pPr>
      <w:r w:rsidRPr="007375EB">
        <w:rPr>
          <w:rFonts w:eastAsia="Verdana" w:cs="Verdana"/>
          <w:lang w:val="bg-BG"/>
        </w:rPr>
        <w:t>Ландшафтът на района може да бъде наблюдаван от снимките, направени по време на кампанията за мониторинг на растителни и животински видове от значение за общността, проведена от Ramboll в периметъра на предложения енергиен парк (01 април 2022 г. - 30 март 2023 г.).</w:t>
      </w:r>
    </w:p>
    <w:tbl>
      <w:tblPr>
        <w:tblStyle w:val="TableGrid90"/>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0"/>
        <w:gridCol w:w="4649"/>
      </w:tblGrid>
      <w:tr w:rsidR="00273FF9" w:rsidRPr="007375EB" w14:paraId="1622BD9A" w14:textId="77777777" w:rsidTr="009C00DD">
        <w:trPr>
          <w:jc w:val="center"/>
        </w:trPr>
        <w:tc>
          <w:tcPr>
            <w:tcW w:w="4650" w:type="dxa"/>
            <w:vAlign w:val="center"/>
          </w:tcPr>
          <w:p w14:paraId="63531590" w14:textId="77777777" w:rsidR="00273FF9" w:rsidRPr="007375EB" w:rsidRDefault="00273FF9" w:rsidP="00273FF9">
            <w:pPr>
              <w:spacing w:before="120" w:after="120"/>
              <w:jc w:val="both"/>
              <w:rPr>
                <w:rFonts w:eastAsia="Times New Roman" w:cs="Calibri"/>
                <w:color w:val="444444"/>
                <w:lang w:val="bg-BG" w:eastAsia="ro-RO"/>
              </w:rPr>
            </w:pPr>
            <w:r w:rsidRPr="007375EB">
              <w:rPr>
                <w:rFonts w:eastAsia="Times New Roman" w:cs="Calibri"/>
                <w:noProof/>
                <w:color w:val="444444"/>
                <w:lang w:val="bg-BG" w:eastAsia="ro-RO"/>
              </w:rPr>
              <w:drawing>
                <wp:inline distT="0" distB="0" distL="0" distR="0" wp14:anchorId="3849204C" wp14:editId="6868C4A5">
                  <wp:extent cx="3361717" cy="2520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361717" cy="2520000"/>
                          </a:xfrm>
                          <a:prstGeom prst="rect">
                            <a:avLst/>
                          </a:prstGeom>
                          <a:noFill/>
                          <a:ln>
                            <a:noFill/>
                          </a:ln>
                        </pic:spPr>
                      </pic:pic>
                    </a:graphicData>
                  </a:graphic>
                </wp:inline>
              </w:drawing>
            </w:r>
          </w:p>
        </w:tc>
        <w:tc>
          <w:tcPr>
            <w:tcW w:w="4649" w:type="dxa"/>
            <w:vAlign w:val="center"/>
          </w:tcPr>
          <w:p w14:paraId="056F33CC" w14:textId="77777777" w:rsidR="00273FF9" w:rsidRPr="007375EB" w:rsidRDefault="00273FF9" w:rsidP="00273FF9">
            <w:pPr>
              <w:spacing w:before="120" w:after="120"/>
              <w:jc w:val="center"/>
              <w:rPr>
                <w:rFonts w:eastAsia="Times New Roman" w:cs="Calibri"/>
                <w:color w:val="444444"/>
                <w:lang w:val="bg-BG" w:eastAsia="ro-RO"/>
              </w:rPr>
            </w:pPr>
            <w:r w:rsidRPr="007375EB">
              <w:rPr>
                <w:rFonts w:eastAsia="Times New Roman" w:cs="Calibri"/>
                <w:noProof/>
                <w:color w:val="444444"/>
                <w:lang w:val="bg-BG" w:eastAsia="ro-RO"/>
              </w:rPr>
              <w:drawing>
                <wp:inline distT="0" distB="0" distL="0" distR="0" wp14:anchorId="164CE142" wp14:editId="1E6A695C">
                  <wp:extent cx="3361717" cy="2520000"/>
                  <wp:effectExtent l="0" t="0" r="0" b="0"/>
                  <wp:docPr id="518356390" name="Picture 518356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61717" cy="2520000"/>
                          </a:xfrm>
                          <a:prstGeom prst="rect">
                            <a:avLst/>
                          </a:prstGeom>
                          <a:noFill/>
                          <a:ln>
                            <a:noFill/>
                          </a:ln>
                        </pic:spPr>
                      </pic:pic>
                    </a:graphicData>
                  </a:graphic>
                </wp:inline>
              </w:drawing>
            </w:r>
          </w:p>
        </w:tc>
      </w:tr>
      <w:tr w:rsidR="00273FF9" w:rsidRPr="007375EB" w14:paraId="08B3C1FB" w14:textId="77777777" w:rsidTr="009C00DD">
        <w:trPr>
          <w:jc w:val="center"/>
        </w:trPr>
        <w:tc>
          <w:tcPr>
            <w:tcW w:w="4650" w:type="dxa"/>
            <w:vAlign w:val="center"/>
          </w:tcPr>
          <w:p w14:paraId="4DD08207" w14:textId="77777777" w:rsidR="00273FF9" w:rsidRPr="007375EB" w:rsidRDefault="00273FF9" w:rsidP="00273FF9">
            <w:pPr>
              <w:spacing w:before="120" w:after="120"/>
              <w:jc w:val="both"/>
              <w:rPr>
                <w:rFonts w:eastAsia="Times New Roman" w:cs="Calibri"/>
                <w:color w:val="444444"/>
                <w:lang w:val="bg-BG" w:eastAsia="ro-RO"/>
              </w:rPr>
            </w:pPr>
            <w:r w:rsidRPr="007375EB">
              <w:rPr>
                <w:rFonts w:eastAsia="Times New Roman" w:cs="Calibri"/>
                <w:noProof/>
                <w:color w:val="444444"/>
                <w:lang w:val="bg-BG" w:eastAsia="ro-RO"/>
              </w:rPr>
              <w:drawing>
                <wp:inline distT="0" distB="0" distL="0" distR="0" wp14:anchorId="7358B3BA" wp14:editId="2CF3E773">
                  <wp:extent cx="3366449" cy="2520000"/>
                  <wp:effectExtent l="0" t="0" r="571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366449" cy="2520000"/>
                          </a:xfrm>
                          <a:prstGeom prst="rect">
                            <a:avLst/>
                          </a:prstGeom>
                          <a:noFill/>
                          <a:ln>
                            <a:noFill/>
                          </a:ln>
                        </pic:spPr>
                      </pic:pic>
                    </a:graphicData>
                  </a:graphic>
                </wp:inline>
              </w:drawing>
            </w:r>
          </w:p>
        </w:tc>
        <w:tc>
          <w:tcPr>
            <w:tcW w:w="4649" w:type="dxa"/>
            <w:vAlign w:val="center"/>
          </w:tcPr>
          <w:p w14:paraId="53193284" w14:textId="77777777" w:rsidR="00273FF9" w:rsidRPr="007375EB" w:rsidRDefault="00273FF9" w:rsidP="00273FF9">
            <w:pPr>
              <w:spacing w:before="120" w:after="120"/>
              <w:jc w:val="both"/>
              <w:rPr>
                <w:rFonts w:eastAsia="Times New Roman" w:cs="Calibri"/>
                <w:color w:val="444444"/>
                <w:lang w:val="bg-BG" w:eastAsia="ro-RO"/>
              </w:rPr>
            </w:pPr>
            <w:r w:rsidRPr="007375EB">
              <w:rPr>
                <w:rFonts w:eastAsia="Times New Roman" w:cs="Calibri"/>
                <w:noProof/>
                <w:color w:val="444444"/>
                <w:lang w:val="bg-BG" w:eastAsia="ro-RO"/>
              </w:rPr>
              <w:drawing>
                <wp:inline distT="0" distB="0" distL="0" distR="0" wp14:anchorId="2402EA71" wp14:editId="1EE8A55A">
                  <wp:extent cx="3361717" cy="2520000"/>
                  <wp:effectExtent l="0" t="0" r="0" b="0"/>
                  <wp:docPr id="1233612106" name="Picture 123361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361717" cy="2520000"/>
                          </a:xfrm>
                          <a:prstGeom prst="rect">
                            <a:avLst/>
                          </a:prstGeom>
                          <a:noFill/>
                          <a:ln>
                            <a:noFill/>
                          </a:ln>
                        </pic:spPr>
                      </pic:pic>
                    </a:graphicData>
                  </a:graphic>
                </wp:inline>
              </w:drawing>
            </w:r>
          </w:p>
        </w:tc>
      </w:tr>
      <w:tr w:rsidR="00273FF9" w:rsidRPr="007375EB" w14:paraId="452AC427" w14:textId="77777777" w:rsidTr="009C00DD">
        <w:trPr>
          <w:jc w:val="center"/>
        </w:trPr>
        <w:tc>
          <w:tcPr>
            <w:tcW w:w="4650" w:type="dxa"/>
            <w:vAlign w:val="center"/>
          </w:tcPr>
          <w:p w14:paraId="73256D5B" w14:textId="77777777" w:rsidR="00273FF9" w:rsidRPr="007375EB" w:rsidRDefault="00273FF9" w:rsidP="00273FF9">
            <w:pPr>
              <w:spacing w:before="120" w:after="120"/>
              <w:jc w:val="both"/>
              <w:rPr>
                <w:rFonts w:eastAsia="Times New Roman" w:cs="Calibri"/>
                <w:color w:val="444444"/>
                <w:lang w:val="bg-BG" w:eastAsia="ro-RO"/>
              </w:rPr>
            </w:pPr>
            <w:r w:rsidRPr="007375EB">
              <w:rPr>
                <w:rFonts w:eastAsia="Times New Roman" w:cs="Calibri"/>
                <w:noProof/>
                <w:color w:val="444444"/>
                <w:lang w:val="bg-BG" w:eastAsia="ro-RO"/>
              </w:rPr>
              <w:lastRenderedPageBreak/>
              <w:drawing>
                <wp:inline distT="0" distB="0" distL="0" distR="0" wp14:anchorId="5E1C3F4A" wp14:editId="7CB4F2AA">
                  <wp:extent cx="3375460" cy="2520000"/>
                  <wp:effectExtent l="0" t="0" r="0" b="0"/>
                  <wp:docPr id="698316745" name="Picture 698316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375460" cy="2520000"/>
                          </a:xfrm>
                          <a:prstGeom prst="rect">
                            <a:avLst/>
                          </a:prstGeom>
                          <a:noFill/>
                          <a:ln>
                            <a:noFill/>
                          </a:ln>
                        </pic:spPr>
                      </pic:pic>
                    </a:graphicData>
                  </a:graphic>
                </wp:inline>
              </w:drawing>
            </w:r>
          </w:p>
        </w:tc>
        <w:tc>
          <w:tcPr>
            <w:tcW w:w="4649" w:type="dxa"/>
            <w:vAlign w:val="center"/>
          </w:tcPr>
          <w:p w14:paraId="7DE13E95" w14:textId="77777777" w:rsidR="00273FF9" w:rsidRPr="007375EB" w:rsidRDefault="00273FF9" w:rsidP="00273FF9">
            <w:pPr>
              <w:spacing w:before="120" w:after="120"/>
              <w:jc w:val="both"/>
              <w:rPr>
                <w:rFonts w:eastAsia="Times New Roman" w:cs="Calibri"/>
                <w:color w:val="444444"/>
                <w:lang w:val="bg-BG" w:eastAsia="ro-RO"/>
              </w:rPr>
            </w:pPr>
            <w:r w:rsidRPr="007375EB">
              <w:rPr>
                <w:rFonts w:eastAsia="Times New Roman" w:cs="Calibri"/>
                <w:noProof/>
                <w:color w:val="444444"/>
                <w:lang w:val="bg-BG" w:eastAsia="ro-RO"/>
              </w:rPr>
              <w:drawing>
                <wp:inline distT="0" distB="0" distL="0" distR="0" wp14:anchorId="44CE5C78" wp14:editId="3BBE330C">
                  <wp:extent cx="3374651" cy="2520000"/>
                  <wp:effectExtent l="0" t="0" r="0" b="0"/>
                  <wp:docPr id="1583653423" name="Picture 158365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374651" cy="2520000"/>
                          </a:xfrm>
                          <a:prstGeom prst="rect">
                            <a:avLst/>
                          </a:prstGeom>
                          <a:noFill/>
                          <a:ln>
                            <a:noFill/>
                          </a:ln>
                        </pic:spPr>
                      </pic:pic>
                    </a:graphicData>
                  </a:graphic>
                </wp:inline>
              </w:drawing>
            </w:r>
          </w:p>
        </w:tc>
      </w:tr>
      <w:tr w:rsidR="00273FF9" w:rsidRPr="007375EB" w14:paraId="38AE9522" w14:textId="77777777" w:rsidTr="009C00DD">
        <w:trPr>
          <w:jc w:val="center"/>
        </w:trPr>
        <w:tc>
          <w:tcPr>
            <w:tcW w:w="4650" w:type="dxa"/>
            <w:vAlign w:val="center"/>
          </w:tcPr>
          <w:p w14:paraId="14B3E6E9" w14:textId="77777777" w:rsidR="00273FF9" w:rsidRPr="007375EB" w:rsidRDefault="00273FF9" w:rsidP="00273FF9">
            <w:pPr>
              <w:spacing w:before="120" w:after="120"/>
              <w:jc w:val="both"/>
              <w:rPr>
                <w:rFonts w:eastAsia="Times New Roman" w:cs="Calibri"/>
                <w:color w:val="444444"/>
                <w:lang w:val="bg-BG" w:eastAsia="ro-RO"/>
              </w:rPr>
            </w:pPr>
            <w:r w:rsidRPr="007375EB">
              <w:rPr>
                <w:rFonts w:eastAsia="Times New Roman" w:cs="Calibri"/>
                <w:noProof/>
                <w:color w:val="444444"/>
                <w:lang w:val="bg-BG" w:eastAsia="ro-RO"/>
              </w:rPr>
              <w:drawing>
                <wp:inline distT="0" distB="0" distL="0" distR="0" wp14:anchorId="0AB929D5" wp14:editId="7C867504">
                  <wp:extent cx="3368171" cy="2520000"/>
                  <wp:effectExtent l="0" t="0" r="3810" b="0"/>
                  <wp:docPr id="196603207" name="Picture 19660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368171" cy="2520000"/>
                          </a:xfrm>
                          <a:prstGeom prst="rect">
                            <a:avLst/>
                          </a:prstGeom>
                          <a:noFill/>
                          <a:ln>
                            <a:noFill/>
                          </a:ln>
                        </pic:spPr>
                      </pic:pic>
                    </a:graphicData>
                  </a:graphic>
                </wp:inline>
              </w:drawing>
            </w:r>
          </w:p>
        </w:tc>
        <w:tc>
          <w:tcPr>
            <w:tcW w:w="4649" w:type="dxa"/>
            <w:vAlign w:val="center"/>
          </w:tcPr>
          <w:p w14:paraId="54AE2AD8" w14:textId="77777777" w:rsidR="00273FF9" w:rsidRPr="007375EB" w:rsidRDefault="00273FF9" w:rsidP="00273FF9">
            <w:pPr>
              <w:spacing w:before="120" w:after="120"/>
              <w:jc w:val="both"/>
              <w:rPr>
                <w:rFonts w:eastAsia="Times New Roman" w:cs="Calibri"/>
                <w:color w:val="444444"/>
                <w:lang w:val="bg-BG" w:eastAsia="ro-RO"/>
              </w:rPr>
            </w:pPr>
            <w:r w:rsidRPr="007375EB">
              <w:rPr>
                <w:rFonts w:eastAsia="Times New Roman" w:cs="Calibri"/>
                <w:noProof/>
                <w:color w:val="444444"/>
                <w:lang w:val="bg-BG" w:eastAsia="ro-RO"/>
              </w:rPr>
              <w:drawing>
                <wp:inline distT="0" distB="0" distL="0" distR="0" wp14:anchorId="4D4413D6" wp14:editId="47B9DC79">
                  <wp:extent cx="3374737" cy="2520000"/>
                  <wp:effectExtent l="0" t="0" r="0" b="0"/>
                  <wp:docPr id="663913172" name="Picture 66391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374737" cy="2520000"/>
                          </a:xfrm>
                          <a:prstGeom prst="rect">
                            <a:avLst/>
                          </a:prstGeom>
                          <a:noFill/>
                          <a:ln>
                            <a:noFill/>
                          </a:ln>
                        </pic:spPr>
                      </pic:pic>
                    </a:graphicData>
                  </a:graphic>
                </wp:inline>
              </w:drawing>
            </w:r>
          </w:p>
        </w:tc>
      </w:tr>
      <w:tr w:rsidR="00273FF9" w:rsidRPr="007375EB" w14:paraId="60F87FBB" w14:textId="77777777" w:rsidTr="009C00DD">
        <w:trPr>
          <w:jc w:val="center"/>
        </w:trPr>
        <w:tc>
          <w:tcPr>
            <w:tcW w:w="4650" w:type="dxa"/>
            <w:vAlign w:val="center"/>
          </w:tcPr>
          <w:p w14:paraId="1C9C0C13" w14:textId="77777777" w:rsidR="00273FF9" w:rsidRPr="007375EB" w:rsidRDefault="00273FF9" w:rsidP="00273FF9">
            <w:pPr>
              <w:spacing w:before="120" w:after="120"/>
              <w:jc w:val="both"/>
              <w:rPr>
                <w:rFonts w:eastAsia="Times New Roman" w:cs="Calibri"/>
                <w:color w:val="444444"/>
                <w:lang w:val="bg-BG" w:eastAsia="ro-RO"/>
              </w:rPr>
            </w:pPr>
            <w:r w:rsidRPr="007375EB">
              <w:rPr>
                <w:rFonts w:eastAsia="Times New Roman" w:cs="Calibri"/>
                <w:noProof/>
                <w:color w:val="444444"/>
                <w:lang w:val="bg-BG" w:eastAsia="ro-RO"/>
              </w:rPr>
              <w:drawing>
                <wp:inline distT="0" distB="0" distL="0" distR="0" wp14:anchorId="404BDEBB" wp14:editId="39AC7E6E">
                  <wp:extent cx="3368171" cy="2520000"/>
                  <wp:effectExtent l="0" t="0" r="3810" b="0"/>
                  <wp:docPr id="1996915555" name="Picture 1996915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368171" cy="2520000"/>
                          </a:xfrm>
                          <a:prstGeom prst="rect">
                            <a:avLst/>
                          </a:prstGeom>
                          <a:noFill/>
                          <a:ln>
                            <a:noFill/>
                          </a:ln>
                        </pic:spPr>
                      </pic:pic>
                    </a:graphicData>
                  </a:graphic>
                </wp:inline>
              </w:drawing>
            </w:r>
          </w:p>
        </w:tc>
        <w:tc>
          <w:tcPr>
            <w:tcW w:w="4649" w:type="dxa"/>
            <w:vAlign w:val="center"/>
          </w:tcPr>
          <w:p w14:paraId="2987FCC3" w14:textId="77777777" w:rsidR="00273FF9" w:rsidRPr="007375EB" w:rsidRDefault="00273FF9" w:rsidP="00273FF9">
            <w:pPr>
              <w:spacing w:before="120" w:after="120"/>
              <w:jc w:val="both"/>
              <w:rPr>
                <w:rFonts w:eastAsia="Times New Roman" w:cs="Calibri"/>
                <w:color w:val="444444"/>
                <w:lang w:val="bg-BG" w:eastAsia="ro-RO"/>
              </w:rPr>
            </w:pPr>
            <w:r w:rsidRPr="007375EB">
              <w:rPr>
                <w:rFonts w:eastAsia="Times New Roman" w:cs="Calibri"/>
                <w:noProof/>
                <w:color w:val="444444"/>
                <w:lang w:val="bg-BG" w:eastAsia="ro-RO"/>
              </w:rPr>
              <w:drawing>
                <wp:inline distT="0" distB="0" distL="0" distR="0" wp14:anchorId="297B1B47" wp14:editId="72D23A0C">
                  <wp:extent cx="3368171" cy="2520000"/>
                  <wp:effectExtent l="0" t="0" r="3810" b="0"/>
                  <wp:docPr id="609100108" name="Picture 609100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368171" cy="2520000"/>
                          </a:xfrm>
                          <a:prstGeom prst="rect">
                            <a:avLst/>
                          </a:prstGeom>
                          <a:noFill/>
                          <a:ln>
                            <a:noFill/>
                          </a:ln>
                        </pic:spPr>
                      </pic:pic>
                    </a:graphicData>
                  </a:graphic>
                </wp:inline>
              </w:drawing>
            </w:r>
          </w:p>
        </w:tc>
      </w:tr>
    </w:tbl>
    <w:p w14:paraId="46DB4C23" w14:textId="067FB3BA" w:rsidR="009C00DD" w:rsidRPr="007375EB" w:rsidRDefault="00B230C6" w:rsidP="009C00DD">
      <w:pPr>
        <w:pStyle w:val="Caption"/>
        <w:spacing w:before="0" w:after="120" w:line="240" w:lineRule="auto"/>
        <w:jc w:val="center"/>
        <w:rPr>
          <w:sz w:val="16"/>
          <w:szCs w:val="16"/>
          <w:vertAlign w:val="subscript"/>
          <w:lang w:val="bg-BG"/>
        </w:rPr>
      </w:pPr>
      <w:r w:rsidRPr="007375EB">
        <w:rPr>
          <w:sz w:val="16"/>
          <w:szCs w:val="16"/>
          <w:lang w:val="bg-BG"/>
        </w:rPr>
        <w:t>Фигура</w:t>
      </w:r>
      <w:r w:rsidR="009C00DD" w:rsidRPr="007375EB">
        <w:rPr>
          <w:sz w:val="16"/>
          <w:szCs w:val="16"/>
          <w:lang w:val="bg-BG"/>
        </w:rPr>
        <w:t xml:space="preserve"> 2. </w:t>
      </w:r>
      <w:r w:rsidR="009C00DD" w:rsidRPr="007375EB">
        <w:rPr>
          <w:sz w:val="16"/>
          <w:szCs w:val="16"/>
          <w:lang w:val="bg-BG"/>
        </w:rPr>
        <w:fldChar w:fldCharType="begin"/>
      </w:r>
      <w:r w:rsidR="009C00DD" w:rsidRPr="007375EB">
        <w:rPr>
          <w:sz w:val="16"/>
          <w:szCs w:val="16"/>
          <w:lang w:val="bg-BG"/>
        </w:rPr>
        <w:instrText xml:space="preserve"> SEQ Figura_2. \* ARABIC </w:instrText>
      </w:r>
      <w:r w:rsidR="009C00DD" w:rsidRPr="007375EB">
        <w:rPr>
          <w:sz w:val="16"/>
          <w:szCs w:val="16"/>
          <w:lang w:val="bg-BG"/>
        </w:rPr>
        <w:fldChar w:fldCharType="separate"/>
      </w:r>
      <w:r w:rsidR="009C00DD" w:rsidRPr="007375EB">
        <w:rPr>
          <w:noProof/>
          <w:sz w:val="16"/>
          <w:szCs w:val="16"/>
          <w:lang w:val="bg-BG"/>
        </w:rPr>
        <w:t>24</w:t>
      </w:r>
      <w:r w:rsidR="009C00DD" w:rsidRPr="007375EB">
        <w:rPr>
          <w:sz w:val="16"/>
          <w:szCs w:val="16"/>
          <w:lang w:val="bg-BG"/>
        </w:rPr>
        <w:fldChar w:fldCharType="end"/>
      </w:r>
      <w:r w:rsidR="009C00DD" w:rsidRPr="007375EB">
        <w:rPr>
          <w:sz w:val="16"/>
          <w:szCs w:val="16"/>
          <w:lang w:val="bg-BG"/>
        </w:rPr>
        <w:t xml:space="preserve"> </w:t>
      </w:r>
      <w:r w:rsidR="008D534C" w:rsidRPr="007375EB">
        <w:rPr>
          <w:sz w:val="16"/>
          <w:szCs w:val="16"/>
          <w:lang w:val="bg-BG"/>
        </w:rPr>
        <w:t>Аспекти на тревната растителност в анализираните зони</w:t>
      </w:r>
    </w:p>
    <w:p w14:paraId="1FE0AB9B" w14:textId="77777777" w:rsidR="009C00DD" w:rsidRPr="007375EB" w:rsidRDefault="009C00DD" w:rsidP="009B5E28">
      <w:pPr>
        <w:spacing w:after="120" w:line="360" w:lineRule="auto"/>
        <w:rPr>
          <w:lang w:val="bg-BG"/>
        </w:rPr>
      </w:pPr>
    </w:p>
    <w:p w14:paraId="797BB5E8" w14:textId="4408A0E1" w:rsidR="00EF6637" w:rsidRPr="007375EB" w:rsidRDefault="008D534C" w:rsidP="009B5E28">
      <w:pPr>
        <w:spacing w:after="120" w:line="360" w:lineRule="auto"/>
        <w:rPr>
          <w:lang w:val="bg-BG"/>
        </w:rPr>
      </w:pPr>
      <w:r w:rsidRPr="007375EB">
        <w:rPr>
          <w:lang w:val="bg-BG"/>
        </w:rPr>
        <w:t>Разпределението на растителността е хетерогенно, като се редуват зони с богата растителност и зони с рядка растителност, с намален размер и покритие.</w:t>
      </w:r>
    </w:p>
    <w:p w14:paraId="67CD9FD6" w14:textId="64F42F0B" w:rsidR="00E54B89" w:rsidRPr="007375EB" w:rsidRDefault="008D534C" w:rsidP="00AC5470">
      <w:pPr>
        <w:pStyle w:val="ListParagraph"/>
        <w:numPr>
          <w:ilvl w:val="2"/>
          <w:numId w:val="21"/>
        </w:numPr>
        <w:spacing w:after="120" w:line="360" w:lineRule="auto"/>
        <w:jc w:val="both"/>
        <w:outlineLvl w:val="2"/>
        <w:rPr>
          <w:rFonts w:cs="Arial"/>
          <w:b/>
          <w:i/>
          <w:color w:val="00B0F0"/>
          <w:lang w:val="bg-BG"/>
        </w:rPr>
      </w:pPr>
      <w:r w:rsidRPr="007375EB">
        <w:rPr>
          <w:rFonts w:cs="Arial"/>
          <w:b/>
          <w:i/>
          <w:color w:val="00B0F0"/>
          <w:lang w:val="bg-BG"/>
        </w:rPr>
        <w:lastRenderedPageBreak/>
        <w:t xml:space="preserve"> Изменение на климата</w:t>
      </w:r>
    </w:p>
    <w:p w14:paraId="10B962D5" w14:textId="77777777" w:rsidR="008D534C" w:rsidRPr="007375EB" w:rsidRDefault="008D534C" w:rsidP="008D534C">
      <w:pPr>
        <w:spacing w:after="120" w:line="360" w:lineRule="auto"/>
        <w:jc w:val="both"/>
        <w:rPr>
          <w:lang w:val="bg-BG"/>
        </w:rPr>
      </w:pPr>
      <w:r w:rsidRPr="007375EB">
        <w:rPr>
          <w:lang w:val="bg-BG"/>
        </w:rPr>
        <w:t>Оценката на изменението на климата се състои от два компонента: въздействието на проекта върху изменението на климата (принос към емисиите на парникови газове (ПГ)) и адаптация към изменението на климата.</w:t>
      </w:r>
    </w:p>
    <w:p w14:paraId="0BC19E0A" w14:textId="331136FC" w:rsidR="00A33FF3" w:rsidRPr="007375EB" w:rsidRDefault="008D534C" w:rsidP="008D534C">
      <w:pPr>
        <w:spacing w:after="120" w:line="360" w:lineRule="auto"/>
        <w:jc w:val="both"/>
        <w:rPr>
          <w:sz w:val="16"/>
          <w:szCs w:val="16"/>
          <w:lang w:val="bg-BG"/>
        </w:rPr>
      </w:pPr>
      <w:r w:rsidRPr="007375EB">
        <w:rPr>
          <w:lang w:val="bg-BG"/>
        </w:rPr>
        <w:t>Изменението на климата представлява една от най-големите заплахи за околната среда, социалната и икономическата рамка. Тези промени се дължат най-вече на емисиите на парникови газове в резултат на антропогенни дейности, представени от: CO2</w:t>
      </w:r>
      <w:r w:rsidR="00A33FF3" w:rsidRPr="007375EB">
        <w:rPr>
          <w:lang w:val="bg-BG"/>
        </w:rPr>
        <w:t>, CH</w:t>
      </w:r>
      <w:r w:rsidR="00A33FF3" w:rsidRPr="007375EB">
        <w:rPr>
          <w:vertAlign w:val="subscript"/>
          <w:lang w:val="bg-BG"/>
        </w:rPr>
        <w:t>4</w:t>
      </w:r>
      <w:r w:rsidR="00A33FF3" w:rsidRPr="007375EB">
        <w:rPr>
          <w:lang w:val="bg-BG"/>
        </w:rPr>
        <w:t>, N</w:t>
      </w:r>
      <w:r w:rsidR="00A33FF3" w:rsidRPr="007375EB">
        <w:rPr>
          <w:vertAlign w:val="subscript"/>
          <w:lang w:val="bg-BG"/>
        </w:rPr>
        <w:t>2</w:t>
      </w:r>
      <w:r w:rsidR="00A33FF3" w:rsidRPr="007375EB">
        <w:rPr>
          <w:lang w:val="bg-BG"/>
        </w:rPr>
        <w:t>O, HFCs, PFCs, SF</w:t>
      </w:r>
      <w:r w:rsidR="00A33FF3" w:rsidRPr="007375EB">
        <w:rPr>
          <w:vertAlign w:val="subscript"/>
          <w:lang w:val="bg-BG"/>
        </w:rPr>
        <w:t>6</w:t>
      </w:r>
      <w:r w:rsidR="00A33FF3" w:rsidRPr="007375EB">
        <w:rPr>
          <w:sz w:val="16"/>
          <w:szCs w:val="16"/>
          <w:lang w:val="bg-BG"/>
        </w:rPr>
        <w:t>.</w:t>
      </w:r>
    </w:p>
    <w:p w14:paraId="1DD89EF5" w14:textId="79FC49BA" w:rsidR="00A33FF3" w:rsidRPr="007375EB" w:rsidRDefault="008D534C" w:rsidP="00A33FF3">
      <w:pPr>
        <w:spacing w:after="120" w:line="360" w:lineRule="auto"/>
        <w:jc w:val="both"/>
        <w:rPr>
          <w:lang w:val="bg-BG"/>
        </w:rPr>
      </w:pPr>
      <w:r w:rsidRPr="007375EB">
        <w:rPr>
          <w:lang w:val="bg-BG"/>
        </w:rPr>
        <w:t>Основните източници на парникови газове, причинени от човека, са: изгарянето на изкопаеми горива за производство на електроенергия, в транспорта, промишлеността и домакинствата; промените в селското стопанство и земеползването (обезлесяване), депонирането на отпадъци и използването на флуорирани промишлени газове.</w:t>
      </w:r>
    </w:p>
    <w:p w14:paraId="1A56CEC2" w14:textId="3D7F6911" w:rsidR="00A33FF3" w:rsidRPr="007375EB" w:rsidRDefault="008D534C" w:rsidP="00A33FF3">
      <w:pPr>
        <w:spacing w:after="120" w:line="360" w:lineRule="auto"/>
        <w:jc w:val="both"/>
        <w:rPr>
          <w:lang w:val="bg-BG"/>
        </w:rPr>
      </w:pPr>
      <w:r w:rsidRPr="007375EB">
        <w:rPr>
          <w:b/>
          <w:bCs/>
          <w:lang w:val="bg-BG"/>
        </w:rPr>
        <w:t xml:space="preserve">Изменението на климата </w:t>
      </w:r>
      <w:r w:rsidRPr="007375EB">
        <w:rPr>
          <w:lang w:val="bg-BG"/>
        </w:rPr>
        <w:t>води до две основни предизвикателства</w:t>
      </w:r>
      <w:r w:rsidRPr="007375EB">
        <w:rPr>
          <w:b/>
          <w:bCs/>
          <w:lang w:val="bg-BG"/>
        </w:rPr>
        <w:t xml:space="preserve">: рязко намаляване </w:t>
      </w:r>
      <w:r w:rsidRPr="007375EB">
        <w:rPr>
          <w:lang w:val="bg-BG"/>
        </w:rPr>
        <w:t>на емисиите на парникови газове</w:t>
      </w:r>
      <w:r w:rsidRPr="007375EB">
        <w:rPr>
          <w:b/>
          <w:bCs/>
          <w:lang w:val="bg-BG"/>
        </w:rPr>
        <w:t xml:space="preserve"> и адаптиране </w:t>
      </w:r>
      <w:r w:rsidRPr="007375EB">
        <w:rPr>
          <w:lang w:val="bg-BG"/>
        </w:rPr>
        <w:t>чрез устойчиво развитие, преминаване към икономика, която не е свързана с въглеродните емисии и същевременно осигурява добро качество на живот на гражданите и ефективна защита на живота и имуществото им от нови уязвимости и рискове от природни бедствия</w:t>
      </w:r>
      <w:r w:rsidR="00A33FF3" w:rsidRPr="007375EB">
        <w:rPr>
          <w:lang w:val="bg-BG"/>
        </w:rPr>
        <w:t>.</w:t>
      </w:r>
    </w:p>
    <w:p w14:paraId="6EFB032C" w14:textId="02B0E3D9" w:rsidR="003A5A51" w:rsidRPr="007375EB" w:rsidRDefault="008D534C" w:rsidP="003A5A51">
      <w:pPr>
        <w:spacing w:after="120" w:line="360" w:lineRule="auto"/>
        <w:jc w:val="both"/>
        <w:rPr>
          <w:lang w:val="bg-BG"/>
        </w:rPr>
      </w:pPr>
      <w:r w:rsidRPr="007375EB">
        <w:rPr>
          <w:lang w:val="bg-BG"/>
        </w:rPr>
        <w:t>Що се отнася до компонента за намаляване на емисиите на парникови газове, в качеството си на държава - членка на ЕС (ДЧ), Румъния е поела ангажимент да спазва основните принципи на Европейския зелен пакт (ЕЗП): i) да намали нетните емисии на парникови газове с поне 55 % до 2030 г. в сравнение с 1990 г. („Fit for 55“) и ii) да постигне нулеви нетни емисии на парникови газове до 2050 г. ("нетна нула</w:t>
      </w:r>
      <w:r w:rsidR="003A5A51" w:rsidRPr="007375EB">
        <w:rPr>
          <w:lang w:val="bg-BG"/>
        </w:rPr>
        <w:t>”).</w:t>
      </w:r>
    </w:p>
    <w:p w14:paraId="15B1073D" w14:textId="3D56A5F5" w:rsidR="004605AD" w:rsidRPr="007375EB" w:rsidRDefault="008D534C" w:rsidP="00E13334">
      <w:pPr>
        <w:spacing w:after="120" w:line="360" w:lineRule="auto"/>
        <w:jc w:val="both"/>
        <w:rPr>
          <w:lang w:val="bg-BG"/>
        </w:rPr>
      </w:pPr>
      <w:r w:rsidRPr="007375EB">
        <w:rPr>
          <w:lang w:val="bg-BG"/>
        </w:rPr>
        <w:t xml:space="preserve">Постигането на целта Net0@2050 ще доведе до значителни предизвикателства, които изискват политическо и обществено одобрение. За реализирането на амбициозните цели е необходимо значително намаляване на емисиите в сектори, които трудно могат да бъдат променени, и допълнително намаляване на емисиите с 96 %, дори ако бъде постигната целта </w:t>
      </w:r>
      <w:r w:rsidR="004605AD" w:rsidRPr="007375EB">
        <w:rPr>
          <w:lang w:val="bg-BG"/>
        </w:rPr>
        <w:t xml:space="preserve">„Fit for 55”. </w:t>
      </w:r>
    </w:p>
    <w:p w14:paraId="2E544D6B" w14:textId="2A1ED970" w:rsidR="003D4FAE" w:rsidRPr="007375EB" w:rsidRDefault="008D534C" w:rsidP="00C3176F">
      <w:pPr>
        <w:spacing w:after="120" w:line="360" w:lineRule="auto"/>
        <w:jc w:val="both"/>
        <w:rPr>
          <w:lang w:val="bg-BG"/>
        </w:rPr>
      </w:pPr>
      <w:r w:rsidRPr="007375EB">
        <w:rPr>
          <w:lang w:val="bg-BG"/>
        </w:rPr>
        <w:t xml:space="preserve">В края на 2023 г. с </w:t>
      </w:r>
      <w:r w:rsidR="00A71C46" w:rsidRPr="007375EB">
        <w:rPr>
          <w:lang w:val="bg-BG"/>
        </w:rPr>
        <w:t>РП</w:t>
      </w:r>
      <w:r w:rsidRPr="007375EB">
        <w:rPr>
          <w:lang w:val="bg-BG"/>
        </w:rPr>
        <w:t xml:space="preserve"> 1215/2023 беше приета </w:t>
      </w:r>
      <w:r w:rsidRPr="007375EB">
        <w:rPr>
          <w:b/>
          <w:bCs/>
          <w:lang w:val="bg-BG"/>
        </w:rPr>
        <w:t>Дългосрочната стратегия на Румъния за намаляване на емисиите на парникови газове - Неутрална Румъния през 2050 г. (STL 2050</w:t>
      </w:r>
      <w:r w:rsidRPr="007375EB">
        <w:rPr>
          <w:lang w:val="bg-BG"/>
        </w:rPr>
        <w:t>). Основната цел на стратегията е климатична неутралност на Румъния през 2050 г., като се постигне 99% намаление на нетните емисии през 2050 г. в сравнение с нивата от 1990 г.</w:t>
      </w:r>
    </w:p>
    <w:p w14:paraId="1EE6111B" w14:textId="77777777" w:rsidR="008D534C" w:rsidRPr="007375EB" w:rsidRDefault="008D534C" w:rsidP="008D534C">
      <w:pPr>
        <w:spacing w:after="120" w:line="360" w:lineRule="auto"/>
        <w:jc w:val="both"/>
        <w:rPr>
          <w:lang w:val="bg-BG"/>
        </w:rPr>
      </w:pPr>
      <w:r w:rsidRPr="007375EB">
        <w:rPr>
          <w:lang w:val="bg-BG"/>
        </w:rPr>
        <w:t xml:space="preserve">Що се отнася до декарбонизацията на енергийния сектор през 2019 г., 69% от целта за намаляване на емисиите на парникови газове до 2050 г. вече е постигната. </w:t>
      </w:r>
      <w:r w:rsidRPr="007375EB">
        <w:rPr>
          <w:u w:val="single"/>
          <w:lang w:val="bg-BG"/>
        </w:rPr>
        <w:t>До 2035 г. ще бъдат постигнати 98 % от целта</w:t>
      </w:r>
      <w:r w:rsidRPr="007375EB">
        <w:rPr>
          <w:lang w:val="bg-BG"/>
        </w:rPr>
        <w:t>.</w:t>
      </w:r>
    </w:p>
    <w:p w14:paraId="6420C88A" w14:textId="03F046A3" w:rsidR="00DE60E7" w:rsidRPr="007375EB" w:rsidRDefault="008D534C" w:rsidP="008D534C">
      <w:pPr>
        <w:spacing w:after="120" w:line="360" w:lineRule="auto"/>
        <w:jc w:val="both"/>
        <w:rPr>
          <w:lang w:val="bg-BG"/>
        </w:rPr>
      </w:pPr>
      <w:r w:rsidRPr="007375EB">
        <w:rPr>
          <w:lang w:val="bg-BG"/>
        </w:rPr>
        <w:t>Цел за сектора на възобновяемите енергийни източници (ВЕИ) При избрания сценарий Неутрална Румъния</w:t>
      </w:r>
      <w:r w:rsidRPr="007375EB">
        <w:rPr>
          <w:b/>
          <w:bCs/>
          <w:lang w:val="bg-BG"/>
        </w:rPr>
        <w:t xml:space="preserve"> </w:t>
      </w:r>
      <w:r w:rsidRPr="007375EB">
        <w:rPr>
          <w:lang w:val="bg-BG"/>
        </w:rPr>
        <w:t>делът на ВЕИ в брутното крайно потребление на енергия ще бъде 86,1 % през 2050 г. и 36,2 % през 2030 г.</w:t>
      </w:r>
    </w:p>
    <w:p w14:paraId="3C4922E0" w14:textId="77777777" w:rsidR="00A71C46" w:rsidRPr="007375EB" w:rsidRDefault="00A71C46" w:rsidP="00A71C46">
      <w:pPr>
        <w:spacing w:after="120" w:line="360" w:lineRule="auto"/>
        <w:jc w:val="both"/>
        <w:rPr>
          <w:lang w:val="bg-BG"/>
        </w:rPr>
      </w:pPr>
      <w:r w:rsidRPr="007375EB">
        <w:rPr>
          <w:lang w:val="bg-BG"/>
        </w:rPr>
        <w:t>Значителното увеличение на производството на електроенергия от вятърна и слънчева енергия, както и от зелен водород, допринася за увеличаване на дела на ВЕИ в сектора за производство на електроенергия (ВЕИ-Е) до около 80 % през 2050 г. в сценария „Неутрална Румъния“.</w:t>
      </w:r>
    </w:p>
    <w:p w14:paraId="45E79458" w14:textId="32E9F2A8" w:rsidR="00F77ECB" w:rsidRPr="007375EB" w:rsidRDefault="00A71C46" w:rsidP="00A71C46">
      <w:pPr>
        <w:spacing w:after="120" w:line="360" w:lineRule="auto"/>
        <w:jc w:val="both"/>
        <w:rPr>
          <w:lang w:val="bg-BG"/>
        </w:rPr>
      </w:pPr>
      <w:r w:rsidRPr="007375EB">
        <w:rPr>
          <w:lang w:val="bg-BG"/>
        </w:rPr>
        <w:lastRenderedPageBreak/>
        <w:t>Целите за вятърните мощности за периода 2030-2050 г. в сценария „Неутрална Румъния“ включват нови вятърни мощности - 550 МВт, инсталирани всяка година в периода 2023-2025 г., 600 МВт всяка година в периода 2026-2030 г., 675 МВт всяка година в периода 2031-2040 г. и 750 МВт всяка година в периода 2041-2050 г.</w:t>
      </w:r>
    </w:p>
    <w:p w14:paraId="3F8C46FB" w14:textId="5471EDA8" w:rsidR="00A71C46" w:rsidRPr="007375EB" w:rsidRDefault="00A71C46" w:rsidP="00291F7A">
      <w:pPr>
        <w:spacing w:after="120" w:line="360" w:lineRule="auto"/>
        <w:ind w:left="39" w:hanging="11"/>
        <w:jc w:val="both"/>
        <w:rPr>
          <w:lang w:val="bg-BG"/>
        </w:rPr>
      </w:pPr>
      <w:r w:rsidRPr="007375EB">
        <w:rPr>
          <w:lang w:val="bg-BG"/>
        </w:rPr>
        <w:t xml:space="preserve">Що се отнася до компонента за адаптация, </w:t>
      </w:r>
      <w:r w:rsidRPr="007375EB">
        <w:rPr>
          <w:b/>
          <w:bCs/>
          <w:lang w:val="bg-BG"/>
        </w:rPr>
        <w:t>Националната стратегия за адаптация към изменението на климата</w:t>
      </w:r>
      <w:r w:rsidRPr="007375EB">
        <w:rPr>
          <w:lang w:val="bg-BG"/>
        </w:rPr>
        <w:t xml:space="preserve"> за периода 2023-2030 г. с перспектива до 2050 г. (S.N.A.S.C.) има за цел да подобри капацитета за адаптация и да повиши устойчивостта на социално-икономическите и природните системи към въздействието на променливостта и изменението на климата в различни области и срокове. По-конкретно, за 2030 г. стратегията има за цел </w:t>
      </w:r>
    </w:p>
    <w:p w14:paraId="07670970" w14:textId="5458589B" w:rsidR="00A71C46" w:rsidRPr="007375EB" w:rsidRDefault="00A71C46" w:rsidP="00A71C46">
      <w:pPr>
        <w:pStyle w:val="ListParagraph"/>
        <w:numPr>
          <w:ilvl w:val="0"/>
          <w:numId w:val="69"/>
        </w:numPr>
        <w:spacing w:after="120" w:line="360" w:lineRule="auto"/>
        <w:jc w:val="both"/>
        <w:rPr>
          <w:lang w:val="bg-BG"/>
        </w:rPr>
      </w:pPr>
      <w:r w:rsidRPr="007375EB">
        <w:rPr>
          <w:lang w:val="bg-BG"/>
        </w:rPr>
        <w:t xml:space="preserve">Укрепване на устойчивостта и капацитета на Румъния да се адаптира към рисковете, свързани с изменението на климата и природните бедствия; </w:t>
      </w:r>
    </w:p>
    <w:p w14:paraId="16E1C237" w14:textId="1E5BF496" w:rsidR="00A71C46" w:rsidRPr="007375EB" w:rsidRDefault="00A71C46" w:rsidP="00A71C46">
      <w:pPr>
        <w:pStyle w:val="ListParagraph"/>
        <w:numPr>
          <w:ilvl w:val="0"/>
          <w:numId w:val="69"/>
        </w:numPr>
        <w:spacing w:after="120" w:line="360" w:lineRule="auto"/>
        <w:jc w:val="both"/>
        <w:rPr>
          <w:lang w:val="bg-BG"/>
        </w:rPr>
      </w:pPr>
      <w:r w:rsidRPr="007375EB">
        <w:rPr>
          <w:lang w:val="bg-BG"/>
        </w:rPr>
        <w:t xml:space="preserve">Повишаване на капацитета за бърза реакция при неочаквани екстремни метеорологични явления; </w:t>
      </w:r>
    </w:p>
    <w:p w14:paraId="6DE4781E" w14:textId="76C13475" w:rsidR="00A71C46" w:rsidRPr="007375EB" w:rsidRDefault="00A71C46" w:rsidP="00A71C46">
      <w:pPr>
        <w:pStyle w:val="ListParagraph"/>
        <w:numPr>
          <w:ilvl w:val="0"/>
          <w:numId w:val="69"/>
        </w:numPr>
        <w:spacing w:after="120" w:line="360" w:lineRule="auto"/>
        <w:jc w:val="both"/>
        <w:rPr>
          <w:lang w:val="bg-BG"/>
        </w:rPr>
      </w:pPr>
      <w:r w:rsidRPr="007375EB">
        <w:rPr>
          <w:lang w:val="bg-BG"/>
        </w:rPr>
        <w:t xml:space="preserve">Подобряване на образованието, осведомеността и човешкия и институционалния капацитет за смекчаване, адаптиране и намаляване на въздействието на изменението на климата, както и за прилагане на системи за ранно предупреждение; </w:t>
      </w:r>
    </w:p>
    <w:p w14:paraId="301F78AE" w14:textId="2B3A456E" w:rsidR="00291F7A" w:rsidRPr="007375EB" w:rsidRDefault="00A71C46" w:rsidP="00A71C46">
      <w:pPr>
        <w:pStyle w:val="ListParagraph"/>
        <w:numPr>
          <w:ilvl w:val="0"/>
          <w:numId w:val="69"/>
        </w:numPr>
        <w:spacing w:after="120" w:line="360" w:lineRule="auto"/>
        <w:jc w:val="both"/>
        <w:rPr>
          <w:lang w:val="bg-BG"/>
        </w:rPr>
      </w:pPr>
      <w:r w:rsidRPr="007375EB">
        <w:rPr>
          <w:lang w:val="bg-BG"/>
        </w:rPr>
        <w:t>Укрепване на националните усилия за осъществяване на прехода към зелена икономика</w:t>
      </w:r>
      <w:r w:rsidR="00291F7A" w:rsidRPr="007375EB">
        <w:rPr>
          <w:lang w:val="bg-BG"/>
        </w:rPr>
        <w:t>.</w:t>
      </w:r>
    </w:p>
    <w:p w14:paraId="426571CB" w14:textId="1F08CA43" w:rsidR="00291F7A" w:rsidRPr="007375EB" w:rsidRDefault="00A71C46" w:rsidP="00291F7A">
      <w:pPr>
        <w:spacing w:after="120" w:line="360" w:lineRule="auto"/>
        <w:ind w:left="38" w:hanging="10"/>
        <w:jc w:val="both"/>
        <w:rPr>
          <w:lang w:val="bg-BG"/>
        </w:rPr>
      </w:pPr>
      <w:r w:rsidRPr="007375EB">
        <w:rPr>
          <w:rFonts w:eastAsia="Verdana" w:cs="Verdana"/>
          <w:color w:val="000000" w:themeColor="text1"/>
          <w:lang w:val="bg-BG"/>
        </w:rPr>
        <w:t xml:space="preserve">Съгласно ръководството за адаптиране към изменението на климата, одобрено с Наредба № 1170/2008, за специфичната цел „Енергетика“ планът за действие предвижда следните мерки за адаптиране, свързани с предложената </w:t>
      </w:r>
      <w:r w:rsidR="00F86663" w:rsidRPr="007375EB">
        <w:rPr>
          <w:rFonts w:eastAsia="Verdana" w:cs="Verdana"/>
          <w:color w:val="000000" w:themeColor="text1"/>
          <w:lang w:val="bg-BG"/>
        </w:rPr>
        <w:t>PUZ</w:t>
      </w:r>
      <w:r w:rsidR="00291F7A" w:rsidRPr="007375EB">
        <w:rPr>
          <w:rFonts w:eastAsia="Verdana" w:cs="Verdana"/>
          <w:color w:val="000000" w:themeColor="text1"/>
          <w:lang w:val="bg-BG"/>
        </w:rPr>
        <w:t>:</w:t>
      </w:r>
    </w:p>
    <w:p w14:paraId="562564BA" w14:textId="291C641C" w:rsidR="00A71C46" w:rsidRPr="007375EB" w:rsidRDefault="00A71C46" w:rsidP="00A71C46">
      <w:pPr>
        <w:pStyle w:val="ListParagraph"/>
        <w:numPr>
          <w:ilvl w:val="0"/>
          <w:numId w:val="69"/>
        </w:numPr>
        <w:spacing w:after="120" w:line="360" w:lineRule="auto"/>
        <w:jc w:val="both"/>
        <w:rPr>
          <w:lang w:val="bg-BG"/>
        </w:rPr>
      </w:pPr>
      <w:r w:rsidRPr="007375EB">
        <w:rPr>
          <w:lang w:val="bg-BG"/>
        </w:rPr>
        <w:t>спешно да подготви изследвания за оценка на риска от въздействието на изменението на климата в енергийния сектор като цяло и по-специално за оценка на риска в сектора на водноелектрическите централи, както и да вземе предвид тези рискове при планираните инвестиционни проекти;</w:t>
      </w:r>
    </w:p>
    <w:p w14:paraId="7396126D" w14:textId="4D8D4E25" w:rsidR="00A71C46" w:rsidRPr="007375EB" w:rsidRDefault="00A71C46" w:rsidP="00A71C46">
      <w:pPr>
        <w:pStyle w:val="ListParagraph"/>
        <w:numPr>
          <w:ilvl w:val="0"/>
          <w:numId w:val="69"/>
        </w:numPr>
        <w:spacing w:after="120" w:line="360" w:lineRule="auto"/>
        <w:jc w:val="both"/>
        <w:rPr>
          <w:lang w:val="bg-BG"/>
        </w:rPr>
      </w:pPr>
      <w:r w:rsidRPr="007375EB">
        <w:rPr>
          <w:lang w:val="bg-BG"/>
        </w:rPr>
        <w:t>насърчаване на производството на енергия от възобновяеми източници;</w:t>
      </w:r>
    </w:p>
    <w:p w14:paraId="168E5AB6" w14:textId="166332C7" w:rsidR="00982634" w:rsidRPr="007375EB" w:rsidRDefault="00A71C46" w:rsidP="00A71C46">
      <w:pPr>
        <w:pStyle w:val="ListParagraph"/>
        <w:numPr>
          <w:ilvl w:val="0"/>
          <w:numId w:val="69"/>
        </w:numPr>
        <w:spacing w:after="120" w:line="360" w:lineRule="auto"/>
        <w:jc w:val="both"/>
        <w:rPr>
          <w:lang w:val="bg-BG"/>
        </w:rPr>
      </w:pPr>
      <w:r w:rsidRPr="007375EB">
        <w:rPr>
          <w:lang w:val="bg-BG"/>
        </w:rPr>
        <w:t>изготвяне на собствени стратегии на местните публични власти за използване на енергийни източници, които отговарят на европейските стандарти за опазване на околната среда и ефективност, с оглед на производството на електроенергия и топлинна енергия в централизирани системи</w:t>
      </w:r>
      <w:r w:rsidR="00982634" w:rsidRPr="007375EB">
        <w:rPr>
          <w:lang w:val="bg-BG"/>
        </w:rPr>
        <w:t>.</w:t>
      </w:r>
    </w:p>
    <w:p w14:paraId="1653171E" w14:textId="77777777" w:rsidR="00A71C46" w:rsidRPr="007375EB" w:rsidRDefault="00A71C46" w:rsidP="00A71C46">
      <w:pPr>
        <w:spacing w:after="120" w:line="360" w:lineRule="auto"/>
        <w:jc w:val="both"/>
        <w:rPr>
          <w:lang w:val="bg-BG"/>
        </w:rPr>
      </w:pPr>
      <w:r w:rsidRPr="007375EB">
        <w:rPr>
          <w:lang w:val="bg-BG"/>
        </w:rPr>
        <w:t>80 % от окръг Констанца принадлежи към континенталния климатичен сектор (низинна климатична зона, а в ограничен район - хълмиста климатична зона) и около 20 % към крайморския климатичен сектор (низинна климатична зона).</w:t>
      </w:r>
    </w:p>
    <w:p w14:paraId="37A33342" w14:textId="09FDBF83" w:rsidR="00CD5C35" w:rsidRPr="007375EB" w:rsidRDefault="00A71C46" w:rsidP="00A71C46">
      <w:pPr>
        <w:spacing w:after="120" w:line="360" w:lineRule="auto"/>
        <w:jc w:val="both"/>
        <w:rPr>
          <w:lang w:val="bg-BG"/>
        </w:rPr>
      </w:pPr>
      <w:r w:rsidRPr="007375EB">
        <w:rPr>
          <w:lang w:val="bg-BG"/>
        </w:rPr>
        <w:t>Общият климатичен режим се характеризира в континенталната част на окръга с горещи лета с малко валежи и не много студени зими, понякога със силни виелици, но също така и с чести затопляния, които правят снежната покривка епизодична, а в морската част - с лета, чиято топлина се намалява от хладния морски бриз, и меки зими, характеризиращи се със силни и влажни ветрове от морето.</w:t>
      </w:r>
    </w:p>
    <w:p w14:paraId="275DB5E7" w14:textId="2DB95548" w:rsidR="00C000E0" w:rsidRPr="007375EB" w:rsidRDefault="009451E1" w:rsidP="001006E1">
      <w:pPr>
        <w:spacing w:after="120" w:line="360" w:lineRule="auto"/>
        <w:jc w:val="both"/>
        <w:rPr>
          <w:lang w:val="bg-BG"/>
        </w:rPr>
      </w:pPr>
      <w:r w:rsidRPr="007375EB">
        <w:rPr>
          <w:lang w:val="bg-BG"/>
        </w:rPr>
        <w:t>Средните годишни температури са по-високи от средните за страната - 11,2</w:t>
      </w:r>
      <w:r w:rsidRPr="007375EB">
        <w:rPr>
          <w:vertAlign w:val="superscript"/>
          <w:lang w:val="bg-BG"/>
        </w:rPr>
        <w:t>0</w:t>
      </w:r>
      <w:r w:rsidRPr="007375EB">
        <w:rPr>
          <w:lang w:val="bg-BG"/>
        </w:rPr>
        <w:t>С в Мангалия и 11,2</w:t>
      </w:r>
      <w:r w:rsidRPr="007375EB">
        <w:rPr>
          <w:vertAlign w:val="superscript"/>
          <w:lang w:val="bg-BG"/>
        </w:rPr>
        <w:t>0</w:t>
      </w:r>
      <w:r w:rsidRPr="007375EB">
        <w:rPr>
          <w:lang w:val="bg-BG"/>
        </w:rPr>
        <w:t>С в Мурфатлар, а в централната и северната половина на територията стойностите не падат под</w:t>
      </w:r>
      <w:r w:rsidR="001006E1" w:rsidRPr="007375EB">
        <w:rPr>
          <w:lang w:val="bg-BG"/>
        </w:rPr>
        <w:t xml:space="preserve"> 10</w:t>
      </w:r>
      <w:r w:rsidR="001006E1" w:rsidRPr="007375EB">
        <w:rPr>
          <w:vertAlign w:val="superscript"/>
          <w:lang w:val="bg-BG"/>
        </w:rPr>
        <w:t>0</w:t>
      </w:r>
      <w:r w:rsidR="001006E1" w:rsidRPr="007375EB">
        <w:rPr>
          <w:lang w:val="bg-BG"/>
        </w:rPr>
        <w:t>C.</w:t>
      </w:r>
    </w:p>
    <w:p w14:paraId="409A143B" w14:textId="1475A4D2" w:rsidR="00000E62" w:rsidRPr="007375EB" w:rsidRDefault="009451E1" w:rsidP="00000E62">
      <w:pPr>
        <w:spacing w:after="120" w:line="360" w:lineRule="auto"/>
        <w:jc w:val="both"/>
        <w:rPr>
          <w:lang w:val="bg-BG"/>
        </w:rPr>
      </w:pPr>
      <w:r w:rsidRPr="007375EB">
        <w:rPr>
          <w:lang w:val="bg-BG"/>
        </w:rPr>
        <w:lastRenderedPageBreak/>
        <w:t>Абсолютните минимални температури, регистрирани в окръг Констанца, са -25</w:t>
      </w:r>
      <w:r w:rsidRPr="007375EB">
        <w:rPr>
          <w:vertAlign w:val="superscript"/>
          <w:lang w:val="bg-BG"/>
        </w:rPr>
        <w:t>0</w:t>
      </w:r>
      <w:r w:rsidRPr="007375EB">
        <w:rPr>
          <w:lang w:val="bg-BG"/>
        </w:rPr>
        <w:t>С в Констанца на 10 февруари 1929 г., -33,1</w:t>
      </w:r>
      <w:r w:rsidRPr="007375EB">
        <w:rPr>
          <w:vertAlign w:val="superscript"/>
          <w:lang w:val="bg-BG"/>
        </w:rPr>
        <w:t>0</w:t>
      </w:r>
      <w:r w:rsidRPr="007375EB">
        <w:rPr>
          <w:lang w:val="bg-BG"/>
        </w:rPr>
        <w:t>С в Басараби (Мурфатлар) на 25 януари 1954 г. и -25,2</w:t>
      </w:r>
      <w:r w:rsidRPr="007375EB">
        <w:rPr>
          <w:vertAlign w:val="superscript"/>
          <w:lang w:val="bg-BG"/>
        </w:rPr>
        <w:t>0</w:t>
      </w:r>
      <w:r w:rsidRPr="007375EB">
        <w:rPr>
          <w:lang w:val="bg-BG"/>
        </w:rPr>
        <w:t>С в Мангалия на 25 януари 1942 г. Регистрираните абсолютни максимални температури са +43</w:t>
      </w:r>
      <w:r w:rsidRPr="007375EB">
        <w:rPr>
          <w:vertAlign w:val="superscript"/>
          <w:lang w:val="bg-BG"/>
        </w:rPr>
        <w:t>0</w:t>
      </w:r>
      <w:r w:rsidRPr="007375EB">
        <w:rPr>
          <w:lang w:val="bg-BG"/>
        </w:rPr>
        <w:t>С в Чернавода на 31 юли 1985 г., +410С в Басараби на 20 август 1945 г., +38,5</w:t>
      </w:r>
      <w:r w:rsidRPr="007375EB">
        <w:rPr>
          <w:vertAlign w:val="superscript"/>
          <w:lang w:val="bg-BG"/>
        </w:rPr>
        <w:t>0</w:t>
      </w:r>
      <w:r w:rsidRPr="007375EB">
        <w:rPr>
          <w:lang w:val="bg-BG"/>
        </w:rPr>
        <w:t>С в Constanța на 10 август 1927 г. и +36</w:t>
      </w:r>
      <w:r w:rsidRPr="007375EB">
        <w:rPr>
          <w:vertAlign w:val="superscript"/>
          <w:lang w:val="bg-BG"/>
        </w:rPr>
        <w:t>0</w:t>
      </w:r>
      <w:r w:rsidRPr="007375EB">
        <w:rPr>
          <w:lang w:val="bg-BG"/>
        </w:rPr>
        <w:t>С в Mangalia на 25 май 1950 г.</w:t>
      </w:r>
    </w:p>
    <w:p w14:paraId="236DC8EB" w14:textId="77777777" w:rsidR="009451E1" w:rsidRPr="007375EB" w:rsidRDefault="009451E1" w:rsidP="009451E1">
      <w:pPr>
        <w:spacing w:after="120" w:line="360" w:lineRule="auto"/>
        <w:jc w:val="both"/>
        <w:rPr>
          <w:lang w:val="bg-BG"/>
        </w:rPr>
      </w:pPr>
      <w:r w:rsidRPr="007375EB">
        <w:rPr>
          <w:lang w:val="bg-BG"/>
        </w:rPr>
        <w:t>Годишните валежи варират между 350 и 475 мм, което поставя Констанца сред най-сухите райони в страната. Ниските стойности се дължат на континентализацията на въздушните маси при движението им от запад на изток и на специфичните местни условия (ниска надморска височина, Черноморски басейн).</w:t>
      </w:r>
    </w:p>
    <w:p w14:paraId="1EB6F8A7" w14:textId="45C1B790" w:rsidR="00A3395C" w:rsidRPr="007375EB" w:rsidRDefault="009451E1" w:rsidP="009451E1">
      <w:pPr>
        <w:spacing w:after="120" w:line="360" w:lineRule="auto"/>
        <w:jc w:val="both"/>
        <w:rPr>
          <w:lang w:val="bg-BG"/>
        </w:rPr>
      </w:pPr>
      <w:r w:rsidRPr="007375EB">
        <w:rPr>
          <w:lang w:val="bg-BG"/>
        </w:rPr>
        <w:t>Съотношението между валежите и температурата показва сухи, засушливи и влажни периоди. Сухите периоди са по-дълги в южната част на окръга. Засушаванията често се случват по време на барометрични максимуми, със слаби ветрове и високи температури</w:t>
      </w:r>
      <w:r w:rsidR="00A3395C" w:rsidRPr="007375EB">
        <w:rPr>
          <w:lang w:val="bg-BG"/>
        </w:rPr>
        <w:t>.</w:t>
      </w:r>
    </w:p>
    <w:p w14:paraId="5872615E" w14:textId="43ABDC1D" w:rsidR="009451E1" w:rsidRPr="007375EB" w:rsidRDefault="009451E1" w:rsidP="009451E1">
      <w:pPr>
        <w:spacing w:after="120" w:line="360" w:lineRule="auto"/>
        <w:jc w:val="both"/>
        <w:rPr>
          <w:rStyle w:val="ui-provider"/>
          <w:lang w:val="bg-BG"/>
        </w:rPr>
      </w:pPr>
      <w:r w:rsidRPr="007375EB">
        <w:rPr>
          <w:rStyle w:val="ui-provider"/>
          <w:lang w:val="bg-BG"/>
        </w:rPr>
        <w:t xml:space="preserve">Климатът в община Черкезу е умерено-континентален със средна годишна температура от около 11°C. Абсолютната максимална температура, регистрирана на 25 юли 2007 г., е 38,5°C, а абсолютната минимална температура е -25°C. Средната годишна сума на валежите е 396 мм. </w:t>
      </w:r>
    </w:p>
    <w:p w14:paraId="370E44F7" w14:textId="77777777" w:rsidR="009451E1" w:rsidRPr="007375EB" w:rsidRDefault="009451E1" w:rsidP="009451E1">
      <w:pPr>
        <w:spacing w:after="120" w:line="360" w:lineRule="auto"/>
        <w:jc w:val="both"/>
        <w:rPr>
          <w:rStyle w:val="ui-provider"/>
          <w:lang w:val="bg-BG"/>
        </w:rPr>
      </w:pPr>
      <w:r w:rsidRPr="007375EB">
        <w:rPr>
          <w:rStyle w:val="ui-provider"/>
          <w:lang w:val="bg-BG"/>
        </w:rPr>
        <w:t xml:space="preserve">Средната продължителност на безмразовия период е около 200 дни годишно, като първата слана обикновено настъпва след 25 октомври. </w:t>
      </w:r>
    </w:p>
    <w:p w14:paraId="75D3D7D5" w14:textId="2A3FCA93" w:rsidR="00A01C18" w:rsidRPr="007375EB" w:rsidRDefault="009451E1" w:rsidP="009451E1">
      <w:pPr>
        <w:spacing w:after="120" w:line="360" w:lineRule="auto"/>
        <w:jc w:val="both"/>
        <w:rPr>
          <w:lang w:val="bg-BG"/>
        </w:rPr>
      </w:pPr>
      <w:r w:rsidRPr="007375EB">
        <w:rPr>
          <w:rStyle w:val="ui-provider"/>
          <w:lang w:val="bg-BG"/>
        </w:rPr>
        <w:t>Промените в общата циркулация на атмосферата от един сезон към следващия се отразяват чрез промени в честотата на ветровете в определени посоки. През зимата и пролетта преобладаващите ветрове в Черкезу обикновено са от североизточна и източна посока, което допринася за влажна и студена зима и горещо и сухо лято.</w:t>
      </w:r>
    </w:p>
    <w:p w14:paraId="1DCD651A" w14:textId="5B376E64" w:rsidR="00A2009A" w:rsidRPr="007375EB" w:rsidRDefault="009451E1" w:rsidP="00A2009A">
      <w:pPr>
        <w:spacing w:after="120" w:line="360" w:lineRule="auto"/>
        <w:jc w:val="both"/>
        <w:rPr>
          <w:b/>
          <w:bCs/>
          <w:color w:val="00B0F0"/>
          <w:lang w:val="bg-BG"/>
        </w:rPr>
      </w:pPr>
      <w:r w:rsidRPr="007375EB">
        <w:rPr>
          <w:b/>
          <w:bCs/>
          <w:color w:val="00B0F0"/>
          <w:lang w:val="bg-BG"/>
        </w:rPr>
        <w:t>Идентифициране на климатичните опасности и оценка на чувствителността на района</w:t>
      </w:r>
    </w:p>
    <w:p w14:paraId="4BA34390" w14:textId="2DA539A3" w:rsidR="00AB74B0" w:rsidRPr="007375EB" w:rsidRDefault="009451E1" w:rsidP="00A2009A">
      <w:pPr>
        <w:spacing w:after="120" w:line="360" w:lineRule="auto"/>
        <w:jc w:val="both"/>
        <w:rPr>
          <w:lang w:val="bg-BG"/>
        </w:rPr>
      </w:pPr>
      <w:r w:rsidRPr="007375EB">
        <w:rPr>
          <w:lang w:val="bg-BG"/>
        </w:rPr>
        <w:t>Съответните климатични параметри за община Черкезу са</w:t>
      </w:r>
      <w:r w:rsidR="00A2009A" w:rsidRPr="007375EB">
        <w:rPr>
          <w:lang w:val="bg-BG"/>
        </w:rPr>
        <w:t>:</w:t>
      </w:r>
    </w:p>
    <w:p w14:paraId="6B109ADF" w14:textId="3B216515" w:rsidR="00EC2B60" w:rsidRPr="007375EB" w:rsidRDefault="009451E1" w:rsidP="00EC2B60">
      <w:pPr>
        <w:spacing w:after="120" w:line="360" w:lineRule="auto"/>
        <w:ind w:left="39" w:hanging="11"/>
        <w:jc w:val="both"/>
        <w:rPr>
          <w:rFonts w:eastAsia="Verdana" w:cs="Verdana"/>
          <w:b/>
          <w:bCs/>
          <w:color w:val="00B0F0"/>
          <w:lang w:val="bg-BG"/>
        </w:rPr>
      </w:pPr>
      <w:r w:rsidRPr="007375EB">
        <w:rPr>
          <w:rFonts w:eastAsia="Verdana" w:cs="Verdana"/>
          <w:b/>
          <w:bCs/>
          <w:color w:val="00B0F0"/>
          <w:lang w:val="bg-BG"/>
        </w:rPr>
        <w:t>Екстремни температури</w:t>
      </w:r>
    </w:p>
    <w:p w14:paraId="49DA51D0" w14:textId="77777777" w:rsidR="009451E1" w:rsidRPr="007375EB" w:rsidRDefault="009451E1" w:rsidP="009451E1">
      <w:pPr>
        <w:spacing w:after="120" w:line="360" w:lineRule="auto"/>
        <w:ind w:left="39" w:hanging="11"/>
        <w:jc w:val="both"/>
        <w:rPr>
          <w:rFonts w:eastAsia="Verdana" w:cs="Verdana"/>
          <w:color w:val="000000" w:themeColor="text1"/>
          <w:lang w:val="bg-BG"/>
        </w:rPr>
      </w:pPr>
      <w:r w:rsidRPr="007375EB">
        <w:rPr>
          <w:rFonts w:eastAsia="Verdana" w:cs="Verdana"/>
          <w:color w:val="000000" w:themeColor="text1"/>
          <w:lang w:val="bg-BG"/>
        </w:rPr>
        <w:t>Екстремните температури са изключително високи или ниски стойности на температурата в определен регион или място в определен момент. Тези температури значително надвишават нормалните или обичайните температурни граници за този район или период от време.</w:t>
      </w:r>
    </w:p>
    <w:p w14:paraId="13084157" w14:textId="578169A2" w:rsidR="00EC2B60" w:rsidRPr="007375EB" w:rsidRDefault="009451E1" w:rsidP="009451E1">
      <w:pPr>
        <w:spacing w:after="120" w:line="360" w:lineRule="auto"/>
        <w:ind w:left="39" w:hanging="11"/>
        <w:jc w:val="both"/>
        <w:rPr>
          <w:rFonts w:eastAsia="Verdana" w:cs="Verdana"/>
          <w:color w:val="000000" w:themeColor="text1"/>
          <w:lang w:val="bg-BG"/>
        </w:rPr>
      </w:pPr>
      <w:r w:rsidRPr="007375EB">
        <w:rPr>
          <w:rFonts w:eastAsia="Verdana" w:cs="Verdana"/>
          <w:color w:val="000000" w:themeColor="text1"/>
          <w:lang w:val="bg-BG"/>
        </w:rPr>
        <w:t>Феноменът на повишаване на температурата се засилва след 2000 г., като зимата на 2006-2007 г. се счита за най-топлата, откакто в Румъния има инструментални измервания. През тази година ясно изразените отклонения на максималната/минималната температура от многогодишния среден режим се запазват за дълги периоди от време</w:t>
      </w:r>
      <w:r w:rsidR="00EC2B60" w:rsidRPr="007375EB">
        <w:rPr>
          <w:rFonts w:eastAsia="Verdana" w:cs="Verdana"/>
          <w:color w:val="000000" w:themeColor="text1"/>
          <w:lang w:val="bg-BG"/>
        </w:rPr>
        <w:t>.</w:t>
      </w:r>
    </w:p>
    <w:p w14:paraId="3EBF5656" w14:textId="4B5498DB" w:rsidR="00EC2B60" w:rsidRPr="007375EB" w:rsidRDefault="009451E1" w:rsidP="00EC2B60">
      <w:pPr>
        <w:spacing w:after="120" w:line="360" w:lineRule="auto"/>
        <w:ind w:left="39" w:hanging="11"/>
        <w:jc w:val="both"/>
        <w:rPr>
          <w:lang w:val="bg-BG"/>
        </w:rPr>
      </w:pPr>
      <w:r w:rsidRPr="007375EB">
        <w:rPr>
          <w:rFonts w:eastAsia="Verdana" w:cs="Verdana"/>
          <w:color w:val="000000" w:themeColor="text1"/>
          <w:lang w:val="bg-BG"/>
        </w:rPr>
        <w:t>Що се отнася до тенденциите в екстремните температури на национално равнище, резултатите, регистрирани в метеорологичните станции, показват намаляване на броя на мразовитите дни в някои райони в южната част на страната и увеличаване на горещите вълни в повечето части на страната.</w:t>
      </w:r>
    </w:p>
    <w:p w14:paraId="23D4EC4F" w14:textId="53E8D821" w:rsidR="00AC5290" w:rsidRPr="007375EB" w:rsidRDefault="009451E1" w:rsidP="00AC5290">
      <w:pPr>
        <w:spacing w:after="120" w:line="360" w:lineRule="auto"/>
        <w:ind w:left="39" w:hanging="11"/>
        <w:jc w:val="both"/>
        <w:rPr>
          <w:rFonts w:eastAsia="Verdana" w:cs="Verdana"/>
          <w:color w:val="000000" w:themeColor="text1"/>
          <w:lang w:val="bg-BG"/>
        </w:rPr>
      </w:pPr>
      <w:r w:rsidRPr="007375EB">
        <w:rPr>
          <w:rFonts w:eastAsia="Verdana" w:cs="Verdana"/>
          <w:color w:val="000000" w:themeColor="text1"/>
          <w:lang w:val="bg-BG"/>
        </w:rPr>
        <w:t>Според глобалните климатични данни за периода 1970-2000 г., налични в WorldClim, средната годишна максимална температура в зоната на влияние на PUZ, на нивото на община Черкезу, е между 5,82 ÷ 6,39</w:t>
      </w:r>
      <w:r w:rsidRPr="007375EB">
        <w:rPr>
          <w:rFonts w:eastAsia="Verdana" w:cs="Verdana"/>
          <w:color w:val="000000" w:themeColor="text1"/>
          <w:vertAlign w:val="superscript"/>
          <w:lang w:val="bg-BG"/>
        </w:rPr>
        <w:t>0</w:t>
      </w:r>
      <w:r w:rsidRPr="007375EB">
        <w:rPr>
          <w:rFonts w:eastAsia="Verdana" w:cs="Verdana"/>
          <w:color w:val="000000" w:themeColor="text1"/>
          <w:lang w:val="bg-BG"/>
        </w:rPr>
        <w:t>C, на нивото на община Черкезу</w:t>
      </w:r>
      <w:r w:rsidR="00AC5290" w:rsidRPr="007375EB">
        <w:rPr>
          <w:rFonts w:eastAsia="Verdana" w:cs="Verdana"/>
          <w:color w:val="000000" w:themeColor="text1"/>
          <w:lang w:val="bg-BG"/>
        </w:rPr>
        <w:t>.</w:t>
      </w:r>
      <w:r w:rsidR="003E30BC" w:rsidRPr="007375EB">
        <w:rPr>
          <w:rFonts w:eastAsia="Verdana" w:cs="Verdana"/>
          <w:color w:val="000000" w:themeColor="text1"/>
          <w:lang w:val="bg-BG"/>
        </w:rPr>
        <w:t xml:space="preserve"> </w:t>
      </w:r>
    </w:p>
    <w:p w14:paraId="44E911F9" w14:textId="77777777" w:rsidR="006E786A" w:rsidRPr="007375EB" w:rsidRDefault="006E786A" w:rsidP="00AC5290">
      <w:pPr>
        <w:spacing w:after="120" w:line="360" w:lineRule="auto"/>
        <w:ind w:left="39" w:hanging="11"/>
        <w:jc w:val="both"/>
        <w:rPr>
          <w:rFonts w:eastAsia="Verdana" w:cs="Verdana"/>
          <w:color w:val="000000" w:themeColor="text1"/>
          <w:lang w:val="bg-BG"/>
        </w:rPr>
      </w:pPr>
    </w:p>
    <w:p w14:paraId="15617FEC" w14:textId="6E4EF3B9" w:rsidR="00354909" w:rsidRPr="007375EB" w:rsidRDefault="00694293" w:rsidP="00894C99">
      <w:pPr>
        <w:spacing w:line="240" w:lineRule="auto"/>
        <w:ind w:left="39" w:hanging="11"/>
        <w:jc w:val="center"/>
        <w:rPr>
          <w:rFonts w:eastAsia="Verdana" w:cs="Verdana"/>
          <w:color w:val="000000" w:themeColor="text1"/>
          <w:lang w:val="bg-BG"/>
        </w:rPr>
      </w:pPr>
      <w:r w:rsidRPr="007375EB">
        <w:rPr>
          <w:noProof/>
          <w:lang w:val="bg-BG"/>
        </w:rPr>
        <w:drawing>
          <wp:inline distT="0" distB="0" distL="0" distR="0" wp14:anchorId="436B9F2A" wp14:editId="67CA16D9">
            <wp:extent cx="5325655" cy="3765584"/>
            <wp:effectExtent l="0" t="0" r="8890" b="6350"/>
            <wp:docPr id="222032363" name="Picture 22203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361797" cy="3791139"/>
                    </a:xfrm>
                    <a:prstGeom prst="rect">
                      <a:avLst/>
                    </a:prstGeom>
                    <a:noFill/>
                    <a:ln>
                      <a:noFill/>
                    </a:ln>
                  </pic:spPr>
                </pic:pic>
              </a:graphicData>
            </a:graphic>
          </wp:inline>
        </w:drawing>
      </w:r>
    </w:p>
    <w:p w14:paraId="747E19D3" w14:textId="63DA6A41" w:rsidR="00EC2B60" w:rsidRPr="007375EB" w:rsidRDefault="00A71C46" w:rsidP="00CD505B">
      <w:pPr>
        <w:spacing w:line="240" w:lineRule="auto"/>
        <w:ind w:left="39" w:hanging="11"/>
        <w:jc w:val="both"/>
        <w:rPr>
          <w:i/>
          <w:iCs/>
          <w:color w:val="00B0F0"/>
          <w:sz w:val="14"/>
          <w:szCs w:val="14"/>
          <w:lang w:val="bg-BG"/>
        </w:rPr>
      </w:pPr>
      <w:r w:rsidRPr="007375EB">
        <w:rPr>
          <w:i/>
          <w:iCs/>
          <w:color w:val="00B0F0"/>
          <w:sz w:val="14"/>
          <w:szCs w:val="14"/>
          <w:lang w:val="bg-BG"/>
        </w:rPr>
        <w:t>Източник: Обработка на данни</w:t>
      </w:r>
      <w:r w:rsidR="00EC2B60" w:rsidRPr="007375EB">
        <w:rPr>
          <w:i/>
          <w:iCs/>
          <w:color w:val="00B0F0"/>
          <w:sz w:val="14"/>
          <w:szCs w:val="14"/>
          <w:lang w:val="bg-BG"/>
        </w:rPr>
        <w:t xml:space="preserve"> </w:t>
      </w:r>
      <w:hyperlink r:id="rId64" w:history="1">
        <w:r w:rsidR="00EC2B60" w:rsidRPr="007375EB">
          <w:rPr>
            <w:rStyle w:val="Hyperlink"/>
            <w:i/>
            <w:iCs/>
            <w:sz w:val="14"/>
            <w:szCs w:val="14"/>
            <w:lang w:val="bg-BG"/>
          </w:rPr>
          <w:t>www.worldclim.org</w:t>
        </w:r>
      </w:hyperlink>
    </w:p>
    <w:p w14:paraId="7018BFA2" w14:textId="1F5A7A11" w:rsidR="00CB38F8" w:rsidRPr="007375EB" w:rsidRDefault="00B230C6" w:rsidP="00CD505B">
      <w:pPr>
        <w:pStyle w:val="Caption"/>
        <w:spacing w:before="0"/>
        <w:jc w:val="center"/>
        <w:rPr>
          <w:sz w:val="16"/>
          <w:szCs w:val="16"/>
          <w:vertAlign w:val="subscript"/>
          <w:lang w:val="bg-BG"/>
        </w:rPr>
      </w:pPr>
      <w:r w:rsidRPr="007375EB">
        <w:rPr>
          <w:sz w:val="16"/>
          <w:szCs w:val="16"/>
          <w:lang w:val="bg-BG"/>
        </w:rPr>
        <w:t>Фигура</w:t>
      </w:r>
      <w:r w:rsidR="00CB38F8" w:rsidRPr="007375EB">
        <w:rPr>
          <w:sz w:val="16"/>
          <w:szCs w:val="16"/>
          <w:lang w:val="bg-BG"/>
        </w:rPr>
        <w:t xml:space="preserve"> 2. </w:t>
      </w:r>
      <w:r w:rsidR="00CB38F8" w:rsidRPr="007375EB">
        <w:rPr>
          <w:sz w:val="16"/>
          <w:szCs w:val="16"/>
          <w:lang w:val="bg-BG"/>
        </w:rPr>
        <w:fldChar w:fldCharType="begin"/>
      </w:r>
      <w:r w:rsidR="00CB38F8" w:rsidRPr="007375EB">
        <w:rPr>
          <w:sz w:val="16"/>
          <w:szCs w:val="16"/>
          <w:lang w:val="bg-BG"/>
        </w:rPr>
        <w:instrText xml:space="preserve"> SEQ Figura_2. \* ARABIC </w:instrText>
      </w:r>
      <w:r w:rsidR="00CB38F8" w:rsidRPr="007375EB">
        <w:rPr>
          <w:sz w:val="16"/>
          <w:szCs w:val="16"/>
          <w:lang w:val="bg-BG"/>
        </w:rPr>
        <w:fldChar w:fldCharType="separate"/>
      </w:r>
      <w:r w:rsidR="00F24018" w:rsidRPr="007375EB">
        <w:rPr>
          <w:noProof/>
          <w:sz w:val="16"/>
          <w:szCs w:val="16"/>
          <w:lang w:val="bg-BG"/>
        </w:rPr>
        <w:t>25</w:t>
      </w:r>
      <w:r w:rsidR="00CB38F8" w:rsidRPr="007375EB">
        <w:rPr>
          <w:sz w:val="16"/>
          <w:szCs w:val="16"/>
          <w:lang w:val="bg-BG"/>
        </w:rPr>
        <w:fldChar w:fldCharType="end"/>
      </w:r>
      <w:r w:rsidR="00CB38F8" w:rsidRPr="007375EB">
        <w:rPr>
          <w:sz w:val="16"/>
          <w:szCs w:val="16"/>
          <w:lang w:val="bg-BG"/>
        </w:rPr>
        <w:t xml:space="preserve"> </w:t>
      </w:r>
      <w:r w:rsidR="009451E1" w:rsidRPr="007375EB">
        <w:rPr>
          <w:sz w:val="16"/>
          <w:szCs w:val="16"/>
          <w:lang w:val="bg-BG"/>
        </w:rPr>
        <w:t>Исторически стойности на средногодишната максимална температура в зоната на въздействие на PUZ</w:t>
      </w:r>
    </w:p>
    <w:p w14:paraId="0414CD0B" w14:textId="77777777" w:rsidR="00354909" w:rsidRPr="007375EB" w:rsidRDefault="00354909" w:rsidP="00EC2B60">
      <w:pPr>
        <w:spacing w:after="120" w:line="360" w:lineRule="auto"/>
        <w:ind w:left="39" w:hanging="11"/>
        <w:jc w:val="both"/>
        <w:rPr>
          <w:rFonts w:eastAsia="Verdana" w:cs="Verdana"/>
          <w:color w:val="000000" w:themeColor="text1"/>
          <w:sz w:val="2"/>
          <w:szCs w:val="2"/>
          <w:lang w:val="bg-BG"/>
        </w:rPr>
      </w:pPr>
    </w:p>
    <w:p w14:paraId="6F2C6900" w14:textId="2EDA134F" w:rsidR="000043CF" w:rsidRPr="007375EB" w:rsidRDefault="009451E1" w:rsidP="000043CF">
      <w:pPr>
        <w:spacing w:after="120" w:line="360" w:lineRule="auto"/>
        <w:ind w:left="39" w:hanging="11"/>
        <w:jc w:val="both"/>
        <w:rPr>
          <w:rFonts w:eastAsia="Verdana" w:cs="Verdana"/>
          <w:color w:val="000000" w:themeColor="text1"/>
          <w:lang w:val="bg-BG"/>
        </w:rPr>
      </w:pPr>
      <w:r w:rsidRPr="007375EB">
        <w:rPr>
          <w:rFonts w:eastAsia="Verdana" w:cs="Verdana"/>
          <w:color w:val="000000" w:themeColor="text1"/>
          <w:lang w:val="bg-BG"/>
        </w:rPr>
        <w:t>Що се отнася до развитието на средната годишна максимална температура в зоната на влияние на предложената PUZ, през 2050 г. се очаква температурата да се повиши с около 13</w:t>
      </w:r>
      <w:r w:rsidRPr="007375EB">
        <w:rPr>
          <w:rFonts w:eastAsia="Verdana" w:cs="Verdana"/>
          <w:color w:val="000000" w:themeColor="text1"/>
          <w:vertAlign w:val="superscript"/>
          <w:lang w:val="bg-BG"/>
        </w:rPr>
        <w:t>0</w:t>
      </w:r>
      <w:r w:rsidRPr="007375EB">
        <w:rPr>
          <w:rFonts w:eastAsia="Verdana" w:cs="Verdana"/>
          <w:color w:val="000000" w:themeColor="text1"/>
          <w:lang w:val="bg-BG"/>
        </w:rPr>
        <w:t>C, като стойностите в зоната варират между</w:t>
      </w:r>
      <w:r w:rsidR="000043CF" w:rsidRPr="007375EB">
        <w:rPr>
          <w:rFonts w:eastAsia="Verdana" w:cs="Verdana"/>
          <w:lang w:val="bg-BG"/>
        </w:rPr>
        <w:t xml:space="preserve"> 19,01÷19,36</w:t>
      </w:r>
      <w:r w:rsidR="000043CF" w:rsidRPr="007375EB">
        <w:rPr>
          <w:rFonts w:eastAsia="Verdana" w:cs="Verdana"/>
          <w:vertAlign w:val="superscript"/>
          <w:lang w:val="bg-BG"/>
        </w:rPr>
        <w:t>0</w:t>
      </w:r>
      <w:r w:rsidR="000043CF" w:rsidRPr="007375EB">
        <w:rPr>
          <w:rFonts w:eastAsia="Verdana" w:cs="Verdana"/>
          <w:lang w:val="bg-BG"/>
        </w:rPr>
        <w:t>C.</w:t>
      </w:r>
      <w:r w:rsidR="000043CF" w:rsidRPr="007375EB">
        <w:rPr>
          <w:rFonts w:eastAsia="Verdana" w:cs="Verdana"/>
          <w:color w:val="000000" w:themeColor="text1"/>
          <w:lang w:val="bg-BG"/>
        </w:rPr>
        <w:t xml:space="preserve"> </w:t>
      </w:r>
      <w:r w:rsidR="005E5CAD" w:rsidRPr="007375EB">
        <w:rPr>
          <w:rFonts w:eastAsia="Verdana" w:cs="Verdana"/>
          <w:color w:val="000000" w:themeColor="text1"/>
          <w:lang w:val="bg-BG"/>
        </w:rPr>
        <w:t xml:space="preserve"> </w:t>
      </w:r>
    </w:p>
    <w:p w14:paraId="5177E661" w14:textId="544D0FBB" w:rsidR="00EC2B60" w:rsidRPr="007375EB" w:rsidRDefault="003935CE" w:rsidP="00CD505B">
      <w:pPr>
        <w:spacing w:line="240" w:lineRule="auto"/>
        <w:jc w:val="center"/>
        <w:rPr>
          <w:lang w:val="bg-BG" w:eastAsia="da-DK"/>
        </w:rPr>
      </w:pPr>
      <w:r w:rsidRPr="007375EB">
        <w:rPr>
          <w:noProof/>
          <w:lang w:val="bg-BG"/>
        </w:rPr>
        <w:drawing>
          <wp:inline distT="0" distB="0" distL="0" distR="0" wp14:anchorId="502AB84B" wp14:editId="597E9294">
            <wp:extent cx="5044393" cy="3566715"/>
            <wp:effectExtent l="0" t="0" r="4445" b="0"/>
            <wp:docPr id="222032365" name="Picture 22203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061633" cy="3578905"/>
                    </a:xfrm>
                    <a:prstGeom prst="rect">
                      <a:avLst/>
                    </a:prstGeom>
                    <a:noFill/>
                    <a:ln>
                      <a:noFill/>
                    </a:ln>
                  </pic:spPr>
                </pic:pic>
              </a:graphicData>
            </a:graphic>
          </wp:inline>
        </w:drawing>
      </w:r>
    </w:p>
    <w:p w14:paraId="7FCDF079" w14:textId="0B7BAE98" w:rsidR="00EC2B60" w:rsidRPr="007375EB" w:rsidRDefault="00A71C46" w:rsidP="00CD505B">
      <w:pPr>
        <w:spacing w:line="240" w:lineRule="auto"/>
        <w:ind w:firstLine="426"/>
        <w:rPr>
          <w:sz w:val="14"/>
          <w:szCs w:val="14"/>
          <w:lang w:val="bg-BG" w:eastAsia="da-DK"/>
        </w:rPr>
      </w:pPr>
      <w:bookmarkStart w:id="27" w:name="_Hlk162966190"/>
      <w:r w:rsidRPr="007375EB">
        <w:rPr>
          <w:i/>
          <w:iCs/>
          <w:color w:val="00B0F0"/>
          <w:sz w:val="14"/>
          <w:szCs w:val="14"/>
          <w:lang w:val="bg-BG"/>
        </w:rPr>
        <w:lastRenderedPageBreak/>
        <w:t xml:space="preserve">Източник: Обработка на данни </w:t>
      </w:r>
      <w:hyperlink r:id="rId66" w:history="1">
        <w:r w:rsidR="00EC2B60" w:rsidRPr="007375EB">
          <w:rPr>
            <w:rStyle w:val="Hyperlink"/>
            <w:i/>
            <w:iCs/>
            <w:sz w:val="14"/>
            <w:szCs w:val="14"/>
            <w:lang w:val="bg-BG"/>
          </w:rPr>
          <w:t>www.worldclim.org</w:t>
        </w:r>
      </w:hyperlink>
    </w:p>
    <w:p w14:paraId="51638924" w14:textId="008C6611" w:rsidR="00354909" w:rsidRPr="007375EB" w:rsidRDefault="00B230C6" w:rsidP="00CD505B">
      <w:pPr>
        <w:pStyle w:val="Caption"/>
        <w:spacing w:before="0"/>
        <w:jc w:val="center"/>
        <w:rPr>
          <w:sz w:val="16"/>
          <w:szCs w:val="16"/>
          <w:vertAlign w:val="subscript"/>
          <w:lang w:val="bg-BG"/>
        </w:rPr>
      </w:pPr>
      <w:r w:rsidRPr="007375EB">
        <w:rPr>
          <w:sz w:val="16"/>
          <w:szCs w:val="16"/>
          <w:lang w:val="bg-BG"/>
        </w:rPr>
        <w:t>Фигура</w:t>
      </w:r>
      <w:r w:rsidR="00354909" w:rsidRPr="007375EB">
        <w:rPr>
          <w:sz w:val="16"/>
          <w:szCs w:val="16"/>
          <w:lang w:val="bg-BG"/>
        </w:rPr>
        <w:t xml:space="preserve"> 2. </w:t>
      </w:r>
      <w:r w:rsidR="00354909" w:rsidRPr="007375EB">
        <w:rPr>
          <w:sz w:val="16"/>
          <w:szCs w:val="16"/>
          <w:lang w:val="bg-BG"/>
        </w:rPr>
        <w:fldChar w:fldCharType="begin"/>
      </w:r>
      <w:r w:rsidR="00354909" w:rsidRPr="007375EB">
        <w:rPr>
          <w:sz w:val="16"/>
          <w:szCs w:val="16"/>
          <w:lang w:val="bg-BG"/>
        </w:rPr>
        <w:instrText xml:space="preserve"> SEQ Figura_2. \* ARABIC </w:instrText>
      </w:r>
      <w:r w:rsidR="00354909" w:rsidRPr="007375EB">
        <w:rPr>
          <w:sz w:val="16"/>
          <w:szCs w:val="16"/>
          <w:lang w:val="bg-BG"/>
        </w:rPr>
        <w:fldChar w:fldCharType="separate"/>
      </w:r>
      <w:r w:rsidR="00683271" w:rsidRPr="007375EB">
        <w:rPr>
          <w:noProof/>
          <w:sz w:val="16"/>
          <w:szCs w:val="16"/>
          <w:lang w:val="bg-BG"/>
        </w:rPr>
        <w:t>26</w:t>
      </w:r>
      <w:r w:rsidR="00354909" w:rsidRPr="007375EB">
        <w:rPr>
          <w:sz w:val="16"/>
          <w:szCs w:val="16"/>
          <w:lang w:val="bg-BG"/>
        </w:rPr>
        <w:fldChar w:fldCharType="end"/>
      </w:r>
      <w:r w:rsidR="00354909" w:rsidRPr="007375EB">
        <w:rPr>
          <w:sz w:val="16"/>
          <w:szCs w:val="16"/>
          <w:lang w:val="bg-BG"/>
        </w:rPr>
        <w:t xml:space="preserve"> </w:t>
      </w:r>
      <w:r w:rsidR="009451E1" w:rsidRPr="007375EB">
        <w:rPr>
          <w:sz w:val="16"/>
          <w:szCs w:val="16"/>
          <w:lang w:val="bg-BG"/>
        </w:rPr>
        <w:t>Максимални стойности на температурата в зоната на въздействие на PUZ през 2050 г.</w:t>
      </w:r>
    </w:p>
    <w:bookmarkEnd w:id="27"/>
    <w:p w14:paraId="42C54EFF" w14:textId="4F13BF3E" w:rsidR="00CD505B" w:rsidRPr="007375EB" w:rsidRDefault="009451E1" w:rsidP="00CD505B">
      <w:pPr>
        <w:spacing w:after="120" w:line="360" w:lineRule="auto"/>
        <w:jc w:val="both"/>
        <w:rPr>
          <w:rFonts w:eastAsia="Verdana" w:cs="Verdana"/>
          <w:color w:val="000000" w:themeColor="text1"/>
          <w:lang w:val="bg-BG"/>
        </w:rPr>
      </w:pPr>
      <w:r w:rsidRPr="007375EB">
        <w:rPr>
          <w:rFonts w:eastAsia="Verdana" w:cs="Verdana"/>
          <w:color w:val="000000" w:themeColor="text1"/>
          <w:lang w:val="bg-BG"/>
        </w:rPr>
        <w:t xml:space="preserve">Според глобалните климатични данни за периода 1970-2000 г., налични в WorldClim, средната годишна минимална температура в зоната на влияние на PUZ в община Черкезу е между </w:t>
      </w:r>
      <w:r w:rsidR="00CD505B" w:rsidRPr="007375EB">
        <w:rPr>
          <w:rFonts w:eastAsia="Verdana" w:cs="Verdana"/>
          <w:lang w:val="bg-BG"/>
        </w:rPr>
        <w:t>0,68</w:t>
      </w:r>
      <w:r w:rsidR="00CD505B" w:rsidRPr="007375EB">
        <w:rPr>
          <w:lang w:val="bg-BG"/>
        </w:rPr>
        <w:t>÷</w:t>
      </w:r>
      <w:r w:rsidR="00CD505B" w:rsidRPr="007375EB">
        <w:rPr>
          <w:rFonts w:eastAsia="Verdana" w:cs="Verdana"/>
          <w:lang w:val="bg-BG"/>
        </w:rPr>
        <w:t>0,33</w:t>
      </w:r>
      <w:r w:rsidR="00CD505B" w:rsidRPr="007375EB">
        <w:rPr>
          <w:rFonts w:eastAsia="Verdana" w:cs="Verdana"/>
          <w:vertAlign w:val="superscript"/>
          <w:lang w:val="bg-BG"/>
        </w:rPr>
        <w:t>0</w:t>
      </w:r>
      <w:r w:rsidR="00CD505B" w:rsidRPr="007375EB">
        <w:rPr>
          <w:rFonts w:eastAsia="Verdana" w:cs="Verdana"/>
          <w:lang w:val="bg-BG"/>
        </w:rPr>
        <w:t>C</w:t>
      </w:r>
      <w:r w:rsidR="00CD505B" w:rsidRPr="007375EB">
        <w:rPr>
          <w:rFonts w:eastAsia="Verdana" w:cs="Verdana"/>
          <w:color w:val="000000" w:themeColor="text1"/>
          <w:lang w:val="bg-BG"/>
        </w:rPr>
        <w:t>.</w:t>
      </w:r>
    </w:p>
    <w:p w14:paraId="077B44DC" w14:textId="68294619" w:rsidR="00EC2B60" w:rsidRPr="007375EB" w:rsidRDefault="00043E42" w:rsidP="006E1CEB">
      <w:pPr>
        <w:spacing w:line="240" w:lineRule="auto"/>
        <w:jc w:val="center"/>
        <w:rPr>
          <w:rFonts w:eastAsia="Verdana" w:cs="Verdana"/>
          <w:color w:val="000000" w:themeColor="text1"/>
          <w:lang w:val="bg-BG"/>
        </w:rPr>
      </w:pPr>
      <w:r w:rsidRPr="007375EB">
        <w:rPr>
          <w:noProof/>
          <w:lang w:val="bg-BG"/>
        </w:rPr>
        <w:drawing>
          <wp:inline distT="0" distB="0" distL="0" distR="0" wp14:anchorId="1BEABC9B" wp14:editId="2AC16CFB">
            <wp:extent cx="4916015" cy="3474886"/>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936901" cy="3489649"/>
                    </a:xfrm>
                    <a:prstGeom prst="rect">
                      <a:avLst/>
                    </a:prstGeom>
                    <a:noFill/>
                    <a:ln>
                      <a:noFill/>
                    </a:ln>
                  </pic:spPr>
                </pic:pic>
              </a:graphicData>
            </a:graphic>
          </wp:inline>
        </w:drawing>
      </w:r>
    </w:p>
    <w:p w14:paraId="1F0D5DAD" w14:textId="3F36FE13" w:rsidR="00EC2B60" w:rsidRPr="007375EB" w:rsidRDefault="00A71C46" w:rsidP="006E1CEB">
      <w:pPr>
        <w:spacing w:line="240" w:lineRule="auto"/>
        <w:ind w:firstLine="567"/>
        <w:rPr>
          <w:rFonts w:eastAsia="Verdana" w:cs="Verdana"/>
          <w:color w:val="000000" w:themeColor="text1"/>
          <w:sz w:val="14"/>
          <w:szCs w:val="14"/>
          <w:lang w:val="bg-BG"/>
        </w:rPr>
      </w:pPr>
      <w:r w:rsidRPr="007375EB">
        <w:rPr>
          <w:i/>
          <w:iCs/>
          <w:color w:val="00B0F0"/>
          <w:sz w:val="14"/>
          <w:szCs w:val="14"/>
          <w:lang w:val="bg-BG"/>
        </w:rPr>
        <w:t xml:space="preserve">Източник: Обработка на данни </w:t>
      </w:r>
      <w:hyperlink r:id="rId68" w:history="1">
        <w:r w:rsidR="00EC2B60" w:rsidRPr="007375EB">
          <w:rPr>
            <w:rStyle w:val="Hyperlink"/>
            <w:i/>
            <w:iCs/>
            <w:sz w:val="14"/>
            <w:szCs w:val="14"/>
            <w:lang w:val="bg-BG"/>
          </w:rPr>
          <w:t>www.worldclim.org</w:t>
        </w:r>
      </w:hyperlink>
    </w:p>
    <w:p w14:paraId="00BF654D" w14:textId="24778039" w:rsidR="00AB0F88" w:rsidRPr="007375EB" w:rsidRDefault="00B230C6" w:rsidP="006E1CEB">
      <w:pPr>
        <w:pStyle w:val="Caption"/>
        <w:spacing w:before="0"/>
        <w:jc w:val="center"/>
        <w:rPr>
          <w:sz w:val="16"/>
          <w:szCs w:val="16"/>
          <w:vertAlign w:val="subscript"/>
          <w:lang w:val="bg-BG"/>
        </w:rPr>
      </w:pPr>
      <w:r w:rsidRPr="007375EB">
        <w:rPr>
          <w:sz w:val="16"/>
          <w:szCs w:val="16"/>
          <w:lang w:val="bg-BG"/>
        </w:rPr>
        <w:t>Фигура</w:t>
      </w:r>
      <w:r w:rsidR="00AB0F88" w:rsidRPr="007375EB">
        <w:rPr>
          <w:sz w:val="16"/>
          <w:szCs w:val="16"/>
          <w:lang w:val="bg-BG"/>
        </w:rPr>
        <w:t xml:space="preserve"> 2. </w:t>
      </w:r>
      <w:r w:rsidR="00AB0F88" w:rsidRPr="007375EB">
        <w:rPr>
          <w:sz w:val="16"/>
          <w:szCs w:val="16"/>
          <w:lang w:val="bg-BG"/>
        </w:rPr>
        <w:fldChar w:fldCharType="begin"/>
      </w:r>
      <w:r w:rsidR="00AB0F88" w:rsidRPr="007375EB">
        <w:rPr>
          <w:sz w:val="16"/>
          <w:szCs w:val="16"/>
          <w:lang w:val="bg-BG"/>
        </w:rPr>
        <w:instrText xml:space="preserve"> SEQ Figura_2. \* ARABIC </w:instrText>
      </w:r>
      <w:r w:rsidR="00AB0F88" w:rsidRPr="007375EB">
        <w:rPr>
          <w:sz w:val="16"/>
          <w:szCs w:val="16"/>
          <w:lang w:val="bg-BG"/>
        </w:rPr>
        <w:fldChar w:fldCharType="separate"/>
      </w:r>
      <w:r w:rsidR="00683271" w:rsidRPr="007375EB">
        <w:rPr>
          <w:noProof/>
          <w:sz w:val="16"/>
          <w:szCs w:val="16"/>
          <w:lang w:val="bg-BG"/>
        </w:rPr>
        <w:t>27</w:t>
      </w:r>
      <w:r w:rsidR="00AB0F88" w:rsidRPr="007375EB">
        <w:rPr>
          <w:sz w:val="16"/>
          <w:szCs w:val="16"/>
          <w:lang w:val="bg-BG"/>
        </w:rPr>
        <w:fldChar w:fldCharType="end"/>
      </w:r>
      <w:r w:rsidR="00AB0F88" w:rsidRPr="007375EB">
        <w:rPr>
          <w:sz w:val="16"/>
          <w:szCs w:val="16"/>
          <w:lang w:val="bg-BG"/>
        </w:rPr>
        <w:t xml:space="preserve"> </w:t>
      </w:r>
      <w:r w:rsidR="00A71C46" w:rsidRPr="007375EB">
        <w:rPr>
          <w:sz w:val="16"/>
          <w:szCs w:val="16"/>
          <w:lang w:val="bg-BG"/>
        </w:rPr>
        <w:t xml:space="preserve">Исторически средни стойности на минималната температура в зоната на въздействие на </w:t>
      </w:r>
      <w:r w:rsidR="00AB0F88" w:rsidRPr="007375EB">
        <w:rPr>
          <w:sz w:val="16"/>
          <w:szCs w:val="16"/>
          <w:lang w:val="bg-BG"/>
        </w:rPr>
        <w:t xml:space="preserve">PUZ </w:t>
      </w:r>
    </w:p>
    <w:p w14:paraId="42567910" w14:textId="30D7232C" w:rsidR="0066338D" w:rsidRPr="007375EB" w:rsidRDefault="00A71C46" w:rsidP="0066338D">
      <w:pPr>
        <w:spacing w:after="120" w:line="360" w:lineRule="auto"/>
        <w:jc w:val="both"/>
        <w:rPr>
          <w:lang w:val="bg-BG"/>
        </w:rPr>
      </w:pPr>
      <w:r w:rsidRPr="007375EB">
        <w:rPr>
          <w:lang w:val="bg-BG"/>
        </w:rPr>
        <w:t>Що се отнася до развитието на средната годишна минимална температура в зоната на въздействие на предложен</w:t>
      </w:r>
      <w:r w:rsidR="00F9362E" w:rsidRPr="007375EB">
        <w:rPr>
          <w:lang w:val="bg-BG"/>
        </w:rPr>
        <w:t>ия</w:t>
      </w:r>
      <w:r w:rsidRPr="007375EB">
        <w:rPr>
          <w:lang w:val="bg-BG"/>
        </w:rPr>
        <w:t xml:space="preserve"> PUZ, в община Черкезу, през 2050 г. се очаква температурата да се повиши с около 9</w:t>
      </w:r>
      <w:r w:rsidRPr="007375EB">
        <w:rPr>
          <w:vertAlign w:val="superscript"/>
          <w:lang w:val="bg-BG"/>
        </w:rPr>
        <w:t>0</w:t>
      </w:r>
      <w:r w:rsidRPr="007375EB">
        <w:rPr>
          <w:lang w:val="bg-BG"/>
        </w:rPr>
        <w:t>C, като стойностите в зоната варират от 9,49 до 9,84</w:t>
      </w:r>
      <w:r w:rsidR="0066338D" w:rsidRPr="007375EB">
        <w:rPr>
          <w:rFonts w:eastAsia="Verdana" w:cs="Verdana"/>
          <w:vertAlign w:val="superscript"/>
          <w:lang w:val="bg-BG"/>
        </w:rPr>
        <w:t>0</w:t>
      </w:r>
      <w:r w:rsidR="0066338D" w:rsidRPr="007375EB">
        <w:rPr>
          <w:rFonts w:eastAsia="Verdana" w:cs="Verdana"/>
          <w:lang w:val="bg-BG"/>
        </w:rPr>
        <w:t>C</w:t>
      </w:r>
      <w:r w:rsidR="0066338D" w:rsidRPr="007375EB">
        <w:rPr>
          <w:lang w:val="bg-BG"/>
        </w:rPr>
        <w:t xml:space="preserve">. </w:t>
      </w:r>
    </w:p>
    <w:p w14:paraId="2AF02B97" w14:textId="12731D07" w:rsidR="00EC2B60" w:rsidRPr="007375EB" w:rsidRDefault="00043E42" w:rsidP="00800F9A">
      <w:pPr>
        <w:spacing w:line="240" w:lineRule="auto"/>
        <w:jc w:val="center"/>
        <w:rPr>
          <w:lang w:val="bg-BG"/>
        </w:rPr>
      </w:pPr>
      <w:r w:rsidRPr="007375EB">
        <w:rPr>
          <w:noProof/>
          <w:lang w:val="bg-BG"/>
        </w:rPr>
        <w:lastRenderedPageBreak/>
        <w:drawing>
          <wp:inline distT="0" distB="0" distL="0" distR="0" wp14:anchorId="1CA7E9E9" wp14:editId="6865F6FE">
            <wp:extent cx="4778317" cy="3377555"/>
            <wp:effectExtent l="0" t="0" r="3810" b="0"/>
            <wp:docPr id="222032352" name="Picture 22203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788279" cy="3384596"/>
                    </a:xfrm>
                    <a:prstGeom prst="rect">
                      <a:avLst/>
                    </a:prstGeom>
                    <a:noFill/>
                    <a:ln>
                      <a:noFill/>
                    </a:ln>
                  </pic:spPr>
                </pic:pic>
              </a:graphicData>
            </a:graphic>
          </wp:inline>
        </w:drawing>
      </w:r>
    </w:p>
    <w:p w14:paraId="5AC50144" w14:textId="780381DC" w:rsidR="00EC2B60" w:rsidRPr="007375EB" w:rsidRDefault="009451E1" w:rsidP="00800F9A">
      <w:pPr>
        <w:spacing w:line="240" w:lineRule="auto"/>
        <w:ind w:firstLine="426"/>
        <w:rPr>
          <w:i/>
          <w:iCs/>
          <w:color w:val="00B0F0"/>
          <w:sz w:val="14"/>
          <w:szCs w:val="14"/>
          <w:lang w:val="bg-BG"/>
        </w:rPr>
      </w:pPr>
      <w:r w:rsidRPr="007375EB">
        <w:rPr>
          <w:i/>
          <w:iCs/>
          <w:color w:val="00B0F0"/>
          <w:sz w:val="14"/>
          <w:szCs w:val="14"/>
          <w:lang w:val="bg-BG"/>
        </w:rPr>
        <w:t xml:space="preserve">Източник: Обработка на данни </w:t>
      </w:r>
      <w:hyperlink r:id="rId70" w:history="1">
        <w:r w:rsidR="00EC2B60" w:rsidRPr="007375EB">
          <w:rPr>
            <w:rStyle w:val="Hyperlink"/>
            <w:i/>
            <w:iCs/>
            <w:sz w:val="14"/>
            <w:szCs w:val="14"/>
            <w:lang w:val="bg-BG"/>
          </w:rPr>
          <w:t>www.worldclim.org</w:t>
        </w:r>
      </w:hyperlink>
    </w:p>
    <w:p w14:paraId="69C8D510" w14:textId="3C454D43" w:rsidR="00B5489E" w:rsidRPr="007375EB" w:rsidRDefault="00B230C6" w:rsidP="00800F9A">
      <w:pPr>
        <w:pStyle w:val="Caption"/>
        <w:spacing w:before="0"/>
        <w:jc w:val="center"/>
        <w:rPr>
          <w:sz w:val="16"/>
          <w:szCs w:val="16"/>
          <w:vertAlign w:val="subscript"/>
          <w:lang w:val="bg-BG"/>
        </w:rPr>
      </w:pPr>
      <w:r w:rsidRPr="007375EB">
        <w:rPr>
          <w:sz w:val="16"/>
          <w:szCs w:val="16"/>
          <w:lang w:val="bg-BG"/>
        </w:rPr>
        <w:t>Фигура</w:t>
      </w:r>
      <w:r w:rsidR="00B5489E" w:rsidRPr="007375EB">
        <w:rPr>
          <w:sz w:val="16"/>
          <w:szCs w:val="16"/>
          <w:lang w:val="bg-BG"/>
        </w:rPr>
        <w:t xml:space="preserve"> 2. </w:t>
      </w:r>
      <w:r w:rsidR="00B5489E" w:rsidRPr="007375EB">
        <w:rPr>
          <w:sz w:val="16"/>
          <w:szCs w:val="16"/>
          <w:lang w:val="bg-BG"/>
        </w:rPr>
        <w:fldChar w:fldCharType="begin"/>
      </w:r>
      <w:r w:rsidR="00B5489E" w:rsidRPr="007375EB">
        <w:rPr>
          <w:sz w:val="16"/>
          <w:szCs w:val="16"/>
          <w:lang w:val="bg-BG"/>
        </w:rPr>
        <w:instrText xml:space="preserve"> SEQ Figura_2. \* ARABIC </w:instrText>
      </w:r>
      <w:r w:rsidR="00B5489E" w:rsidRPr="007375EB">
        <w:rPr>
          <w:sz w:val="16"/>
          <w:szCs w:val="16"/>
          <w:lang w:val="bg-BG"/>
        </w:rPr>
        <w:fldChar w:fldCharType="separate"/>
      </w:r>
      <w:r w:rsidR="00683271" w:rsidRPr="007375EB">
        <w:rPr>
          <w:noProof/>
          <w:sz w:val="16"/>
          <w:szCs w:val="16"/>
          <w:lang w:val="bg-BG"/>
        </w:rPr>
        <w:t>28</w:t>
      </w:r>
      <w:r w:rsidR="00B5489E" w:rsidRPr="007375EB">
        <w:rPr>
          <w:sz w:val="16"/>
          <w:szCs w:val="16"/>
          <w:lang w:val="bg-BG"/>
        </w:rPr>
        <w:fldChar w:fldCharType="end"/>
      </w:r>
      <w:r w:rsidR="00B5489E" w:rsidRPr="007375EB">
        <w:rPr>
          <w:sz w:val="16"/>
          <w:szCs w:val="16"/>
          <w:lang w:val="bg-BG"/>
        </w:rPr>
        <w:t xml:space="preserve"> </w:t>
      </w:r>
      <w:r w:rsidR="00680765" w:rsidRPr="007375EB">
        <w:rPr>
          <w:sz w:val="16"/>
          <w:szCs w:val="16"/>
          <w:lang w:val="bg-BG"/>
        </w:rPr>
        <w:t>Средногодишни стойности на минималната температура в зоната на въздействие на PUZ през 2050 г.</w:t>
      </w:r>
    </w:p>
    <w:p w14:paraId="0F5AEE19" w14:textId="5A874E8E" w:rsidR="008B6311" w:rsidRPr="007375EB" w:rsidRDefault="00680765" w:rsidP="008B6311">
      <w:pPr>
        <w:spacing w:after="120" w:line="360" w:lineRule="auto"/>
        <w:jc w:val="both"/>
        <w:rPr>
          <w:rFonts w:eastAsia="Verdana" w:cs="Verdana"/>
          <w:lang w:val="bg-BG"/>
        </w:rPr>
      </w:pPr>
      <w:r w:rsidRPr="007375EB">
        <w:rPr>
          <w:rFonts w:eastAsia="Verdana" w:cs="Verdana"/>
          <w:lang w:val="bg-BG"/>
        </w:rPr>
        <w:t xml:space="preserve">Анализирайки представените по-горе данни, може да се види, че до 2050 г. ще има увеличение както на максималната, така и на минималната температура, но </w:t>
      </w:r>
      <w:r w:rsidRPr="007375EB">
        <w:rPr>
          <w:rFonts w:eastAsia="Verdana" w:cs="Verdana"/>
          <w:b/>
          <w:bCs/>
          <w:lang w:val="bg-BG"/>
        </w:rPr>
        <w:t>излагането на риск от екстремни температури е намалено</w:t>
      </w:r>
      <w:r w:rsidRPr="007375EB">
        <w:rPr>
          <w:rFonts w:eastAsia="Verdana" w:cs="Verdana"/>
          <w:lang w:val="bg-BG"/>
        </w:rPr>
        <w:t xml:space="preserve"> за вятърните паркове.</w:t>
      </w:r>
    </w:p>
    <w:p w14:paraId="5702A4B9" w14:textId="686AA262" w:rsidR="00EC2B60" w:rsidRPr="007375EB" w:rsidRDefault="00CA647A" w:rsidP="00EC2B60">
      <w:pPr>
        <w:spacing w:after="120" w:line="360" w:lineRule="auto"/>
        <w:ind w:left="39" w:hanging="11"/>
        <w:jc w:val="both"/>
        <w:rPr>
          <w:rFonts w:eastAsia="Verdana" w:cs="Verdana"/>
          <w:b/>
          <w:bCs/>
          <w:color w:val="00B0F0"/>
          <w:lang w:val="bg-BG"/>
        </w:rPr>
      </w:pPr>
      <w:r w:rsidRPr="007375EB">
        <w:rPr>
          <w:rFonts w:eastAsia="Verdana" w:cs="Verdana"/>
          <w:b/>
          <w:bCs/>
          <w:color w:val="00B0F0"/>
          <w:lang w:val="bg-BG"/>
        </w:rPr>
        <w:t>Валежи</w:t>
      </w:r>
    </w:p>
    <w:p w14:paraId="7862213A" w14:textId="66D4D342" w:rsidR="00680765" w:rsidRPr="007375EB" w:rsidRDefault="00CA647A" w:rsidP="00680765">
      <w:pPr>
        <w:spacing w:after="120" w:line="360" w:lineRule="auto"/>
        <w:jc w:val="both"/>
        <w:rPr>
          <w:rFonts w:eastAsia="Verdana" w:cs="Verdana"/>
          <w:color w:val="000000" w:themeColor="text1"/>
          <w:lang w:val="bg-BG"/>
        </w:rPr>
      </w:pPr>
      <w:r w:rsidRPr="007375EB">
        <w:rPr>
          <w:rFonts w:eastAsia="Verdana" w:cs="Verdana"/>
          <w:color w:val="000000" w:themeColor="text1"/>
          <w:lang w:val="bg-BG"/>
        </w:rPr>
        <w:t>Валежите</w:t>
      </w:r>
      <w:r w:rsidR="00680765" w:rsidRPr="007375EB">
        <w:rPr>
          <w:rFonts w:eastAsia="Verdana" w:cs="Verdana"/>
          <w:color w:val="000000" w:themeColor="text1"/>
          <w:lang w:val="bg-BG"/>
        </w:rPr>
        <w:t xml:space="preserve"> могат да бъдат под различни форми, като течни водни капки, снежни кристали или ледени топчета. Екстремните валежи могат да окажат значително въздействие върху инфраструктурата за водоснабдяване и канализация, като увеличат мътността на повърхностните води.</w:t>
      </w:r>
    </w:p>
    <w:p w14:paraId="0EE77A66" w14:textId="43E75F4D" w:rsidR="002C1A4E" w:rsidRPr="007375EB" w:rsidRDefault="00680765" w:rsidP="00680765">
      <w:pPr>
        <w:spacing w:after="120" w:line="360" w:lineRule="auto"/>
        <w:jc w:val="both"/>
        <w:rPr>
          <w:rFonts w:eastAsia="Verdana" w:cs="Verdana"/>
          <w:color w:val="000000" w:themeColor="text1"/>
          <w:lang w:val="bg-BG"/>
        </w:rPr>
      </w:pPr>
      <w:r w:rsidRPr="007375EB">
        <w:rPr>
          <w:rFonts w:eastAsia="Verdana" w:cs="Verdana"/>
          <w:color w:val="000000" w:themeColor="text1"/>
          <w:lang w:val="bg-BG"/>
        </w:rPr>
        <w:t xml:space="preserve">Според глобалните климатични данни за периода 1970-2000 г., налични в WorldClim, годишните </w:t>
      </w:r>
      <w:r w:rsidR="00CA647A" w:rsidRPr="007375EB">
        <w:rPr>
          <w:rFonts w:eastAsia="Verdana" w:cs="Verdana"/>
          <w:color w:val="000000" w:themeColor="text1"/>
          <w:lang w:val="bg-BG"/>
        </w:rPr>
        <w:t>валежи</w:t>
      </w:r>
      <w:r w:rsidRPr="007375EB">
        <w:rPr>
          <w:rFonts w:eastAsia="Verdana" w:cs="Verdana"/>
          <w:color w:val="000000" w:themeColor="text1"/>
          <w:lang w:val="bg-BG"/>
        </w:rPr>
        <w:t xml:space="preserve"> в зоната на влияние на PUZ в община Черкезу варират между 460÷476 мм</w:t>
      </w:r>
      <w:r w:rsidR="002C1A4E" w:rsidRPr="007375EB">
        <w:rPr>
          <w:rFonts w:eastAsia="Verdana" w:cs="Verdana"/>
          <w:lang w:val="bg-BG"/>
        </w:rPr>
        <w:t>.</w:t>
      </w:r>
    </w:p>
    <w:p w14:paraId="5FDD2D9B" w14:textId="4384CD29" w:rsidR="00EC2B60" w:rsidRPr="007375EB" w:rsidRDefault="00681433" w:rsidP="006F04B1">
      <w:pPr>
        <w:spacing w:line="240" w:lineRule="auto"/>
        <w:jc w:val="center"/>
        <w:rPr>
          <w:rFonts w:eastAsia="Verdana" w:cs="Verdana"/>
          <w:color w:val="000000" w:themeColor="text1"/>
          <w:sz w:val="14"/>
          <w:szCs w:val="14"/>
          <w:lang w:val="bg-BG"/>
        </w:rPr>
      </w:pPr>
      <w:r w:rsidRPr="007375EB">
        <w:rPr>
          <w:noProof/>
          <w:lang w:val="bg-BG"/>
        </w:rPr>
        <w:lastRenderedPageBreak/>
        <w:drawing>
          <wp:inline distT="0" distB="0" distL="0" distR="0" wp14:anchorId="22F01DEC" wp14:editId="02A9475B">
            <wp:extent cx="6028570" cy="4263241"/>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058989" cy="4284752"/>
                    </a:xfrm>
                    <a:prstGeom prst="rect">
                      <a:avLst/>
                    </a:prstGeom>
                    <a:noFill/>
                    <a:ln>
                      <a:noFill/>
                    </a:ln>
                  </pic:spPr>
                </pic:pic>
              </a:graphicData>
            </a:graphic>
          </wp:inline>
        </w:drawing>
      </w:r>
    </w:p>
    <w:p w14:paraId="432B72D8" w14:textId="0C3D843C" w:rsidR="00EC2B60" w:rsidRPr="007375EB" w:rsidRDefault="00F9362E" w:rsidP="00681433">
      <w:pPr>
        <w:spacing w:line="240" w:lineRule="auto"/>
        <w:ind w:firstLine="567"/>
        <w:rPr>
          <w:i/>
          <w:iCs/>
          <w:color w:val="00B0F0"/>
          <w:sz w:val="14"/>
          <w:szCs w:val="14"/>
          <w:lang w:val="bg-BG"/>
        </w:rPr>
      </w:pPr>
      <w:r w:rsidRPr="007375EB">
        <w:rPr>
          <w:i/>
          <w:iCs/>
          <w:color w:val="00B0F0"/>
          <w:sz w:val="14"/>
          <w:szCs w:val="14"/>
          <w:lang w:val="bg-BG"/>
        </w:rPr>
        <w:t xml:space="preserve">Източник: Обработка на данни </w:t>
      </w:r>
      <w:hyperlink r:id="rId72" w:history="1">
        <w:r w:rsidR="00EC2B60" w:rsidRPr="007375EB">
          <w:rPr>
            <w:rStyle w:val="Hyperlink"/>
            <w:i/>
            <w:iCs/>
            <w:sz w:val="14"/>
            <w:szCs w:val="14"/>
            <w:lang w:val="bg-BG"/>
          </w:rPr>
          <w:t>www.worldclim.org</w:t>
        </w:r>
      </w:hyperlink>
    </w:p>
    <w:p w14:paraId="32BC514B" w14:textId="6EF00945" w:rsidR="008A457B" w:rsidRPr="007375EB" w:rsidRDefault="00B230C6" w:rsidP="006F04B1">
      <w:pPr>
        <w:pStyle w:val="Caption"/>
        <w:spacing w:before="0" w:after="120"/>
        <w:jc w:val="center"/>
        <w:rPr>
          <w:sz w:val="16"/>
          <w:szCs w:val="16"/>
          <w:vertAlign w:val="subscript"/>
          <w:lang w:val="bg-BG"/>
        </w:rPr>
      </w:pPr>
      <w:r w:rsidRPr="007375EB">
        <w:rPr>
          <w:sz w:val="16"/>
          <w:szCs w:val="16"/>
          <w:lang w:val="bg-BG"/>
        </w:rPr>
        <w:t>Фигура</w:t>
      </w:r>
      <w:r w:rsidR="008A457B" w:rsidRPr="007375EB">
        <w:rPr>
          <w:sz w:val="16"/>
          <w:szCs w:val="16"/>
          <w:lang w:val="bg-BG"/>
        </w:rPr>
        <w:t xml:space="preserve"> 2. </w:t>
      </w:r>
      <w:r w:rsidR="008A457B" w:rsidRPr="007375EB">
        <w:rPr>
          <w:sz w:val="16"/>
          <w:szCs w:val="16"/>
          <w:lang w:val="bg-BG"/>
        </w:rPr>
        <w:fldChar w:fldCharType="begin"/>
      </w:r>
      <w:r w:rsidR="008A457B" w:rsidRPr="007375EB">
        <w:rPr>
          <w:sz w:val="16"/>
          <w:szCs w:val="16"/>
          <w:lang w:val="bg-BG"/>
        </w:rPr>
        <w:instrText xml:space="preserve"> SEQ Figura_2. \* ARABIC </w:instrText>
      </w:r>
      <w:r w:rsidR="008A457B" w:rsidRPr="007375EB">
        <w:rPr>
          <w:sz w:val="16"/>
          <w:szCs w:val="16"/>
          <w:lang w:val="bg-BG"/>
        </w:rPr>
        <w:fldChar w:fldCharType="separate"/>
      </w:r>
      <w:r w:rsidR="00683271" w:rsidRPr="007375EB">
        <w:rPr>
          <w:noProof/>
          <w:sz w:val="16"/>
          <w:szCs w:val="16"/>
          <w:lang w:val="bg-BG"/>
        </w:rPr>
        <w:t>29</w:t>
      </w:r>
      <w:r w:rsidR="008A457B" w:rsidRPr="007375EB">
        <w:rPr>
          <w:sz w:val="16"/>
          <w:szCs w:val="16"/>
          <w:lang w:val="bg-BG"/>
        </w:rPr>
        <w:fldChar w:fldCharType="end"/>
      </w:r>
      <w:r w:rsidR="008A457B" w:rsidRPr="007375EB">
        <w:rPr>
          <w:sz w:val="16"/>
          <w:szCs w:val="16"/>
          <w:lang w:val="bg-BG"/>
        </w:rPr>
        <w:t xml:space="preserve"> </w:t>
      </w:r>
      <w:r w:rsidR="00F9362E" w:rsidRPr="007375EB">
        <w:rPr>
          <w:sz w:val="16"/>
          <w:szCs w:val="16"/>
          <w:lang w:val="bg-BG"/>
        </w:rPr>
        <w:t xml:space="preserve">Исторически стойности на валежите в зоната на въздействие на </w:t>
      </w:r>
      <w:r w:rsidR="008A457B" w:rsidRPr="007375EB">
        <w:rPr>
          <w:sz w:val="16"/>
          <w:szCs w:val="16"/>
          <w:lang w:val="bg-BG"/>
        </w:rPr>
        <w:t>PUZ</w:t>
      </w:r>
    </w:p>
    <w:p w14:paraId="299D611D" w14:textId="77777777" w:rsidR="006F04B1" w:rsidRPr="007375EB" w:rsidRDefault="006F04B1" w:rsidP="006F04B1">
      <w:pPr>
        <w:spacing w:after="120" w:line="360" w:lineRule="auto"/>
        <w:jc w:val="both"/>
        <w:rPr>
          <w:sz w:val="4"/>
          <w:szCs w:val="4"/>
          <w:lang w:val="bg-BG"/>
        </w:rPr>
      </w:pPr>
    </w:p>
    <w:p w14:paraId="5CA4F6C0" w14:textId="109CF3C9" w:rsidR="006F04B1" w:rsidRPr="007375EB" w:rsidRDefault="00F9362E" w:rsidP="006F04B1">
      <w:pPr>
        <w:spacing w:after="120" w:line="360" w:lineRule="auto"/>
        <w:jc w:val="both"/>
        <w:rPr>
          <w:lang w:val="bg-BG"/>
        </w:rPr>
      </w:pPr>
      <w:r w:rsidRPr="007375EB">
        <w:rPr>
          <w:lang w:val="bg-BG"/>
        </w:rPr>
        <w:t xml:space="preserve">Що се отнася до развитието на годишните валежи в зоната на влияние на предложения PUZ, през 2050 г. се очаква годишните валежи в община Черкезу да намалеят с около 10 </w:t>
      </w:r>
      <w:r w:rsidR="00C10BFF" w:rsidRPr="007375EB">
        <w:rPr>
          <w:lang w:val="bg-BG"/>
        </w:rPr>
        <w:t>мм</w:t>
      </w:r>
      <w:r w:rsidRPr="007375EB">
        <w:rPr>
          <w:lang w:val="bg-BG"/>
        </w:rPr>
        <w:t xml:space="preserve">, като стойностите в района варират от </w:t>
      </w:r>
      <w:r w:rsidR="006F04B1" w:rsidRPr="007375EB">
        <w:rPr>
          <w:lang w:val="bg-BG"/>
        </w:rPr>
        <w:t xml:space="preserve">450÷475 </w:t>
      </w:r>
      <w:r w:rsidRPr="007375EB">
        <w:rPr>
          <w:lang w:val="bg-BG"/>
        </w:rPr>
        <w:t>мм</w:t>
      </w:r>
      <w:r w:rsidR="006F04B1" w:rsidRPr="007375EB">
        <w:rPr>
          <w:lang w:val="bg-BG"/>
        </w:rPr>
        <w:t>.</w:t>
      </w:r>
    </w:p>
    <w:p w14:paraId="2F3584A3" w14:textId="70D6FD27" w:rsidR="00EC2B60" w:rsidRPr="007375EB" w:rsidRDefault="00E3229D" w:rsidP="00E66C7E">
      <w:pPr>
        <w:spacing w:line="240" w:lineRule="auto"/>
        <w:jc w:val="center"/>
        <w:rPr>
          <w:color w:val="00B0F0"/>
          <w:sz w:val="14"/>
          <w:szCs w:val="14"/>
          <w:lang w:val="bg-BG"/>
        </w:rPr>
      </w:pPr>
      <w:r w:rsidRPr="007375EB">
        <w:rPr>
          <w:noProof/>
          <w:lang w:val="bg-BG"/>
        </w:rPr>
        <w:lastRenderedPageBreak/>
        <w:drawing>
          <wp:inline distT="0" distB="0" distL="0" distR="0" wp14:anchorId="3F0CD732" wp14:editId="0A17C83F">
            <wp:extent cx="5675923" cy="4013860"/>
            <wp:effectExtent l="0" t="0" r="127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01657" cy="4032059"/>
                    </a:xfrm>
                    <a:prstGeom prst="rect">
                      <a:avLst/>
                    </a:prstGeom>
                    <a:noFill/>
                    <a:ln>
                      <a:noFill/>
                    </a:ln>
                  </pic:spPr>
                </pic:pic>
              </a:graphicData>
            </a:graphic>
          </wp:inline>
        </w:drawing>
      </w:r>
    </w:p>
    <w:p w14:paraId="332E2FF7" w14:textId="2B80F14E" w:rsidR="00EC2B60" w:rsidRPr="007375EB" w:rsidRDefault="00F9362E" w:rsidP="00681433">
      <w:pPr>
        <w:spacing w:line="240" w:lineRule="auto"/>
        <w:ind w:firstLine="851"/>
        <w:rPr>
          <w:i/>
          <w:iCs/>
          <w:color w:val="00B0F0"/>
          <w:sz w:val="14"/>
          <w:szCs w:val="14"/>
          <w:lang w:val="bg-BG"/>
        </w:rPr>
      </w:pPr>
      <w:r w:rsidRPr="007375EB">
        <w:rPr>
          <w:i/>
          <w:iCs/>
          <w:color w:val="00B0F0"/>
          <w:sz w:val="14"/>
          <w:szCs w:val="14"/>
          <w:lang w:val="bg-BG"/>
        </w:rPr>
        <w:t xml:space="preserve">Източник: Обработка на данни </w:t>
      </w:r>
      <w:hyperlink r:id="rId74" w:history="1">
        <w:r w:rsidR="00EC2B60" w:rsidRPr="007375EB">
          <w:rPr>
            <w:rStyle w:val="Hyperlink"/>
            <w:i/>
            <w:iCs/>
            <w:sz w:val="14"/>
            <w:szCs w:val="14"/>
            <w:lang w:val="bg-BG"/>
          </w:rPr>
          <w:t>www.worldclim.org</w:t>
        </w:r>
      </w:hyperlink>
    </w:p>
    <w:p w14:paraId="4522DBE2" w14:textId="55B51543" w:rsidR="00AE2B6A" w:rsidRPr="007375EB" w:rsidRDefault="00B230C6" w:rsidP="00E66C7E">
      <w:pPr>
        <w:pStyle w:val="Caption"/>
        <w:spacing w:before="0" w:after="0" w:line="240" w:lineRule="auto"/>
        <w:jc w:val="center"/>
        <w:rPr>
          <w:sz w:val="16"/>
          <w:szCs w:val="16"/>
          <w:vertAlign w:val="subscript"/>
          <w:lang w:val="bg-BG"/>
        </w:rPr>
      </w:pPr>
      <w:r w:rsidRPr="007375EB">
        <w:rPr>
          <w:sz w:val="16"/>
          <w:szCs w:val="16"/>
          <w:lang w:val="bg-BG"/>
        </w:rPr>
        <w:t>Фигура</w:t>
      </w:r>
      <w:r w:rsidR="00AE2B6A" w:rsidRPr="007375EB">
        <w:rPr>
          <w:sz w:val="16"/>
          <w:szCs w:val="16"/>
          <w:lang w:val="bg-BG"/>
        </w:rPr>
        <w:t xml:space="preserve"> 2. </w:t>
      </w:r>
      <w:r w:rsidR="00AE2B6A" w:rsidRPr="007375EB">
        <w:rPr>
          <w:sz w:val="16"/>
          <w:szCs w:val="16"/>
          <w:lang w:val="bg-BG"/>
        </w:rPr>
        <w:fldChar w:fldCharType="begin"/>
      </w:r>
      <w:r w:rsidR="00AE2B6A" w:rsidRPr="007375EB">
        <w:rPr>
          <w:sz w:val="16"/>
          <w:szCs w:val="16"/>
          <w:lang w:val="bg-BG"/>
        </w:rPr>
        <w:instrText xml:space="preserve"> SEQ Figura_2. \* ARABIC </w:instrText>
      </w:r>
      <w:r w:rsidR="00AE2B6A" w:rsidRPr="007375EB">
        <w:rPr>
          <w:sz w:val="16"/>
          <w:szCs w:val="16"/>
          <w:lang w:val="bg-BG"/>
        </w:rPr>
        <w:fldChar w:fldCharType="separate"/>
      </w:r>
      <w:r w:rsidR="00683271" w:rsidRPr="007375EB">
        <w:rPr>
          <w:noProof/>
          <w:sz w:val="16"/>
          <w:szCs w:val="16"/>
          <w:lang w:val="bg-BG"/>
        </w:rPr>
        <w:t>30</w:t>
      </w:r>
      <w:r w:rsidR="00AE2B6A" w:rsidRPr="007375EB">
        <w:rPr>
          <w:sz w:val="16"/>
          <w:szCs w:val="16"/>
          <w:lang w:val="bg-BG"/>
        </w:rPr>
        <w:fldChar w:fldCharType="end"/>
      </w:r>
      <w:r w:rsidR="00AE2B6A" w:rsidRPr="007375EB">
        <w:rPr>
          <w:sz w:val="16"/>
          <w:szCs w:val="16"/>
          <w:lang w:val="bg-BG"/>
        </w:rPr>
        <w:t xml:space="preserve"> </w:t>
      </w:r>
      <w:r w:rsidR="00C10BFF" w:rsidRPr="007375EB">
        <w:rPr>
          <w:sz w:val="16"/>
          <w:szCs w:val="16"/>
          <w:lang w:val="bg-BG"/>
        </w:rPr>
        <w:t>Стойности на валежите в зоната на въздействие на PUZ през 2050 г.</w:t>
      </w:r>
    </w:p>
    <w:p w14:paraId="38556DEA" w14:textId="77777777" w:rsidR="00675D67" w:rsidRPr="007375EB" w:rsidRDefault="00675D67" w:rsidP="005F77BC">
      <w:pPr>
        <w:spacing w:after="120" w:line="360" w:lineRule="auto"/>
        <w:jc w:val="both"/>
        <w:rPr>
          <w:rFonts w:eastAsia="Verdana" w:cs="Verdana"/>
          <w:lang w:val="bg-BG"/>
        </w:rPr>
      </w:pPr>
    </w:p>
    <w:p w14:paraId="69F32C9A" w14:textId="7AFD554C" w:rsidR="005F77BC" w:rsidRPr="007375EB" w:rsidRDefault="00C10BFF" w:rsidP="005F77BC">
      <w:pPr>
        <w:spacing w:after="120" w:line="360" w:lineRule="auto"/>
        <w:jc w:val="both"/>
        <w:rPr>
          <w:rFonts w:eastAsia="Verdana" w:cs="Verdana"/>
          <w:lang w:val="bg-BG"/>
        </w:rPr>
      </w:pPr>
      <w:r w:rsidRPr="007375EB">
        <w:rPr>
          <w:rFonts w:eastAsia="Verdana" w:cs="Verdana"/>
          <w:lang w:val="bg-BG"/>
        </w:rPr>
        <w:t xml:space="preserve">Анализирайки представените по-горе данни, може да се види, че до 2050 г. количеството на валежите ще намалее, но </w:t>
      </w:r>
      <w:r w:rsidRPr="007375EB">
        <w:rPr>
          <w:rFonts w:eastAsia="Verdana" w:cs="Verdana"/>
          <w:b/>
          <w:bCs/>
          <w:lang w:val="bg-BG"/>
        </w:rPr>
        <w:t>излагането на риск от валежи ще се намали</w:t>
      </w:r>
      <w:r w:rsidRPr="007375EB">
        <w:rPr>
          <w:rFonts w:eastAsia="Verdana" w:cs="Verdana"/>
          <w:lang w:val="bg-BG"/>
        </w:rPr>
        <w:t xml:space="preserve"> за вятърните паркове.</w:t>
      </w:r>
      <w:r w:rsidR="005F77BC" w:rsidRPr="007375EB">
        <w:rPr>
          <w:rFonts w:eastAsia="Verdana" w:cs="Verdana"/>
          <w:lang w:val="bg-BG"/>
        </w:rPr>
        <w:t>.</w:t>
      </w:r>
    </w:p>
    <w:p w14:paraId="60A2F4DD" w14:textId="2D3B13D6" w:rsidR="00EC2B60" w:rsidRPr="007375EB" w:rsidRDefault="00C10BFF" w:rsidP="00AE2B6A">
      <w:pPr>
        <w:spacing w:after="120" w:line="360" w:lineRule="auto"/>
        <w:ind w:left="39" w:hanging="11"/>
        <w:jc w:val="both"/>
        <w:rPr>
          <w:rFonts w:eastAsia="Verdana" w:cs="Verdana"/>
          <w:b/>
          <w:bCs/>
          <w:color w:val="00B0F0"/>
          <w:lang w:val="bg-BG"/>
        </w:rPr>
      </w:pPr>
      <w:r w:rsidRPr="007375EB">
        <w:rPr>
          <w:rFonts w:eastAsia="Verdana" w:cs="Verdana"/>
          <w:b/>
          <w:bCs/>
          <w:color w:val="00B0F0"/>
          <w:lang w:val="bg-BG"/>
        </w:rPr>
        <w:t>Наводнения</w:t>
      </w:r>
    </w:p>
    <w:p w14:paraId="18811E7F" w14:textId="77777777" w:rsidR="00C10BFF" w:rsidRPr="007375EB" w:rsidRDefault="00C10BFF" w:rsidP="00C10BFF">
      <w:pPr>
        <w:spacing w:after="120" w:line="360" w:lineRule="auto"/>
        <w:jc w:val="both"/>
        <w:rPr>
          <w:rFonts w:eastAsia="Verdana" w:cs="Verdana"/>
          <w:color w:val="000000" w:themeColor="text1"/>
          <w:lang w:val="bg-BG"/>
        </w:rPr>
      </w:pPr>
      <w:r w:rsidRPr="007375EB">
        <w:rPr>
          <w:rFonts w:eastAsia="Verdana" w:cs="Verdana"/>
          <w:color w:val="000000" w:themeColor="text1"/>
          <w:lang w:val="bg-BG"/>
        </w:rPr>
        <w:t>Наводненията са събития, при които земята се покрива с излишна вода, обикновено поради обилни валежи, бързо топене на снеговете или преливане на водни потоци.</w:t>
      </w:r>
    </w:p>
    <w:p w14:paraId="338F73F2" w14:textId="54CA1A28" w:rsidR="001120DA" w:rsidRPr="007375EB" w:rsidRDefault="00C10BFF" w:rsidP="00C10BFF">
      <w:pPr>
        <w:spacing w:after="120" w:line="360" w:lineRule="auto"/>
        <w:jc w:val="both"/>
        <w:rPr>
          <w:rFonts w:eastAsia="Verdana" w:cs="Verdana"/>
          <w:color w:val="000000" w:themeColor="text1"/>
          <w:lang w:val="bg-BG"/>
        </w:rPr>
      </w:pPr>
      <w:r w:rsidRPr="007375EB">
        <w:rPr>
          <w:rFonts w:eastAsia="Verdana" w:cs="Verdana"/>
          <w:color w:val="000000" w:themeColor="text1"/>
          <w:lang w:val="bg-BG"/>
        </w:rPr>
        <w:t>Излагането на риск от наводнения, който вече е значителен в повечето части на страната, се очаква да се увеличи с изменението на климата. Според данните, налични в картите на заплахата и риска от наводнения - цикъл 2, зоната на въздействие на предложената PUZ не е изложена на риск от наводнения, като разстоянието до водните обекти, изложени на риск от наводнения, е най-малко 15 км.</w:t>
      </w:r>
    </w:p>
    <w:p w14:paraId="30E45EF0" w14:textId="3E7600D0" w:rsidR="00EC2B60" w:rsidRPr="007375EB" w:rsidRDefault="00C536D6" w:rsidP="006E786A">
      <w:pPr>
        <w:spacing w:line="240" w:lineRule="auto"/>
        <w:jc w:val="both"/>
        <w:rPr>
          <w:lang w:val="bg-BG"/>
        </w:rPr>
      </w:pPr>
      <w:r w:rsidRPr="007375EB">
        <w:rPr>
          <w:noProof/>
          <w:lang w:val="bg-BG"/>
        </w:rPr>
        <w:lastRenderedPageBreak/>
        <w:drawing>
          <wp:inline distT="0" distB="0" distL="0" distR="0" wp14:anchorId="7BE7A08E" wp14:editId="71066F87">
            <wp:extent cx="5851465" cy="2477386"/>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876143" cy="2487834"/>
                    </a:xfrm>
                    <a:prstGeom prst="rect">
                      <a:avLst/>
                    </a:prstGeom>
                    <a:noFill/>
                    <a:ln>
                      <a:noFill/>
                    </a:ln>
                  </pic:spPr>
                </pic:pic>
              </a:graphicData>
            </a:graphic>
          </wp:inline>
        </w:drawing>
      </w:r>
    </w:p>
    <w:p w14:paraId="441ADE27" w14:textId="3C797B00" w:rsidR="00EC2B60" w:rsidRPr="007375EB" w:rsidRDefault="00F9362E" w:rsidP="006E786A">
      <w:pPr>
        <w:spacing w:line="240" w:lineRule="auto"/>
        <w:rPr>
          <w:i/>
          <w:iCs/>
          <w:color w:val="00B0F0"/>
          <w:sz w:val="14"/>
          <w:szCs w:val="14"/>
          <w:lang w:val="bg-BG"/>
        </w:rPr>
      </w:pPr>
      <w:r w:rsidRPr="007375EB">
        <w:rPr>
          <w:i/>
          <w:iCs/>
          <w:color w:val="00B0F0"/>
          <w:sz w:val="14"/>
          <w:szCs w:val="14"/>
          <w:lang w:val="bg-BG"/>
        </w:rPr>
        <w:t xml:space="preserve">Източник: Обработка на данни </w:t>
      </w:r>
      <w:r w:rsidR="00EC2B60" w:rsidRPr="007375EB">
        <w:rPr>
          <w:i/>
          <w:iCs/>
          <w:color w:val="00B0F0"/>
          <w:sz w:val="14"/>
          <w:szCs w:val="14"/>
          <w:lang w:val="bg-BG"/>
        </w:rPr>
        <w:t>inindații.ro</w:t>
      </w:r>
    </w:p>
    <w:p w14:paraId="1D269BC6" w14:textId="061DF0C2" w:rsidR="00AE2B6A" w:rsidRPr="007375EB" w:rsidRDefault="00B230C6" w:rsidP="006E786A">
      <w:pPr>
        <w:pStyle w:val="Caption"/>
        <w:spacing w:before="0" w:after="0" w:line="240" w:lineRule="auto"/>
        <w:jc w:val="center"/>
        <w:rPr>
          <w:sz w:val="16"/>
          <w:szCs w:val="16"/>
          <w:vertAlign w:val="subscript"/>
          <w:lang w:val="bg-BG"/>
        </w:rPr>
      </w:pPr>
      <w:r w:rsidRPr="007375EB">
        <w:rPr>
          <w:sz w:val="16"/>
          <w:szCs w:val="16"/>
          <w:lang w:val="bg-BG"/>
        </w:rPr>
        <w:t>Фигура</w:t>
      </w:r>
      <w:r w:rsidR="00AE2B6A" w:rsidRPr="007375EB">
        <w:rPr>
          <w:sz w:val="16"/>
          <w:szCs w:val="16"/>
          <w:lang w:val="bg-BG"/>
        </w:rPr>
        <w:t xml:space="preserve"> 2. </w:t>
      </w:r>
      <w:r w:rsidR="00AE2B6A" w:rsidRPr="007375EB">
        <w:rPr>
          <w:sz w:val="16"/>
          <w:szCs w:val="16"/>
          <w:lang w:val="bg-BG"/>
        </w:rPr>
        <w:fldChar w:fldCharType="begin"/>
      </w:r>
      <w:r w:rsidR="00AE2B6A" w:rsidRPr="007375EB">
        <w:rPr>
          <w:sz w:val="16"/>
          <w:szCs w:val="16"/>
          <w:lang w:val="bg-BG"/>
        </w:rPr>
        <w:instrText xml:space="preserve"> SEQ Figura_2. \* ARABIC </w:instrText>
      </w:r>
      <w:r w:rsidR="00AE2B6A" w:rsidRPr="007375EB">
        <w:rPr>
          <w:sz w:val="16"/>
          <w:szCs w:val="16"/>
          <w:lang w:val="bg-BG"/>
        </w:rPr>
        <w:fldChar w:fldCharType="separate"/>
      </w:r>
      <w:r w:rsidR="00F06D32" w:rsidRPr="007375EB">
        <w:rPr>
          <w:noProof/>
          <w:sz w:val="16"/>
          <w:szCs w:val="16"/>
          <w:lang w:val="bg-BG"/>
        </w:rPr>
        <w:t>31</w:t>
      </w:r>
      <w:r w:rsidR="00AE2B6A" w:rsidRPr="007375EB">
        <w:rPr>
          <w:sz w:val="16"/>
          <w:szCs w:val="16"/>
          <w:lang w:val="bg-BG"/>
        </w:rPr>
        <w:fldChar w:fldCharType="end"/>
      </w:r>
      <w:r w:rsidR="00AE2B6A" w:rsidRPr="007375EB">
        <w:rPr>
          <w:sz w:val="16"/>
          <w:szCs w:val="16"/>
          <w:lang w:val="bg-BG"/>
        </w:rPr>
        <w:t xml:space="preserve"> </w:t>
      </w:r>
      <w:r w:rsidR="00C10BFF" w:rsidRPr="007375EB">
        <w:rPr>
          <w:sz w:val="16"/>
          <w:szCs w:val="16"/>
          <w:lang w:val="bg-BG"/>
        </w:rPr>
        <w:t>Карта на районите със значителен риск от наводнения</w:t>
      </w:r>
    </w:p>
    <w:p w14:paraId="254858AC" w14:textId="77777777" w:rsidR="00EC2B60" w:rsidRPr="007375EB" w:rsidRDefault="00EC2B60" w:rsidP="00EC2B60">
      <w:pPr>
        <w:spacing w:after="120" w:line="360" w:lineRule="auto"/>
        <w:jc w:val="center"/>
        <w:rPr>
          <w:i/>
          <w:iCs/>
          <w:color w:val="00B0F0"/>
          <w:sz w:val="14"/>
          <w:szCs w:val="14"/>
          <w:lang w:val="bg-BG"/>
        </w:rPr>
      </w:pPr>
    </w:p>
    <w:p w14:paraId="5AB897C5" w14:textId="6B0E9D22" w:rsidR="004E7E78" w:rsidRPr="007375EB" w:rsidRDefault="0082606D" w:rsidP="00556574">
      <w:pPr>
        <w:spacing w:after="120" w:line="360" w:lineRule="auto"/>
        <w:jc w:val="both"/>
        <w:rPr>
          <w:rFonts w:eastAsia="Verdana" w:cs="Verdana"/>
          <w:lang w:val="bg-BG"/>
        </w:rPr>
      </w:pPr>
      <w:r w:rsidRPr="007375EB">
        <w:rPr>
          <w:rFonts w:eastAsia="Verdana" w:cs="Verdana"/>
          <w:color w:val="000000" w:themeColor="text1"/>
          <w:lang w:val="bg-BG"/>
        </w:rPr>
        <w:t>Водните течения в района на обекта (Мъгура, Черкез, Чаир) не са включени в Плана за управление на речните басейни в Добруджанския край и не фигурират в картите на опасностите и риска от наводнения - цикъл 2. Въпреки това, съгласно Закон 575/2001 за одобряване на Националния план за териториално развитие - раздел V „Рискови природни зони“, община Cerchezu е изложена на риск от наводнения от проливни дъждове</w:t>
      </w:r>
      <w:r w:rsidR="007F1908" w:rsidRPr="007375EB">
        <w:rPr>
          <w:rFonts w:eastAsia="Verdana" w:cs="Verdana"/>
          <w:lang w:val="bg-BG"/>
        </w:rPr>
        <w:t>.</w:t>
      </w:r>
    </w:p>
    <w:p w14:paraId="21F26AAA" w14:textId="470ADA5B" w:rsidR="00B64BD0" w:rsidRPr="007375EB" w:rsidRDefault="0082606D" w:rsidP="00556574">
      <w:pPr>
        <w:spacing w:after="120" w:line="360" w:lineRule="auto"/>
        <w:jc w:val="both"/>
        <w:rPr>
          <w:rFonts w:eastAsia="Verdana" w:cs="Verdana"/>
          <w:lang w:val="bg-BG"/>
        </w:rPr>
      </w:pPr>
      <w:r w:rsidRPr="007375EB">
        <w:rPr>
          <w:rFonts w:eastAsia="Verdana" w:cs="Verdana"/>
          <w:lang w:val="bg-BG"/>
        </w:rPr>
        <w:t xml:space="preserve">В заключение може да се оцени, че </w:t>
      </w:r>
      <w:r w:rsidRPr="007375EB">
        <w:rPr>
          <w:rFonts w:eastAsia="Verdana" w:cs="Verdana"/>
          <w:b/>
          <w:bCs/>
          <w:lang w:val="bg-BG"/>
        </w:rPr>
        <w:t>районът на изпълнение на PUZ не е изложен на риск от наводнения</w:t>
      </w:r>
      <w:r w:rsidRPr="007375EB">
        <w:rPr>
          <w:rFonts w:eastAsia="Verdana" w:cs="Verdana"/>
          <w:lang w:val="bg-BG"/>
        </w:rPr>
        <w:t>.</w:t>
      </w:r>
    </w:p>
    <w:p w14:paraId="25630E73" w14:textId="02B61297" w:rsidR="00EC2B60" w:rsidRPr="007375EB" w:rsidRDefault="0082606D" w:rsidP="00EC2B60">
      <w:pPr>
        <w:spacing w:after="120" w:line="360" w:lineRule="auto"/>
        <w:rPr>
          <w:lang w:val="bg-BG" w:eastAsia="da-DK"/>
        </w:rPr>
      </w:pPr>
      <w:r w:rsidRPr="007375EB">
        <w:rPr>
          <w:rFonts w:eastAsia="Verdana" w:cs="Verdana"/>
          <w:b/>
          <w:bCs/>
          <w:color w:val="00B0F0"/>
          <w:lang w:val="bg-BG"/>
        </w:rPr>
        <w:t>Засушаване</w:t>
      </w:r>
    </w:p>
    <w:p w14:paraId="642E2967" w14:textId="2029AB62" w:rsidR="00EC2B60" w:rsidRPr="007375EB" w:rsidRDefault="0082606D" w:rsidP="00EC2B60">
      <w:pPr>
        <w:spacing w:after="120" w:line="360" w:lineRule="auto"/>
        <w:ind w:left="39" w:hanging="11"/>
        <w:jc w:val="both"/>
        <w:rPr>
          <w:rFonts w:eastAsia="Verdana" w:cs="Verdana"/>
          <w:color w:val="000000" w:themeColor="text1"/>
          <w:lang w:val="bg-BG"/>
        </w:rPr>
      </w:pPr>
      <w:r w:rsidRPr="007375EB">
        <w:rPr>
          <w:rFonts w:eastAsia="Verdana" w:cs="Verdana"/>
          <w:color w:val="000000" w:themeColor="text1"/>
          <w:lang w:val="bg-BG"/>
        </w:rPr>
        <w:t xml:space="preserve">Засушаването може да се определи като „недостиг на валежи за дълъг период от време (обикновено един сезон или повече), което води до недостиг на вода“. </w:t>
      </w:r>
      <w:r w:rsidR="00EC2B60" w:rsidRPr="007375EB">
        <w:rPr>
          <w:rFonts w:eastAsia="Verdana" w:cs="Verdana"/>
          <w:color w:val="000000" w:themeColor="text1"/>
          <w:lang w:val="bg-BG"/>
        </w:rPr>
        <w:t>".</w:t>
      </w:r>
    </w:p>
    <w:p w14:paraId="59F751E2" w14:textId="1B4951A8" w:rsidR="00EC2B60" w:rsidRPr="007375EB" w:rsidRDefault="0082606D" w:rsidP="00EC2B60">
      <w:pPr>
        <w:spacing w:after="120" w:line="360" w:lineRule="auto"/>
        <w:ind w:left="39" w:hanging="11"/>
        <w:jc w:val="both"/>
        <w:rPr>
          <w:rFonts w:eastAsia="Verdana" w:cs="Verdana"/>
          <w:color w:val="000000" w:themeColor="text1"/>
          <w:lang w:val="bg-BG"/>
        </w:rPr>
      </w:pPr>
      <w:r w:rsidRPr="007375EB">
        <w:rPr>
          <w:rFonts w:eastAsia="Verdana" w:cs="Verdana"/>
          <w:color w:val="000000" w:themeColor="text1"/>
          <w:lang w:val="bg-BG"/>
        </w:rPr>
        <w:t>Няколко вида на засушаване се категоризират, както следва</w:t>
      </w:r>
      <w:r w:rsidR="00EC2B60" w:rsidRPr="007375EB">
        <w:rPr>
          <w:rFonts w:eastAsia="Verdana" w:cs="Verdana"/>
          <w:color w:val="000000" w:themeColor="text1"/>
          <w:lang w:val="bg-BG"/>
        </w:rPr>
        <w:t>:</w:t>
      </w:r>
    </w:p>
    <w:p w14:paraId="000D3E32" w14:textId="2C706FFC" w:rsidR="00EC2B60" w:rsidRPr="007375EB" w:rsidRDefault="0082606D" w:rsidP="0041531F">
      <w:pPr>
        <w:pStyle w:val="ListParagraph"/>
        <w:numPr>
          <w:ilvl w:val="0"/>
          <w:numId w:val="71"/>
        </w:numPr>
        <w:spacing w:after="120" w:line="360" w:lineRule="auto"/>
        <w:jc w:val="both"/>
        <w:rPr>
          <w:rFonts w:eastAsia="Verdana" w:cs="Verdana"/>
          <w:color w:val="000000" w:themeColor="text1"/>
          <w:lang w:val="bg-BG"/>
        </w:rPr>
      </w:pPr>
      <w:r w:rsidRPr="007375EB">
        <w:rPr>
          <w:rFonts w:eastAsia="Verdana" w:cs="Verdana"/>
          <w:i/>
          <w:iCs/>
          <w:color w:val="000000" w:themeColor="text1"/>
          <w:lang w:val="bg-BG"/>
        </w:rPr>
        <w:t xml:space="preserve">метеорологично засушаване, </w:t>
      </w:r>
      <w:r w:rsidRPr="007375EB">
        <w:rPr>
          <w:rFonts w:eastAsia="Verdana" w:cs="Verdana"/>
          <w:color w:val="000000" w:themeColor="text1"/>
          <w:lang w:val="bg-BG"/>
        </w:rPr>
        <w:t>което се отнася до продължителен период от време с малко или никакви валежи</w:t>
      </w:r>
      <w:r w:rsidR="00EC2B60" w:rsidRPr="007375EB">
        <w:rPr>
          <w:rFonts w:eastAsia="Verdana" w:cs="Verdana"/>
          <w:color w:val="000000" w:themeColor="text1"/>
          <w:lang w:val="bg-BG"/>
        </w:rPr>
        <w:t>;</w:t>
      </w:r>
    </w:p>
    <w:p w14:paraId="1717B7A5" w14:textId="32890B5E" w:rsidR="00EC2B60" w:rsidRPr="007375EB" w:rsidRDefault="0082606D" w:rsidP="0041531F">
      <w:pPr>
        <w:pStyle w:val="ListParagraph"/>
        <w:numPr>
          <w:ilvl w:val="0"/>
          <w:numId w:val="71"/>
        </w:numPr>
        <w:spacing w:after="120" w:line="360" w:lineRule="auto"/>
        <w:jc w:val="both"/>
        <w:rPr>
          <w:rFonts w:eastAsia="Verdana" w:cs="Verdana"/>
          <w:color w:val="000000" w:themeColor="text1"/>
          <w:lang w:val="bg-BG"/>
        </w:rPr>
      </w:pPr>
      <w:r w:rsidRPr="007375EB">
        <w:rPr>
          <w:rFonts w:eastAsia="Verdana" w:cs="Verdana"/>
          <w:i/>
          <w:iCs/>
          <w:color w:val="000000" w:themeColor="text1"/>
          <w:lang w:val="bg-BG"/>
        </w:rPr>
        <w:t xml:space="preserve">засушаването в селското стопанство </w:t>
      </w:r>
      <w:r w:rsidRPr="007375EB">
        <w:rPr>
          <w:rFonts w:eastAsia="Verdana" w:cs="Verdana"/>
          <w:color w:val="000000" w:themeColor="text1"/>
          <w:lang w:val="bg-BG"/>
        </w:rPr>
        <w:t>настъпва, когато нивото на водата в почвата е ниско и недостигът на вода уврежда или унищожава селскостопанските култури</w:t>
      </w:r>
      <w:r w:rsidR="00EC2B60" w:rsidRPr="007375EB">
        <w:rPr>
          <w:rFonts w:eastAsia="Verdana" w:cs="Verdana"/>
          <w:color w:val="000000" w:themeColor="text1"/>
          <w:lang w:val="bg-BG"/>
        </w:rPr>
        <w:t>;</w:t>
      </w:r>
    </w:p>
    <w:p w14:paraId="03ECE041" w14:textId="4851EEF3" w:rsidR="00EC2B60" w:rsidRPr="007375EB" w:rsidRDefault="0082606D" w:rsidP="0041531F">
      <w:pPr>
        <w:pStyle w:val="ListParagraph"/>
        <w:numPr>
          <w:ilvl w:val="0"/>
          <w:numId w:val="71"/>
        </w:numPr>
        <w:spacing w:after="120" w:line="360" w:lineRule="auto"/>
        <w:jc w:val="both"/>
        <w:rPr>
          <w:rFonts w:eastAsia="Verdana" w:cs="Verdana"/>
          <w:color w:val="000000" w:themeColor="text1"/>
          <w:lang w:val="bg-BG"/>
        </w:rPr>
      </w:pPr>
      <w:r w:rsidRPr="007375EB">
        <w:rPr>
          <w:rFonts w:eastAsia="Verdana" w:cs="Verdana"/>
          <w:i/>
          <w:iCs/>
          <w:color w:val="000000" w:themeColor="text1"/>
          <w:lang w:val="bg-BG"/>
        </w:rPr>
        <w:t xml:space="preserve">хидрологично засушаване, </w:t>
      </w:r>
      <w:r w:rsidRPr="007375EB">
        <w:rPr>
          <w:rFonts w:eastAsia="Verdana" w:cs="Verdana"/>
          <w:color w:val="000000" w:themeColor="text1"/>
          <w:lang w:val="bg-BG"/>
        </w:rPr>
        <w:t>което се отнася до намаленото водоснабдяване на реките, езерата, водоносните пластове и други резервоари и обикновено следва метеорологичното засушаване</w:t>
      </w:r>
      <w:r w:rsidR="00EC2B60" w:rsidRPr="007375EB">
        <w:rPr>
          <w:rFonts w:eastAsia="Verdana" w:cs="Verdana"/>
          <w:color w:val="000000" w:themeColor="text1"/>
          <w:lang w:val="bg-BG"/>
        </w:rPr>
        <w:t>;</w:t>
      </w:r>
    </w:p>
    <w:p w14:paraId="3163DE4C" w14:textId="78225002" w:rsidR="00EC2B60" w:rsidRPr="007375EB" w:rsidRDefault="0082606D" w:rsidP="0041531F">
      <w:pPr>
        <w:pStyle w:val="ListParagraph"/>
        <w:numPr>
          <w:ilvl w:val="0"/>
          <w:numId w:val="70"/>
        </w:numPr>
        <w:spacing w:after="120" w:line="360" w:lineRule="auto"/>
        <w:jc w:val="both"/>
        <w:rPr>
          <w:rFonts w:eastAsia="Verdana" w:cs="Verdana"/>
          <w:color w:val="000000" w:themeColor="text1"/>
          <w:lang w:val="bg-BG"/>
        </w:rPr>
      </w:pPr>
      <w:r w:rsidRPr="007375EB">
        <w:rPr>
          <w:rFonts w:eastAsia="Verdana" w:cs="Verdana"/>
          <w:i/>
          <w:iCs/>
          <w:color w:val="000000" w:themeColor="text1"/>
          <w:lang w:val="bg-BG"/>
        </w:rPr>
        <w:t xml:space="preserve">Екологично засушаване </w:t>
      </w:r>
      <w:r w:rsidRPr="007375EB">
        <w:rPr>
          <w:rFonts w:eastAsia="Verdana" w:cs="Verdana"/>
          <w:color w:val="000000" w:themeColor="text1"/>
          <w:lang w:val="bg-BG"/>
        </w:rPr>
        <w:t>е епизодичен недостиг на вода, който изтласква екосистемите извън праговете на уязвимост и предизвиква реакции в природните и/или човешките системи, и се проявява, когато липсата на почвена влага причинява широко разпространени екологични щети</w:t>
      </w:r>
      <w:r w:rsidR="00EC2B60" w:rsidRPr="007375EB">
        <w:rPr>
          <w:rFonts w:eastAsia="Verdana" w:cs="Verdana"/>
          <w:color w:val="000000" w:themeColor="text1"/>
          <w:lang w:val="bg-BG"/>
        </w:rPr>
        <w:t>;</w:t>
      </w:r>
    </w:p>
    <w:p w14:paraId="5F53D23B" w14:textId="41F30D65" w:rsidR="00EC2B60" w:rsidRPr="007375EB" w:rsidRDefault="0082606D" w:rsidP="0041531F">
      <w:pPr>
        <w:pStyle w:val="ListParagraph"/>
        <w:numPr>
          <w:ilvl w:val="0"/>
          <w:numId w:val="70"/>
        </w:numPr>
        <w:spacing w:after="120" w:line="360" w:lineRule="auto"/>
        <w:jc w:val="both"/>
        <w:rPr>
          <w:rFonts w:eastAsia="Verdana" w:cs="Verdana"/>
          <w:i/>
          <w:iCs/>
          <w:color w:val="000000" w:themeColor="text1"/>
          <w:lang w:val="bg-BG"/>
        </w:rPr>
      </w:pPr>
      <w:r w:rsidRPr="007375EB">
        <w:rPr>
          <w:rFonts w:eastAsia="Verdana" w:cs="Verdana"/>
          <w:i/>
          <w:iCs/>
          <w:color w:val="000000" w:themeColor="text1"/>
          <w:lang w:val="bg-BG"/>
        </w:rPr>
        <w:t xml:space="preserve">Социално-икономическо засушаване </w:t>
      </w:r>
      <w:r w:rsidRPr="007375EB">
        <w:rPr>
          <w:rFonts w:eastAsia="Verdana" w:cs="Verdana"/>
          <w:color w:val="000000" w:themeColor="text1"/>
          <w:lang w:val="bg-BG"/>
        </w:rPr>
        <w:t>настъпва, когато водоснабдяването е намалено или прекъснато поради липса на водни ресурси</w:t>
      </w:r>
      <w:r w:rsidR="00EC2B60" w:rsidRPr="007375EB">
        <w:rPr>
          <w:rFonts w:eastAsia="Verdana" w:cs="Verdana"/>
          <w:color w:val="000000" w:themeColor="text1"/>
          <w:lang w:val="bg-BG"/>
        </w:rPr>
        <w:t>.</w:t>
      </w:r>
    </w:p>
    <w:p w14:paraId="2DB51A25" w14:textId="498EF11A" w:rsidR="00EC2B60" w:rsidRPr="007375EB" w:rsidRDefault="0082606D" w:rsidP="00EC2B60">
      <w:pPr>
        <w:spacing w:after="120" w:line="360" w:lineRule="auto"/>
        <w:jc w:val="both"/>
        <w:rPr>
          <w:lang w:val="bg-BG"/>
        </w:rPr>
      </w:pPr>
      <w:r w:rsidRPr="007375EB">
        <w:rPr>
          <w:rFonts w:eastAsia="Verdana" w:cs="Verdana"/>
          <w:color w:val="000000" w:themeColor="text1"/>
          <w:lang w:val="bg-BG"/>
        </w:rPr>
        <w:lastRenderedPageBreak/>
        <w:t xml:space="preserve">Според данните, с които разполага Европейската обсерватория за засушаването, комплексният индикатор за засушаването за района на изпълнение на проекта </w:t>
      </w:r>
      <w:r w:rsidRPr="007375EB">
        <w:rPr>
          <w:rFonts w:eastAsia="Verdana" w:cs="Verdana"/>
          <w:i/>
          <w:iCs/>
          <w:color w:val="000000" w:themeColor="text1"/>
          <w:lang w:val="bg-BG"/>
        </w:rPr>
        <w:t>в община Черкесу</w:t>
      </w:r>
      <w:r w:rsidRPr="007375EB">
        <w:rPr>
          <w:rFonts w:eastAsia="Verdana" w:cs="Verdana"/>
          <w:color w:val="000000" w:themeColor="text1"/>
          <w:lang w:val="bg-BG"/>
        </w:rPr>
        <w:t xml:space="preserve"> показва предимно селскостопанско засушаване (недостиг на почвена влага).</w:t>
      </w:r>
    </w:p>
    <w:p w14:paraId="17B8C8D2" w14:textId="396F61AC" w:rsidR="00EC2B60" w:rsidRPr="007375EB" w:rsidRDefault="001628FD" w:rsidP="00EC2B60">
      <w:pPr>
        <w:spacing w:line="240" w:lineRule="auto"/>
        <w:jc w:val="center"/>
        <w:rPr>
          <w:lang w:val="bg-BG" w:eastAsia="da-DK"/>
        </w:rPr>
      </w:pPr>
      <w:r w:rsidRPr="007375EB">
        <w:rPr>
          <w:noProof/>
          <w:lang w:val="bg-BG"/>
        </w:rPr>
        <w:drawing>
          <wp:inline distT="0" distB="0" distL="0" distR="0" wp14:anchorId="311F9AD9" wp14:editId="4FFD9C79">
            <wp:extent cx="6208636" cy="4391246"/>
            <wp:effectExtent l="0" t="0" r="190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211263" cy="4393104"/>
                    </a:xfrm>
                    <a:prstGeom prst="rect">
                      <a:avLst/>
                    </a:prstGeom>
                    <a:noFill/>
                    <a:ln>
                      <a:noFill/>
                    </a:ln>
                  </pic:spPr>
                </pic:pic>
              </a:graphicData>
            </a:graphic>
          </wp:inline>
        </w:drawing>
      </w:r>
    </w:p>
    <w:p w14:paraId="26FCEFCA" w14:textId="46559C41" w:rsidR="00EC2B60" w:rsidRPr="007375EB" w:rsidRDefault="00F9362E" w:rsidP="00EC2B60">
      <w:pPr>
        <w:spacing w:line="240" w:lineRule="auto"/>
        <w:jc w:val="center"/>
        <w:rPr>
          <w:lang w:val="bg-BG" w:eastAsia="da-DK"/>
        </w:rPr>
      </w:pPr>
      <w:bookmarkStart w:id="28" w:name="_Hlk162966879"/>
      <w:r w:rsidRPr="007375EB">
        <w:rPr>
          <w:i/>
          <w:iCs/>
          <w:color w:val="00B0F0"/>
          <w:sz w:val="14"/>
          <w:szCs w:val="14"/>
          <w:lang w:val="bg-BG"/>
        </w:rPr>
        <w:t xml:space="preserve">Източник: Обработка на данни </w:t>
      </w:r>
      <w:r w:rsidR="00EC2B60" w:rsidRPr="007375EB">
        <w:rPr>
          <w:i/>
          <w:iCs/>
          <w:color w:val="00B0F0"/>
          <w:sz w:val="14"/>
          <w:szCs w:val="14"/>
          <w:lang w:val="bg-BG"/>
        </w:rPr>
        <w:t>European Drought Observatory</w:t>
      </w:r>
    </w:p>
    <w:p w14:paraId="207D2CCE" w14:textId="7BC79EFE" w:rsidR="00C578C9" w:rsidRPr="007375EB" w:rsidRDefault="00B230C6" w:rsidP="00C578C9">
      <w:pPr>
        <w:pStyle w:val="Caption"/>
        <w:jc w:val="center"/>
        <w:rPr>
          <w:sz w:val="16"/>
          <w:szCs w:val="16"/>
          <w:vertAlign w:val="subscript"/>
          <w:lang w:val="bg-BG"/>
        </w:rPr>
      </w:pPr>
      <w:r w:rsidRPr="007375EB">
        <w:rPr>
          <w:sz w:val="16"/>
          <w:szCs w:val="16"/>
          <w:lang w:val="bg-BG"/>
        </w:rPr>
        <w:t>Фигура</w:t>
      </w:r>
      <w:r w:rsidR="00C578C9" w:rsidRPr="007375EB">
        <w:rPr>
          <w:sz w:val="16"/>
          <w:szCs w:val="16"/>
          <w:lang w:val="bg-BG"/>
        </w:rPr>
        <w:t xml:space="preserve"> 2. </w:t>
      </w:r>
      <w:r w:rsidR="00C578C9" w:rsidRPr="007375EB">
        <w:rPr>
          <w:sz w:val="16"/>
          <w:szCs w:val="16"/>
          <w:lang w:val="bg-BG"/>
        </w:rPr>
        <w:fldChar w:fldCharType="begin"/>
      </w:r>
      <w:r w:rsidR="00C578C9" w:rsidRPr="007375EB">
        <w:rPr>
          <w:sz w:val="16"/>
          <w:szCs w:val="16"/>
          <w:lang w:val="bg-BG"/>
        </w:rPr>
        <w:instrText xml:space="preserve"> SEQ Figura_2. \* ARABIC </w:instrText>
      </w:r>
      <w:r w:rsidR="00C578C9" w:rsidRPr="007375EB">
        <w:rPr>
          <w:sz w:val="16"/>
          <w:szCs w:val="16"/>
          <w:lang w:val="bg-BG"/>
        </w:rPr>
        <w:fldChar w:fldCharType="separate"/>
      </w:r>
      <w:r w:rsidR="009C00DD" w:rsidRPr="007375EB">
        <w:rPr>
          <w:noProof/>
          <w:sz w:val="16"/>
          <w:szCs w:val="16"/>
          <w:lang w:val="bg-BG"/>
        </w:rPr>
        <w:t>32</w:t>
      </w:r>
      <w:r w:rsidR="00C578C9" w:rsidRPr="007375EB">
        <w:rPr>
          <w:sz w:val="16"/>
          <w:szCs w:val="16"/>
          <w:lang w:val="bg-BG"/>
        </w:rPr>
        <w:fldChar w:fldCharType="end"/>
      </w:r>
      <w:r w:rsidR="0082606D" w:rsidRPr="007375EB">
        <w:rPr>
          <w:sz w:val="16"/>
          <w:szCs w:val="16"/>
          <w:lang w:val="bg-BG"/>
        </w:rPr>
        <w:t xml:space="preserve"> Карта на разпределението на засушаването</w:t>
      </w:r>
    </w:p>
    <w:bookmarkEnd w:id="28"/>
    <w:p w14:paraId="4A816A35" w14:textId="77777777" w:rsidR="00F06D32" w:rsidRPr="007375EB" w:rsidRDefault="00F06D32" w:rsidP="00EC2B60">
      <w:pPr>
        <w:spacing w:after="120" w:line="360" w:lineRule="auto"/>
        <w:ind w:left="39" w:hanging="11"/>
        <w:jc w:val="both"/>
        <w:rPr>
          <w:rFonts w:eastAsia="Verdana" w:cs="Verdana"/>
          <w:b/>
          <w:bCs/>
          <w:color w:val="00B0F0"/>
          <w:lang w:val="bg-BG"/>
        </w:rPr>
      </w:pPr>
    </w:p>
    <w:p w14:paraId="08C938E0" w14:textId="72449F23" w:rsidR="00EC2B60" w:rsidRPr="007375EB" w:rsidRDefault="0082606D" w:rsidP="00EC2B60">
      <w:pPr>
        <w:spacing w:after="120" w:line="360" w:lineRule="auto"/>
        <w:ind w:left="39" w:hanging="11"/>
        <w:jc w:val="both"/>
        <w:rPr>
          <w:lang w:val="bg-BG"/>
        </w:rPr>
      </w:pPr>
      <w:r w:rsidRPr="007375EB">
        <w:rPr>
          <w:rFonts w:eastAsia="Verdana" w:cs="Verdana"/>
          <w:b/>
          <w:bCs/>
          <w:color w:val="00B0F0"/>
          <w:lang w:val="bg-BG"/>
        </w:rPr>
        <w:t>Пожари</w:t>
      </w:r>
    </w:p>
    <w:p w14:paraId="456E9479" w14:textId="77777777" w:rsidR="00A41676" w:rsidRPr="007375EB" w:rsidRDefault="00A41676" w:rsidP="00A41676">
      <w:pPr>
        <w:spacing w:after="120" w:line="360" w:lineRule="auto"/>
        <w:ind w:left="39" w:hanging="11"/>
        <w:jc w:val="both"/>
        <w:rPr>
          <w:rFonts w:eastAsia="Verdana" w:cs="Verdana"/>
          <w:lang w:val="bg-BG"/>
        </w:rPr>
      </w:pPr>
      <w:r w:rsidRPr="007375EB">
        <w:rPr>
          <w:rFonts w:eastAsia="Verdana" w:cs="Verdana"/>
          <w:lang w:val="bg-BG"/>
        </w:rPr>
        <w:t>Горските пожари са пожари, които се разпространяват в райони с растителност, като гори, ливади или храсти. Тези пожари могат да имат множество причини, включително небрежна човешка дейност, електрически разряди или природни явления като суша.</w:t>
      </w:r>
    </w:p>
    <w:p w14:paraId="176BB1B8" w14:textId="3E42BDD9" w:rsidR="00EC2B60" w:rsidRPr="007375EB" w:rsidRDefault="00A41676" w:rsidP="00A41676">
      <w:pPr>
        <w:spacing w:after="120" w:line="360" w:lineRule="auto"/>
        <w:ind w:left="39" w:hanging="11"/>
        <w:jc w:val="both"/>
        <w:rPr>
          <w:lang w:val="bg-BG"/>
        </w:rPr>
      </w:pPr>
      <w:r w:rsidRPr="007375EB">
        <w:rPr>
          <w:rFonts w:eastAsia="Verdana" w:cs="Verdana"/>
          <w:lang w:val="bg-BG"/>
        </w:rPr>
        <w:t xml:space="preserve">През последните години, със затоплянето на климата в световен мащаб, продължителността и обхватът на метеорологичните условия, благоприятни за възникване на горски пожари, се увеличиха през последните години </w:t>
      </w:r>
      <w:r w:rsidR="00EC2B60" w:rsidRPr="007375EB">
        <w:rPr>
          <w:rFonts w:eastAsia="Verdana" w:cs="Verdana"/>
          <w:lang w:val="bg-BG"/>
        </w:rPr>
        <w:t>(Davis et al. 2018).</w:t>
      </w:r>
    </w:p>
    <w:p w14:paraId="198DB078" w14:textId="098C852D" w:rsidR="00EC2B60" w:rsidRPr="007375EB" w:rsidRDefault="00A41676" w:rsidP="00EC2B60">
      <w:pPr>
        <w:spacing w:after="120" w:line="360" w:lineRule="auto"/>
        <w:ind w:left="39" w:hanging="11"/>
        <w:jc w:val="both"/>
        <w:rPr>
          <w:lang w:val="bg-BG"/>
        </w:rPr>
      </w:pPr>
      <w:r w:rsidRPr="007375EB">
        <w:rPr>
          <w:rFonts w:eastAsia="Verdana" w:cs="Verdana"/>
          <w:lang w:val="bg-BG"/>
        </w:rPr>
        <w:t>В периода 1995-2018 г. броят на горските пожари и засегнатата от тях площ показват значителни годишни колебания, като най-високите стойности са отчетени през 2000, 2007 и 2012 г. Този резултат може да се обясни с факта, че тези години се считат за най-топлите след референтната 1951 г., когато е регистриран най-високият температурен рекорд в нашата страна (Busuioc et al 2007). От общия брой пожари, засегнали горите в Румъния през периода 1995-2018 г., повечето са възникнали през март, август и ноември</w:t>
      </w:r>
      <w:r w:rsidR="00EC2B60" w:rsidRPr="007375EB">
        <w:rPr>
          <w:rFonts w:eastAsia="Verdana" w:cs="Verdana"/>
          <w:lang w:val="bg-BG"/>
        </w:rPr>
        <w:t>.</w:t>
      </w:r>
    </w:p>
    <w:p w14:paraId="7F233289" w14:textId="776952CD" w:rsidR="00C578C9" w:rsidRPr="007375EB" w:rsidRDefault="00A41676" w:rsidP="00EC2B60">
      <w:pPr>
        <w:spacing w:after="120" w:line="360" w:lineRule="auto"/>
        <w:jc w:val="both"/>
        <w:rPr>
          <w:rFonts w:eastAsia="Verdana" w:cs="Verdana"/>
          <w:lang w:val="bg-BG"/>
        </w:rPr>
      </w:pPr>
      <w:r w:rsidRPr="007375EB">
        <w:rPr>
          <w:rFonts w:eastAsia="Verdana" w:cs="Verdana"/>
          <w:lang w:val="bg-BG"/>
        </w:rPr>
        <w:lastRenderedPageBreak/>
        <w:t xml:space="preserve">В района на прилагане на PUZ, който е зона без гори, може да се прецени, </w:t>
      </w:r>
      <w:r w:rsidRPr="007375EB">
        <w:rPr>
          <w:rFonts w:eastAsia="Verdana" w:cs="Verdana"/>
          <w:b/>
          <w:bCs/>
          <w:lang w:val="bg-BG"/>
        </w:rPr>
        <w:t>че няма вероятност от пожари</w:t>
      </w:r>
      <w:r w:rsidRPr="007375EB">
        <w:rPr>
          <w:rFonts w:eastAsia="Verdana" w:cs="Verdana"/>
          <w:lang w:val="bg-BG"/>
        </w:rPr>
        <w:t>.</w:t>
      </w:r>
    </w:p>
    <w:p w14:paraId="00EDA9BB" w14:textId="35BC1CA6" w:rsidR="00EC2B60" w:rsidRPr="007375EB" w:rsidRDefault="00553AB2" w:rsidP="00EC2B60">
      <w:pPr>
        <w:spacing w:after="120" w:line="360" w:lineRule="auto"/>
        <w:jc w:val="both"/>
        <w:rPr>
          <w:rFonts w:eastAsia="Verdana" w:cs="Verdana"/>
          <w:lang w:val="bg-BG"/>
        </w:rPr>
      </w:pPr>
      <w:r w:rsidRPr="007375EB">
        <w:rPr>
          <w:noProof/>
          <w:lang w:val="bg-BG"/>
        </w:rPr>
        <w:drawing>
          <wp:inline distT="0" distB="0" distL="0" distR="0" wp14:anchorId="55FB4E2C" wp14:editId="4C15705C">
            <wp:extent cx="6056465" cy="4284921"/>
            <wp:effectExtent l="0" t="0" r="1905" b="190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057539" cy="4285681"/>
                    </a:xfrm>
                    <a:prstGeom prst="rect">
                      <a:avLst/>
                    </a:prstGeom>
                    <a:noFill/>
                    <a:ln>
                      <a:noFill/>
                    </a:ln>
                  </pic:spPr>
                </pic:pic>
              </a:graphicData>
            </a:graphic>
          </wp:inline>
        </w:drawing>
      </w:r>
    </w:p>
    <w:p w14:paraId="621D4A62" w14:textId="59B63023" w:rsidR="00B00F2B" w:rsidRPr="007375EB" w:rsidRDefault="00B230C6" w:rsidP="00B00F2B">
      <w:pPr>
        <w:pStyle w:val="Caption"/>
        <w:jc w:val="center"/>
        <w:rPr>
          <w:sz w:val="16"/>
          <w:szCs w:val="16"/>
          <w:vertAlign w:val="subscript"/>
          <w:lang w:val="bg-BG"/>
        </w:rPr>
      </w:pPr>
      <w:r w:rsidRPr="007375EB">
        <w:rPr>
          <w:sz w:val="16"/>
          <w:szCs w:val="16"/>
          <w:lang w:val="bg-BG"/>
        </w:rPr>
        <w:t>Фигура</w:t>
      </w:r>
      <w:r w:rsidR="00B00F2B" w:rsidRPr="007375EB">
        <w:rPr>
          <w:sz w:val="16"/>
          <w:szCs w:val="16"/>
          <w:lang w:val="bg-BG"/>
        </w:rPr>
        <w:t xml:space="preserve"> 2. </w:t>
      </w:r>
      <w:r w:rsidR="00B00F2B" w:rsidRPr="007375EB">
        <w:rPr>
          <w:sz w:val="16"/>
          <w:szCs w:val="16"/>
          <w:lang w:val="bg-BG"/>
        </w:rPr>
        <w:fldChar w:fldCharType="begin"/>
      </w:r>
      <w:r w:rsidR="00B00F2B" w:rsidRPr="007375EB">
        <w:rPr>
          <w:sz w:val="16"/>
          <w:szCs w:val="16"/>
          <w:lang w:val="bg-BG"/>
        </w:rPr>
        <w:instrText xml:space="preserve"> SEQ Figura_2. \* ARABIC </w:instrText>
      </w:r>
      <w:r w:rsidR="00B00F2B" w:rsidRPr="007375EB">
        <w:rPr>
          <w:sz w:val="16"/>
          <w:szCs w:val="16"/>
          <w:lang w:val="bg-BG"/>
        </w:rPr>
        <w:fldChar w:fldCharType="separate"/>
      </w:r>
      <w:r w:rsidR="009C00DD" w:rsidRPr="007375EB">
        <w:rPr>
          <w:noProof/>
          <w:sz w:val="16"/>
          <w:szCs w:val="16"/>
          <w:lang w:val="bg-BG"/>
        </w:rPr>
        <w:t>33</w:t>
      </w:r>
      <w:r w:rsidR="00B00F2B" w:rsidRPr="007375EB">
        <w:rPr>
          <w:sz w:val="16"/>
          <w:szCs w:val="16"/>
          <w:lang w:val="bg-BG"/>
        </w:rPr>
        <w:fldChar w:fldCharType="end"/>
      </w:r>
      <w:r w:rsidR="00B00F2B" w:rsidRPr="007375EB">
        <w:rPr>
          <w:sz w:val="16"/>
          <w:szCs w:val="16"/>
          <w:lang w:val="bg-BG"/>
        </w:rPr>
        <w:t xml:space="preserve"> </w:t>
      </w:r>
      <w:r w:rsidR="00A41676" w:rsidRPr="007375EB">
        <w:rPr>
          <w:sz w:val="16"/>
          <w:szCs w:val="16"/>
          <w:lang w:val="bg-BG"/>
        </w:rPr>
        <w:t>Карта на вероятността от горски пожари</w:t>
      </w:r>
    </w:p>
    <w:p w14:paraId="430E8974" w14:textId="77777777" w:rsidR="00A01FCA" w:rsidRPr="007375EB" w:rsidRDefault="00A01FCA" w:rsidP="00EC2B60">
      <w:pPr>
        <w:spacing w:after="120" w:line="360" w:lineRule="auto"/>
        <w:ind w:left="39" w:hanging="11"/>
        <w:jc w:val="both"/>
        <w:rPr>
          <w:rFonts w:eastAsia="Verdana" w:cs="Verdana"/>
          <w:color w:val="000000" w:themeColor="text1"/>
          <w:lang w:val="bg-BG"/>
        </w:rPr>
      </w:pPr>
    </w:p>
    <w:p w14:paraId="514A19C5" w14:textId="7BA14CF3" w:rsidR="00EC2B60" w:rsidRPr="007375EB" w:rsidRDefault="00A41676" w:rsidP="00EC2B60">
      <w:pPr>
        <w:spacing w:after="120" w:line="360" w:lineRule="auto"/>
        <w:ind w:left="39" w:hanging="11"/>
        <w:jc w:val="both"/>
        <w:rPr>
          <w:rFonts w:eastAsia="Verdana" w:cs="Verdana"/>
          <w:b/>
          <w:bCs/>
          <w:color w:val="00B0F0"/>
          <w:lang w:val="bg-BG"/>
        </w:rPr>
      </w:pPr>
      <w:r w:rsidRPr="007375EB">
        <w:rPr>
          <w:rFonts w:eastAsia="Verdana" w:cs="Verdana"/>
          <w:b/>
          <w:bCs/>
          <w:color w:val="00B0F0"/>
          <w:lang w:val="bg-BG"/>
        </w:rPr>
        <w:t>Земетресения</w:t>
      </w:r>
    </w:p>
    <w:p w14:paraId="4FCC7C0E" w14:textId="77777777" w:rsidR="00A41676" w:rsidRPr="007375EB" w:rsidRDefault="00A41676" w:rsidP="00A41676">
      <w:pPr>
        <w:spacing w:after="120" w:line="360" w:lineRule="auto"/>
        <w:ind w:left="39" w:hanging="11"/>
        <w:jc w:val="both"/>
        <w:rPr>
          <w:rFonts w:eastAsia="Verdana" w:cs="Verdana"/>
          <w:color w:val="000000" w:themeColor="text1"/>
          <w:lang w:val="bg-BG"/>
        </w:rPr>
      </w:pPr>
      <w:r w:rsidRPr="007375EB">
        <w:rPr>
          <w:rFonts w:eastAsia="Verdana" w:cs="Verdana"/>
          <w:color w:val="000000" w:themeColor="text1"/>
          <w:lang w:val="bg-BG"/>
        </w:rPr>
        <w:t>Земетресенията се причиняват от освобождаването на напрежение, породено от сили, свързани с тектониката на плочите, или от антропогенни дейности, като например създаването на резервоари, находища, езера, минно дело и/или инжектиране на течности в подземни формации.</w:t>
      </w:r>
    </w:p>
    <w:p w14:paraId="722C4C3A" w14:textId="72C0145A" w:rsidR="00EC2B60" w:rsidRPr="007375EB" w:rsidRDefault="00A41676" w:rsidP="00A41676">
      <w:pPr>
        <w:spacing w:after="120" w:line="360" w:lineRule="auto"/>
        <w:ind w:left="39" w:hanging="11"/>
        <w:jc w:val="both"/>
        <w:rPr>
          <w:lang w:val="bg-BG"/>
        </w:rPr>
      </w:pPr>
      <w:r w:rsidRPr="007375EB">
        <w:rPr>
          <w:rFonts w:eastAsia="Verdana" w:cs="Verdana"/>
          <w:color w:val="000000" w:themeColor="text1"/>
          <w:lang w:val="bg-BG"/>
        </w:rPr>
        <w:t>Земетресенията могат да причинят пукнатини, разломи или повреди на водоснабдителните и канализационните системи</w:t>
      </w:r>
      <w:r w:rsidR="00EC2B60" w:rsidRPr="007375EB">
        <w:rPr>
          <w:lang w:val="bg-BG"/>
        </w:rPr>
        <w:t>.</w:t>
      </w:r>
    </w:p>
    <w:p w14:paraId="28753F30" w14:textId="250595CB" w:rsidR="00EC2B60" w:rsidRPr="007375EB" w:rsidRDefault="00A41676" w:rsidP="00EC2B60">
      <w:pPr>
        <w:spacing w:after="120" w:line="360" w:lineRule="auto"/>
        <w:ind w:left="39" w:hanging="11"/>
        <w:jc w:val="both"/>
        <w:rPr>
          <w:rFonts w:eastAsia="Verdana" w:cs="Verdana"/>
          <w:color w:val="000000" w:themeColor="text1"/>
          <w:lang w:val="bg-BG"/>
        </w:rPr>
      </w:pPr>
      <w:r w:rsidRPr="007375EB">
        <w:rPr>
          <w:rFonts w:eastAsia="Verdana" w:cs="Verdana"/>
          <w:color w:val="000000" w:themeColor="text1"/>
          <w:lang w:val="bg-BG"/>
        </w:rPr>
        <w:t>От сеизмична гледна точка, в съответствие със стандарт P 100-1/2013 (Кодекс за сеизмично проектиране), част 1 - Разпоредби за проектиране на сгради, районът на разположение на инвестициите, предвидени от PUZ, се характеризира за сеизмични събития със среден интервал на повторяемост (по големина) IMR = 225 години, както следва</w:t>
      </w:r>
      <w:r w:rsidR="00EC2B60" w:rsidRPr="007375EB">
        <w:rPr>
          <w:rFonts w:eastAsia="Verdana" w:cs="Verdana"/>
          <w:color w:val="000000" w:themeColor="text1"/>
          <w:lang w:val="bg-BG"/>
        </w:rPr>
        <w:t>:</w:t>
      </w:r>
    </w:p>
    <w:p w14:paraId="3505E07E" w14:textId="3DF69564" w:rsidR="00EC2B60" w:rsidRPr="007375EB" w:rsidRDefault="00A41676" w:rsidP="0041531F">
      <w:pPr>
        <w:pStyle w:val="ListParagraph"/>
        <w:numPr>
          <w:ilvl w:val="0"/>
          <w:numId w:val="72"/>
        </w:numPr>
        <w:spacing w:after="120" w:line="360" w:lineRule="auto"/>
        <w:ind w:left="748"/>
        <w:jc w:val="both"/>
        <w:rPr>
          <w:rFonts w:eastAsia="Verdana" w:cs="Verdana"/>
          <w:color w:val="000000" w:themeColor="text1"/>
          <w:lang w:val="bg-BG"/>
        </w:rPr>
      </w:pPr>
      <w:r w:rsidRPr="007375EB">
        <w:rPr>
          <w:rFonts w:eastAsia="Verdana" w:cs="Verdana"/>
          <w:color w:val="000000" w:themeColor="text1"/>
          <w:lang w:val="bg-BG"/>
        </w:rPr>
        <w:t xml:space="preserve">ускоряване на почвата за проектиране </w:t>
      </w:r>
      <w:r w:rsidR="00EC2B60" w:rsidRPr="007375EB">
        <w:rPr>
          <w:rFonts w:eastAsia="Verdana" w:cs="Verdana"/>
          <w:color w:val="000000" w:themeColor="text1"/>
          <w:lang w:val="bg-BG"/>
        </w:rPr>
        <w:t>a</w:t>
      </w:r>
      <w:r w:rsidR="00EC2B60" w:rsidRPr="007375EB">
        <w:rPr>
          <w:rFonts w:eastAsia="Verdana" w:cs="Verdana"/>
          <w:color w:val="000000" w:themeColor="text1"/>
          <w:vertAlign w:val="subscript"/>
          <w:lang w:val="bg-BG"/>
        </w:rPr>
        <w:t>g</w:t>
      </w:r>
      <w:r w:rsidR="00EC2B60" w:rsidRPr="007375EB">
        <w:rPr>
          <w:rFonts w:eastAsia="Verdana" w:cs="Verdana"/>
          <w:color w:val="000000" w:themeColor="text1"/>
          <w:lang w:val="bg-BG"/>
        </w:rPr>
        <w:t xml:space="preserve"> = 0,10 g/ 0,15 g;</w:t>
      </w:r>
    </w:p>
    <w:p w14:paraId="3D820343" w14:textId="4A743DCC" w:rsidR="00EC2B60" w:rsidRPr="007375EB" w:rsidRDefault="00A41676" w:rsidP="0041531F">
      <w:pPr>
        <w:pStyle w:val="ListParagraph"/>
        <w:numPr>
          <w:ilvl w:val="0"/>
          <w:numId w:val="72"/>
        </w:numPr>
        <w:spacing w:after="120" w:line="360" w:lineRule="auto"/>
        <w:ind w:left="748"/>
        <w:jc w:val="both"/>
        <w:rPr>
          <w:rFonts w:eastAsia="Verdana" w:cs="Verdana"/>
          <w:color w:val="000000" w:themeColor="text1"/>
          <w:lang w:val="bg-BG"/>
        </w:rPr>
      </w:pPr>
      <w:r w:rsidRPr="007375EB">
        <w:rPr>
          <w:rFonts w:eastAsia="Verdana" w:cs="Verdana"/>
          <w:color w:val="000000" w:themeColor="text1"/>
          <w:lang w:val="bg-BG"/>
        </w:rPr>
        <w:t>контролния период (на ъгъл</w:t>
      </w:r>
      <w:r w:rsidR="00EC2B60" w:rsidRPr="007375EB">
        <w:rPr>
          <w:rFonts w:eastAsia="Verdana" w:cs="Verdana"/>
          <w:color w:val="000000" w:themeColor="text1"/>
          <w:lang w:val="bg-BG"/>
        </w:rPr>
        <w:t>) T</w:t>
      </w:r>
      <w:r w:rsidR="00EC2B60" w:rsidRPr="007375EB">
        <w:rPr>
          <w:rFonts w:eastAsia="Verdana" w:cs="Verdana"/>
          <w:color w:val="000000" w:themeColor="text1"/>
          <w:vertAlign w:val="subscript"/>
          <w:lang w:val="bg-BG"/>
        </w:rPr>
        <w:t>c</w:t>
      </w:r>
      <w:r w:rsidR="00EC2B60" w:rsidRPr="007375EB">
        <w:rPr>
          <w:rFonts w:eastAsia="Verdana" w:cs="Verdana"/>
          <w:color w:val="000000" w:themeColor="text1"/>
          <w:lang w:val="bg-BG"/>
        </w:rPr>
        <w:t xml:space="preserve"> = 0,7 </w:t>
      </w:r>
      <w:r w:rsidRPr="007375EB">
        <w:rPr>
          <w:rFonts w:eastAsia="Verdana" w:cs="Verdana"/>
          <w:color w:val="000000" w:themeColor="text1"/>
          <w:lang w:val="bg-BG"/>
        </w:rPr>
        <w:t>c</w:t>
      </w:r>
      <w:r w:rsidR="00EC2B60" w:rsidRPr="007375EB">
        <w:rPr>
          <w:rFonts w:eastAsia="Verdana" w:cs="Verdana"/>
          <w:color w:val="000000" w:themeColor="text1"/>
          <w:lang w:val="bg-BG"/>
        </w:rPr>
        <w:t>.</w:t>
      </w:r>
    </w:p>
    <w:p w14:paraId="409799F3" w14:textId="10FD92F7" w:rsidR="00EC2B60" w:rsidRPr="007375EB" w:rsidRDefault="007121C9" w:rsidP="002E7375">
      <w:pPr>
        <w:spacing w:line="240" w:lineRule="auto"/>
        <w:jc w:val="center"/>
        <w:rPr>
          <w:rFonts w:eastAsia="Verdana" w:cs="Verdana"/>
          <w:lang w:val="bg-BG"/>
        </w:rPr>
      </w:pPr>
      <w:r w:rsidRPr="007375EB">
        <w:rPr>
          <w:noProof/>
          <w:lang w:val="bg-BG"/>
        </w:rPr>
        <w:lastRenderedPageBreak/>
        <w:drawing>
          <wp:inline distT="0" distB="0" distL="0" distR="0" wp14:anchorId="6AFBBE48" wp14:editId="252E01C4">
            <wp:extent cx="5868509" cy="4149418"/>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884232" cy="4160535"/>
                    </a:xfrm>
                    <a:prstGeom prst="rect">
                      <a:avLst/>
                    </a:prstGeom>
                    <a:noFill/>
                    <a:ln>
                      <a:noFill/>
                    </a:ln>
                  </pic:spPr>
                </pic:pic>
              </a:graphicData>
            </a:graphic>
          </wp:inline>
        </w:drawing>
      </w:r>
    </w:p>
    <w:p w14:paraId="77DC6758" w14:textId="4942AF5B" w:rsidR="00610F74" w:rsidRPr="007375EB" w:rsidRDefault="00B230C6" w:rsidP="002E7375">
      <w:pPr>
        <w:pStyle w:val="Caption"/>
        <w:spacing w:before="0"/>
        <w:jc w:val="center"/>
        <w:rPr>
          <w:sz w:val="16"/>
          <w:szCs w:val="16"/>
          <w:vertAlign w:val="subscript"/>
          <w:lang w:val="bg-BG"/>
        </w:rPr>
      </w:pPr>
      <w:r w:rsidRPr="007375EB">
        <w:rPr>
          <w:sz w:val="16"/>
          <w:szCs w:val="16"/>
          <w:lang w:val="bg-BG"/>
        </w:rPr>
        <w:t>Фигура</w:t>
      </w:r>
      <w:r w:rsidR="00610F74" w:rsidRPr="007375EB">
        <w:rPr>
          <w:sz w:val="16"/>
          <w:szCs w:val="16"/>
          <w:lang w:val="bg-BG"/>
        </w:rPr>
        <w:t xml:space="preserve"> 2. </w:t>
      </w:r>
      <w:r w:rsidR="00610F74" w:rsidRPr="007375EB">
        <w:rPr>
          <w:sz w:val="16"/>
          <w:szCs w:val="16"/>
          <w:lang w:val="bg-BG"/>
        </w:rPr>
        <w:fldChar w:fldCharType="begin"/>
      </w:r>
      <w:r w:rsidR="00610F74" w:rsidRPr="007375EB">
        <w:rPr>
          <w:sz w:val="16"/>
          <w:szCs w:val="16"/>
          <w:lang w:val="bg-BG"/>
        </w:rPr>
        <w:instrText xml:space="preserve"> SEQ Figura_2. \* ARABIC </w:instrText>
      </w:r>
      <w:r w:rsidR="00610F74" w:rsidRPr="007375EB">
        <w:rPr>
          <w:sz w:val="16"/>
          <w:szCs w:val="16"/>
          <w:lang w:val="bg-BG"/>
        </w:rPr>
        <w:fldChar w:fldCharType="separate"/>
      </w:r>
      <w:r w:rsidR="002E7375" w:rsidRPr="007375EB">
        <w:rPr>
          <w:noProof/>
          <w:sz w:val="16"/>
          <w:szCs w:val="16"/>
          <w:lang w:val="bg-BG"/>
        </w:rPr>
        <w:t>34</w:t>
      </w:r>
      <w:r w:rsidR="00610F74" w:rsidRPr="007375EB">
        <w:rPr>
          <w:sz w:val="16"/>
          <w:szCs w:val="16"/>
          <w:lang w:val="bg-BG"/>
        </w:rPr>
        <w:fldChar w:fldCharType="end"/>
      </w:r>
      <w:r w:rsidR="00610F74" w:rsidRPr="007375EB">
        <w:rPr>
          <w:sz w:val="16"/>
          <w:szCs w:val="16"/>
          <w:lang w:val="bg-BG"/>
        </w:rPr>
        <w:t xml:space="preserve"> </w:t>
      </w:r>
      <w:r w:rsidR="00A41676" w:rsidRPr="007375EB">
        <w:rPr>
          <w:sz w:val="16"/>
          <w:szCs w:val="16"/>
          <w:lang w:val="bg-BG"/>
        </w:rPr>
        <w:t xml:space="preserve">Карта на сеизмичното зониране по отношение на максималните стойности на земното ускорение </w:t>
      </w:r>
      <w:r w:rsidR="009F1815" w:rsidRPr="007375EB">
        <w:rPr>
          <w:sz w:val="16"/>
          <w:szCs w:val="16"/>
          <w:lang w:val="bg-BG"/>
        </w:rPr>
        <w:t>(a</w:t>
      </w:r>
      <w:r w:rsidR="009F1815" w:rsidRPr="007375EB">
        <w:rPr>
          <w:sz w:val="16"/>
          <w:szCs w:val="16"/>
          <w:vertAlign w:val="subscript"/>
          <w:lang w:val="bg-BG"/>
        </w:rPr>
        <w:t>g</w:t>
      </w:r>
      <w:r w:rsidR="009F1815" w:rsidRPr="007375EB">
        <w:rPr>
          <w:sz w:val="16"/>
          <w:szCs w:val="16"/>
          <w:lang w:val="bg-BG"/>
        </w:rPr>
        <w:t>)</w:t>
      </w:r>
    </w:p>
    <w:p w14:paraId="34BB5C47" w14:textId="10EEFEE6" w:rsidR="00EC2B60" w:rsidRPr="007375EB" w:rsidRDefault="00BB3A42" w:rsidP="00BB3A42">
      <w:pPr>
        <w:jc w:val="center"/>
        <w:rPr>
          <w:lang w:val="bg-BG"/>
        </w:rPr>
      </w:pPr>
      <w:r w:rsidRPr="007375EB">
        <w:rPr>
          <w:noProof/>
          <w:lang w:val="bg-BG"/>
        </w:rPr>
        <w:drawing>
          <wp:inline distT="0" distB="0" distL="0" distR="0" wp14:anchorId="218C7740" wp14:editId="458054C9">
            <wp:extent cx="5745231" cy="4061637"/>
            <wp:effectExtent l="0" t="0" r="825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63506" cy="4074557"/>
                    </a:xfrm>
                    <a:prstGeom prst="rect">
                      <a:avLst/>
                    </a:prstGeom>
                    <a:noFill/>
                    <a:ln>
                      <a:noFill/>
                    </a:ln>
                  </pic:spPr>
                </pic:pic>
              </a:graphicData>
            </a:graphic>
          </wp:inline>
        </w:drawing>
      </w:r>
    </w:p>
    <w:p w14:paraId="0C0D9B53" w14:textId="3E201B37" w:rsidR="00A20342" w:rsidRPr="007375EB" w:rsidRDefault="00B230C6" w:rsidP="002E7375">
      <w:pPr>
        <w:pStyle w:val="Caption"/>
        <w:spacing w:before="0"/>
        <w:jc w:val="center"/>
        <w:rPr>
          <w:sz w:val="16"/>
          <w:szCs w:val="16"/>
          <w:vertAlign w:val="subscript"/>
          <w:lang w:val="bg-BG"/>
        </w:rPr>
      </w:pPr>
      <w:r w:rsidRPr="007375EB">
        <w:rPr>
          <w:sz w:val="16"/>
          <w:szCs w:val="16"/>
          <w:lang w:val="bg-BG"/>
        </w:rPr>
        <w:t>Фигура</w:t>
      </w:r>
      <w:r w:rsidR="00A20342" w:rsidRPr="007375EB">
        <w:rPr>
          <w:sz w:val="16"/>
          <w:szCs w:val="16"/>
          <w:lang w:val="bg-BG"/>
        </w:rPr>
        <w:t xml:space="preserve"> 2. </w:t>
      </w:r>
      <w:r w:rsidR="00A20342" w:rsidRPr="007375EB">
        <w:rPr>
          <w:sz w:val="16"/>
          <w:szCs w:val="16"/>
          <w:lang w:val="bg-BG"/>
        </w:rPr>
        <w:fldChar w:fldCharType="begin"/>
      </w:r>
      <w:r w:rsidR="00A20342" w:rsidRPr="007375EB">
        <w:rPr>
          <w:sz w:val="16"/>
          <w:szCs w:val="16"/>
          <w:lang w:val="bg-BG"/>
        </w:rPr>
        <w:instrText xml:space="preserve"> SEQ Figura_2. \* ARABIC </w:instrText>
      </w:r>
      <w:r w:rsidR="00A20342" w:rsidRPr="007375EB">
        <w:rPr>
          <w:sz w:val="16"/>
          <w:szCs w:val="16"/>
          <w:lang w:val="bg-BG"/>
        </w:rPr>
        <w:fldChar w:fldCharType="separate"/>
      </w:r>
      <w:r w:rsidR="00683271" w:rsidRPr="007375EB">
        <w:rPr>
          <w:noProof/>
          <w:sz w:val="16"/>
          <w:szCs w:val="16"/>
          <w:lang w:val="bg-BG"/>
        </w:rPr>
        <w:t>35</w:t>
      </w:r>
      <w:r w:rsidR="00A20342" w:rsidRPr="007375EB">
        <w:rPr>
          <w:sz w:val="16"/>
          <w:szCs w:val="16"/>
          <w:lang w:val="bg-BG"/>
        </w:rPr>
        <w:fldChar w:fldCharType="end"/>
      </w:r>
      <w:r w:rsidR="00A20342" w:rsidRPr="007375EB">
        <w:rPr>
          <w:sz w:val="16"/>
          <w:szCs w:val="16"/>
          <w:lang w:val="bg-BG"/>
        </w:rPr>
        <w:t xml:space="preserve"> </w:t>
      </w:r>
      <w:r w:rsidR="00A41676" w:rsidRPr="007375EB">
        <w:rPr>
          <w:sz w:val="16"/>
          <w:szCs w:val="16"/>
          <w:lang w:val="bg-BG"/>
        </w:rPr>
        <w:t xml:space="preserve">Карта на сеизмичното зониране по отношение на контролния период </w:t>
      </w:r>
      <w:r w:rsidR="00A20342" w:rsidRPr="007375EB">
        <w:rPr>
          <w:sz w:val="16"/>
          <w:szCs w:val="16"/>
          <w:lang w:val="bg-BG"/>
        </w:rPr>
        <w:t>(T</w:t>
      </w:r>
      <w:r w:rsidR="00A20342" w:rsidRPr="007375EB">
        <w:rPr>
          <w:sz w:val="16"/>
          <w:szCs w:val="16"/>
          <w:vertAlign w:val="subscript"/>
          <w:lang w:val="bg-BG"/>
        </w:rPr>
        <w:t>c</w:t>
      </w:r>
      <w:r w:rsidR="00A20342" w:rsidRPr="007375EB">
        <w:rPr>
          <w:sz w:val="16"/>
          <w:szCs w:val="16"/>
          <w:lang w:val="bg-BG"/>
        </w:rPr>
        <w:t>)</w:t>
      </w:r>
    </w:p>
    <w:p w14:paraId="4B7F71D4" w14:textId="77777777" w:rsidR="00EC2B60" w:rsidRPr="007375EB" w:rsidRDefault="00EC2B60" w:rsidP="00EC2B60">
      <w:pPr>
        <w:pStyle w:val="Caption-Text"/>
        <w:rPr>
          <w:lang w:val="bg-BG"/>
        </w:rPr>
      </w:pPr>
    </w:p>
    <w:p w14:paraId="733EA63B" w14:textId="2C6BCE8D" w:rsidR="00EC2B60" w:rsidRPr="007375EB" w:rsidRDefault="00A41676" w:rsidP="00EC2B60">
      <w:pPr>
        <w:spacing w:after="120" w:line="360" w:lineRule="auto"/>
        <w:ind w:left="39" w:hanging="11"/>
        <w:jc w:val="both"/>
        <w:rPr>
          <w:lang w:val="bg-BG"/>
        </w:rPr>
      </w:pPr>
      <w:r w:rsidRPr="007375EB">
        <w:rPr>
          <w:lang w:val="bg-BG"/>
        </w:rPr>
        <w:lastRenderedPageBreak/>
        <w:t>С оглед на гореизложеното, излагането на риск от земетресения в района на изпълнение на PUZ е много ниско.</w:t>
      </w:r>
    </w:p>
    <w:p w14:paraId="47AE2519" w14:textId="263F3FDB" w:rsidR="00EC2B60" w:rsidRPr="007375EB" w:rsidRDefault="00A41676" w:rsidP="00EC2B60">
      <w:pPr>
        <w:spacing w:after="120" w:line="360" w:lineRule="auto"/>
        <w:ind w:left="39" w:hanging="11"/>
        <w:jc w:val="both"/>
        <w:rPr>
          <w:lang w:val="bg-BG"/>
        </w:rPr>
      </w:pPr>
      <w:r w:rsidRPr="007375EB">
        <w:rPr>
          <w:rFonts w:eastAsia="Verdana" w:cs="Verdana"/>
          <w:b/>
          <w:bCs/>
          <w:color w:val="00B0F0"/>
          <w:lang w:val="bg-BG"/>
        </w:rPr>
        <w:t>Земеделски свлачища</w:t>
      </w:r>
    </w:p>
    <w:p w14:paraId="7ED20F8A" w14:textId="336BE765" w:rsidR="00EC2B60" w:rsidRPr="007375EB" w:rsidRDefault="00A41676" w:rsidP="00EC2B60">
      <w:pPr>
        <w:spacing w:after="120" w:line="360" w:lineRule="auto"/>
        <w:jc w:val="both"/>
        <w:rPr>
          <w:lang w:val="bg-BG"/>
        </w:rPr>
      </w:pPr>
      <w:r w:rsidRPr="007375EB">
        <w:rPr>
          <w:rFonts w:eastAsia="Verdana" w:cs="Verdana"/>
          <w:color w:val="000000" w:themeColor="text1"/>
          <w:lang w:val="bg-BG"/>
        </w:rPr>
        <w:t>Свлачищата се задвижват от силите на тежестта, но могат да бъдат предизвикани от различни процеси. Някои от най-често срещаните фактори са земетресенията и периодите на продължителни и/или интензивни валежи. Обезлесяването също може да увеличи вероятността от свлачища</w:t>
      </w:r>
      <w:r w:rsidR="00EC2B60" w:rsidRPr="007375EB">
        <w:rPr>
          <w:rFonts w:eastAsia="Verdana" w:cs="Verdana"/>
          <w:color w:val="000000" w:themeColor="text1"/>
          <w:lang w:val="bg-BG"/>
        </w:rPr>
        <w:t>.</w:t>
      </w:r>
    </w:p>
    <w:p w14:paraId="5BAB0AB5" w14:textId="77777777" w:rsidR="00EC2B60" w:rsidRPr="007375EB" w:rsidRDefault="00EC2B60" w:rsidP="00EC2B60">
      <w:pPr>
        <w:rPr>
          <w:lang w:val="bg-BG"/>
        </w:rPr>
      </w:pPr>
    </w:p>
    <w:p w14:paraId="4BC6990C" w14:textId="6455AAAB" w:rsidR="00EC2B60" w:rsidRPr="007375EB" w:rsidRDefault="009F5313" w:rsidP="00EC2B60">
      <w:pPr>
        <w:jc w:val="center"/>
        <w:rPr>
          <w:lang w:val="bg-BG"/>
        </w:rPr>
      </w:pPr>
      <w:r w:rsidRPr="007375EB">
        <w:rPr>
          <w:noProof/>
          <w:lang w:val="bg-BG"/>
        </w:rPr>
        <w:drawing>
          <wp:inline distT="0" distB="0" distL="0" distR="0" wp14:anchorId="6861622E" wp14:editId="5374895E">
            <wp:extent cx="5904865" cy="4176395"/>
            <wp:effectExtent l="0" t="0" r="63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04865" cy="4176395"/>
                    </a:xfrm>
                    <a:prstGeom prst="rect">
                      <a:avLst/>
                    </a:prstGeom>
                    <a:noFill/>
                    <a:ln>
                      <a:noFill/>
                    </a:ln>
                  </pic:spPr>
                </pic:pic>
              </a:graphicData>
            </a:graphic>
          </wp:inline>
        </w:drawing>
      </w:r>
    </w:p>
    <w:p w14:paraId="5E5EF25B" w14:textId="44AE480C" w:rsidR="00A37855" w:rsidRPr="007375EB" w:rsidRDefault="00B230C6" w:rsidP="00A37855">
      <w:pPr>
        <w:pStyle w:val="Caption"/>
        <w:jc w:val="center"/>
        <w:rPr>
          <w:sz w:val="16"/>
          <w:szCs w:val="16"/>
          <w:vertAlign w:val="subscript"/>
          <w:lang w:val="bg-BG"/>
        </w:rPr>
      </w:pPr>
      <w:r w:rsidRPr="007375EB">
        <w:rPr>
          <w:sz w:val="16"/>
          <w:szCs w:val="16"/>
          <w:lang w:val="bg-BG"/>
        </w:rPr>
        <w:t>Фигура</w:t>
      </w:r>
      <w:r w:rsidR="00A37855" w:rsidRPr="007375EB">
        <w:rPr>
          <w:sz w:val="16"/>
          <w:szCs w:val="16"/>
          <w:lang w:val="bg-BG"/>
        </w:rPr>
        <w:t xml:space="preserve"> 2. </w:t>
      </w:r>
      <w:r w:rsidR="00A37855" w:rsidRPr="007375EB">
        <w:rPr>
          <w:sz w:val="16"/>
          <w:szCs w:val="16"/>
          <w:lang w:val="bg-BG"/>
        </w:rPr>
        <w:fldChar w:fldCharType="begin"/>
      </w:r>
      <w:r w:rsidR="00A37855" w:rsidRPr="007375EB">
        <w:rPr>
          <w:sz w:val="16"/>
          <w:szCs w:val="16"/>
          <w:lang w:val="bg-BG"/>
        </w:rPr>
        <w:instrText xml:space="preserve"> SEQ Figura_2. \* ARABIC </w:instrText>
      </w:r>
      <w:r w:rsidR="00A37855" w:rsidRPr="007375EB">
        <w:rPr>
          <w:sz w:val="16"/>
          <w:szCs w:val="16"/>
          <w:lang w:val="bg-BG"/>
        </w:rPr>
        <w:fldChar w:fldCharType="separate"/>
      </w:r>
      <w:r w:rsidR="00683271" w:rsidRPr="007375EB">
        <w:rPr>
          <w:noProof/>
          <w:sz w:val="16"/>
          <w:szCs w:val="16"/>
          <w:lang w:val="bg-BG"/>
        </w:rPr>
        <w:t>36</w:t>
      </w:r>
      <w:r w:rsidR="00A37855" w:rsidRPr="007375EB">
        <w:rPr>
          <w:sz w:val="16"/>
          <w:szCs w:val="16"/>
          <w:lang w:val="bg-BG"/>
        </w:rPr>
        <w:fldChar w:fldCharType="end"/>
      </w:r>
      <w:r w:rsidR="00A37855" w:rsidRPr="007375EB">
        <w:rPr>
          <w:sz w:val="16"/>
          <w:szCs w:val="16"/>
          <w:lang w:val="bg-BG"/>
        </w:rPr>
        <w:t xml:space="preserve"> </w:t>
      </w:r>
      <w:r w:rsidR="00A41676" w:rsidRPr="007375EB">
        <w:rPr>
          <w:sz w:val="16"/>
          <w:szCs w:val="16"/>
          <w:lang w:val="bg-BG"/>
        </w:rPr>
        <w:t>Карта за зониране на опасността от свлачища</w:t>
      </w:r>
    </w:p>
    <w:p w14:paraId="5EB1DEEF" w14:textId="77777777" w:rsidR="00EC2B60" w:rsidRPr="007375EB" w:rsidRDefault="00EC2B60" w:rsidP="00EC2B60">
      <w:pPr>
        <w:pStyle w:val="Caption-Text"/>
        <w:rPr>
          <w:lang w:val="bg-BG"/>
        </w:rPr>
      </w:pPr>
    </w:p>
    <w:p w14:paraId="1A38BDE8" w14:textId="4475EEC8" w:rsidR="00EC2B60" w:rsidRPr="007375EB" w:rsidRDefault="00A41676" w:rsidP="004058AC">
      <w:pPr>
        <w:spacing w:after="120" w:line="360" w:lineRule="auto"/>
        <w:ind w:left="39" w:hanging="11"/>
        <w:jc w:val="both"/>
        <w:rPr>
          <w:lang w:val="bg-BG"/>
        </w:rPr>
      </w:pPr>
      <w:r w:rsidRPr="007375EB">
        <w:rPr>
          <w:lang w:val="bg-BG"/>
        </w:rPr>
        <w:t xml:space="preserve">На ниво община Cerchezu рискът, свързан със свлачища, е много нисък, като се заключава, че </w:t>
      </w:r>
      <w:r w:rsidRPr="007375EB">
        <w:rPr>
          <w:b/>
          <w:bCs/>
          <w:lang w:val="bg-BG"/>
        </w:rPr>
        <w:t>излагането на риск от свлачища в района на изпълнение на PUZ е много ниско</w:t>
      </w:r>
      <w:r w:rsidRPr="007375EB">
        <w:rPr>
          <w:lang w:val="bg-BG"/>
        </w:rPr>
        <w:t>.</w:t>
      </w:r>
    </w:p>
    <w:p w14:paraId="7EAC5BD9" w14:textId="77777777" w:rsidR="006729A4" w:rsidRPr="007375EB" w:rsidRDefault="006729A4" w:rsidP="00A3395C">
      <w:pPr>
        <w:spacing w:after="120" w:line="360" w:lineRule="auto"/>
        <w:jc w:val="both"/>
        <w:rPr>
          <w:lang w:val="bg-BG"/>
        </w:rPr>
      </w:pPr>
    </w:p>
    <w:p w14:paraId="10CBF747" w14:textId="77777777" w:rsidR="00A41676" w:rsidRPr="007375EB" w:rsidRDefault="00A41676" w:rsidP="00277625">
      <w:pPr>
        <w:spacing w:after="120" w:line="360" w:lineRule="auto"/>
        <w:ind w:left="-20" w:right="-20"/>
        <w:jc w:val="both"/>
        <w:rPr>
          <w:rFonts w:cs="Arial"/>
          <w:b/>
          <w:i/>
          <w:color w:val="00B0F0"/>
          <w:lang w:val="bg-BG"/>
        </w:rPr>
      </w:pPr>
      <w:r w:rsidRPr="007375EB">
        <w:rPr>
          <w:rFonts w:cs="Arial"/>
          <w:b/>
          <w:i/>
          <w:color w:val="00B0F0"/>
          <w:lang w:val="bg-BG"/>
        </w:rPr>
        <w:t>2.1.11. Културно наследство</w:t>
      </w:r>
    </w:p>
    <w:p w14:paraId="49DD4E8A" w14:textId="5DFEC3C8" w:rsidR="00CC1AC6" w:rsidRPr="007375EB" w:rsidRDefault="00A41676" w:rsidP="00277625">
      <w:pPr>
        <w:spacing w:after="120" w:line="360" w:lineRule="auto"/>
        <w:ind w:left="-20" w:right="-20"/>
        <w:jc w:val="both"/>
        <w:rPr>
          <w:rFonts w:eastAsia="Verdana" w:cs="Verdana"/>
          <w:lang w:val="bg-BG"/>
        </w:rPr>
      </w:pPr>
      <w:r w:rsidRPr="007375EB">
        <w:rPr>
          <w:rFonts w:eastAsia="Verdana" w:cs="Verdana"/>
          <w:lang w:val="bg-BG"/>
        </w:rPr>
        <w:t>Съгласно Списъка на историческите паметници за 2015 г. в окръг Констанца, одобрен със Заповед № 2361/2010, в района на предложения план са идентифицирани следните исторически паметници</w:t>
      </w:r>
      <w:r w:rsidR="00741FF4" w:rsidRPr="007375EB">
        <w:rPr>
          <w:rFonts w:eastAsia="Verdana" w:cs="Verdana"/>
          <w:lang w:val="bg-BG"/>
        </w:rPr>
        <w:t>.</w:t>
      </w:r>
    </w:p>
    <w:p w14:paraId="1B3567F0" w14:textId="77777777" w:rsidR="0076067D" w:rsidRPr="007375EB" w:rsidRDefault="0076067D" w:rsidP="00277625">
      <w:pPr>
        <w:spacing w:after="120" w:line="360" w:lineRule="auto"/>
        <w:ind w:left="-20" w:right="-20"/>
        <w:jc w:val="both"/>
        <w:rPr>
          <w:rFonts w:eastAsia="Verdana" w:cs="Verdana"/>
          <w:lang w:val="bg-BG"/>
        </w:rPr>
      </w:pPr>
    </w:p>
    <w:p w14:paraId="4889BDA5" w14:textId="1C173CAB" w:rsidR="003B6B1D" w:rsidRPr="007375EB" w:rsidRDefault="00A41676" w:rsidP="003B6B1D">
      <w:pPr>
        <w:pStyle w:val="Caption"/>
        <w:rPr>
          <w:sz w:val="16"/>
          <w:szCs w:val="16"/>
          <w:lang w:val="bg-BG"/>
        </w:rPr>
      </w:pPr>
      <w:r w:rsidRPr="007375EB">
        <w:rPr>
          <w:sz w:val="16"/>
          <w:szCs w:val="16"/>
          <w:lang w:val="bg-BG"/>
        </w:rPr>
        <w:t>Таблица</w:t>
      </w:r>
      <w:r w:rsidR="003B6B1D" w:rsidRPr="007375EB">
        <w:rPr>
          <w:sz w:val="16"/>
          <w:szCs w:val="16"/>
          <w:lang w:val="bg-BG"/>
        </w:rPr>
        <w:t xml:space="preserve"> 2 - </w:t>
      </w:r>
      <w:r w:rsidR="003B6B1D" w:rsidRPr="007375EB">
        <w:rPr>
          <w:sz w:val="16"/>
          <w:szCs w:val="16"/>
          <w:lang w:val="bg-BG"/>
        </w:rPr>
        <w:fldChar w:fldCharType="begin"/>
      </w:r>
      <w:r w:rsidR="003B6B1D" w:rsidRPr="007375EB">
        <w:rPr>
          <w:sz w:val="16"/>
          <w:szCs w:val="16"/>
          <w:lang w:val="bg-BG"/>
        </w:rPr>
        <w:instrText xml:space="preserve"> SEQ Tabel_2_- \* ARABIC </w:instrText>
      </w:r>
      <w:r w:rsidR="003B6B1D" w:rsidRPr="007375EB">
        <w:rPr>
          <w:sz w:val="16"/>
          <w:szCs w:val="16"/>
          <w:lang w:val="bg-BG"/>
        </w:rPr>
        <w:fldChar w:fldCharType="separate"/>
      </w:r>
      <w:r w:rsidR="00905A12" w:rsidRPr="007375EB">
        <w:rPr>
          <w:noProof/>
          <w:sz w:val="16"/>
          <w:szCs w:val="16"/>
          <w:lang w:val="bg-BG"/>
        </w:rPr>
        <w:t>4</w:t>
      </w:r>
      <w:r w:rsidR="003B6B1D" w:rsidRPr="007375EB">
        <w:rPr>
          <w:sz w:val="16"/>
          <w:szCs w:val="16"/>
          <w:lang w:val="bg-BG"/>
        </w:rPr>
        <w:fldChar w:fldCharType="end"/>
      </w:r>
      <w:r w:rsidR="003B6B1D" w:rsidRPr="007375EB">
        <w:rPr>
          <w:sz w:val="16"/>
          <w:szCs w:val="16"/>
          <w:lang w:val="bg-BG"/>
        </w:rPr>
        <w:t>:</w:t>
      </w:r>
      <w:r w:rsidR="003B6B1D" w:rsidRPr="007375EB">
        <w:rPr>
          <w:color w:val="00B0F0"/>
          <w:sz w:val="16"/>
          <w:szCs w:val="16"/>
          <w:lang w:val="bg-BG"/>
        </w:rPr>
        <w:t xml:space="preserve"> </w:t>
      </w:r>
      <w:r w:rsidRPr="007375EB">
        <w:rPr>
          <w:sz w:val="16"/>
          <w:szCs w:val="16"/>
          <w:lang w:val="bg-BG"/>
        </w:rPr>
        <w:t xml:space="preserve">Обекти от интерес в района на </w:t>
      </w:r>
      <w:r w:rsidR="00C50F56" w:rsidRPr="007375EB">
        <w:rPr>
          <w:sz w:val="16"/>
          <w:szCs w:val="16"/>
          <w:lang w:val="bg-BG"/>
        </w:rPr>
        <w:t>PUZ</w:t>
      </w:r>
    </w:p>
    <w:tbl>
      <w:tblPr>
        <w:tblW w:w="0" w:type="auto"/>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2265"/>
        <w:gridCol w:w="2265"/>
        <w:gridCol w:w="3120"/>
        <w:gridCol w:w="1412"/>
      </w:tblGrid>
      <w:tr w:rsidR="000B2CCF" w:rsidRPr="007375EB" w14:paraId="6045D2B8" w14:textId="77777777" w:rsidTr="009D1A3B">
        <w:tc>
          <w:tcPr>
            <w:tcW w:w="2265" w:type="dxa"/>
            <w:shd w:val="clear" w:color="auto" w:fill="00B0F0"/>
          </w:tcPr>
          <w:p w14:paraId="76C7D010" w14:textId="2907B91C" w:rsidR="000B2CCF" w:rsidRPr="007375EB" w:rsidRDefault="00A41676">
            <w:pPr>
              <w:spacing w:line="240" w:lineRule="auto"/>
              <w:jc w:val="center"/>
              <w:rPr>
                <w:rFonts w:eastAsia="Calibri"/>
                <w:b/>
                <w:bCs/>
                <w:color w:val="FFFFFF"/>
                <w:sz w:val="16"/>
                <w:szCs w:val="16"/>
                <w:lang w:val="bg-BG"/>
              </w:rPr>
            </w:pPr>
            <w:r w:rsidRPr="007375EB">
              <w:rPr>
                <w:rFonts w:eastAsia="Calibri"/>
                <w:b/>
                <w:bCs/>
                <w:color w:val="FFFFFF"/>
                <w:sz w:val="16"/>
                <w:szCs w:val="16"/>
                <w:lang w:val="bg-BG"/>
              </w:rPr>
              <w:lastRenderedPageBreak/>
              <w:t>Код</w:t>
            </w:r>
            <w:r w:rsidR="000B2CCF" w:rsidRPr="007375EB">
              <w:rPr>
                <w:rFonts w:eastAsia="Calibri"/>
                <w:b/>
                <w:bCs/>
                <w:color w:val="FFFFFF"/>
                <w:sz w:val="16"/>
                <w:szCs w:val="16"/>
                <w:lang w:val="bg-BG"/>
              </w:rPr>
              <w:t xml:space="preserve"> LMI</w:t>
            </w:r>
          </w:p>
        </w:tc>
        <w:tc>
          <w:tcPr>
            <w:tcW w:w="2265" w:type="dxa"/>
            <w:shd w:val="clear" w:color="auto" w:fill="00B0F0"/>
          </w:tcPr>
          <w:p w14:paraId="6A85E9E0" w14:textId="21B16A96" w:rsidR="000B2CCF" w:rsidRPr="007375EB" w:rsidRDefault="00586914">
            <w:pPr>
              <w:spacing w:line="240" w:lineRule="auto"/>
              <w:jc w:val="center"/>
              <w:rPr>
                <w:rFonts w:eastAsia="Calibri"/>
                <w:b/>
                <w:bCs/>
                <w:color w:val="FFFFFF"/>
                <w:sz w:val="16"/>
                <w:szCs w:val="16"/>
                <w:lang w:val="bg-BG"/>
              </w:rPr>
            </w:pPr>
            <w:r w:rsidRPr="007375EB">
              <w:rPr>
                <w:rFonts w:eastAsia="Calibri"/>
                <w:b/>
                <w:bCs/>
                <w:color w:val="FFFFFF"/>
                <w:sz w:val="16"/>
                <w:szCs w:val="16"/>
                <w:lang w:val="bg-BG"/>
              </w:rPr>
              <w:t>Град</w:t>
            </w:r>
          </w:p>
        </w:tc>
        <w:tc>
          <w:tcPr>
            <w:tcW w:w="3120" w:type="dxa"/>
            <w:shd w:val="clear" w:color="auto" w:fill="00B0F0"/>
          </w:tcPr>
          <w:p w14:paraId="2E6A1E27" w14:textId="202CCE06" w:rsidR="000B2CCF" w:rsidRPr="007375EB" w:rsidRDefault="00586914">
            <w:pPr>
              <w:spacing w:line="240" w:lineRule="auto"/>
              <w:jc w:val="center"/>
              <w:rPr>
                <w:rFonts w:eastAsia="Calibri"/>
                <w:b/>
                <w:bCs/>
                <w:color w:val="FFFFFF"/>
                <w:sz w:val="16"/>
                <w:szCs w:val="16"/>
                <w:lang w:val="bg-BG"/>
              </w:rPr>
            </w:pPr>
            <w:r w:rsidRPr="007375EB">
              <w:rPr>
                <w:rFonts w:eastAsia="Calibri"/>
                <w:b/>
                <w:bCs/>
                <w:color w:val="FFFFFF"/>
                <w:sz w:val="16"/>
                <w:szCs w:val="16"/>
                <w:lang w:val="bg-BG"/>
              </w:rPr>
              <w:t>Наименование</w:t>
            </w:r>
          </w:p>
        </w:tc>
        <w:tc>
          <w:tcPr>
            <w:tcW w:w="1412" w:type="dxa"/>
            <w:shd w:val="clear" w:color="auto" w:fill="00B0F0"/>
          </w:tcPr>
          <w:p w14:paraId="38138799" w14:textId="26CFC9EA" w:rsidR="000B2CCF" w:rsidRPr="007375EB" w:rsidRDefault="00586914">
            <w:pPr>
              <w:spacing w:line="240" w:lineRule="auto"/>
              <w:jc w:val="center"/>
              <w:rPr>
                <w:rFonts w:eastAsia="Calibri"/>
                <w:b/>
                <w:bCs/>
                <w:color w:val="FFFFFF"/>
                <w:sz w:val="16"/>
                <w:szCs w:val="16"/>
                <w:lang w:val="bg-BG"/>
              </w:rPr>
            </w:pPr>
            <w:r w:rsidRPr="007375EB">
              <w:rPr>
                <w:rFonts w:eastAsia="Calibri"/>
                <w:b/>
                <w:bCs/>
                <w:color w:val="FFFFFF"/>
                <w:sz w:val="16"/>
                <w:szCs w:val="16"/>
                <w:lang w:val="bg-BG"/>
              </w:rPr>
              <w:t>Дата</w:t>
            </w:r>
          </w:p>
        </w:tc>
      </w:tr>
      <w:tr w:rsidR="000B2CCF" w:rsidRPr="007375EB" w14:paraId="45CE8881" w14:textId="77777777" w:rsidTr="009D1A3B">
        <w:tc>
          <w:tcPr>
            <w:tcW w:w="2265" w:type="dxa"/>
            <w:shd w:val="clear" w:color="auto" w:fill="auto"/>
          </w:tcPr>
          <w:p w14:paraId="71B1CA63" w14:textId="4457E920" w:rsidR="000B2CCF" w:rsidRPr="007375EB" w:rsidRDefault="00F54255">
            <w:pPr>
              <w:spacing w:line="240" w:lineRule="auto"/>
              <w:rPr>
                <w:rFonts w:eastAsia="Calibri"/>
                <w:b/>
                <w:bCs/>
                <w:sz w:val="16"/>
                <w:szCs w:val="16"/>
                <w:lang w:val="bg-BG"/>
              </w:rPr>
            </w:pPr>
            <w:r w:rsidRPr="007375EB">
              <w:rPr>
                <w:rFonts w:eastAsia="Calibri"/>
                <w:b/>
                <w:bCs/>
                <w:sz w:val="16"/>
                <w:szCs w:val="16"/>
                <w:lang w:val="bg-BG"/>
              </w:rPr>
              <w:t>CT-IV-m-B-02967</w:t>
            </w:r>
          </w:p>
        </w:tc>
        <w:tc>
          <w:tcPr>
            <w:tcW w:w="2265" w:type="dxa"/>
            <w:shd w:val="clear" w:color="auto" w:fill="auto"/>
          </w:tcPr>
          <w:p w14:paraId="4CAE273C" w14:textId="34BB28A0" w:rsidR="000B2CCF" w:rsidRPr="007375EB" w:rsidRDefault="00586914" w:rsidP="00F54255">
            <w:pPr>
              <w:spacing w:line="240" w:lineRule="auto"/>
              <w:rPr>
                <w:rFonts w:eastAsia="Calibri"/>
                <w:sz w:val="16"/>
                <w:szCs w:val="16"/>
                <w:lang w:val="bg-BG"/>
              </w:rPr>
            </w:pPr>
            <w:r w:rsidRPr="007375EB">
              <w:rPr>
                <w:rFonts w:eastAsia="Calibri"/>
                <w:sz w:val="16"/>
                <w:szCs w:val="16"/>
                <w:lang w:val="bg-BG"/>
              </w:rPr>
              <w:t>село ВИРОАГА; община ЧЕРКЕЗУ</w:t>
            </w:r>
          </w:p>
        </w:tc>
        <w:tc>
          <w:tcPr>
            <w:tcW w:w="3120" w:type="dxa"/>
            <w:shd w:val="clear" w:color="auto" w:fill="auto"/>
          </w:tcPr>
          <w:p w14:paraId="5023F898" w14:textId="670B4B8D" w:rsidR="000B2CCF" w:rsidRPr="007375EB" w:rsidRDefault="00586914">
            <w:pPr>
              <w:spacing w:line="240" w:lineRule="auto"/>
              <w:rPr>
                <w:rFonts w:eastAsia="Calibri"/>
                <w:sz w:val="16"/>
                <w:szCs w:val="16"/>
                <w:lang w:val="bg-BG"/>
              </w:rPr>
            </w:pPr>
            <w:r w:rsidRPr="007375EB">
              <w:rPr>
                <w:rFonts w:eastAsia="Calibri"/>
                <w:sz w:val="16"/>
                <w:szCs w:val="16"/>
                <w:lang w:val="bg-BG"/>
              </w:rPr>
              <w:t>Обелиск в памет на героите от Първата световна война</w:t>
            </w:r>
          </w:p>
        </w:tc>
        <w:tc>
          <w:tcPr>
            <w:tcW w:w="1412" w:type="dxa"/>
            <w:shd w:val="clear" w:color="auto" w:fill="auto"/>
          </w:tcPr>
          <w:p w14:paraId="0F04CA38" w14:textId="6AD7D52E" w:rsidR="000B2CCF" w:rsidRPr="007375EB" w:rsidRDefault="00CA3C3F">
            <w:pPr>
              <w:spacing w:line="240" w:lineRule="auto"/>
              <w:rPr>
                <w:rFonts w:eastAsia="Calibri"/>
                <w:sz w:val="16"/>
                <w:szCs w:val="16"/>
                <w:lang w:val="bg-BG"/>
              </w:rPr>
            </w:pPr>
            <w:r w:rsidRPr="007375EB">
              <w:rPr>
                <w:rFonts w:eastAsia="Calibri"/>
                <w:sz w:val="16"/>
                <w:szCs w:val="16"/>
                <w:lang w:val="bg-BG"/>
              </w:rPr>
              <w:t>1936</w:t>
            </w:r>
          </w:p>
        </w:tc>
      </w:tr>
    </w:tbl>
    <w:p w14:paraId="1FC8D609" w14:textId="77777777" w:rsidR="000B2CCF" w:rsidRPr="007375EB" w:rsidRDefault="000B2CCF" w:rsidP="00CC1AC6">
      <w:pPr>
        <w:pStyle w:val="BodyTextIndent"/>
        <w:tabs>
          <w:tab w:val="left" w:pos="567"/>
        </w:tabs>
        <w:spacing w:after="0"/>
        <w:jc w:val="both"/>
        <w:rPr>
          <w:lang w:val="bg-BG"/>
        </w:rPr>
      </w:pPr>
    </w:p>
    <w:p w14:paraId="6C964A47" w14:textId="7FA0A09F" w:rsidR="00E85264" w:rsidRPr="007375EB" w:rsidRDefault="00586914" w:rsidP="00A41D13">
      <w:pPr>
        <w:spacing w:after="120" w:line="360" w:lineRule="auto"/>
        <w:ind w:left="-20" w:right="-20"/>
        <w:jc w:val="both"/>
        <w:rPr>
          <w:rFonts w:eastAsia="Verdana" w:cs="Verdana"/>
          <w:lang w:val="bg-BG"/>
        </w:rPr>
      </w:pPr>
      <w:r w:rsidRPr="007375EB">
        <w:rPr>
          <w:rFonts w:eastAsia="Verdana" w:cs="Verdana"/>
          <w:lang w:val="bg-BG"/>
        </w:rPr>
        <w:t>Има и археологически обекти, разположени точно в района на PUZ, които не са включени в Списъка на историческите паметници, но са идентифицирани с помощта на Националния археологически регистър. Това са</w:t>
      </w:r>
      <w:r w:rsidR="00E85264" w:rsidRPr="007375EB">
        <w:rPr>
          <w:rFonts w:eastAsia="Verdana" w:cs="Verdana"/>
          <w:lang w:val="bg-BG"/>
        </w:rPr>
        <w:t>:</w:t>
      </w:r>
    </w:p>
    <w:p w14:paraId="68691B3E" w14:textId="1BBAEFD8" w:rsidR="002D4D7C" w:rsidRPr="007375EB" w:rsidRDefault="00586914" w:rsidP="00125F99">
      <w:pPr>
        <w:pStyle w:val="ListParagraph"/>
        <w:numPr>
          <w:ilvl w:val="0"/>
          <w:numId w:val="29"/>
        </w:numPr>
        <w:spacing w:after="120" w:line="360" w:lineRule="auto"/>
        <w:ind w:right="-20"/>
        <w:jc w:val="both"/>
        <w:rPr>
          <w:rFonts w:eastAsia="Verdana" w:cs="Verdana"/>
          <w:lang w:val="bg-BG"/>
        </w:rPr>
      </w:pPr>
      <w:r w:rsidRPr="007375EB">
        <w:rPr>
          <w:rFonts w:eastAsia="Verdana" w:cs="Verdana"/>
          <w:lang w:val="bg-BG"/>
        </w:rPr>
        <w:t xml:space="preserve">Вила рустика де ла Вироага </w:t>
      </w:r>
      <w:r w:rsidR="002D4D7C" w:rsidRPr="007375EB">
        <w:rPr>
          <w:rFonts w:eastAsia="Verdana" w:cs="Verdana"/>
          <w:lang w:val="bg-BG"/>
        </w:rPr>
        <w:t xml:space="preserve">- </w:t>
      </w:r>
      <w:r w:rsidRPr="007375EB">
        <w:rPr>
          <w:rFonts w:eastAsia="Calibri"/>
          <w:lang w:val="bg-BG"/>
        </w:rPr>
        <w:t xml:space="preserve">село </w:t>
      </w:r>
      <w:r w:rsidRPr="007375EB">
        <w:rPr>
          <w:rFonts w:eastAsia="Verdana" w:cs="Verdana"/>
          <w:lang w:val="bg-BG"/>
        </w:rPr>
        <w:t>Късчоареле</w:t>
      </w:r>
      <w:r w:rsidRPr="007375EB">
        <w:rPr>
          <w:rFonts w:eastAsia="Calibri"/>
          <w:lang w:val="bg-BG"/>
        </w:rPr>
        <w:t xml:space="preserve"> ВИРОАГА; община ЧЕРКЕЗУ</w:t>
      </w:r>
    </w:p>
    <w:p w14:paraId="1F2D442D" w14:textId="48248ED9" w:rsidR="00777788" w:rsidRPr="007375EB" w:rsidRDefault="00586914" w:rsidP="00125F99">
      <w:pPr>
        <w:pStyle w:val="ListParagraph"/>
        <w:numPr>
          <w:ilvl w:val="0"/>
          <w:numId w:val="29"/>
        </w:numPr>
        <w:spacing w:after="120" w:line="360" w:lineRule="auto"/>
        <w:ind w:right="-20"/>
        <w:jc w:val="both"/>
        <w:rPr>
          <w:rFonts w:eastAsia="Verdana" w:cs="Verdana"/>
          <w:lang w:val="bg-BG"/>
        </w:rPr>
      </w:pPr>
      <w:r w:rsidRPr="007375EB">
        <w:rPr>
          <w:rFonts w:eastAsia="Verdana" w:cs="Verdana"/>
          <w:lang w:val="bg-BG"/>
        </w:rPr>
        <w:t>Курганът на Късчоареле –</w:t>
      </w:r>
      <w:r w:rsidR="0063751C" w:rsidRPr="007375EB">
        <w:rPr>
          <w:rFonts w:eastAsia="Verdana" w:cs="Verdana"/>
          <w:lang w:val="bg-BG"/>
        </w:rPr>
        <w:t xml:space="preserve"> </w:t>
      </w:r>
      <w:r w:rsidRPr="007375EB">
        <w:rPr>
          <w:rFonts w:eastAsia="Verdana" w:cs="Verdana"/>
          <w:lang w:val="bg-BG"/>
        </w:rPr>
        <w:t>Мовила Баку</w:t>
      </w:r>
      <w:r w:rsidR="0063751C" w:rsidRPr="007375EB">
        <w:rPr>
          <w:rFonts w:eastAsia="Verdana" w:cs="Verdana"/>
          <w:lang w:val="bg-BG"/>
        </w:rPr>
        <w:t xml:space="preserve"> - </w:t>
      </w:r>
      <w:r w:rsidRPr="007375EB">
        <w:rPr>
          <w:rFonts w:eastAsia="Calibri"/>
          <w:lang w:val="bg-BG"/>
        </w:rPr>
        <w:t>село</w:t>
      </w:r>
      <w:r w:rsidR="00777788" w:rsidRPr="007375EB">
        <w:rPr>
          <w:rFonts w:eastAsia="Verdana" w:cs="Verdana"/>
          <w:lang w:val="bg-BG"/>
        </w:rPr>
        <w:t xml:space="preserve">, </w:t>
      </w:r>
      <w:r w:rsidRPr="007375EB">
        <w:rPr>
          <w:rFonts w:eastAsia="Calibri"/>
          <w:lang w:val="bg-BG"/>
        </w:rPr>
        <w:t>община ЧЕРКЕЗУ</w:t>
      </w:r>
    </w:p>
    <w:p w14:paraId="40CF5952" w14:textId="108AF6A9" w:rsidR="0063751C" w:rsidRPr="007375EB" w:rsidRDefault="00586914" w:rsidP="00125F99">
      <w:pPr>
        <w:pStyle w:val="ListParagraph"/>
        <w:numPr>
          <w:ilvl w:val="0"/>
          <w:numId w:val="29"/>
        </w:numPr>
        <w:spacing w:after="120" w:line="360" w:lineRule="auto"/>
        <w:ind w:right="-20"/>
        <w:jc w:val="both"/>
        <w:rPr>
          <w:rFonts w:eastAsia="Verdana" w:cs="Verdana"/>
          <w:lang w:val="bg-BG"/>
        </w:rPr>
      </w:pPr>
      <w:r w:rsidRPr="007375EB">
        <w:rPr>
          <w:rFonts w:eastAsia="Verdana" w:cs="Verdana"/>
          <w:lang w:val="bg-BG"/>
        </w:rPr>
        <w:t xml:space="preserve">Легионерският лагер в Късчоареле </w:t>
      </w:r>
      <w:r w:rsidR="004947EF" w:rsidRPr="007375EB">
        <w:rPr>
          <w:rFonts w:eastAsia="Verdana" w:cs="Verdana"/>
          <w:lang w:val="bg-BG"/>
        </w:rPr>
        <w:t xml:space="preserve">- </w:t>
      </w:r>
      <w:r w:rsidRPr="007375EB">
        <w:rPr>
          <w:rFonts w:eastAsia="Calibri"/>
          <w:lang w:val="bg-BG"/>
        </w:rPr>
        <w:t xml:space="preserve">село </w:t>
      </w:r>
      <w:r w:rsidRPr="007375EB">
        <w:rPr>
          <w:rFonts w:eastAsia="Verdana" w:cs="Verdana"/>
          <w:lang w:val="bg-BG"/>
        </w:rPr>
        <w:t xml:space="preserve">Късчоареле, </w:t>
      </w:r>
      <w:r w:rsidRPr="007375EB">
        <w:rPr>
          <w:rFonts w:eastAsia="Calibri"/>
          <w:lang w:val="bg-BG"/>
        </w:rPr>
        <w:t>община ЧЕРКЕЗУ</w:t>
      </w:r>
    </w:p>
    <w:p w14:paraId="17E99A8E" w14:textId="6B0118C9" w:rsidR="009C57FE" w:rsidRPr="007375EB" w:rsidRDefault="009C57FE" w:rsidP="009C57FE">
      <w:pPr>
        <w:spacing w:line="240" w:lineRule="auto"/>
        <w:ind w:left="340"/>
        <w:jc w:val="center"/>
        <w:rPr>
          <w:rFonts w:ascii="Times New Roman" w:eastAsia="Times New Roman" w:hAnsi="Times New Roman" w:cs="Times New Roman"/>
          <w:sz w:val="24"/>
          <w:szCs w:val="24"/>
          <w:lang w:val="bg-BG" w:eastAsia="ro-RO"/>
        </w:rPr>
      </w:pPr>
      <w:r w:rsidRPr="007375EB">
        <w:rPr>
          <w:noProof/>
          <w:lang w:val="bg-BG"/>
        </w:rPr>
        <w:drawing>
          <wp:inline distT="0" distB="0" distL="0" distR="0" wp14:anchorId="2F9C3D54" wp14:editId="1C66BA8F">
            <wp:extent cx="6351092" cy="4492003"/>
            <wp:effectExtent l="0" t="0" r="0" b="381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352168" cy="4492764"/>
                    </a:xfrm>
                    <a:prstGeom prst="rect">
                      <a:avLst/>
                    </a:prstGeom>
                    <a:noFill/>
                    <a:ln>
                      <a:noFill/>
                    </a:ln>
                  </pic:spPr>
                </pic:pic>
              </a:graphicData>
            </a:graphic>
          </wp:inline>
        </w:drawing>
      </w:r>
    </w:p>
    <w:p w14:paraId="69B7E86C" w14:textId="1A08EBC2" w:rsidR="00D523D8" w:rsidRPr="007375EB" w:rsidRDefault="00B230C6" w:rsidP="00546116">
      <w:pPr>
        <w:pStyle w:val="Caption"/>
        <w:jc w:val="center"/>
        <w:rPr>
          <w:sz w:val="16"/>
          <w:szCs w:val="16"/>
          <w:lang w:val="bg-BG"/>
        </w:rPr>
      </w:pPr>
      <w:r w:rsidRPr="007375EB">
        <w:rPr>
          <w:sz w:val="16"/>
          <w:szCs w:val="16"/>
          <w:lang w:val="bg-BG"/>
        </w:rPr>
        <w:t>Фигура</w:t>
      </w:r>
      <w:r w:rsidR="00546116" w:rsidRPr="007375EB">
        <w:rPr>
          <w:sz w:val="16"/>
          <w:szCs w:val="16"/>
          <w:lang w:val="bg-BG"/>
        </w:rPr>
        <w:t xml:space="preserve"> 2. </w:t>
      </w:r>
      <w:r w:rsidR="00546116" w:rsidRPr="007375EB">
        <w:rPr>
          <w:sz w:val="16"/>
          <w:szCs w:val="16"/>
          <w:lang w:val="bg-BG"/>
        </w:rPr>
        <w:fldChar w:fldCharType="begin"/>
      </w:r>
      <w:r w:rsidR="00546116" w:rsidRPr="007375EB">
        <w:rPr>
          <w:sz w:val="16"/>
          <w:szCs w:val="16"/>
          <w:lang w:val="bg-BG"/>
        </w:rPr>
        <w:instrText xml:space="preserve"> SEQ Figura_2. \* ARABIC </w:instrText>
      </w:r>
      <w:r w:rsidR="00546116" w:rsidRPr="007375EB">
        <w:rPr>
          <w:sz w:val="16"/>
          <w:szCs w:val="16"/>
          <w:lang w:val="bg-BG"/>
        </w:rPr>
        <w:fldChar w:fldCharType="separate"/>
      </w:r>
      <w:r w:rsidR="00911867" w:rsidRPr="007375EB">
        <w:rPr>
          <w:noProof/>
          <w:sz w:val="16"/>
          <w:szCs w:val="16"/>
          <w:lang w:val="bg-BG"/>
        </w:rPr>
        <w:t>37</w:t>
      </w:r>
      <w:r w:rsidR="00546116" w:rsidRPr="007375EB">
        <w:rPr>
          <w:sz w:val="16"/>
          <w:szCs w:val="16"/>
          <w:lang w:val="bg-BG"/>
        </w:rPr>
        <w:fldChar w:fldCharType="end"/>
      </w:r>
      <w:r w:rsidR="00546116" w:rsidRPr="007375EB">
        <w:rPr>
          <w:sz w:val="16"/>
          <w:szCs w:val="16"/>
          <w:lang w:val="bg-BG"/>
        </w:rPr>
        <w:t xml:space="preserve"> </w:t>
      </w:r>
      <w:r w:rsidR="00586914" w:rsidRPr="007375EB">
        <w:rPr>
          <w:sz w:val="16"/>
          <w:szCs w:val="16"/>
          <w:lang w:val="bg-BG"/>
        </w:rPr>
        <w:t>Карта с местоположението на обектите от исторически интерес (Национален археологически регистър (cIMeC) и Национален институт за културно наследство - eGISpat Румъния</w:t>
      </w:r>
      <w:r w:rsidR="00D523D8" w:rsidRPr="007375EB">
        <w:rPr>
          <w:sz w:val="16"/>
          <w:szCs w:val="16"/>
          <w:lang w:val="bg-BG"/>
        </w:rPr>
        <w:t>)</w:t>
      </w:r>
    </w:p>
    <w:p w14:paraId="18AEF39D" w14:textId="1CA3DF00" w:rsidR="004371C6" w:rsidRPr="007375EB" w:rsidRDefault="00586914" w:rsidP="004371C6">
      <w:pPr>
        <w:tabs>
          <w:tab w:val="left" w:pos="567"/>
        </w:tabs>
        <w:spacing w:line="360" w:lineRule="auto"/>
        <w:jc w:val="both"/>
        <w:rPr>
          <w:rFonts w:eastAsia="Verdana" w:cs="Verdana"/>
          <w:lang w:val="bg-BG"/>
        </w:rPr>
      </w:pPr>
      <w:r w:rsidRPr="007375EB">
        <w:rPr>
          <w:rFonts w:eastAsia="Verdana" w:cs="Verdana"/>
          <w:lang w:val="bg-BG"/>
        </w:rPr>
        <w:t>Намесата върху исторически паметници се урежда от разпоредбите на член 23 от Закон № 422/2001, преиздаден, относно защитата на историческите паметници. В зоната на защита на историческите паметници (200,00 м в градската зона, съответно 500,00 м в селската зона) за разрешаване на нови строежи или намеси върху съществуващи строежи ще се изисква становището на Министерството на културата и националната идентичност, съответно на Окръжната дирекция за култура и национално наследство Констанца</w:t>
      </w:r>
      <w:r w:rsidR="004371C6" w:rsidRPr="007375EB">
        <w:rPr>
          <w:rFonts w:eastAsia="Verdana" w:cs="Verdana"/>
          <w:lang w:val="bg-BG"/>
        </w:rPr>
        <w:t>.</w:t>
      </w:r>
    </w:p>
    <w:p w14:paraId="0AC48A95" w14:textId="72947C92" w:rsidR="004371C6" w:rsidRPr="007375EB" w:rsidRDefault="00586914" w:rsidP="004371C6">
      <w:pPr>
        <w:tabs>
          <w:tab w:val="left" w:pos="567"/>
        </w:tabs>
        <w:spacing w:line="360" w:lineRule="auto"/>
        <w:jc w:val="both"/>
        <w:rPr>
          <w:rFonts w:eastAsia="Verdana" w:cs="Verdana"/>
          <w:lang w:val="bg-BG"/>
        </w:rPr>
      </w:pPr>
      <w:r w:rsidRPr="007375EB">
        <w:rPr>
          <w:rFonts w:eastAsia="Verdana" w:cs="Verdana"/>
          <w:lang w:val="bg-BG"/>
        </w:rPr>
        <w:t xml:space="preserve">Правният режим на сградите с исторически паметници се урежда от разпоредбите на Закон № 422/2001, публикуван в Официален вестник на Румъния № 938 от 20 ноември 2006 г., препубликуван съгласно член V от Закон № 259/2006 за изменение и допълнение на Закон № </w:t>
      </w:r>
      <w:r w:rsidRPr="007375EB">
        <w:rPr>
          <w:rFonts w:eastAsia="Verdana" w:cs="Verdana"/>
          <w:lang w:val="bg-BG"/>
        </w:rPr>
        <w:lastRenderedPageBreak/>
        <w:t>422/2001 за защита на историческите паметници, публикуван в Официален вестник на Румъния, част I, № 573 от 3 юли 2006 г., като текстовете са номерирани по нов начин</w:t>
      </w:r>
      <w:r w:rsidR="004371C6" w:rsidRPr="007375EB">
        <w:rPr>
          <w:rFonts w:eastAsia="Verdana" w:cs="Verdana"/>
          <w:lang w:val="bg-BG"/>
        </w:rPr>
        <w:t>.</w:t>
      </w:r>
    </w:p>
    <w:p w14:paraId="4F141E7C" w14:textId="6D51A8C3" w:rsidR="0091367B" w:rsidRPr="007375EB" w:rsidRDefault="0091367B" w:rsidP="009B5E28">
      <w:pPr>
        <w:spacing w:after="120" w:line="360" w:lineRule="auto"/>
        <w:rPr>
          <w:b/>
          <w:bCs/>
          <w:lang w:val="bg-BG"/>
        </w:rPr>
      </w:pPr>
    </w:p>
    <w:p w14:paraId="20F4C413" w14:textId="544B0E3C" w:rsidR="00801E3F" w:rsidRPr="007375EB" w:rsidRDefault="00586914" w:rsidP="00125F99">
      <w:pPr>
        <w:pStyle w:val="ListParagraph"/>
        <w:numPr>
          <w:ilvl w:val="1"/>
          <w:numId w:val="57"/>
        </w:numPr>
        <w:spacing w:after="120" w:line="360" w:lineRule="auto"/>
        <w:outlineLvl w:val="1"/>
        <w:rPr>
          <w:b/>
          <w:bCs/>
          <w:i/>
          <w:iCs/>
          <w:color w:val="009DF0"/>
          <w:lang w:val="bg-BG" w:eastAsia="ro-RO"/>
        </w:rPr>
      </w:pPr>
      <w:bookmarkStart w:id="29" w:name="_Toc167697410"/>
      <w:r w:rsidRPr="007375EB">
        <w:rPr>
          <w:b/>
          <w:bCs/>
          <w:i/>
          <w:iCs/>
          <w:color w:val="009DF0"/>
          <w:lang w:val="bg-BG" w:eastAsia="ro-RO"/>
        </w:rPr>
        <w:t xml:space="preserve">Еволюция на състоянието на околната среда в случай на неизпълнение на предложения </w:t>
      </w:r>
      <w:r w:rsidR="00801E3F" w:rsidRPr="007375EB">
        <w:rPr>
          <w:b/>
          <w:bCs/>
          <w:i/>
          <w:iCs/>
          <w:color w:val="009DF0"/>
          <w:lang w:val="bg-BG" w:eastAsia="ro-RO"/>
        </w:rPr>
        <w:t>PUZ</w:t>
      </w:r>
      <w:bookmarkEnd w:id="29"/>
    </w:p>
    <w:p w14:paraId="6A12896B" w14:textId="77777777" w:rsidR="00586914" w:rsidRPr="007375EB" w:rsidRDefault="00586914" w:rsidP="00586914">
      <w:pPr>
        <w:spacing w:after="120" w:line="360" w:lineRule="auto"/>
        <w:jc w:val="both"/>
        <w:rPr>
          <w:lang w:val="bg-BG"/>
        </w:rPr>
      </w:pPr>
      <w:r w:rsidRPr="007375EB">
        <w:rPr>
          <w:lang w:val="bg-BG"/>
        </w:rPr>
        <w:t>Анализът на състоянието на околната среда в условията на неизпълнение на плана е изискване както на Директива 2001/42/ЕО относно стратегическата екологична оценка (СЕО1 - чл. 5 и приложение I-б), така и на Решение на правителството № 1076/8 юли 2004 г. за установяване на процедура за извършване на екологична оценка на планове и програми (чл. 15).</w:t>
      </w:r>
    </w:p>
    <w:p w14:paraId="2AB92B5F" w14:textId="2352FE74" w:rsidR="00586914" w:rsidRPr="007375EB" w:rsidRDefault="00586914" w:rsidP="00586914">
      <w:pPr>
        <w:spacing w:after="120" w:line="360" w:lineRule="auto"/>
        <w:jc w:val="both"/>
        <w:rPr>
          <w:lang w:val="bg-BG"/>
        </w:rPr>
      </w:pPr>
      <w:r w:rsidRPr="007375EB">
        <w:rPr>
          <w:lang w:val="bg-BG"/>
        </w:rPr>
        <w:t>Целта на този анализ е да се оцени как „Парк за вятърна енергия 48 (46) вятърни електроцентрали прибл. 316,8МВт (303,6МВт), трансформаторни подстанции, мрежи за електроснабдяване, изграждане и модернизация на комуникации и пътища за достъп“ отговаря на нуждите и изискванията на екологичната обстановка в анализирания район и тенденциите за неговото развитие</w:t>
      </w:r>
    </w:p>
    <w:p w14:paraId="386DBCEE" w14:textId="5BEC16F5" w:rsidR="00586914" w:rsidRPr="007375EB" w:rsidRDefault="00586914" w:rsidP="00586914">
      <w:pPr>
        <w:spacing w:after="120" w:line="360" w:lineRule="auto"/>
        <w:jc w:val="both"/>
        <w:rPr>
          <w:lang w:val="bg-BG"/>
        </w:rPr>
      </w:pPr>
      <w:r w:rsidRPr="007375EB">
        <w:rPr>
          <w:lang w:val="bg-BG"/>
        </w:rPr>
        <w:t>Районът на изпълнение на проекта е разположен в южната част на окръг Констанца - район с постоянно намаляващо население, който е сред най-бедните в региона: местният индекс на човешкото развитие (IDUL 2011)</w:t>
      </w:r>
      <w:r w:rsidRPr="007375EB">
        <w:rPr>
          <w:vertAlign w:val="superscript"/>
          <w:lang w:val="bg-BG"/>
        </w:rPr>
        <w:t>27</w:t>
      </w:r>
      <w:r w:rsidRPr="007375EB">
        <w:rPr>
          <w:lang w:val="bg-BG"/>
        </w:rPr>
        <w:t xml:space="preserve"> е със стойности под 55. Населението в района се сблъсква с недостиг на работни места, липса на капитал за инвестиции и липса на предприятия като алтернатива на земеделието.</w:t>
      </w:r>
    </w:p>
    <w:p w14:paraId="701DB525" w14:textId="2137F195" w:rsidR="00E76EB4" w:rsidRPr="007375EB" w:rsidRDefault="00586914" w:rsidP="00586914">
      <w:pPr>
        <w:spacing w:after="120" w:line="360" w:lineRule="auto"/>
        <w:jc w:val="both"/>
        <w:rPr>
          <w:color w:val="000000"/>
          <w:lang w:val="bg-BG"/>
        </w:rPr>
      </w:pPr>
      <w:r w:rsidRPr="007375EB">
        <w:rPr>
          <w:lang w:val="bg-BG"/>
        </w:rPr>
        <w:t>Анализът на „нулевата“ алтернатива (алтернативата, която отчита ситуацията на неизпълнение на плана) се основава на настоящото ниво на познание и обобщава екологичните последици, които ще има неизпълнението на PUZ</w:t>
      </w:r>
      <w:r w:rsidR="00E76EB4" w:rsidRPr="007375EB">
        <w:rPr>
          <w:color w:val="000000"/>
          <w:lang w:val="bg-BG"/>
        </w:rPr>
        <w:t xml:space="preserve">. </w:t>
      </w:r>
    </w:p>
    <w:p w14:paraId="3EBB50FD" w14:textId="45B63E2F" w:rsidR="00E76EB4" w:rsidRPr="007375EB" w:rsidRDefault="008730FB" w:rsidP="007D14D0">
      <w:pPr>
        <w:spacing w:after="120" w:line="360" w:lineRule="auto"/>
        <w:jc w:val="both"/>
        <w:rPr>
          <w:color w:val="000000"/>
          <w:lang w:val="bg-BG"/>
        </w:rPr>
      </w:pPr>
      <w:r w:rsidRPr="007375EB">
        <w:rPr>
          <w:color w:val="000000"/>
          <w:lang w:val="bg-BG"/>
        </w:rPr>
        <w:t xml:space="preserve">Неизпълнението на </w:t>
      </w:r>
      <w:r w:rsidRPr="007375EB">
        <w:rPr>
          <w:lang w:val="bg-BG"/>
        </w:rPr>
        <w:t>PUZ</w:t>
      </w:r>
      <w:r w:rsidRPr="007375EB">
        <w:rPr>
          <w:color w:val="000000"/>
          <w:lang w:val="bg-BG"/>
        </w:rPr>
        <w:t xml:space="preserve"> е всъщност запазване на сегашното състояние на околната среда и ще намали способността на Румъния да изпълнява ангажиментите си, поети на европейско равнище, ще намали местния потенциал за диверсификация на икономическите дейности, използване на ветровия потенциал на района, повишаване на жизнения стандарт на населението чрез привличане на устойчиви инвестиции</w:t>
      </w:r>
      <w:r w:rsidR="00E76EB4" w:rsidRPr="007375EB">
        <w:rPr>
          <w:color w:val="000000"/>
          <w:lang w:val="bg-BG"/>
        </w:rPr>
        <w:t>.</w:t>
      </w:r>
    </w:p>
    <w:p w14:paraId="34844329" w14:textId="6F2FA3E7" w:rsidR="00CF3898" w:rsidRPr="007375EB" w:rsidRDefault="008730FB" w:rsidP="007D14D0">
      <w:pPr>
        <w:spacing w:after="120" w:line="360" w:lineRule="auto"/>
        <w:jc w:val="both"/>
        <w:rPr>
          <w:color w:val="000000"/>
          <w:lang w:val="bg-BG"/>
        </w:rPr>
      </w:pPr>
      <w:r w:rsidRPr="007375EB">
        <w:rPr>
          <w:color w:val="000000"/>
          <w:lang w:val="bg-BG"/>
        </w:rPr>
        <w:t xml:space="preserve">Следващата таблица показва възможното развитие на състоянието на околната среда, ако </w:t>
      </w:r>
      <w:r w:rsidRPr="007375EB">
        <w:rPr>
          <w:lang w:val="bg-BG"/>
        </w:rPr>
        <w:t>PUZ</w:t>
      </w:r>
      <w:r w:rsidRPr="007375EB">
        <w:rPr>
          <w:color w:val="000000"/>
          <w:lang w:val="bg-BG"/>
        </w:rPr>
        <w:t xml:space="preserve"> не бъде осъществен ("Алтернатива </w:t>
      </w:r>
      <w:r w:rsidR="00CF3898" w:rsidRPr="007375EB">
        <w:rPr>
          <w:color w:val="000000"/>
          <w:lang w:val="bg-BG"/>
        </w:rPr>
        <w:t>0”)</w:t>
      </w:r>
    </w:p>
    <w:p w14:paraId="7F866614" w14:textId="77777777" w:rsidR="00586914" w:rsidRPr="007375EB" w:rsidRDefault="00586914" w:rsidP="00586914">
      <w:pPr>
        <w:pStyle w:val="ListParagraph"/>
        <w:numPr>
          <w:ilvl w:val="1"/>
          <w:numId w:val="57"/>
        </w:numPr>
        <w:spacing w:line="240" w:lineRule="auto"/>
        <w:ind w:left="0" w:firstLine="0"/>
        <w:jc w:val="both"/>
        <w:outlineLvl w:val="1"/>
        <w:rPr>
          <w:b/>
          <w:bCs/>
          <w:i/>
          <w:iCs/>
          <w:color w:val="009DF0"/>
          <w:lang w:val="bg-BG" w:eastAsia="ro-RO"/>
        </w:rPr>
      </w:pPr>
      <w:bookmarkStart w:id="30" w:name="_Toc66189955"/>
      <w:r w:rsidRPr="007375EB">
        <w:rPr>
          <w:b/>
          <w:bCs/>
          <w:color w:val="007BB8"/>
          <w:sz w:val="16"/>
          <w:szCs w:val="16"/>
          <w:lang w:val="bg-BG"/>
        </w:rPr>
        <w:t>Таблица</w:t>
      </w:r>
      <w:r w:rsidR="00415C8C" w:rsidRPr="007375EB">
        <w:rPr>
          <w:b/>
          <w:bCs/>
          <w:color w:val="007BB8"/>
          <w:sz w:val="16"/>
          <w:szCs w:val="16"/>
          <w:lang w:val="bg-BG"/>
        </w:rPr>
        <w:t xml:space="preserve"> 2 - </w:t>
      </w:r>
      <w:r w:rsidR="00415C8C" w:rsidRPr="007375EB">
        <w:rPr>
          <w:b/>
          <w:bCs/>
          <w:color w:val="007BB8"/>
          <w:sz w:val="16"/>
          <w:szCs w:val="16"/>
          <w:lang w:val="bg-BG"/>
        </w:rPr>
        <w:fldChar w:fldCharType="begin"/>
      </w:r>
      <w:r w:rsidR="00415C8C" w:rsidRPr="007375EB">
        <w:rPr>
          <w:b/>
          <w:bCs/>
          <w:color w:val="007BB8"/>
          <w:sz w:val="16"/>
          <w:szCs w:val="16"/>
          <w:lang w:val="bg-BG"/>
        </w:rPr>
        <w:instrText xml:space="preserve"> SEQ Tabel_2_- \* ARABIC </w:instrText>
      </w:r>
      <w:r w:rsidR="00415C8C" w:rsidRPr="007375EB">
        <w:rPr>
          <w:b/>
          <w:bCs/>
          <w:color w:val="007BB8"/>
          <w:sz w:val="16"/>
          <w:szCs w:val="16"/>
          <w:lang w:val="bg-BG"/>
        </w:rPr>
        <w:fldChar w:fldCharType="separate"/>
      </w:r>
      <w:r w:rsidR="00683271" w:rsidRPr="007375EB">
        <w:rPr>
          <w:b/>
          <w:bCs/>
          <w:noProof/>
          <w:color w:val="007BB8"/>
          <w:sz w:val="16"/>
          <w:szCs w:val="16"/>
          <w:lang w:val="bg-BG"/>
        </w:rPr>
        <w:t>5</w:t>
      </w:r>
      <w:r w:rsidR="00415C8C" w:rsidRPr="007375EB">
        <w:rPr>
          <w:b/>
          <w:bCs/>
          <w:color w:val="007BB8"/>
          <w:sz w:val="16"/>
          <w:szCs w:val="16"/>
          <w:lang w:val="bg-BG"/>
        </w:rPr>
        <w:fldChar w:fldCharType="end"/>
      </w:r>
      <w:r w:rsidR="00415C8C" w:rsidRPr="007375EB">
        <w:rPr>
          <w:b/>
          <w:bCs/>
          <w:color w:val="007BB8"/>
          <w:sz w:val="16"/>
          <w:szCs w:val="16"/>
          <w:lang w:val="bg-BG"/>
        </w:rPr>
        <w:t>:</w:t>
      </w:r>
      <w:r w:rsidR="00415C8C" w:rsidRPr="007375EB">
        <w:rPr>
          <w:color w:val="007BB8"/>
          <w:sz w:val="16"/>
          <w:szCs w:val="16"/>
          <w:lang w:val="bg-BG"/>
        </w:rPr>
        <w:t xml:space="preserve"> </w:t>
      </w:r>
      <w:bookmarkEnd w:id="30"/>
      <w:r w:rsidRPr="007375EB">
        <w:rPr>
          <w:b/>
          <w:bCs/>
          <w:i/>
          <w:iCs/>
          <w:color w:val="009DF0"/>
          <w:sz w:val="16"/>
          <w:szCs w:val="16"/>
          <w:lang w:val="bg-BG" w:eastAsia="ro-RO"/>
        </w:rPr>
        <w:t xml:space="preserve">Еволюция на състоянието на околната среда в случай на неизпълнение </w:t>
      </w:r>
    </w:p>
    <w:p w14:paraId="513A1CE7" w14:textId="0AA88F19" w:rsidR="00586914" w:rsidRPr="007375EB" w:rsidRDefault="00586914" w:rsidP="00586914">
      <w:pPr>
        <w:pStyle w:val="ListParagraph"/>
        <w:spacing w:line="240" w:lineRule="auto"/>
        <w:ind w:left="0" w:firstLine="1304"/>
        <w:jc w:val="both"/>
        <w:outlineLvl w:val="1"/>
        <w:rPr>
          <w:b/>
          <w:bCs/>
          <w:i/>
          <w:iCs/>
          <w:color w:val="009DF0"/>
          <w:lang w:val="bg-BG" w:eastAsia="ro-RO"/>
        </w:rPr>
      </w:pPr>
      <w:r w:rsidRPr="007375EB">
        <w:rPr>
          <w:b/>
          <w:bCs/>
          <w:i/>
          <w:iCs/>
          <w:color w:val="009DF0"/>
          <w:sz w:val="16"/>
          <w:szCs w:val="16"/>
          <w:lang w:val="bg-BG" w:eastAsia="ro-RO"/>
        </w:rPr>
        <w:t>на PUZ</w:t>
      </w:r>
    </w:p>
    <w:p w14:paraId="51113D88" w14:textId="3D73BA3C" w:rsidR="00CF3898" w:rsidRPr="007375EB" w:rsidRDefault="00CF3898" w:rsidP="00586914">
      <w:pPr>
        <w:pStyle w:val="Caption"/>
        <w:spacing w:before="0" w:after="0" w:line="240" w:lineRule="auto"/>
        <w:rPr>
          <w:sz w:val="16"/>
          <w:szCs w:val="16"/>
          <w:lang w:val="bg-BG"/>
        </w:rPr>
      </w:pPr>
    </w:p>
    <w:tbl>
      <w:tblPr>
        <w:tblW w:w="935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809"/>
        <w:gridCol w:w="7542"/>
      </w:tblGrid>
      <w:tr w:rsidR="00CF3898" w:rsidRPr="007375EB" w14:paraId="472996C7" w14:textId="77777777" w:rsidTr="00AC6C1C">
        <w:trPr>
          <w:cantSplit/>
          <w:trHeight w:val="568"/>
          <w:tblHeader/>
        </w:trPr>
        <w:tc>
          <w:tcPr>
            <w:tcW w:w="1809" w:type="dxa"/>
            <w:shd w:val="clear" w:color="auto" w:fill="00B0F0"/>
          </w:tcPr>
          <w:p w14:paraId="1D7268BE" w14:textId="18220D83" w:rsidR="00CF3898" w:rsidRPr="007375EB" w:rsidRDefault="008730FB" w:rsidP="000E310D">
            <w:pPr>
              <w:spacing w:line="240" w:lineRule="auto"/>
              <w:jc w:val="both"/>
              <w:rPr>
                <w:b/>
                <w:bCs/>
                <w:color w:val="FFFFFF"/>
                <w:sz w:val="16"/>
                <w:szCs w:val="16"/>
                <w:lang w:val="bg-BG"/>
              </w:rPr>
            </w:pPr>
            <w:r w:rsidRPr="007375EB">
              <w:rPr>
                <w:b/>
                <w:bCs/>
                <w:color w:val="FFFFFF"/>
                <w:sz w:val="16"/>
                <w:szCs w:val="16"/>
                <w:lang w:val="bg-BG"/>
              </w:rPr>
              <w:t>Екологичен аспект</w:t>
            </w:r>
          </w:p>
        </w:tc>
        <w:tc>
          <w:tcPr>
            <w:tcW w:w="7542" w:type="dxa"/>
            <w:shd w:val="clear" w:color="auto" w:fill="00B0F0"/>
          </w:tcPr>
          <w:p w14:paraId="49290ECC" w14:textId="2EC7DC8D" w:rsidR="00CF3898" w:rsidRPr="007375EB" w:rsidRDefault="008730FB" w:rsidP="00FB555E">
            <w:pPr>
              <w:spacing w:line="240" w:lineRule="auto"/>
              <w:jc w:val="center"/>
              <w:rPr>
                <w:b/>
                <w:bCs/>
                <w:color w:val="FFFFFF"/>
                <w:sz w:val="16"/>
                <w:szCs w:val="16"/>
                <w:lang w:val="bg-BG"/>
              </w:rPr>
            </w:pPr>
            <w:r w:rsidRPr="007375EB">
              <w:rPr>
                <w:b/>
                <w:bCs/>
                <w:color w:val="F8F8F8"/>
                <w:sz w:val="16"/>
                <w:szCs w:val="16"/>
                <w:lang w:val="bg-BG"/>
              </w:rPr>
              <w:t>Възможното развитие на състоянието на околната среда, ако PUZ не бъде осъществен</w:t>
            </w:r>
            <w:r w:rsidRPr="007375EB">
              <w:rPr>
                <w:b/>
                <w:bCs/>
                <w:color w:val="FFFFFF"/>
                <w:sz w:val="16"/>
                <w:szCs w:val="16"/>
                <w:lang w:val="bg-BG"/>
              </w:rPr>
              <w:t xml:space="preserve"> (Алтернатива </w:t>
            </w:r>
            <w:r w:rsidR="00CF3898" w:rsidRPr="007375EB">
              <w:rPr>
                <w:b/>
                <w:bCs/>
                <w:color w:val="FFFFFF"/>
                <w:sz w:val="16"/>
                <w:szCs w:val="16"/>
                <w:lang w:val="bg-BG"/>
              </w:rPr>
              <w:t>0”)</w:t>
            </w:r>
          </w:p>
        </w:tc>
      </w:tr>
      <w:tr w:rsidR="00CF3898" w:rsidRPr="007375EB" w14:paraId="66F79BF6" w14:textId="77777777" w:rsidTr="00AC6C1C">
        <w:tc>
          <w:tcPr>
            <w:tcW w:w="1809" w:type="dxa"/>
            <w:shd w:val="clear" w:color="auto" w:fill="auto"/>
          </w:tcPr>
          <w:p w14:paraId="218A3500" w14:textId="0B90326D" w:rsidR="00CF3898" w:rsidRPr="007375EB" w:rsidRDefault="008730FB" w:rsidP="000E310D">
            <w:pPr>
              <w:spacing w:line="240" w:lineRule="auto"/>
              <w:jc w:val="both"/>
              <w:rPr>
                <w:b/>
                <w:bCs/>
                <w:color w:val="000000"/>
                <w:sz w:val="16"/>
                <w:szCs w:val="16"/>
                <w:lang w:val="bg-BG"/>
              </w:rPr>
            </w:pPr>
            <w:r w:rsidRPr="007375EB">
              <w:rPr>
                <w:b/>
                <w:bCs/>
                <w:color w:val="000000"/>
                <w:sz w:val="16"/>
                <w:szCs w:val="16"/>
                <w:lang w:val="bg-BG"/>
              </w:rPr>
              <w:t>Вода</w:t>
            </w:r>
          </w:p>
        </w:tc>
        <w:tc>
          <w:tcPr>
            <w:tcW w:w="7542" w:type="dxa"/>
            <w:shd w:val="clear" w:color="auto" w:fill="auto"/>
          </w:tcPr>
          <w:p w14:paraId="42941C8C" w14:textId="77FE6054" w:rsidR="00560263" w:rsidRPr="007375EB" w:rsidRDefault="008730FB" w:rsidP="000E310D">
            <w:pPr>
              <w:spacing w:line="240" w:lineRule="auto"/>
              <w:jc w:val="both"/>
              <w:rPr>
                <w:sz w:val="16"/>
                <w:szCs w:val="16"/>
                <w:lang w:val="bg-BG"/>
              </w:rPr>
            </w:pPr>
            <w:r w:rsidRPr="007375EB">
              <w:rPr>
                <w:sz w:val="16"/>
                <w:szCs w:val="16"/>
                <w:lang w:val="bg-BG"/>
              </w:rPr>
              <w:t>Качеството на повърхностните и подземните водни тела в района на PUZ като цяло е добро (с изключение на повърхностните водни тела ROCT02_B2 Ефорие Норд – Вама Веке и ROCT01CAPM Мангалия с лошо екологично състояние и подземните водни тела RODL10 Южна Добруджа и RODL04 Кобадин Мангалия с лошо химично състояние).</w:t>
            </w:r>
          </w:p>
          <w:p w14:paraId="00A1AE0F" w14:textId="2F4BA8BF" w:rsidR="00672314" w:rsidRPr="007375EB" w:rsidRDefault="00672314" w:rsidP="00672314">
            <w:pPr>
              <w:spacing w:line="240" w:lineRule="auto"/>
              <w:jc w:val="both"/>
              <w:rPr>
                <w:sz w:val="16"/>
                <w:szCs w:val="16"/>
                <w:lang w:val="bg-BG"/>
              </w:rPr>
            </w:pPr>
            <w:r w:rsidRPr="007375EB">
              <w:rPr>
                <w:sz w:val="16"/>
                <w:szCs w:val="16"/>
                <w:lang w:val="bg-BG"/>
              </w:rPr>
              <w:t>Неизпълнението на анализирания PUZ няма да доведе до влошаване на качеството на повърхностните и дълбоките води. По своята специфика планът не оказва значително въздействие върху качеството на водните тела в зоната на изпълнение.</w:t>
            </w:r>
          </w:p>
          <w:p w14:paraId="283DD3EB" w14:textId="74FBD1B7" w:rsidR="003D75B4" w:rsidRPr="007375EB" w:rsidRDefault="00672314" w:rsidP="00672314">
            <w:pPr>
              <w:spacing w:line="240" w:lineRule="auto"/>
              <w:jc w:val="both"/>
              <w:rPr>
                <w:color w:val="000000"/>
                <w:sz w:val="16"/>
                <w:szCs w:val="16"/>
                <w:lang w:val="bg-BG"/>
              </w:rPr>
            </w:pPr>
            <w:r w:rsidRPr="007375EB">
              <w:rPr>
                <w:sz w:val="16"/>
                <w:szCs w:val="16"/>
                <w:lang w:val="bg-BG"/>
              </w:rPr>
              <w:t>Като се има предвид, че екологичните цели през 2027 г. за водните тела са добро химично състояние, вероятното развитие на качеството на водните тела в зоната на изпълнение при липса на PUZ е подобряване</w:t>
            </w:r>
            <w:r w:rsidR="00B71DF8" w:rsidRPr="007375EB">
              <w:rPr>
                <w:sz w:val="16"/>
                <w:szCs w:val="16"/>
                <w:lang w:val="bg-BG"/>
              </w:rPr>
              <w:t>.</w:t>
            </w:r>
          </w:p>
        </w:tc>
      </w:tr>
      <w:tr w:rsidR="004164C9" w:rsidRPr="007375EB" w14:paraId="62B8D10A" w14:textId="77777777" w:rsidTr="00AC6C1C">
        <w:tc>
          <w:tcPr>
            <w:tcW w:w="1809" w:type="dxa"/>
            <w:shd w:val="clear" w:color="auto" w:fill="auto"/>
          </w:tcPr>
          <w:p w14:paraId="5E4536A2" w14:textId="33FE2B83" w:rsidR="004164C9" w:rsidRPr="007375EB" w:rsidRDefault="004510B8" w:rsidP="004164C9">
            <w:pPr>
              <w:spacing w:line="240" w:lineRule="auto"/>
              <w:jc w:val="both"/>
              <w:rPr>
                <w:b/>
                <w:bCs/>
                <w:color w:val="000000"/>
                <w:sz w:val="16"/>
                <w:szCs w:val="16"/>
                <w:lang w:val="bg-BG"/>
              </w:rPr>
            </w:pPr>
            <w:r w:rsidRPr="007375EB">
              <w:rPr>
                <w:b/>
                <w:bCs/>
                <w:color w:val="000000"/>
                <w:sz w:val="16"/>
                <w:szCs w:val="16"/>
                <w:lang w:val="bg-BG"/>
              </w:rPr>
              <w:lastRenderedPageBreak/>
              <w:t>Въздух</w:t>
            </w:r>
          </w:p>
        </w:tc>
        <w:tc>
          <w:tcPr>
            <w:tcW w:w="7542" w:type="dxa"/>
            <w:shd w:val="clear" w:color="auto" w:fill="auto"/>
          </w:tcPr>
          <w:p w14:paraId="5C81136D" w14:textId="00E7778C" w:rsidR="00672314" w:rsidRPr="007375EB" w:rsidRDefault="00672314" w:rsidP="004164C9">
            <w:pPr>
              <w:spacing w:line="240" w:lineRule="auto"/>
              <w:jc w:val="both"/>
              <w:rPr>
                <w:sz w:val="16"/>
                <w:szCs w:val="16"/>
                <w:lang w:val="bg-BG"/>
              </w:rPr>
            </w:pPr>
            <w:r w:rsidRPr="007375EB">
              <w:rPr>
                <w:sz w:val="16"/>
                <w:szCs w:val="16"/>
                <w:lang w:val="bg-BG"/>
              </w:rPr>
              <w:t>Основните източници на замърсяване на въздуха в PUZ са трафикът и селското стопанство. Тъй като районът на изпълнение е селски, нивото на замърсяване на въздуха е ниско. Стойностите на концентрацията на емисиите на PM</w:t>
            </w:r>
            <w:r w:rsidRPr="007375EB">
              <w:rPr>
                <w:sz w:val="16"/>
                <w:szCs w:val="16"/>
                <w:vertAlign w:val="subscript"/>
                <w:lang w:val="bg-BG"/>
              </w:rPr>
              <w:t>10</w:t>
            </w:r>
            <w:r w:rsidRPr="007375EB">
              <w:rPr>
                <w:sz w:val="16"/>
                <w:szCs w:val="16"/>
                <w:lang w:val="bg-BG"/>
              </w:rPr>
              <w:t>, PM</w:t>
            </w:r>
            <w:r w:rsidRPr="007375EB">
              <w:rPr>
                <w:sz w:val="16"/>
                <w:szCs w:val="16"/>
                <w:vertAlign w:val="subscript"/>
                <w:lang w:val="bg-BG"/>
              </w:rPr>
              <w:t>2,5</w:t>
            </w:r>
            <w:r w:rsidRPr="007375EB">
              <w:rPr>
                <w:sz w:val="16"/>
                <w:szCs w:val="16"/>
                <w:lang w:val="bg-BG"/>
              </w:rPr>
              <w:t>, NO2, NOx са по-ниски от годишната пределно допустима стойност на емисиите, а в случай на прах - по-високи от долния оценъчен праг</w:t>
            </w:r>
          </w:p>
          <w:p w14:paraId="55787E4C" w14:textId="77777777" w:rsidR="00672314" w:rsidRPr="007375EB" w:rsidRDefault="00672314" w:rsidP="00672314">
            <w:pPr>
              <w:spacing w:line="240" w:lineRule="auto"/>
              <w:jc w:val="both"/>
              <w:rPr>
                <w:sz w:val="16"/>
                <w:szCs w:val="16"/>
                <w:lang w:val="bg-BG"/>
              </w:rPr>
            </w:pPr>
            <w:r w:rsidRPr="007375EB">
              <w:rPr>
                <w:sz w:val="16"/>
                <w:szCs w:val="16"/>
                <w:lang w:val="bg-BG"/>
              </w:rPr>
              <w:t xml:space="preserve">На окръжно ниво се реализира Планът за поддържане на качеството на въздуха в окръг Констанца, а определянето на чувствителните зони за качеството на въздуха ще позволи предприемането на мерки за намаляване на замърсяването на въздуха. </w:t>
            </w:r>
          </w:p>
          <w:p w14:paraId="2851099F" w14:textId="679FD21B" w:rsidR="00740043" w:rsidRPr="007375EB" w:rsidRDefault="00672314" w:rsidP="00672314">
            <w:pPr>
              <w:spacing w:line="240" w:lineRule="auto"/>
              <w:jc w:val="both"/>
              <w:rPr>
                <w:sz w:val="16"/>
                <w:szCs w:val="16"/>
                <w:lang w:val="bg-BG"/>
              </w:rPr>
            </w:pPr>
            <w:r w:rsidRPr="007375EB">
              <w:rPr>
                <w:sz w:val="16"/>
                <w:szCs w:val="16"/>
                <w:lang w:val="bg-BG"/>
              </w:rPr>
              <w:t>Цялостната оценка на вероятното развитие на качеството на въздуха в района, обхванат от предложената PUZ, е, че сегашното състояние ще се запази, дори ако PUZ не бъде въведена.</w:t>
            </w:r>
          </w:p>
          <w:p w14:paraId="204DC630" w14:textId="2C474AE1" w:rsidR="004164C9" w:rsidRPr="007375EB" w:rsidRDefault="00672314" w:rsidP="004164C9">
            <w:pPr>
              <w:spacing w:line="240" w:lineRule="auto"/>
              <w:jc w:val="both"/>
              <w:rPr>
                <w:color w:val="000000"/>
                <w:sz w:val="16"/>
                <w:szCs w:val="16"/>
                <w:lang w:val="bg-BG"/>
              </w:rPr>
            </w:pPr>
            <w:r w:rsidRPr="007375EB">
              <w:rPr>
                <w:sz w:val="16"/>
                <w:szCs w:val="16"/>
                <w:lang w:val="bg-BG"/>
              </w:rPr>
              <w:t>Неизпълнението на анализираната PUZ няма да доведе пряко до влошаване на качеството на въздуха в района на обекта, но като се има предвид целта на плана за създаване на възобновяем източник на електроенергия, който да замени традиционните източници на производство на електроенергия, може да се заключи, че неизпълнението на PUZ непряко води до влошаване на качеството на въздуха.</w:t>
            </w:r>
            <w:r w:rsidR="00E72F20" w:rsidRPr="007375EB">
              <w:rPr>
                <w:sz w:val="16"/>
                <w:szCs w:val="16"/>
                <w:lang w:val="bg-BG"/>
              </w:rPr>
              <w:t xml:space="preserve"> </w:t>
            </w:r>
          </w:p>
        </w:tc>
      </w:tr>
      <w:tr w:rsidR="004164C9" w:rsidRPr="007375EB" w14:paraId="28A7CC47" w14:textId="77777777" w:rsidTr="00AC6C1C">
        <w:tc>
          <w:tcPr>
            <w:tcW w:w="1809" w:type="dxa"/>
            <w:shd w:val="clear" w:color="auto" w:fill="auto"/>
          </w:tcPr>
          <w:p w14:paraId="15B4011D" w14:textId="1C34C652" w:rsidR="004164C9" w:rsidRPr="007375EB" w:rsidRDefault="00672314" w:rsidP="004164C9">
            <w:pPr>
              <w:spacing w:line="240" w:lineRule="auto"/>
              <w:jc w:val="both"/>
              <w:rPr>
                <w:b/>
                <w:bCs/>
                <w:color w:val="000000"/>
                <w:sz w:val="16"/>
                <w:szCs w:val="16"/>
                <w:lang w:val="bg-BG"/>
              </w:rPr>
            </w:pPr>
            <w:r w:rsidRPr="007375EB">
              <w:rPr>
                <w:b/>
                <w:bCs/>
                <w:color w:val="000000"/>
                <w:sz w:val="16"/>
                <w:szCs w:val="16"/>
                <w:lang w:val="bg-BG"/>
              </w:rPr>
              <w:t>Почва/подпочва</w:t>
            </w:r>
          </w:p>
        </w:tc>
        <w:tc>
          <w:tcPr>
            <w:tcW w:w="7542" w:type="dxa"/>
            <w:shd w:val="clear" w:color="auto" w:fill="auto"/>
          </w:tcPr>
          <w:p w14:paraId="38C890F1" w14:textId="77777777" w:rsidR="00672314" w:rsidRPr="007375EB" w:rsidRDefault="00672314" w:rsidP="00672314">
            <w:pPr>
              <w:spacing w:line="240" w:lineRule="auto"/>
              <w:jc w:val="both"/>
              <w:rPr>
                <w:color w:val="000000"/>
                <w:sz w:val="16"/>
                <w:szCs w:val="16"/>
                <w:lang w:val="bg-BG"/>
              </w:rPr>
            </w:pPr>
            <w:r w:rsidRPr="007375EB">
              <w:rPr>
                <w:color w:val="000000"/>
                <w:sz w:val="16"/>
                <w:szCs w:val="16"/>
                <w:lang w:val="bg-BG"/>
              </w:rPr>
              <w:t>Районът е сравнително антропогенизиран, понастоящем земята на обекта е с настоящо предназначение - обработваема земя съгласно Сертификат за градоустройство № 129 от 28.11.2022 г.</w:t>
            </w:r>
          </w:p>
          <w:p w14:paraId="359B7A18" w14:textId="016D3E8D" w:rsidR="00B613EF" w:rsidRPr="007375EB" w:rsidRDefault="00672314" w:rsidP="00672314">
            <w:pPr>
              <w:spacing w:line="240" w:lineRule="auto"/>
              <w:jc w:val="both"/>
              <w:rPr>
                <w:color w:val="000000"/>
                <w:sz w:val="16"/>
                <w:szCs w:val="16"/>
                <w:lang w:val="bg-BG"/>
              </w:rPr>
            </w:pPr>
            <w:r w:rsidRPr="007375EB">
              <w:rPr>
                <w:color w:val="000000"/>
                <w:sz w:val="16"/>
                <w:szCs w:val="16"/>
                <w:lang w:val="bg-BG"/>
              </w:rPr>
              <w:t>По отношение на качеството на почвата тенденцията е да се запазят настоящите характеристики. Ако този план не бъде приложен, не се очаква да има промяна в качеството на почвата</w:t>
            </w:r>
            <w:r w:rsidR="00F0078B" w:rsidRPr="007375EB">
              <w:rPr>
                <w:color w:val="000000"/>
                <w:sz w:val="16"/>
                <w:szCs w:val="16"/>
                <w:lang w:val="bg-BG"/>
              </w:rPr>
              <w:t>.</w:t>
            </w:r>
          </w:p>
        </w:tc>
      </w:tr>
      <w:tr w:rsidR="004164C9" w:rsidRPr="007375EB" w14:paraId="2D2F6BDF" w14:textId="77777777" w:rsidTr="00AC6C1C">
        <w:tc>
          <w:tcPr>
            <w:tcW w:w="1809" w:type="dxa"/>
            <w:shd w:val="clear" w:color="auto" w:fill="auto"/>
          </w:tcPr>
          <w:p w14:paraId="0041FB34" w14:textId="1D7F9DD0" w:rsidR="004164C9" w:rsidRPr="007375EB" w:rsidRDefault="00672314" w:rsidP="004164C9">
            <w:pPr>
              <w:spacing w:line="240" w:lineRule="auto"/>
              <w:jc w:val="both"/>
              <w:rPr>
                <w:b/>
                <w:bCs/>
                <w:color w:val="000000"/>
                <w:sz w:val="16"/>
                <w:szCs w:val="16"/>
                <w:lang w:val="bg-BG"/>
              </w:rPr>
            </w:pPr>
            <w:r w:rsidRPr="007375EB">
              <w:rPr>
                <w:b/>
                <w:bCs/>
                <w:color w:val="000000"/>
                <w:sz w:val="16"/>
                <w:szCs w:val="16"/>
                <w:lang w:val="bg-BG"/>
              </w:rPr>
              <w:t>Използване на природни ресурси</w:t>
            </w:r>
          </w:p>
        </w:tc>
        <w:tc>
          <w:tcPr>
            <w:tcW w:w="7542" w:type="dxa"/>
            <w:shd w:val="clear" w:color="auto" w:fill="auto"/>
          </w:tcPr>
          <w:p w14:paraId="7E4EB980" w14:textId="3E871778" w:rsidR="004164C9" w:rsidRPr="007375EB" w:rsidRDefault="00672314" w:rsidP="004164C9">
            <w:pPr>
              <w:spacing w:line="240" w:lineRule="auto"/>
              <w:jc w:val="both"/>
              <w:rPr>
                <w:color w:val="000000"/>
                <w:sz w:val="16"/>
                <w:szCs w:val="16"/>
                <w:lang w:val="bg-BG"/>
              </w:rPr>
            </w:pPr>
            <w:r w:rsidRPr="007375EB">
              <w:rPr>
                <w:rFonts w:asciiTheme="minorHAnsi" w:hAnsiTheme="minorHAnsi"/>
                <w:color w:val="000000" w:themeColor="text1"/>
                <w:sz w:val="16"/>
                <w:szCs w:val="16"/>
                <w:lang w:val="bg-BG"/>
              </w:rPr>
              <w:t>Липсата на политики за пестене и опазване на енергията/използване на възобновяеми ресурси ще продължи настоящата тенденция на увеличаване на потреблението на природни ресурси.</w:t>
            </w:r>
          </w:p>
        </w:tc>
      </w:tr>
      <w:tr w:rsidR="004164C9" w:rsidRPr="007375EB" w14:paraId="63E465BD" w14:textId="77777777" w:rsidTr="00AC6C1C">
        <w:tc>
          <w:tcPr>
            <w:tcW w:w="1809" w:type="dxa"/>
            <w:shd w:val="clear" w:color="auto" w:fill="auto"/>
          </w:tcPr>
          <w:p w14:paraId="4820A841" w14:textId="64EDE9BF" w:rsidR="004164C9" w:rsidRPr="007375EB" w:rsidRDefault="00672314" w:rsidP="004164C9">
            <w:pPr>
              <w:spacing w:line="240" w:lineRule="auto"/>
              <w:jc w:val="both"/>
              <w:rPr>
                <w:b/>
                <w:bCs/>
                <w:color w:val="000000"/>
                <w:sz w:val="16"/>
                <w:szCs w:val="16"/>
                <w:lang w:val="bg-BG"/>
              </w:rPr>
            </w:pPr>
            <w:r w:rsidRPr="007375EB">
              <w:rPr>
                <w:b/>
                <w:bCs/>
                <w:color w:val="000000"/>
                <w:sz w:val="16"/>
                <w:szCs w:val="16"/>
                <w:lang w:val="bg-BG"/>
              </w:rPr>
              <w:t>Управление на отпадъците</w:t>
            </w:r>
          </w:p>
        </w:tc>
        <w:tc>
          <w:tcPr>
            <w:tcW w:w="7542" w:type="dxa"/>
            <w:shd w:val="clear" w:color="auto" w:fill="auto"/>
          </w:tcPr>
          <w:p w14:paraId="1D7CCF41" w14:textId="416CAB67" w:rsidR="00672314" w:rsidRPr="007375EB" w:rsidRDefault="00672314" w:rsidP="00672314">
            <w:pPr>
              <w:spacing w:line="240" w:lineRule="auto"/>
              <w:jc w:val="both"/>
              <w:rPr>
                <w:sz w:val="16"/>
                <w:szCs w:val="16"/>
                <w:lang w:val="bg-BG"/>
              </w:rPr>
            </w:pPr>
            <w:r w:rsidRPr="007375EB">
              <w:rPr>
                <w:sz w:val="16"/>
                <w:szCs w:val="16"/>
                <w:lang w:val="bg-BG"/>
              </w:rPr>
              <w:t>В община Черкезу дейностите по събиране на отпадъци се осигурява от Iridex Grup Salubrizare S.R.L., която осигурява инфраструктурата и оборудването, необходими за разделното събиране на отпадъци (кофи/контейнери/торби) и за предотвратяване на неправилното изхвърляне на отпадъци.</w:t>
            </w:r>
          </w:p>
          <w:p w14:paraId="27E3A958" w14:textId="5F8916A0" w:rsidR="00A378FE" w:rsidRPr="007375EB" w:rsidRDefault="00672314" w:rsidP="00672314">
            <w:pPr>
              <w:spacing w:line="240" w:lineRule="auto"/>
              <w:jc w:val="both"/>
              <w:rPr>
                <w:sz w:val="16"/>
                <w:szCs w:val="16"/>
                <w:lang w:val="bg-BG"/>
              </w:rPr>
            </w:pPr>
            <w:r w:rsidRPr="007375EB">
              <w:rPr>
                <w:sz w:val="16"/>
                <w:szCs w:val="16"/>
                <w:lang w:val="bg-BG"/>
              </w:rPr>
              <w:t>При липсата на PUZ не се очакват значителни промени в управлението на отпадъците, като по този начин се запазва сегашното положение.</w:t>
            </w:r>
          </w:p>
        </w:tc>
      </w:tr>
      <w:tr w:rsidR="00C956FF" w:rsidRPr="007375EB" w14:paraId="6200AC0D" w14:textId="77777777" w:rsidTr="00AC6C1C">
        <w:tc>
          <w:tcPr>
            <w:tcW w:w="1809" w:type="dxa"/>
            <w:shd w:val="clear" w:color="auto" w:fill="auto"/>
          </w:tcPr>
          <w:p w14:paraId="27A96421" w14:textId="0DCC10CE" w:rsidR="00C956FF" w:rsidRPr="007375EB" w:rsidRDefault="00743525" w:rsidP="004164C9">
            <w:pPr>
              <w:spacing w:line="240" w:lineRule="auto"/>
              <w:jc w:val="both"/>
              <w:rPr>
                <w:b/>
                <w:bCs/>
                <w:color w:val="000000"/>
                <w:sz w:val="16"/>
                <w:szCs w:val="16"/>
                <w:lang w:val="bg-BG"/>
              </w:rPr>
            </w:pPr>
            <w:r w:rsidRPr="007375EB">
              <w:rPr>
                <w:b/>
                <w:bCs/>
                <w:color w:val="000000"/>
                <w:sz w:val="16"/>
                <w:szCs w:val="16"/>
                <w:lang w:val="bg-BG"/>
              </w:rPr>
              <w:t>Шум</w:t>
            </w:r>
          </w:p>
        </w:tc>
        <w:tc>
          <w:tcPr>
            <w:tcW w:w="7542" w:type="dxa"/>
            <w:shd w:val="clear" w:color="auto" w:fill="auto"/>
          </w:tcPr>
          <w:p w14:paraId="36E35F34" w14:textId="668F1607" w:rsidR="00743525" w:rsidRPr="007375EB" w:rsidRDefault="00743525" w:rsidP="00743525">
            <w:pPr>
              <w:spacing w:line="240" w:lineRule="auto"/>
              <w:jc w:val="both"/>
              <w:rPr>
                <w:color w:val="000000"/>
                <w:sz w:val="16"/>
                <w:szCs w:val="16"/>
                <w:lang w:val="bg-BG"/>
              </w:rPr>
            </w:pPr>
            <w:r w:rsidRPr="007375EB">
              <w:rPr>
                <w:color w:val="000000"/>
                <w:sz w:val="16"/>
                <w:szCs w:val="16"/>
                <w:lang w:val="bg-BG"/>
              </w:rPr>
              <w:t>В Черкезу шумовото замърсяване е незначително, като основният източник на замърсяване е пътният трафик.</w:t>
            </w:r>
          </w:p>
          <w:p w14:paraId="28731530" w14:textId="4BC816F2" w:rsidR="00D04927" w:rsidRPr="007375EB" w:rsidRDefault="00743525" w:rsidP="00743525">
            <w:pPr>
              <w:spacing w:line="240" w:lineRule="auto"/>
              <w:jc w:val="both"/>
              <w:rPr>
                <w:color w:val="000000"/>
                <w:sz w:val="16"/>
                <w:szCs w:val="16"/>
                <w:lang w:val="bg-BG"/>
              </w:rPr>
            </w:pPr>
            <w:r w:rsidRPr="007375EB">
              <w:rPr>
                <w:color w:val="000000"/>
                <w:sz w:val="16"/>
                <w:szCs w:val="16"/>
                <w:lang w:val="bg-BG"/>
              </w:rPr>
              <w:t>Неизпълнението на плана ще запази сегашното състояние</w:t>
            </w:r>
            <w:r w:rsidR="002539B8" w:rsidRPr="007375EB">
              <w:rPr>
                <w:color w:val="000000"/>
                <w:sz w:val="16"/>
                <w:szCs w:val="16"/>
                <w:lang w:val="bg-BG"/>
              </w:rPr>
              <w:t>.</w:t>
            </w:r>
          </w:p>
        </w:tc>
      </w:tr>
      <w:tr w:rsidR="00FE7DBF" w:rsidRPr="007375EB" w14:paraId="6342BFE3" w14:textId="77777777" w:rsidTr="00AC6C1C">
        <w:tc>
          <w:tcPr>
            <w:tcW w:w="1809" w:type="dxa"/>
            <w:shd w:val="clear" w:color="auto" w:fill="auto"/>
          </w:tcPr>
          <w:p w14:paraId="7EA1D8C7" w14:textId="29D5D4C1" w:rsidR="00FE7DBF" w:rsidRPr="007375EB" w:rsidRDefault="00743525" w:rsidP="004164C9">
            <w:pPr>
              <w:spacing w:line="240" w:lineRule="auto"/>
              <w:jc w:val="both"/>
              <w:rPr>
                <w:b/>
                <w:bCs/>
                <w:color w:val="000000"/>
                <w:sz w:val="16"/>
                <w:szCs w:val="16"/>
                <w:lang w:val="bg-BG"/>
              </w:rPr>
            </w:pPr>
            <w:r w:rsidRPr="007375EB">
              <w:rPr>
                <w:b/>
                <w:bCs/>
                <w:color w:val="000000"/>
                <w:sz w:val="16"/>
                <w:szCs w:val="16"/>
                <w:lang w:val="bg-BG"/>
              </w:rPr>
              <w:t>Биологично разнообразие</w:t>
            </w:r>
          </w:p>
        </w:tc>
        <w:tc>
          <w:tcPr>
            <w:tcW w:w="7542" w:type="dxa"/>
            <w:shd w:val="clear" w:color="auto" w:fill="auto"/>
          </w:tcPr>
          <w:p w14:paraId="1EC2C361" w14:textId="77777777" w:rsidR="00743525" w:rsidRPr="007375EB" w:rsidRDefault="00743525" w:rsidP="00743525">
            <w:pPr>
              <w:spacing w:line="240" w:lineRule="auto"/>
              <w:jc w:val="both"/>
              <w:rPr>
                <w:color w:val="000000"/>
                <w:sz w:val="16"/>
                <w:szCs w:val="16"/>
                <w:lang w:val="bg-BG"/>
              </w:rPr>
            </w:pPr>
            <w:r w:rsidRPr="007375EB">
              <w:rPr>
                <w:color w:val="000000"/>
                <w:sz w:val="16"/>
                <w:szCs w:val="16"/>
                <w:lang w:val="bg-BG"/>
              </w:rPr>
              <w:t>Неизпълнението на плана няма да повлияе на местното биологично разнообразие в района.</w:t>
            </w:r>
          </w:p>
          <w:p w14:paraId="22063598" w14:textId="6EF66CB5" w:rsidR="00FE7DBF" w:rsidRPr="007375EB" w:rsidRDefault="00743525" w:rsidP="00743525">
            <w:pPr>
              <w:spacing w:line="240" w:lineRule="auto"/>
              <w:jc w:val="both"/>
              <w:rPr>
                <w:color w:val="000000"/>
                <w:sz w:val="16"/>
                <w:szCs w:val="16"/>
                <w:lang w:val="bg-BG"/>
              </w:rPr>
            </w:pPr>
            <w:r w:rsidRPr="007375EB">
              <w:rPr>
                <w:color w:val="000000"/>
                <w:sz w:val="16"/>
                <w:szCs w:val="16"/>
                <w:lang w:val="bg-BG"/>
              </w:rPr>
              <w:t>Въпреки това, като се има предвид продължаващата урбанизация и необходимостта от реализиране на нови инфраструктурни елементи, както и като се вземат предвид отрицателните последици от развитието на климатичните промени, флората и фауната на територията на проекта могат да бъдат негативно повлияни, което да доведе до загуба или възможно изчезване на някои природни елементи. Тази хипотеза обаче трябва да бъде потвърдена с течение на времето чрез строг мониторинг на потенциално чувствителните към тези фактори елементи.</w:t>
            </w:r>
          </w:p>
        </w:tc>
      </w:tr>
      <w:tr w:rsidR="00FE7DBF" w:rsidRPr="007375EB" w14:paraId="5AC1655B" w14:textId="77777777" w:rsidTr="00AC6C1C">
        <w:tc>
          <w:tcPr>
            <w:tcW w:w="1809" w:type="dxa"/>
            <w:shd w:val="clear" w:color="auto" w:fill="auto"/>
          </w:tcPr>
          <w:p w14:paraId="2F47D3DC" w14:textId="188DEDD4" w:rsidR="00FE7DBF" w:rsidRPr="007375EB" w:rsidRDefault="00743525" w:rsidP="00817CA0">
            <w:pPr>
              <w:spacing w:line="240" w:lineRule="auto"/>
              <w:rPr>
                <w:b/>
                <w:bCs/>
                <w:color w:val="000000"/>
                <w:sz w:val="16"/>
                <w:szCs w:val="16"/>
                <w:lang w:val="bg-BG"/>
              </w:rPr>
            </w:pPr>
            <w:r w:rsidRPr="007375EB">
              <w:rPr>
                <w:b/>
                <w:bCs/>
                <w:color w:val="000000"/>
                <w:sz w:val="16"/>
                <w:szCs w:val="16"/>
                <w:lang w:val="bg-BG"/>
              </w:rPr>
              <w:t>Население и човешко здраве</w:t>
            </w:r>
          </w:p>
        </w:tc>
        <w:tc>
          <w:tcPr>
            <w:tcW w:w="7542" w:type="dxa"/>
            <w:shd w:val="clear" w:color="auto" w:fill="auto"/>
          </w:tcPr>
          <w:p w14:paraId="4C88BFE7" w14:textId="6B1717C8" w:rsidR="00743525" w:rsidRPr="007375EB" w:rsidRDefault="00743525" w:rsidP="00743525">
            <w:pPr>
              <w:spacing w:line="240" w:lineRule="auto"/>
              <w:jc w:val="both"/>
              <w:rPr>
                <w:sz w:val="16"/>
                <w:szCs w:val="16"/>
                <w:lang w:val="bg-BG"/>
              </w:rPr>
            </w:pPr>
            <w:r w:rsidRPr="007375EB">
              <w:rPr>
                <w:sz w:val="16"/>
                <w:szCs w:val="16"/>
                <w:lang w:val="bg-BG"/>
              </w:rPr>
              <w:t>Неизпълнението на анализиранат PUZ ще запази сегашното състояние на липса на работни места, продължаващо обезлюдяване и намалена привлекателност на района за устойчиви инвестиции.</w:t>
            </w:r>
          </w:p>
          <w:p w14:paraId="7197771C" w14:textId="1FCDC943" w:rsidR="0020333B" w:rsidRPr="007375EB" w:rsidRDefault="00743525" w:rsidP="00743525">
            <w:pPr>
              <w:spacing w:line="240" w:lineRule="auto"/>
              <w:jc w:val="both"/>
              <w:rPr>
                <w:color w:val="000000"/>
                <w:sz w:val="16"/>
                <w:szCs w:val="16"/>
                <w:lang w:val="bg-BG"/>
              </w:rPr>
            </w:pPr>
            <w:r w:rsidRPr="007375EB">
              <w:rPr>
                <w:sz w:val="16"/>
                <w:szCs w:val="16"/>
                <w:lang w:val="bg-BG"/>
              </w:rPr>
              <w:t>Здравословното състояние на населението няма да бъде повлияно от неизпълнението на PUZ</w:t>
            </w:r>
            <w:r w:rsidR="00CA63A4" w:rsidRPr="007375EB">
              <w:rPr>
                <w:sz w:val="16"/>
                <w:szCs w:val="16"/>
                <w:lang w:val="bg-BG"/>
              </w:rPr>
              <w:t>.</w:t>
            </w:r>
          </w:p>
        </w:tc>
      </w:tr>
      <w:tr w:rsidR="00743525" w:rsidRPr="007375EB" w14:paraId="421BA6C6" w14:textId="77777777" w:rsidTr="00AC6C1C">
        <w:tc>
          <w:tcPr>
            <w:tcW w:w="1809" w:type="dxa"/>
            <w:shd w:val="clear" w:color="auto" w:fill="auto"/>
          </w:tcPr>
          <w:p w14:paraId="2B8FED33" w14:textId="22ED6286" w:rsidR="00743525" w:rsidRPr="007375EB" w:rsidRDefault="00743525" w:rsidP="00743525">
            <w:pPr>
              <w:spacing w:line="240" w:lineRule="auto"/>
              <w:jc w:val="both"/>
              <w:rPr>
                <w:b/>
                <w:bCs/>
                <w:color w:val="000000"/>
                <w:sz w:val="16"/>
                <w:szCs w:val="16"/>
                <w:lang w:val="bg-BG"/>
              </w:rPr>
            </w:pPr>
            <w:r w:rsidRPr="007375EB">
              <w:rPr>
                <w:b/>
                <w:bCs/>
                <w:sz w:val="16"/>
                <w:szCs w:val="16"/>
                <w:lang w:val="bg-BG"/>
              </w:rPr>
              <w:t>Ландшафт</w:t>
            </w:r>
          </w:p>
        </w:tc>
        <w:tc>
          <w:tcPr>
            <w:tcW w:w="7542" w:type="dxa"/>
            <w:shd w:val="clear" w:color="auto" w:fill="auto"/>
          </w:tcPr>
          <w:p w14:paraId="4B8B8289" w14:textId="47ACF4F9" w:rsidR="00743525" w:rsidRPr="007375EB" w:rsidRDefault="00743525" w:rsidP="00743525">
            <w:pPr>
              <w:spacing w:line="240" w:lineRule="auto"/>
              <w:jc w:val="both"/>
              <w:rPr>
                <w:color w:val="000000"/>
                <w:sz w:val="16"/>
                <w:szCs w:val="16"/>
                <w:lang w:val="bg-BG"/>
              </w:rPr>
            </w:pPr>
            <w:r w:rsidRPr="007375EB">
              <w:rPr>
                <w:sz w:val="16"/>
                <w:szCs w:val="16"/>
                <w:lang w:val="bg-BG"/>
              </w:rPr>
              <w:t>Липсата на устойчива визия за развитието на Черкезу ще допринесе за продължаващото влошаване на естествения ландшафт и разширяването на урбанизацията.</w:t>
            </w:r>
          </w:p>
        </w:tc>
      </w:tr>
      <w:tr w:rsidR="00743525" w:rsidRPr="007375EB" w14:paraId="77CEEA0E" w14:textId="77777777" w:rsidTr="00AC6C1C">
        <w:tc>
          <w:tcPr>
            <w:tcW w:w="1809" w:type="dxa"/>
            <w:shd w:val="clear" w:color="auto" w:fill="auto"/>
          </w:tcPr>
          <w:p w14:paraId="7D4B0F5F" w14:textId="2404D50D" w:rsidR="00743525" w:rsidRPr="007375EB" w:rsidRDefault="00743525" w:rsidP="00743525">
            <w:pPr>
              <w:spacing w:line="240" w:lineRule="auto"/>
              <w:jc w:val="both"/>
              <w:rPr>
                <w:b/>
                <w:bCs/>
                <w:color w:val="000000"/>
                <w:sz w:val="16"/>
                <w:szCs w:val="16"/>
                <w:lang w:val="bg-BG"/>
              </w:rPr>
            </w:pPr>
            <w:r w:rsidRPr="007375EB">
              <w:rPr>
                <w:b/>
                <w:bCs/>
                <w:sz w:val="16"/>
                <w:szCs w:val="16"/>
                <w:lang w:val="bg-BG"/>
              </w:rPr>
              <w:t>Изменение на климата</w:t>
            </w:r>
          </w:p>
        </w:tc>
        <w:tc>
          <w:tcPr>
            <w:tcW w:w="7542" w:type="dxa"/>
            <w:shd w:val="clear" w:color="auto" w:fill="auto"/>
          </w:tcPr>
          <w:p w14:paraId="4399A154" w14:textId="1B33F9A9" w:rsidR="00743525" w:rsidRPr="007375EB" w:rsidRDefault="00743525" w:rsidP="00743525">
            <w:pPr>
              <w:spacing w:line="240" w:lineRule="auto"/>
              <w:jc w:val="both"/>
              <w:rPr>
                <w:sz w:val="16"/>
                <w:szCs w:val="16"/>
                <w:lang w:val="bg-BG"/>
              </w:rPr>
            </w:pPr>
            <w:r w:rsidRPr="007375EB">
              <w:rPr>
                <w:sz w:val="16"/>
                <w:szCs w:val="16"/>
                <w:lang w:val="bg-BG"/>
              </w:rPr>
              <w:t>Неприлагането на анализирания PUZ ще запази сегашния начин на производство на електроенергия от изкопаеми горива, което ще увеличи емисиите на парникови газове, водещи до промени в настоящите климатични условия в световен мащаб и косвено в община Черкезу.</w:t>
            </w:r>
          </w:p>
        </w:tc>
      </w:tr>
      <w:tr w:rsidR="00743525" w:rsidRPr="007375EB" w14:paraId="588CF655" w14:textId="77777777" w:rsidTr="00AC6C1C">
        <w:tc>
          <w:tcPr>
            <w:tcW w:w="1809" w:type="dxa"/>
            <w:shd w:val="clear" w:color="auto" w:fill="auto"/>
          </w:tcPr>
          <w:p w14:paraId="0F7B27D8" w14:textId="64E829B7" w:rsidR="00743525" w:rsidRPr="007375EB" w:rsidRDefault="00743525" w:rsidP="00743525">
            <w:pPr>
              <w:spacing w:line="240" w:lineRule="auto"/>
              <w:jc w:val="both"/>
              <w:rPr>
                <w:b/>
                <w:bCs/>
                <w:color w:val="000000"/>
                <w:sz w:val="16"/>
                <w:szCs w:val="16"/>
                <w:lang w:val="bg-BG"/>
              </w:rPr>
            </w:pPr>
            <w:r w:rsidRPr="007375EB">
              <w:rPr>
                <w:b/>
                <w:bCs/>
                <w:sz w:val="16"/>
                <w:szCs w:val="16"/>
                <w:lang w:val="bg-BG"/>
              </w:rPr>
              <w:t>Културно наследство</w:t>
            </w:r>
          </w:p>
        </w:tc>
        <w:tc>
          <w:tcPr>
            <w:tcW w:w="7542" w:type="dxa"/>
            <w:shd w:val="clear" w:color="auto" w:fill="auto"/>
          </w:tcPr>
          <w:p w14:paraId="02B44378" w14:textId="49BCA3C3" w:rsidR="00743525" w:rsidRPr="007375EB" w:rsidRDefault="00743525" w:rsidP="00743525">
            <w:pPr>
              <w:spacing w:line="240" w:lineRule="auto"/>
              <w:jc w:val="both"/>
              <w:rPr>
                <w:color w:val="000000"/>
                <w:sz w:val="16"/>
                <w:szCs w:val="16"/>
                <w:lang w:val="bg-BG"/>
              </w:rPr>
            </w:pPr>
            <w:r w:rsidRPr="007375EB">
              <w:rPr>
                <w:color w:val="000000"/>
                <w:sz w:val="16"/>
                <w:szCs w:val="16"/>
                <w:lang w:val="bg-BG"/>
              </w:rPr>
              <w:t xml:space="preserve">Липсата на политики и мерки, насочени към опазване, съхраняване и остойностяване на културното наследство, ще доведе до неговата деградация/влошаване с течение на времето. </w:t>
            </w:r>
          </w:p>
        </w:tc>
      </w:tr>
    </w:tbl>
    <w:p w14:paraId="7BBB27D5" w14:textId="77777777" w:rsidR="00C072CA" w:rsidRPr="007375EB" w:rsidRDefault="00C072CA" w:rsidP="009B5E28">
      <w:pPr>
        <w:spacing w:after="120" w:line="360" w:lineRule="auto"/>
        <w:rPr>
          <w:sz w:val="20"/>
          <w:szCs w:val="20"/>
          <w:lang w:val="bg-BG" w:eastAsia="ro-RO"/>
        </w:rPr>
      </w:pPr>
    </w:p>
    <w:p w14:paraId="7F805AE5" w14:textId="16BACA63" w:rsidR="006B59ED" w:rsidRPr="007375EB" w:rsidRDefault="00743525" w:rsidP="001516B6">
      <w:pPr>
        <w:pStyle w:val="Heading1"/>
        <w:numPr>
          <w:ilvl w:val="0"/>
          <w:numId w:val="16"/>
        </w:numPr>
        <w:suppressAutoHyphens w:val="0"/>
        <w:spacing w:before="0" w:after="240" w:line="360" w:lineRule="auto"/>
        <w:ind w:left="567" w:hanging="567"/>
        <w:contextualSpacing w:val="0"/>
        <w:jc w:val="both"/>
        <w:rPr>
          <w:b/>
          <w:bCs w:val="0"/>
          <w:sz w:val="20"/>
          <w:szCs w:val="20"/>
          <w:lang w:val="bg-BG" w:eastAsia="ro-RO"/>
        </w:rPr>
      </w:pPr>
      <w:r w:rsidRPr="007375EB">
        <w:rPr>
          <w:b/>
          <w:bCs w:val="0"/>
          <w:sz w:val="20"/>
          <w:szCs w:val="20"/>
          <w:lang w:val="bg-BG" w:eastAsia="ro-RO"/>
        </w:rPr>
        <w:t>Екологични характеристики на района, който може да бъде значително засегнат</w:t>
      </w:r>
    </w:p>
    <w:p w14:paraId="452D6233" w14:textId="17053C11" w:rsidR="004074A2" w:rsidRPr="007375EB" w:rsidRDefault="00743525" w:rsidP="00C610F1">
      <w:pPr>
        <w:spacing w:after="120" w:line="360" w:lineRule="auto"/>
        <w:jc w:val="both"/>
        <w:rPr>
          <w:lang w:val="bg-BG"/>
        </w:rPr>
      </w:pPr>
      <w:r w:rsidRPr="007375EB">
        <w:rPr>
          <w:lang w:val="bg-BG"/>
        </w:rPr>
        <w:t xml:space="preserve">Районът на PUZ е разположен в Югоизточна Румъния на административната територия на окръг Констанца, в западната част на окръга, в непосредствена близост до границата с България, като </w:t>
      </w:r>
      <w:r w:rsidRPr="007375EB">
        <w:rPr>
          <w:lang w:val="bg-BG"/>
        </w:rPr>
        <w:lastRenderedPageBreak/>
        <w:t>е ограничен от населените места: Негру Вода (на изток), Късоаеле и Вироага (на север) и Магура (на изток), а на юг и югозапад проучваната зона е ограничена от държавната граница. Проучваната област принадлежи към административната единица (ТАЕ) Черкезу и е предимно земеделска област, с естествени пасища, използвани за паша на домашни животни</w:t>
      </w:r>
      <w:r w:rsidR="004074A2" w:rsidRPr="007375EB">
        <w:rPr>
          <w:lang w:val="bg-BG"/>
        </w:rPr>
        <w:t xml:space="preserve">. </w:t>
      </w:r>
    </w:p>
    <w:p w14:paraId="52CC80D2" w14:textId="2C4B5C82" w:rsidR="00431ED5" w:rsidRPr="007375EB" w:rsidRDefault="00743525" w:rsidP="00C610F1">
      <w:pPr>
        <w:spacing w:after="120" w:line="360" w:lineRule="auto"/>
        <w:jc w:val="both"/>
        <w:rPr>
          <w:lang w:val="bg-BG"/>
        </w:rPr>
      </w:pPr>
      <w:r w:rsidRPr="007375EB">
        <w:rPr>
          <w:lang w:val="bg-BG"/>
        </w:rPr>
        <w:t>Като се има предвид, че изследваната площ в PUZ е 3027,77 хектара, се оценява, че въздействието върху околната среда, произтичащо от прилагането на плана за развитие, ще се усети само на местно ниво и в непосредствена близост до плана, както поради специфичното естество на строителните работи, които ще бъдат извършени и които включват създаване на организации на строителната площадка, изкопаване на материал и реално монтиране на турбините, така и поради работите по изграждане/модернизиране на свързаната инфраструктура.</w:t>
      </w:r>
    </w:p>
    <w:p w14:paraId="57DEA2D8" w14:textId="2CA98ACF" w:rsidR="00624A6C" w:rsidRPr="007375EB" w:rsidRDefault="00624A6C" w:rsidP="00624A6C">
      <w:pPr>
        <w:spacing w:after="120" w:line="360" w:lineRule="auto"/>
        <w:jc w:val="both"/>
        <w:rPr>
          <w:lang w:val="bg-BG"/>
        </w:rPr>
      </w:pPr>
      <w:r w:rsidRPr="007375EB">
        <w:rPr>
          <w:lang w:val="bg-BG"/>
        </w:rPr>
        <w:t>Районът, проучен за изпълнението на целта, включва земеделски земи, използвани като обработваеми земи, и земи със специално предназначение - селскостопански пътища, които са публична собственост на община (ТАЕ) Черкезу, управлявани от местния съвет на Черкезу, и публична собственост от окръжен интерес. Предложените инвестиции ще бъдат разположени в извънселищната територия на населеното място.</w:t>
      </w:r>
    </w:p>
    <w:p w14:paraId="1D940722" w14:textId="131A0F8A" w:rsidR="00DB1DAE" w:rsidRPr="007375EB" w:rsidRDefault="00624A6C" w:rsidP="00624A6C">
      <w:pPr>
        <w:spacing w:after="120" w:line="360" w:lineRule="auto"/>
        <w:jc w:val="both"/>
        <w:rPr>
          <w:color w:val="000000"/>
          <w:lang w:val="bg-BG"/>
        </w:rPr>
      </w:pPr>
      <w:r w:rsidRPr="007375EB">
        <w:rPr>
          <w:lang w:val="bg-BG"/>
        </w:rPr>
        <w:t>Реализацията на новите строителни елементи ще доведе до промени във физическите и естетическите характеристики на природния ландшафт на местно ниво</w:t>
      </w:r>
      <w:r w:rsidR="00DB1DAE" w:rsidRPr="007375EB">
        <w:rPr>
          <w:color w:val="000000"/>
          <w:lang w:val="bg-BG"/>
        </w:rPr>
        <w:t xml:space="preserve">.  </w:t>
      </w:r>
    </w:p>
    <w:p w14:paraId="795E5672" w14:textId="6BE47F81" w:rsidR="00624A6C" w:rsidRPr="007375EB" w:rsidRDefault="00624A6C" w:rsidP="00624A6C">
      <w:pPr>
        <w:spacing w:after="120" w:line="360" w:lineRule="auto"/>
        <w:jc w:val="both"/>
        <w:rPr>
          <w:color w:val="000000"/>
          <w:lang w:val="bg-BG"/>
        </w:rPr>
      </w:pPr>
      <w:r w:rsidRPr="007375EB">
        <w:rPr>
          <w:color w:val="000000"/>
          <w:lang w:val="bg-BG"/>
        </w:rPr>
        <w:t xml:space="preserve">Въздействията върху околната среда от изпълнението на инвестициите в PUZ ще се усетят на местно ниво (в района на работните фронтове) и ще бъдат временни. Количествената оценка на въздействието ще зависи от вида и обема на извършените работи, условията на обекта и възприетия метод на строителство. </w:t>
      </w:r>
    </w:p>
    <w:p w14:paraId="7CF5DB61" w14:textId="77777777" w:rsidR="00C5710F" w:rsidRPr="00C5710F" w:rsidRDefault="00C5710F" w:rsidP="00C5710F">
      <w:pPr>
        <w:spacing w:after="120" w:line="360" w:lineRule="auto"/>
        <w:jc w:val="both"/>
        <w:rPr>
          <w:color w:val="00CCFF"/>
          <w:lang w:val="bg-BG"/>
        </w:rPr>
      </w:pPr>
      <w:r w:rsidRPr="00C5710F">
        <w:rPr>
          <w:b/>
          <w:bCs/>
          <w:color w:val="00CCFF"/>
          <w:lang w:val="bg-BG"/>
        </w:rPr>
        <w:t>Емисиите във въздуха</w:t>
      </w:r>
    </w:p>
    <w:p w14:paraId="6249E12B" w14:textId="77777777" w:rsidR="00787A9D" w:rsidRDefault="00C5710F" w:rsidP="00787A9D">
      <w:pPr>
        <w:spacing w:after="120" w:line="360" w:lineRule="auto"/>
        <w:jc w:val="both"/>
        <w:rPr>
          <w:color w:val="000000"/>
        </w:rPr>
      </w:pPr>
      <w:r w:rsidRPr="00C5710F">
        <w:rPr>
          <w:color w:val="000000"/>
          <w:lang w:val="bg-BG"/>
        </w:rPr>
        <w:t>Качеството на въздуха може да бъде засегнато само по време на етапите на строителство и извеждане от експлоатация</w:t>
      </w:r>
      <w:r w:rsidRPr="00787A9D">
        <w:rPr>
          <w:color w:val="000000"/>
          <w:lang w:val="bg-BG"/>
        </w:rPr>
        <w:t xml:space="preserve"> </w:t>
      </w:r>
      <w:r w:rsidR="00624A6C" w:rsidRPr="00787A9D">
        <w:rPr>
          <w:color w:val="000000"/>
          <w:lang w:val="bg-BG"/>
        </w:rPr>
        <w:t xml:space="preserve">от емисиите на атмосферни замърсители (като азотни оксиди, серни оксиди, въглеродни оксиди, летливи органични съединения, суспендирани частици) от транспортните средства и машините, използвани за изпълнение на инвестициите, предвидени в PUZ. </w:t>
      </w:r>
      <w:r w:rsidR="00787A9D" w:rsidRPr="00787A9D">
        <w:rPr>
          <w:color w:val="000000"/>
          <w:lang w:val="bg-BG"/>
        </w:rPr>
        <w:t>Към това трябва да се добави и прахът, възникващ при организацията на строителната площадка, земните работи, изкопните работи за основи, платформи и връзки, модернизацията на експлоатационните пътища, пренасянето на земни маси и строителни материали.</w:t>
      </w:r>
    </w:p>
    <w:p w14:paraId="3340A4A4" w14:textId="77777777" w:rsidR="00787A9D" w:rsidRPr="004929D1" w:rsidRDefault="00787A9D" w:rsidP="00787A9D">
      <w:pPr>
        <w:spacing w:after="120" w:line="360" w:lineRule="auto"/>
        <w:jc w:val="both"/>
        <w:rPr>
          <w:color w:val="000000"/>
          <w:lang w:val="bg-BG"/>
        </w:rPr>
      </w:pPr>
      <w:r w:rsidRPr="00787A9D">
        <w:rPr>
          <w:color w:val="000000"/>
          <w:lang w:val="bg-BG"/>
        </w:rPr>
        <w:t>Въпреки това, в зависимост от климатичните условия и дейностите, извършвани едновременно със строителните дейности, нивата на прах могат да се повишат, което може да достигне до локалните селища в района и природните зони в България.</w:t>
      </w:r>
    </w:p>
    <w:p w14:paraId="3512BDAA" w14:textId="77777777" w:rsidR="00787A9D" w:rsidRPr="004929D1" w:rsidRDefault="00787A9D" w:rsidP="00787A9D">
      <w:pPr>
        <w:spacing w:after="120" w:line="360" w:lineRule="auto"/>
        <w:jc w:val="both"/>
        <w:rPr>
          <w:color w:val="000000"/>
          <w:lang w:val="bg-BG"/>
        </w:rPr>
      </w:pPr>
      <w:r w:rsidRPr="00787A9D">
        <w:rPr>
          <w:color w:val="000000"/>
          <w:lang w:val="bg-BG"/>
        </w:rPr>
        <w:t>Софтуерното приложение ADMS 6 е използвано за прогнозиране на замърсяването на въздуха в резултат на работите, свързани с етапа на изпълнение на проекта. То използва модел, базиран на уравнението на Гаусовия шлейф на замърсителите за източници на непрекъснати емисии. Моделът изчислява концентрациите на разпръснати замърсители в околната среда въз основа на набор от входни данни, включващи:</w:t>
      </w:r>
    </w:p>
    <w:p w14:paraId="79E1C36C" w14:textId="77777777" w:rsidR="004929D1" w:rsidRPr="004929D1" w:rsidRDefault="004929D1">
      <w:pPr>
        <w:pStyle w:val="ListParagraph"/>
        <w:numPr>
          <w:ilvl w:val="0"/>
          <w:numId w:val="178"/>
        </w:numPr>
        <w:spacing w:after="120" w:line="360" w:lineRule="auto"/>
        <w:jc w:val="both"/>
        <w:rPr>
          <w:color w:val="000000"/>
          <w:lang w:val="bg-BG"/>
        </w:rPr>
      </w:pPr>
      <w:r w:rsidRPr="004929D1">
        <w:rPr>
          <w:color w:val="000000"/>
          <w:lang w:val="bg-BG"/>
        </w:rPr>
        <w:t>Характеристика на метеорологичните условия (основна посока на вятъра, скорост на вятъра, турбулентност, температура на въздуха, селска/градска среда);</w:t>
      </w:r>
    </w:p>
    <w:p w14:paraId="152D65EA" w14:textId="77777777" w:rsidR="004929D1" w:rsidRPr="00E162A8" w:rsidRDefault="004929D1">
      <w:pPr>
        <w:pStyle w:val="ListParagraph"/>
        <w:numPr>
          <w:ilvl w:val="0"/>
          <w:numId w:val="178"/>
        </w:numPr>
        <w:spacing w:after="120" w:line="360" w:lineRule="auto"/>
        <w:ind w:left="714" w:hanging="357"/>
        <w:jc w:val="both"/>
        <w:rPr>
          <w:color w:val="000000"/>
          <w:lang w:val="bg-BG"/>
        </w:rPr>
      </w:pPr>
      <w:r w:rsidRPr="00E162A8">
        <w:rPr>
          <w:color w:val="000000"/>
          <w:lang w:val="bg-BG"/>
        </w:rPr>
        <w:lastRenderedPageBreak/>
        <w:t>характеризиране на източника (тип на източника, масов дебит, височина, скорост на газа, температура на газа);</w:t>
      </w:r>
    </w:p>
    <w:p w14:paraId="1A187490" w14:textId="76EA4A32" w:rsidR="004929D1" w:rsidRPr="00E162A8" w:rsidRDefault="004929D1">
      <w:pPr>
        <w:pStyle w:val="ListParagraph"/>
        <w:numPr>
          <w:ilvl w:val="0"/>
          <w:numId w:val="178"/>
        </w:numPr>
        <w:spacing w:afterLines="120" w:after="288" w:line="360" w:lineRule="auto"/>
        <w:ind w:left="714" w:hanging="357"/>
        <w:jc w:val="both"/>
        <w:rPr>
          <w:rFonts w:asciiTheme="majorHAnsi" w:hAnsiTheme="majorHAnsi"/>
          <w:color w:val="000000"/>
          <w:lang w:val="bg-BG"/>
        </w:rPr>
      </w:pPr>
      <w:r w:rsidRPr="00E162A8">
        <w:rPr>
          <w:color w:val="000000"/>
          <w:lang w:val="bg-BG"/>
        </w:rPr>
        <w:t xml:space="preserve">Пространствена характеристика на изследваната област (с възможност за графично </w:t>
      </w:r>
      <w:r w:rsidRPr="00E162A8">
        <w:rPr>
          <w:rFonts w:asciiTheme="majorHAnsi" w:hAnsiTheme="majorHAnsi"/>
          <w:color w:val="000000"/>
          <w:lang w:val="bg-BG"/>
        </w:rPr>
        <w:t>представяне на изолиниите на концентрация върху карти или изображения).</w:t>
      </w:r>
    </w:p>
    <w:p w14:paraId="2A6FC7A4" w14:textId="782D4D00" w:rsidR="00E162A8" w:rsidRPr="00E162A8" w:rsidRDefault="00E162A8" w:rsidP="00E162A8">
      <w:pPr>
        <w:pStyle w:val="ListParagraph"/>
        <w:spacing w:line="360" w:lineRule="auto"/>
        <w:ind w:left="0"/>
        <w:jc w:val="both"/>
        <w:rPr>
          <w:rFonts w:asciiTheme="majorHAnsi" w:eastAsia="Times New Roman" w:hAnsiTheme="majorHAnsi" w:cs="Times New Roman"/>
          <w:lang w:val="bg-BG" w:eastAsia="en-GB"/>
        </w:rPr>
      </w:pPr>
      <w:r w:rsidRPr="00E162A8">
        <w:rPr>
          <w:rFonts w:asciiTheme="majorHAnsi" w:eastAsia="Times New Roman" w:hAnsiTheme="majorHAnsi" w:cs="Times New Roman"/>
          <w:lang w:val="bg-BG" w:eastAsia="en-GB"/>
        </w:rPr>
        <w:t>За моделирането бяха избрани три турбини, които се намират и в трите алтернативи, за които беше анализирано въздействието върху факторите на околната среда. въздействието на турбините беше оценено на различни етапи от изпълнението, за да се обхване най-лошият сценарий (извършване на изкопни работи, монтиране на турбината, окончателно монтиране). резултатите от моделирането обхващат чрез екстраполация и трите алтернативи, анализирани в глава 6.3.</w:t>
      </w:r>
    </w:p>
    <w:p w14:paraId="1D4A9B33" w14:textId="77777777" w:rsidR="00E162A8" w:rsidRPr="00E162A8" w:rsidRDefault="00E162A8" w:rsidP="00E162A8">
      <w:pPr>
        <w:pStyle w:val="ListParagraph"/>
        <w:spacing w:line="360" w:lineRule="auto"/>
        <w:ind w:left="0"/>
        <w:jc w:val="both"/>
        <w:rPr>
          <w:rFonts w:ascii="Times New Roman" w:eastAsia="Times New Roman" w:hAnsi="Times New Roman" w:cs="Times New Roman"/>
          <w:sz w:val="24"/>
          <w:szCs w:val="24"/>
          <w:lang w:val="bg-BG" w:eastAsia="en-GB"/>
        </w:rPr>
      </w:pPr>
      <w:r w:rsidRPr="00E162A8">
        <w:rPr>
          <w:rFonts w:asciiTheme="majorHAnsi" w:eastAsia="Times New Roman" w:hAnsiTheme="majorHAnsi" w:cs="Times New Roman"/>
          <w:lang w:val="bg-BG" w:eastAsia="en-GB"/>
        </w:rPr>
        <w:t>По отношение на резултатите от моделирането следва да се направят следните забележки</w:t>
      </w:r>
      <w:r w:rsidRPr="00E162A8">
        <w:rPr>
          <w:rFonts w:ascii="Times New Roman" w:eastAsia="Times New Roman" w:hAnsi="Times New Roman" w:cs="Times New Roman"/>
          <w:sz w:val="24"/>
          <w:szCs w:val="24"/>
          <w:lang w:val="bg-BG" w:eastAsia="en-GB"/>
        </w:rPr>
        <w:t>:</w:t>
      </w:r>
    </w:p>
    <w:p w14:paraId="76152B75" w14:textId="11360DC7" w:rsidR="00E162A8" w:rsidRPr="00E162A8" w:rsidRDefault="00E162A8">
      <w:pPr>
        <w:pStyle w:val="ListParagraph"/>
        <w:numPr>
          <w:ilvl w:val="0"/>
          <w:numId w:val="179"/>
        </w:numPr>
        <w:spacing w:after="120" w:line="360" w:lineRule="auto"/>
        <w:jc w:val="both"/>
        <w:rPr>
          <w:color w:val="000000"/>
          <w:lang w:val="bg-BG"/>
        </w:rPr>
      </w:pPr>
      <w:r w:rsidRPr="00E162A8">
        <w:rPr>
          <w:color w:val="000000"/>
          <w:lang w:val="bg-BG"/>
        </w:rPr>
        <w:t>Разсейването на замърсителите ще бъде предимно в посока север-юг (преобладаваща посока на вятъра);</w:t>
      </w:r>
    </w:p>
    <w:p w14:paraId="25311593" w14:textId="0F8A9935" w:rsidR="00E162A8" w:rsidRPr="00E162A8" w:rsidRDefault="00E162A8">
      <w:pPr>
        <w:pStyle w:val="ListParagraph"/>
        <w:numPr>
          <w:ilvl w:val="0"/>
          <w:numId w:val="179"/>
        </w:numPr>
        <w:spacing w:after="120" w:line="360" w:lineRule="auto"/>
        <w:jc w:val="both"/>
        <w:rPr>
          <w:color w:val="000000"/>
          <w:lang w:val="bg-BG"/>
        </w:rPr>
      </w:pPr>
      <w:r w:rsidRPr="00E162A8">
        <w:rPr>
          <w:color w:val="000000"/>
          <w:lang w:val="bg-BG"/>
        </w:rPr>
        <w:t>В случай на фазата на разработване на платформите на турбините (маневриране на земни маси) ще бъдат превишени праговите стойности за намеса и праговите стойности за предупреждение за показателя PM10 (с очаквана максимална концентрация от 60,66 µг/м3) и средночасовите стойности за показателя NO2 (с очаквана максимална концентрация от 239 µг/м3), но се очаква това да се случи само в близост до работните фронтове на платформите на турбините. Концентрациите на PM10 (0,5 μг/м3) и NO2 (&lt;30 μг/м3), изчислени в най-близкия чувствителен рецептор, са под праговете за намеса и предупреждение на този етап.</w:t>
      </w:r>
    </w:p>
    <w:p w14:paraId="7E1750DC" w14:textId="77777777" w:rsidR="00E162A8" w:rsidRPr="00E162A8" w:rsidRDefault="00E162A8" w:rsidP="00E162A8">
      <w:pPr>
        <w:spacing w:after="120" w:line="360" w:lineRule="auto"/>
        <w:jc w:val="both"/>
        <w:rPr>
          <w:rFonts w:asciiTheme="majorHAnsi" w:eastAsia="Times New Roman" w:hAnsiTheme="majorHAnsi" w:cs="Times New Roman"/>
          <w:lang w:val="bg-BG" w:eastAsia="en-GB"/>
        </w:rPr>
      </w:pPr>
      <w:r w:rsidRPr="00E162A8">
        <w:rPr>
          <w:rFonts w:asciiTheme="majorHAnsi" w:eastAsia="Times New Roman" w:hAnsiTheme="majorHAnsi" w:cs="Times New Roman"/>
          <w:lang w:val="bg-BG" w:eastAsia="en-GB"/>
        </w:rPr>
        <w:t>Максималните концентрации ще бъдат регистрирани на нивото на най-близките до платформите на турбините домакинства, т.е. домакинствата във Вироага, но те са значително по-ниски от максимално допустимите концентрации съгласно Закон № 104/2011.</w:t>
      </w:r>
    </w:p>
    <w:p w14:paraId="5F85FAEF" w14:textId="77777777" w:rsidR="00E162A8" w:rsidRPr="00E162A8" w:rsidRDefault="00E162A8" w:rsidP="00E162A8">
      <w:pPr>
        <w:spacing w:after="120" w:line="360" w:lineRule="auto"/>
        <w:jc w:val="both"/>
        <w:rPr>
          <w:rFonts w:asciiTheme="majorHAnsi" w:eastAsia="Times New Roman" w:hAnsiTheme="majorHAnsi" w:cs="Times New Roman"/>
          <w:lang w:val="bg-BG" w:eastAsia="en-GB"/>
        </w:rPr>
      </w:pPr>
      <w:r w:rsidRPr="00E162A8">
        <w:rPr>
          <w:rFonts w:asciiTheme="majorHAnsi" w:eastAsia="Times New Roman" w:hAnsiTheme="majorHAnsi" w:cs="Times New Roman"/>
          <w:lang w:val="bg-BG" w:eastAsia="en-GB"/>
        </w:rPr>
        <w:t>По този начин беше установено, че за всички атмосферни замърсители, емитирани в околната среда по време на етапа на изпълнение, на нивото на чувствителните рецептори в района, концентрациите се оценяват като по-ниски от граничните стойности, определени от законодателството, което показва липсата на потенциално въздействие върху качеството на атмосферния въздух.</w:t>
      </w:r>
    </w:p>
    <w:p w14:paraId="3147ADC0" w14:textId="342ACF18" w:rsidR="00E162A8" w:rsidRDefault="00E162A8" w:rsidP="00E162A8">
      <w:pPr>
        <w:spacing w:after="120" w:line="360" w:lineRule="auto"/>
        <w:jc w:val="both"/>
        <w:rPr>
          <w:rFonts w:asciiTheme="majorHAnsi" w:eastAsia="Times New Roman" w:hAnsiTheme="majorHAnsi" w:cs="Times New Roman"/>
          <w:lang w:eastAsia="en-GB"/>
        </w:rPr>
      </w:pPr>
      <w:r w:rsidRPr="00E162A8">
        <w:rPr>
          <w:rFonts w:asciiTheme="majorHAnsi" w:eastAsia="Times New Roman" w:hAnsiTheme="majorHAnsi" w:cs="Times New Roman"/>
          <w:lang w:val="bg-BG" w:eastAsia="en-GB"/>
        </w:rPr>
        <w:t>Подчертаваме, че в анализирания район няма значими източници на замърсяване на въздуха, така че емисиите, генерирани от анализираната дейност, да имат кумулативен ефект, който да доведе до превишаване на граничните стойности, определени в Закон № 104/2011. Въпреки това може да се прецени, че единственият кумулативен ефект с въздействие върху качеството на въздуха в района би могъл да бъде генериран, ако работите за платформите на турбините (разчистване, обработка на земни маси) се припокриват със селскостопанските работи, извършвани в района. Този ефект ще бъде временен, краткосрочен и обратим.</w:t>
      </w:r>
    </w:p>
    <w:p w14:paraId="52338061" w14:textId="087A766E" w:rsidR="00972E0A" w:rsidRDefault="00972E0A" w:rsidP="00972E0A">
      <w:pPr>
        <w:spacing w:after="120" w:line="360" w:lineRule="auto"/>
        <w:jc w:val="center"/>
        <w:rPr>
          <w:sz w:val="16"/>
          <w:szCs w:val="16"/>
        </w:rPr>
      </w:pPr>
      <w:r w:rsidRPr="00F31515">
        <w:rPr>
          <w:rFonts w:ascii="Calibri" w:eastAsia="Calibri" w:hAnsi="Calibri" w:cs="Times New Roman"/>
          <w:noProof/>
          <w:kern w:val="2"/>
          <w:sz w:val="20"/>
          <w:szCs w:val="20"/>
          <w14:ligatures w14:val="standardContextual"/>
        </w:rPr>
        <w:lastRenderedPageBreak/>
        <w:drawing>
          <wp:inline distT="0" distB="0" distL="0" distR="0" wp14:anchorId="599505EB" wp14:editId="581D32AC">
            <wp:extent cx="5601779" cy="3960000"/>
            <wp:effectExtent l="0" t="0" r="0" b="2540"/>
            <wp:docPr id="956797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601779" cy="3960000"/>
                    </a:xfrm>
                    <a:prstGeom prst="rect">
                      <a:avLst/>
                    </a:prstGeom>
                    <a:noFill/>
                    <a:ln>
                      <a:noFill/>
                    </a:ln>
                  </pic:spPr>
                </pic:pic>
              </a:graphicData>
            </a:graphic>
          </wp:inline>
        </w:drawing>
      </w:r>
      <w:r w:rsidRPr="00972E0A">
        <w:rPr>
          <w:b/>
          <w:bCs/>
          <w:color w:val="009DF0" w:themeColor="text2"/>
          <w:sz w:val="16"/>
          <w:szCs w:val="16"/>
          <w:lang w:val="ru-RU"/>
        </w:rPr>
        <w:t xml:space="preserve">Фигура 3 - 1 Разсейване на </w:t>
      </w:r>
      <w:r w:rsidRPr="00972E0A">
        <w:rPr>
          <w:b/>
          <w:bCs/>
          <w:color w:val="007BB8"/>
          <w:sz w:val="16"/>
          <w:szCs w:val="16"/>
          <w:lang w:val="ru-RU"/>
        </w:rPr>
        <w:t xml:space="preserve">замърсителите </w:t>
      </w:r>
      <w:r w:rsidRPr="00972E0A">
        <w:rPr>
          <w:b/>
          <w:bCs/>
          <w:color w:val="007BB8"/>
          <w:sz w:val="16"/>
          <w:szCs w:val="16"/>
        </w:rPr>
        <w:t>PM</w:t>
      </w:r>
      <w:r w:rsidRPr="00972E0A">
        <w:rPr>
          <w:b/>
          <w:bCs/>
          <w:color w:val="007BB8"/>
          <w:sz w:val="16"/>
          <w:szCs w:val="16"/>
          <w:vertAlign w:val="subscript"/>
        </w:rPr>
        <w:t>10</w:t>
      </w:r>
      <w:r w:rsidRPr="00972E0A">
        <w:rPr>
          <w:b/>
          <w:bCs/>
          <w:color w:val="007BB8"/>
          <w:sz w:val="16"/>
          <w:szCs w:val="16"/>
        </w:rPr>
        <w:t xml:space="preserve"> </w:t>
      </w:r>
      <w:r w:rsidRPr="00972E0A">
        <w:rPr>
          <w:b/>
          <w:bCs/>
          <w:color w:val="007BB8"/>
          <w:sz w:val="16"/>
          <w:szCs w:val="16"/>
          <w:lang w:val="ru-RU"/>
        </w:rPr>
        <w:t xml:space="preserve">- </w:t>
      </w:r>
      <w:r w:rsidRPr="00972E0A">
        <w:rPr>
          <w:b/>
          <w:bCs/>
          <w:color w:val="009DF0" w:themeColor="text2"/>
          <w:sz w:val="16"/>
          <w:szCs w:val="16"/>
          <w:lang w:val="ru-RU"/>
        </w:rPr>
        <w:t>средна дневна концентрация</w:t>
      </w:r>
    </w:p>
    <w:p w14:paraId="2B8D8AA1" w14:textId="161ABA27" w:rsidR="00972E0A" w:rsidRDefault="00972E0A" w:rsidP="00972E0A">
      <w:pPr>
        <w:pStyle w:val="Caption-Text"/>
        <w:jc w:val="center"/>
        <w:rPr>
          <w:b/>
          <w:bCs/>
          <w:color w:val="007BB8"/>
        </w:rPr>
      </w:pPr>
      <w:r>
        <w:rPr>
          <w:noProof/>
        </w:rPr>
        <w:drawing>
          <wp:inline distT="0" distB="0" distL="0" distR="0" wp14:anchorId="29468B3C" wp14:editId="25696A3B">
            <wp:extent cx="5601544" cy="3960000"/>
            <wp:effectExtent l="0" t="0" r="0" b="2540"/>
            <wp:docPr id="20071359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601544" cy="3960000"/>
                    </a:xfrm>
                    <a:prstGeom prst="rect">
                      <a:avLst/>
                    </a:prstGeom>
                    <a:noFill/>
                    <a:ln>
                      <a:noFill/>
                    </a:ln>
                  </pic:spPr>
                </pic:pic>
              </a:graphicData>
            </a:graphic>
          </wp:inline>
        </w:drawing>
      </w:r>
      <w:r w:rsidRPr="00972E0A">
        <w:rPr>
          <w:b/>
          <w:bCs/>
          <w:color w:val="007BB8"/>
          <w:lang w:val="ru-RU"/>
        </w:rPr>
        <w:t xml:space="preserve">Фигура 3- 2 Разсейване на замърсителите с </w:t>
      </w:r>
      <w:r w:rsidRPr="007C1D62">
        <w:rPr>
          <w:b/>
          <w:bCs/>
          <w:color w:val="007BB8"/>
        </w:rPr>
        <w:t>CO</w:t>
      </w:r>
      <w:r w:rsidRPr="00972E0A">
        <w:rPr>
          <w:b/>
          <w:bCs/>
          <w:color w:val="007BB8"/>
          <w:lang w:val="ru-RU"/>
        </w:rPr>
        <w:t xml:space="preserve"> - максимална дневна концентрация на 8-часовите средни стойности</w:t>
      </w:r>
    </w:p>
    <w:p w14:paraId="626C4F20" w14:textId="77777777" w:rsidR="00972E0A" w:rsidRDefault="00972E0A" w:rsidP="00972E0A"/>
    <w:p w14:paraId="41A12E04" w14:textId="5F6F37FA" w:rsidR="00972E0A" w:rsidRPr="00972E0A" w:rsidRDefault="00972E0A" w:rsidP="00972E0A">
      <w:r w:rsidRPr="00797B4C">
        <w:rPr>
          <w:rFonts w:ascii="Calibri" w:eastAsia="Calibri" w:hAnsi="Calibri"/>
          <w:noProof/>
          <w:kern w:val="2"/>
          <w:sz w:val="20"/>
          <w:szCs w:val="20"/>
          <w14:ligatures w14:val="standardContextual"/>
        </w:rPr>
        <w:lastRenderedPageBreak/>
        <w:drawing>
          <wp:inline distT="0" distB="0" distL="0" distR="0" wp14:anchorId="48C35A92" wp14:editId="06AC91FE">
            <wp:extent cx="5658717" cy="3960000"/>
            <wp:effectExtent l="0" t="0" r="0" b="2540"/>
            <wp:docPr id="16232612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658717" cy="3960000"/>
                    </a:xfrm>
                    <a:prstGeom prst="rect">
                      <a:avLst/>
                    </a:prstGeom>
                    <a:noFill/>
                    <a:ln>
                      <a:noFill/>
                    </a:ln>
                  </pic:spPr>
                </pic:pic>
              </a:graphicData>
            </a:graphic>
          </wp:inline>
        </w:drawing>
      </w:r>
    </w:p>
    <w:p w14:paraId="7C273316" w14:textId="77777777" w:rsidR="00972E0A" w:rsidRDefault="00972E0A" w:rsidP="00972E0A">
      <w:pPr>
        <w:spacing w:after="120" w:line="360" w:lineRule="auto"/>
        <w:jc w:val="center"/>
        <w:rPr>
          <w:rFonts w:asciiTheme="majorHAnsi" w:eastAsia="Times New Roman" w:hAnsiTheme="majorHAnsi" w:cs="Times New Roman"/>
          <w:b/>
          <w:bCs/>
          <w:color w:val="007BB8"/>
          <w:lang w:eastAsia="en-GB"/>
        </w:rPr>
      </w:pPr>
      <w:r w:rsidRPr="00972E0A">
        <w:rPr>
          <w:rFonts w:asciiTheme="majorHAnsi" w:eastAsia="Times New Roman" w:hAnsiTheme="majorHAnsi" w:cs="Times New Roman"/>
          <w:b/>
          <w:bCs/>
          <w:color w:val="007BB8"/>
          <w:lang w:val="ru-RU" w:eastAsia="en-GB"/>
        </w:rPr>
        <w:t xml:space="preserve">Фигура 3- 3 Разсейване на замърсителите </w:t>
      </w:r>
      <w:r w:rsidRPr="007C1D62">
        <w:rPr>
          <w:rFonts w:asciiTheme="majorHAnsi" w:eastAsia="Times New Roman" w:hAnsiTheme="majorHAnsi" w:cs="Times New Roman"/>
          <w:b/>
          <w:bCs/>
          <w:color w:val="007BB8"/>
          <w:lang w:eastAsia="en-GB"/>
        </w:rPr>
        <w:t>SO</w:t>
      </w:r>
      <w:r w:rsidRPr="00972E0A">
        <w:rPr>
          <w:rFonts w:asciiTheme="majorHAnsi" w:eastAsia="Times New Roman" w:hAnsiTheme="majorHAnsi" w:cs="Times New Roman"/>
          <w:b/>
          <w:bCs/>
          <w:color w:val="007BB8"/>
          <w:lang w:val="ru-RU" w:eastAsia="en-GB"/>
        </w:rPr>
        <w:t>2 - максимална часова концентрация</w:t>
      </w:r>
    </w:p>
    <w:p w14:paraId="24F11D16" w14:textId="50F59D26" w:rsidR="00972E0A" w:rsidRPr="00972E0A" w:rsidRDefault="00972E0A" w:rsidP="00972E0A">
      <w:pPr>
        <w:spacing w:after="120" w:line="360" w:lineRule="auto"/>
        <w:jc w:val="center"/>
        <w:rPr>
          <w:rFonts w:asciiTheme="majorHAnsi" w:eastAsia="Times New Roman" w:hAnsiTheme="majorHAnsi" w:cs="Times New Roman"/>
          <w:b/>
          <w:bCs/>
          <w:color w:val="007BB8"/>
          <w:lang w:eastAsia="en-GB"/>
        </w:rPr>
      </w:pPr>
      <w:r w:rsidRPr="002C34F1">
        <w:rPr>
          <w:rFonts w:ascii="Calibri" w:eastAsia="Calibri" w:hAnsi="Calibri" w:cs="Times New Roman"/>
          <w:noProof/>
          <w:kern w:val="2"/>
          <w:sz w:val="20"/>
          <w:szCs w:val="20"/>
          <w14:ligatures w14:val="standardContextual"/>
        </w:rPr>
        <w:drawing>
          <wp:inline distT="0" distB="0" distL="0" distR="0" wp14:anchorId="799A9192" wp14:editId="12D4BEE8">
            <wp:extent cx="5601393" cy="3960000"/>
            <wp:effectExtent l="0" t="0" r="0" b="2540"/>
            <wp:docPr id="84429728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601393" cy="3960000"/>
                    </a:xfrm>
                    <a:prstGeom prst="rect">
                      <a:avLst/>
                    </a:prstGeom>
                    <a:noFill/>
                    <a:ln>
                      <a:noFill/>
                    </a:ln>
                  </pic:spPr>
                </pic:pic>
              </a:graphicData>
            </a:graphic>
          </wp:inline>
        </w:drawing>
      </w:r>
    </w:p>
    <w:p w14:paraId="032D6AE6" w14:textId="77777777" w:rsidR="00972E0A" w:rsidRDefault="00972E0A" w:rsidP="00972E0A">
      <w:pPr>
        <w:pStyle w:val="Caption"/>
        <w:jc w:val="center"/>
        <w:rPr>
          <w:sz w:val="16"/>
          <w:szCs w:val="16"/>
        </w:rPr>
      </w:pPr>
      <w:r w:rsidRPr="00972E0A">
        <w:rPr>
          <w:sz w:val="16"/>
          <w:szCs w:val="16"/>
          <w:lang w:val="ru-RU"/>
        </w:rPr>
        <w:t xml:space="preserve">Фигура 3- 4 Разсейване на замърсителите </w:t>
      </w:r>
      <w:r w:rsidRPr="007C1D62">
        <w:rPr>
          <w:sz w:val="16"/>
          <w:szCs w:val="16"/>
        </w:rPr>
        <w:t>NO</w:t>
      </w:r>
      <w:r w:rsidRPr="00972E0A">
        <w:rPr>
          <w:sz w:val="16"/>
          <w:szCs w:val="16"/>
          <w:lang w:val="ru-RU"/>
        </w:rPr>
        <w:t>2 - средночасова концентрация</w:t>
      </w:r>
    </w:p>
    <w:p w14:paraId="1BE79CA6" w14:textId="77777777" w:rsidR="00972E0A" w:rsidRDefault="00972E0A" w:rsidP="00972E0A">
      <w:pPr>
        <w:pStyle w:val="Caption-Text"/>
      </w:pPr>
    </w:p>
    <w:p w14:paraId="588B979A" w14:textId="7E43C688" w:rsidR="00972E0A" w:rsidRPr="00972E0A" w:rsidRDefault="00972E0A" w:rsidP="00972E0A">
      <w:r w:rsidRPr="00577ADE">
        <w:rPr>
          <w:rFonts w:ascii="Calibri" w:eastAsia="Calibri" w:hAnsi="Calibri" w:cs="Times New Roman"/>
          <w:noProof/>
          <w:kern w:val="2"/>
          <w:sz w:val="22"/>
          <w:szCs w:val="22"/>
          <w14:ligatures w14:val="standardContextual"/>
        </w:rPr>
        <w:lastRenderedPageBreak/>
        <w:drawing>
          <wp:inline distT="0" distB="0" distL="0" distR="0" wp14:anchorId="09245C93" wp14:editId="4534BA1D">
            <wp:extent cx="5601741" cy="3960000"/>
            <wp:effectExtent l="0" t="0" r="0" b="2540"/>
            <wp:docPr id="85295509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601741" cy="3960000"/>
                    </a:xfrm>
                    <a:prstGeom prst="rect">
                      <a:avLst/>
                    </a:prstGeom>
                    <a:noFill/>
                    <a:ln>
                      <a:noFill/>
                    </a:ln>
                  </pic:spPr>
                </pic:pic>
              </a:graphicData>
            </a:graphic>
          </wp:inline>
        </w:drawing>
      </w:r>
    </w:p>
    <w:p w14:paraId="5A381B1B" w14:textId="77777777" w:rsidR="00972E0A" w:rsidRDefault="00972E0A" w:rsidP="00972E0A">
      <w:pPr>
        <w:pStyle w:val="Caption"/>
        <w:jc w:val="center"/>
        <w:rPr>
          <w:sz w:val="16"/>
          <w:szCs w:val="16"/>
        </w:rPr>
      </w:pPr>
      <w:r w:rsidRPr="00972E0A">
        <w:rPr>
          <w:sz w:val="16"/>
          <w:szCs w:val="16"/>
          <w:lang w:val="ru-RU"/>
        </w:rPr>
        <w:t xml:space="preserve">Фигура 3- 5 Дисперсия на замърсителите </w:t>
      </w:r>
      <w:r w:rsidRPr="007C1D62">
        <w:rPr>
          <w:sz w:val="16"/>
          <w:szCs w:val="16"/>
        </w:rPr>
        <w:t>NO</w:t>
      </w:r>
      <w:r w:rsidRPr="00972E0A">
        <w:rPr>
          <w:sz w:val="16"/>
          <w:szCs w:val="16"/>
          <w:lang w:val="ru-RU"/>
        </w:rPr>
        <w:t>2 - средногодишна концентрация</w:t>
      </w:r>
    </w:p>
    <w:p w14:paraId="5550E6E1" w14:textId="1BB61A56" w:rsidR="00972E0A" w:rsidRPr="00972E0A" w:rsidRDefault="00972E0A" w:rsidP="00972E0A">
      <w:r w:rsidRPr="004B190B">
        <w:rPr>
          <w:rFonts w:ascii="Calibri" w:eastAsia="Calibri" w:hAnsi="Calibri" w:cs="Times New Roman"/>
          <w:noProof/>
          <w:kern w:val="2"/>
          <w:sz w:val="22"/>
          <w:szCs w:val="22"/>
          <w14:ligatures w14:val="standardContextual"/>
        </w:rPr>
        <w:drawing>
          <wp:inline distT="0" distB="0" distL="0" distR="0" wp14:anchorId="341D0B7E" wp14:editId="0631F29A">
            <wp:extent cx="5601817" cy="3960000"/>
            <wp:effectExtent l="0" t="0" r="0" b="2540"/>
            <wp:docPr id="1057100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601817" cy="3960000"/>
                    </a:xfrm>
                    <a:prstGeom prst="rect">
                      <a:avLst/>
                    </a:prstGeom>
                    <a:noFill/>
                    <a:ln>
                      <a:noFill/>
                    </a:ln>
                  </pic:spPr>
                </pic:pic>
              </a:graphicData>
            </a:graphic>
          </wp:inline>
        </w:drawing>
      </w:r>
    </w:p>
    <w:p w14:paraId="1E5FF00C" w14:textId="77777777" w:rsidR="00972E0A" w:rsidRDefault="00972E0A" w:rsidP="00972E0A">
      <w:pPr>
        <w:pStyle w:val="Caption"/>
        <w:jc w:val="center"/>
        <w:rPr>
          <w:sz w:val="16"/>
          <w:szCs w:val="16"/>
        </w:rPr>
      </w:pPr>
      <w:r w:rsidRPr="00972E0A">
        <w:rPr>
          <w:sz w:val="16"/>
          <w:szCs w:val="16"/>
          <w:lang w:val="ru-RU"/>
        </w:rPr>
        <w:t xml:space="preserve">Фигура 3- 6 Разсейване на замърсителите </w:t>
      </w:r>
      <w:r w:rsidRPr="007C1D62">
        <w:rPr>
          <w:sz w:val="16"/>
          <w:szCs w:val="16"/>
        </w:rPr>
        <w:t>PM</w:t>
      </w:r>
      <w:r w:rsidRPr="00972E0A">
        <w:rPr>
          <w:sz w:val="16"/>
          <w:szCs w:val="16"/>
          <w:lang w:val="ru-RU"/>
        </w:rPr>
        <w:t>10 - средногодишна концентрация</w:t>
      </w:r>
    </w:p>
    <w:p w14:paraId="77094441" w14:textId="77777777" w:rsidR="00972E0A" w:rsidRDefault="00972E0A" w:rsidP="00972E0A">
      <w:pPr>
        <w:pStyle w:val="Caption-Text"/>
      </w:pPr>
    </w:p>
    <w:p w14:paraId="4C7F2BB6" w14:textId="77777777" w:rsidR="00972E0A" w:rsidRPr="00B46923" w:rsidRDefault="00972E0A" w:rsidP="00972E0A">
      <w:pPr>
        <w:rPr>
          <w:b/>
          <w:bCs/>
          <w:color w:val="007BB8"/>
          <w:sz w:val="16"/>
          <w:szCs w:val="16"/>
          <w:lang w:val="bg-BG"/>
        </w:rPr>
      </w:pPr>
      <w:r w:rsidRPr="00972E0A">
        <w:rPr>
          <w:b/>
          <w:bCs/>
          <w:color w:val="007BB8"/>
          <w:sz w:val="16"/>
          <w:szCs w:val="16"/>
          <w:lang w:val="bg-BG"/>
        </w:rPr>
        <w:lastRenderedPageBreak/>
        <w:t>Таблица 3- 1 Максимални концентрации в различни диапазони на осредняване</w:t>
      </w:r>
    </w:p>
    <w:tbl>
      <w:tblPr>
        <w:tblW w:w="5110" w:type="pct"/>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000" w:firstRow="0" w:lastRow="0" w:firstColumn="0" w:lastColumn="0" w:noHBand="0" w:noVBand="0"/>
      </w:tblPr>
      <w:tblGrid>
        <w:gridCol w:w="1369"/>
        <w:gridCol w:w="1316"/>
        <w:gridCol w:w="1712"/>
        <w:gridCol w:w="905"/>
        <w:gridCol w:w="1783"/>
        <w:gridCol w:w="1421"/>
        <w:gridCol w:w="1256"/>
      </w:tblGrid>
      <w:tr w:rsidR="00972E0A" w:rsidRPr="00B46923" w14:paraId="36697D2B" w14:textId="77777777" w:rsidTr="00B46923">
        <w:trPr>
          <w:jc w:val="center"/>
        </w:trPr>
        <w:tc>
          <w:tcPr>
            <w:tcW w:w="723" w:type="pct"/>
            <w:vMerge w:val="restart"/>
            <w:shd w:val="clear" w:color="auto" w:fill="00A2E8"/>
            <w:vAlign w:val="center"/>
          </w:tcPr>
          <w:p w14:paraId="52B58741" w14:textId="77777777" w:rsidR="00972E0A" w:rsidRPr="00972E0A" w:rsidRDefault="00972E0A" w:rsidP="00972E0A">
            <w:pPr>
              <w:spacing w:line="240" w:lineRule="auto"/>
              <w:contextualSpacing/>
              <w:jc w:val="center"/>
              <w:rPr>
                <w:rFonts w:eastAsia="Calibri" w:cs="Times New Roman"/>
                <w:b/>
                <w:color w:val="FFFFFF"/>
                <w:sz w:val="16"/>
                <w:szCs w:val="16"/>
                <w:lang w:val="bg-BG"/>
              </w:rPr>
            </w:pPr>
            <w:r w:rsidRPr="00972E0A">
              <w:rPr>
                <w:rFonts w:eastAsia="Calibri" w:cs="Times New Roman"/>
                <w:b/>
                <w:bCs/>
                <w:color w:val="FFFFFF"/>
                <w:sz w:val="16"/>
                <w:szCs w:val="16"/>
                <w:lang w:val="bg-BG"/>
              </w:rPr>
              <w:t>Източник:</w:t>
            </w:r>
          </w:p>
          <w:p w14:paraId="6522FF0B" w14:textId="367F74ED" w:rsidR="00972E0A" w:rsidRPr="00B46923" w:rsidRDefault="00972E0A" w:rsidP="00BD770A">
            <w:pPr>
              <w:spacing w:line="240" w:lineRule="auto"/>
              <w:contextualSpacing/>
              <w:jc w:val="center"/>
              <w:rPr>
                <w:rFonts w:eastAsia="Calibri" w:cs="Times New Roman"/>
                <w:b/>
                <w:color w:val="FFFFFF"/>
                <w:sz w:val="16"/>
                <w:szCs w:val="16"/>
                <w:lang w:val="bg-BG"/>
              </w:rPr>
            </w:pPr>
          </w:p>
        </w:tc>
        <w:tc>
          <w:tcPr>
            <w:tcW w:w="654" w:type="pct"/>
            <w:vMerge w:val="restart"/>
            <w:shd w:val="clear" w:color="auto" w:fill="00A2E8"/>
            <w:vAlign w:val="center"/>
          </w:tcPr>
          <w:p w14:paraId="59D0B7DE" w14:textId="77777777" w:rsidR="00972E0A" w:rsidRPr="00972E0A" w:rsidRDefault="00972E0A" w:rsidP="00972E0A">
            <w:pPr>
              <w:spacing w:line="240" w:lineRule="auto"/>
              <w:contextualSpacing/>
              <w:jc w:val="center"/>
              <w:rPr>
                <w:rFonts w:eastAsia="Calibri" w:cs="Times New Roman"/>
                <w:b/>
                <w:color w:val="FFFFFF"/>
                <w:sz w:val="16"/>
                <w:szCs w:val="16"/>
                <w:lang w:val="bg-BG"/>
              </w:rPr>
            </w:pPr>
            <w:r w:rsidRPr="00972E0A">
              <w:rPr>
                <w:rFonts w:eastAsia="Calibri" w:cs="Times New Roman"/>
                <w:b/>
                <w:bCs/>
                <w:color w:val="FFFFFF"/>
                <w:sz w:val="16"/>
                <w:szCs w:val="16"/>
                <w:lang w:val="bg-BG"/>
              </w:rPr>
              <w:t>Замърсител</w:t>
            </w:r>
          </w:p>
          <w:p w14:paraId="0A9F3A24" w14:textId="44CBCEFE" w:rsidR="00972E0A" w:rsidRPr="00B46923" w:rsidRDefault="00972E0A" w:rsidP="00BD770A">
            <w:pPr>
              <w:spacing w:line="240" w:lineRule="auto"/>
              <w:contextualSpacing/>
              <w:jc w:val="center"/>
              <w:rPr>
                <w:rFonts w:eastAsia="Calibri" w:cs="Times New Roman"/>
                <w:b/>
                <w:color w:val="FFFFFF"/>
                <w:sz w:val="16"/>
                <w:szCs w:val="16"/>
                <w:lang w:val="bg-BG"/>
              </w:rPr>
            </w:pPr>
          </w:p>
        </w:tc>
        <w:tc>
          <w:tcPr>
            <w:tcW w:w="849" w:type="pct"/>
            <w:vMerge w:val="restart"/>
            <w:shd w:val="clear" w:color="auto" w:fill="00A2E8"/>
            <w:vAlign w:val="center"/>
          </w:tcPr>
          <w:p w14:paraId="7AFBFD40" w14:textId="77777777" w:rsidR="00972E0A" w:rsidRPr="00972E0A" w:rsidRDefault="00972E0A" w:rsidP="00972E0A">
            <w:pPr>
              <w:spacing w:line="240" w:lineRule="auto"/>
              <w:contextualSpacing/>
              <w:jc w:val="center"/>
              <w:rPr>
                <w:rFonts w:eastAsia="Calibri" w:cs="Times New Roman"/>
                <w:b/>
                <w:color w:val="FFFFFF"/>
                <w:sz w:val="16"/>
                <w:szCs w:val="16"/>
                <w:lang w:val="bg-BG"/>
              </w:rPr>
            </w:pPr>
            <w:r w:rsidRPr="00972E0A">
              <w:rPr>
                <w:rFonts w:eastAsia="Calibri" w:cs="Times New Roman"/>
                <w:b/>
                <w:bCs/>
                <w:color w:val="FFFFFF"/>
                <w:sz w:val="16"/>
                <w:szCs w:val="16"/>
                <w:lang w:val="bg-BG"/>
              </w:rPr>
              <w:t>Интервал на посредничество</w:t>
            </w:r>
          </w:p>
          <w:p w14:paraId="19863532" w14:textId="2238E027" w:rsidR="00972E0A" w:rsidRPr="00B46923" w:rsidRDefault="00972E0A" w:rsidP="00BD770A">
            <w:pPr>
              <w:spacing w:line="240" w:lineRule="auto"/>
              <w:contextualSpacing/>
              <w:jc w:val="center"/>
              <w:rPr>
                <w:rFonts w:eastAsia="Calibri" w:cs="Times New Roman"/>
                <w:b/>
                <w:color w:val="FFFFFF"/>
                <w:sz w:val="16"/>
                <w:szCs w:val="16"/>
                <w:lang w:val="bg-BG"/>
              </w:rPr>
            </w:pPr>
          </w:p>
        </w:tc>
        <w:tc>
          <w:tcPr>
            <w:tcW w:w="2042" w:type="pct"/>
            <w:gridSpan w:val="3"/>
            <w:shd w:val="clear" w:color="auto" w:fill="00A2E8"/>
            <w:vAlign w:val="center"/>
          </w:tcPr>
          <w:p w14:paraId="4CB388E5" w14:textId="28F3B998" w:rsidR="00972E0A" w:rsidRPr="00B46923" w:rsidRDefault="00972E0A" w:rsidP="00972E0A">
            <w:pPr>
              <w:spacing w:line="240" w:lineRule="auto"/>
              <w:contextualSpacing/>
              <w:jc w:val="center"/>
              <w:rPr>
                <w:rFonts w:eastAsia="Calibri" w:cs="Times New Roman"/>
                <w:b/>
                <w:color w:val="FFFFFF"/>
                <w:sz w:val="16"/>
                <w:szCs w:val="16"/>
                <w:lang w:val="bg-BG"/>
              </w:rPr>
            </w:pPr>
            <w:r w:rsidRPr="00972E0A">
              <w:rPr>
                <w:rFonts w:eastAsia="Calibri" w:cs="Times New Roman"/>
                <w:b/>
                <w:bCs/>
                <w:color w:val="FFFFFF"/>
                <w:sz w:val="16"/>
                <w:szCs w:val="16"/>
                <w:lang w:val="bg-BG"/>
              </w:rPr>
              <w:t>Обработка на земята</w:t>
            </w:r>
          </w:p>
        </w:tc>
        <w:tc>
          <w:tcPr>
            <w:tcW w:w="732" w:type="pct"/>
            <w:vMerge w:val="restart"/>
            <w:shd w:val="clear" w:color="auto" w:fill="00A2E8"/>
            <w:vAlign w:val="center"/>
          </w:tcPr>
          <w:p w14:paraId="2479DFD1" w14:textId="77777777" w:rsidR="00B46923" w:rsidRPr="00B46923" w:rsidRDefault="00B46923" w:rsidP="00B46923">
            <w:pPr>
              <w:spacing w:line="240" w:lineRule="auto"/>
              <w:contextualSpacing/>
              <w:jc w:val="center"/>
              <w:rPr>
                <w:rFonts w:eastAsia="Calibri" w:cs="Times New Roman"/>
                <w:b/>
                <w:color w:val="FFFFFF"/>
                <w:sz w:val="16"/>
                <w:szCs w:val="16"/>
                <w:lang w:val="bg-BG"/>
              </w:rPr>
            </w:pPr>
            <w:r w:rsidRPr="00B46923">
              <w:rPr>
                <w:rFonts w:eastAsia="Calibri" w:cs="Times New Roman"/>
                <w:b/>
                <w:bCs/>
                <w:color w:val="FFFFFF"/>
                <w:sz w:val="16"/>
                <w:szCs w:val="16"/>
                <w:lang w:val="bg-BG"/>
              </w:rPr>
              <w:t>Забележки</w:t>
            </w:r>
          </w:p>
          <w:p w14:paraId="1E9788D8" w14:textId="143731B0" w:rsidR="00972E0A" w:rsidRPr="00B46923" w:rsidRDefault="00972E0A" w:rsidP="00BD770A">
            <w:pPr>
              <w:spacing w:line="240" w:lineRule="auto"/>
              <w:contextualSpacing/>
              <w:jc w:val="center"/>
              <w:rPr>
                <w:rFonts w:eastAsia="Calibri" w:cs="Times New Roman"/>
                <w:b/>
                <w:color w:val="FFFFFF"/>
                <w:sz w:val="16"/>
                <w:szCs w:val="16"/>
                <w:lang w:val="bg-BG"/>
              </w:rPr>
            </w:pPr>
          </w:p>
        </w:tc>
      </w:tr>
      <w:tr w:rsidR="00B46923" w:rsidRPr="00B46923" w14:paraId="534D1806" w14:textId="77777777" w:rsidTr="00B46923">
        <w:trPr>
          <w:jc w:val="center"/>
        </w:trPr>
        <w:tc>
          <w:tcPr>
            <w:tcW w:w="723" w:type="pct"/>
            <w:vMerge/>
            <w:shd w:val="clear" w:color="auto" w:fill="00B0F0"/>
          </w:tcPr>
          <w:p w14:paraId="07F3A507" w14:textId="77777777" w:rsidR="00972E0A" w:rsidRPr="00B46923" w:rsidRDefault="00972E0A" w:rsidP="00BD770A">
            <w:pPr>
              <w:spacing w:line="240" w:lineRule="auto"/>
              <w:contextualSpacing/>
              <w:jc w:val="center"/>
              <w:rPr>
                <w:rFonts w:eastAsia="Calibri" w:cs="Times New Roman"/>
                <w:b/>
                <w:color w:val="FFFFFF"/>
                <w:sz w:val="16"/>
                <w:szCs w:val="16"/>
                <w:lang w:val="bg-BG"/>
              </w:rPr>
            </w:pPr>
          </w:p>
        </w:tc>
        <w:tc>
          <w:tcPr>
            <w:tcW w:w="654" w:type="pct"/>
            <w:vMerge/>
            <w:shd w:val="clear" w:color="auto" w:fill="00B0F0"/>
            <w:vAlign w:val="center"/>
          </w:tcPr>
          <w:p w14:paraId="290EBF2F" w14:textId="77777777" w:rsidR="00972E0A" w:rsidRPr="00B46923" w:rsidRDefault="00972E0A" w:rsidP="00BD770A">
            <w:pPr>
              <w:spacing w:line="240" w:lineRule="auto"/>
              <w:contextualSpacing/>
              <w:jc w:val="center"/>
              <w:rPr>
                <w:rFonts w:eastAsia="Calibri" w:cs="Times New Roman"/>
                <w:b/>
                <w:color w:val="FFFFFF"/>
                <w:sz w:val="16"/>
                <w:szCs w:val="16"/>
                <w:lang w:val="bg-BG"/>
              </w:rPr>
            </w:pPr>
          </w:p>
        </w:tc>
        <w:tc>
          <w:tcPr>
            <w:tcW w:w="849" w:type="pct"/>
            <w:vMerge/>
            <w:shd w:val="clear" w:color="auto" w:fill="00A2E8"/>
          </w:tcPr>
          <w:p w14:paraId="35C9260C" w14:textId="77777777" w:rsidR="00972E0A" w:rsidRPr="00B46923" w:rsidRDefault="00972E0A" w:rsidP="00BD770A">
            <w:pPr>
              <w:spacing w:line="240" w:lineRule="auto"/>
              <w:contextualSpacing/>
              <w:jc w:val="center"/>
              <w:rPr>
                <w:rFonts w:eastAsia="Calibri" w:cs="Times New Roman"/>
                <w:b/>
                <w:color w:val="FFFFFF"/>
                <w:sz w:val="16"/>
                <w:szCs w:val="16"/>
                <w:lang w:val="bg-BG"/>
              </w:rPr>
            </w:pPr>
          </w:p>
        </w:tc>
        <w:tc>
          <w:tcPr>
            <w:tcW w:w="452" w:type="pct"/>
            <w:shd w:val="clear" w:color="auto" w:fill="00A2E8"/>
            <w:vAlign w:val="center"/>
          </w:tcPr>
          <w:p w14:paraId="00C56824" w14:textId="554A52FE" w:rsidR="00972E0A" w:rsidRPr="00B46923" w:rsidRDefault="00972E0A" w:rsidP="00BD770A">
            <w:pPr>
              <w:spacing w:line="240" w:lineRule="auto"/>
              <w:contextualSpacing/>
              <w:jc w:val="center"/>
              <w:rPr>
                <w:rFonts w:eastAsia="Calibri" w:cs="Times New Roman"/>
                <w:b/>
                <w:color w:val="FFFFFF"/>
                <w:sz w:val="16"/>
                <w:szCs w:val="16"/>
                <w:lang w:val="bg-BG"/>
              </w:rPr>
            </w:pPr>
            <w:r w:rsidRPr="00B46923">
              <w:rPr>
                <w:rFonts w:eastAsia="Calibri" w:cs="Times New Roman"/>
                <w:b/>
                <w:color w:val="FFFFFF"/>
                <w:sz w:val="16"/>
                <w:szCs w:val="16"/>
                <w:lang w:val="bg-BG"/>
              </w:rPr>
              <w:t>Cмакс</w:t>
            </w:r>
          </w:p>
          <w:p w14:paraId="3038CF06" w14:textId="27EDFED7" w:rsidR="00972E0A" w:rsidRPr="00B46923" w:rsidRDefault="00972E0A" w:rsidP="00BD770A">
            <w:pPr>
              <w:spacing w:line="240" w:lineRule="auto"/>
              <w:contextualSpacing/>
              <w:jc w:val="center"/>
              <w:rPr>
                <w:rFonts w:eastAsia="Calibri" w:cs="Times New Roman"/>
                <w:b/>
                <w:color w:val="FFFFFF"/>
                <w:sz w:val="16"/>
                <w:szCs w:val="16"/>
                <w:lang w:val="bg-BG"/>
              </w:rPr>
            </w:pPr>
            <w:r w:rsidRPr="00B46923">
              <w:rPr>
                <w:rFonts w:eastAsia="Calibri" w:cs="Times New Roman"/>
                <w:b/>
                <w:color w:val="FFFFFF"/>
                <w:sz w:val="16"/>
                <w:szCs w:val="16"/>
                <w:lang w:val="bg-BG"/>
              </w:rPr>
              <w:t>[μг/м</w:t>
            </w:r>
            <w:r w:rsidRPr="00B46923">
              <w:rPr>
                <w:rFonts w:eastAsia="Calibri" w:cs="Times New Roman"/>
                <w:b/>
                <w:color w:val="FFFFFF"/>
                <w:sz w:val="16"/>
                <w:szCs w:val="16"/>
                <w:vertAlign w:val="superscript"/>
                <w:lang w:val="bg-BG"/>
              </w:rPr>
              <w:t>3</w:t>
            </w:r>
            <w:r w:rsidRPr="00B46923">
              <w:rPr>
                <w:rFonts w:eastAsia="Calibri" w:cs="Times New Roman"/>
                <w:b/>
                <w:color w:val="FFFFFF"/>
                <w:sz w:val="16"/>
                <w:szCs w:val="16"/>
                <w:lang w:val="bg-BG"/>
              </w:rPr>
              <w:t>]</w:t>
            </w:r>
          </w:p>
        </w:tc>
        <w:tc>
          <w:tcPr>
            <w:tcW w:w="884" w:type="pct"/>
            <w:shd w:val="clear" w:color="auto" w:fill="00A2E8"/>
            <w:vAlign w:val="center"/>
          </w:tcPr>
          <w:p w14:paraId="4928DB58" w14:textId="77777777" w:rsidR="00972E0A" w:rsidRPr="00972E0A" w:rsidRDefault="00972E0A" w:rsidP="00972E0A">
            <w:pPr>
              <w:spacing w:line="240" w:lineRule="auto"/>
              <w:contextualSpacing/>
              <w:jc w:val="center"/>
              <w:rPr>
                <w:rFonts w:eastAsia="Calibri" w:cs="Times New Roman"/>
                <w:b/>
                <w:color w:val="FFFFFF"/>
                <w:sz w:val="14"/>
                <w:szCs w:val="14"/>
                <w:lang w:val="bg-BG"/>
              </w:rPr>
            </w:pPr>
            <w:r w:rsidRPr="00972E0A">
              <w:rPr>
                <w:rFonts w:eastAsia="Calibri" w:cs="Times New Roman"/>
                <w:b/>
                <w:bCs/>
                <w:color w:val="FFFFFF"/>
                <w:sz w:val="14"/>
                <w:szCs w:val="14"/>
                <w:lang w:val="bg-BG"/>
              </w:rPr>
              <w:t>Праг на предупреждението</w:t>
            </w:r>
          </w:p>
          <w:p w14:paraId="33DAF374" w14:textId="5CF8D452" w:rsidR="00972E0A" w:rsidRPr="00B46923" w:rsidRDefault="00972E0A" w:rsidP="00BD770A">
            <w:pPr>
              <w:spacing w:line="240" w:lineRule="auto"/>
              <w:contextualSpacing/>
              <w:jc w:val="center"/>
              <w:rPr>
                <w:rFonts w:eastAsia="Calibri" w:cs="Times New Roman"/>
                <w:b/>
                <w:color w:val="FFFFFF"/>
                <w:sz w:val="16"/>
                <w:szCs w:val="16"/>
                <w:lang w:val="bg-BG"/>
              </w:rPr>
            </w:pPr>
            <w:r w:rsidRPr="00B46923">
              <w:rPr>
                <w:rFonts w:eastAsia="Calibri" w:cs="Times New Roman"/>
                <w:b/>
                <w:color w:val="FFFFFF"/>
                <w:sz w:val="16"/>
                <w:szCs w:val="16"/>
                <w:lang w:val="bg-BG"/>
              </w:rPr>
              <w:t>[μг/м</w:t>
            </w:r>
            <w:r w:rsidRPr="00B46923">
              <w:rPr>
                <w:rFonts w:eastAsia="Calibri" w:cs="Times New Roman"/>
                <w:b/>
                <w:color w:val="FFFFFF"/>
                <w:sz w:val="16"/>
                <w:szCs w:val="16"/>
                <w:vertAlign w:val="superscript"/>
                <w:lang w:val="bg-BG"/>
              </w:rPr>
              <w:t>3</w:t>
            </w:r>
            <w:r w:rsidRPr="00B46923">
              <w:rPr>
                <w:rFonts w:eastAsia="Calibri" w:cs="Times New Roman"/>
                <w:b/>
                <w:color w:val="FFFFFF"/>
                <w:sz w:val="16"/>
                <w:szCs w:val="16"/>
                <w:lang w:val="bg-BG"/>
              </w:rPr>
              <w:t>]</w:t>
            </w:r>
          </w:p>
        </w:tc>
        <w:tc>
          <w:tcPr>
            <w:tcW w:w="706" w:type="pct"/>
            <w:shd w:val="clear" w:color="auto" w:fill="00A2E8"/>
            <w:vAlign w:val="center"/>
          </w:tcPr>
          <w:p w14:paraId="47E6AF90" w14:textId="77777777" w:rsidR="00B46923" w:rsidRPr="00B46923" w:rsidRDefault="00B46923" w:rsidP="00B46923">
            <w:pPr>
              <w:spacing w:line="240" w:lineRule="auto"/>
              <w:contextualSpacing/>
              <w:jc w:val="center"/>
              <w:rPr>
                <w:rFonts w:eastAsia="Calibri" w:cs="Times New Roman"/>
                <w:b/>
                <w:color w:val="FFFFFF"/>
                <w:sz w:val="16"/>
                <w:szCs w:val="16"/>
                <w:lang w:val="bg-BG"/>
              </w:rPr>
            </w:pPr>
            <w:r w:rsidRPr="00B46923">
              <w:rPr>
                <w:rFonts w:eastAsia="Calibri" w:cs="Times New Roman"/>
                <w:b/>
                <w:bCs/>
                <w:color w:val="FFFFFF"/>
                <w:sz w:val="16"/>
                <w:szCs w:val="16"/>
                <w:lang w:val="bg-BG"/>
              </w:rPr>
              <w:t>Гранична стойност = праг на интервенция</w:t>
            </w:r>
          </w:p>
          <w:p w14:paraId="02390F99" w14:textId="3779B22A" w:rsidR="00972E0A" w:rsidRPr="00B46923" w:rsidRDefault="00972E0A" w:rsidP="00BD770A">
            <w:pPr>
              <w:spacing w:line="240" w:lineRule="auto"/>
              <w:contextualSpacing/>
              <w:jc w:val="center"/>
              <w:rPr>
                <w:rFonts w:eastAsia="Calibri" w:cs="Times New Roman"/>
                <w:b/>
                <w:color w:val="FFFFFF"/>
                <w:sz w:val="16"/>
                <w:szCs w:val="16"/>
                <w:lang w:val="bg-BG"/>
              </w:rPr>
            </w:pPr>
            <w:r w:rsidRPr="00B46923">
              <w:rPr>
                <w:rFonts w:eastAsia="Calibri" w:cs="Times New Roman"/>
                <w:b/>
                <w:color w:val="FFFFFF"/>
                <w:sz w:val="16"/>
                <w:szCs w:val="16"/>
                <w:lang w:val="bg-BG"/>
              </w:rPr>
              <w:t>[μг/м</w:t>
            </w:r>
            <w:r w:rsidRPr="00B46923">
              <w:rPr>
                <w:rFonts w:eastAsia="Calibri" w:cs="Times New Roman"/>
                <w:b/>
                <w:color w:val="FFFFFF"/>
                <w:sz w:val="16"/>
                <w:szCs w:val="16"/>
                <w:vertAlign w:val="superscript"/>
                <w:lang w:val="bg-BG"/>
              </w:rPr>
              <w:t>3</w:t>
            </w:r>
            <w:r w:rsidRPr="00B46923">
              <w:rPr>
                <w:rFonts w:eastAsia="Calibri" w:cs="Times New Roman"/>
                <w:b/>
                <w:color w:val="FFFFFF"/>
                <w:sz w:val="16"/>
                <w:szCs w:val="16"/>
                <w:lang w:val="bg-BG"/>
              </w:rPr>
              <w:t>]</w:t>
            </w:r>
          </w:p>
        </w:tc>
        <w:tc>
          <w:tcPr>
            <w:tcW w:w="732" w:type="pct"/>
            <w:vMerge/>
            <w:shd w:val="clear" w:color="auto" w:fill="00B0F0"/>
            <w:vAlign w:val="center"/>
          </w:tcPr>
          <w:p w14:paraId="621824EA" w14:textId="77777777" w:rsidR="00972E0A" w:rsidRPr="00B46923" w:rsidRDefault="00972E0A" w:rsidP="00BD770A">
            <w:pPr>
              <w:spacing w:line="240" w:lineRule="auto"/>
              <w:contextualSpacing/>
              <w:jc w:val="center"/>
              <w:rPr>
                <w:rFonts w:eastAsia="Calibri" w:cs="Times New Roman"/>
                <w:b/>
                <w:sz w:val="16"/>
                <w:szCs w:val="16"/>
                <w:lang w:val="bg-BG"/>
              </w:rPr>
            </w:pPr>
          </w:p>
        </w:tc>
      </w:tr>
      <w:tr w:rsidR="00972E0A" w:rsidRPr="00B46923" w14:paraId="26A91E5D" w14:textId="77777777" w:rsidTr="00B46923">
        <w:trPr>
          <w:trHeight w:val="70"/>
          <w:jc w:val="center"/>
        </w:trPr>
        <w:tc>
          <w:tcPr>
            <w:tcW w:w="723" w:type="pct"/>
            <w:shd w:val="clear" w:color="auto" w:fill="auto"/>
            <w:vAlign w:val="center"/>
          </w:tcPr>
          <w:p w14:paraId="4F9F880E" w14:textId="0B1EF524" w:rsidR="00972E0A" w:rsidRPr="00B46923" w:rsidRDefault="00B46923" w:rsidP="00B46923">
            <w:pPr>
              <w:spacing w:line="240" w:lineRule="auto"/>
              <w:contextualSpacing/>
              <w:jc w:val="center"/>
              <w:rPr>
                <w:rFonts w:eastAsia="Calibri" w:cs="Times New Roman"/>
                <w:sz w:val="16"/>
                <w:szCs w:val="16"/>
                <w:lang w:val="bg-BG"/>
              </w:rPr>
            </w:pPr>
            <w:r w:rsidRPr="00B46923">
              <w:rPr>
                <w:rFonts w:eastAsia="Calibri" w:cs="Times New Roman"/>
                <w:sz w:val="16"/>
                <w:szCs w:val="16"/>
                <w:lang w:val="bg-BG"/>
              </w:rPr>
              <w:t>Обработка на земята</w:t>
            </w:r>
          </w:p>
        </w:tc>
        <w:tc>
          <w:tcPr>
            <w:tcW w:w="654" w:type="pct"/>
            <w:shd w:val="clear" w:color="auto" w:fill="auto"/>
            <w:vAlign w:val="center"/>
          </w:tcPr>
          <w:p w14:paraId="36334DD0" w14:textId="77777777" w:rsidR="00972E0A" w:rsidRPr="00B46923" w:rsidRDefault="00972E0A" w:rsidP="00BD770A">
            <w:pPr>
              <w:spacing w:line="240" w:lineRule="auto"/>
              <w:contextualSpacing/>
              <w:jc w:val="center"/>
              <w:rPr>
                <w:rFonts w:eastAsia="Calibri" w:cs="Times New Roman"/>
                <w:sz w:val="16"/>
                <w:szCs w:val="16"/>
                <w:lang w:val="bg-BG"/>
              </w:rPr>
            </w:pPr>
            <w:r w:rsidRPr="00B46923">
              <w:rPr>
                <w:rFonts w:eastAsia="Calibri" w:cs="Times New Roman"/>
                <w:sz w:val="16"/>
                <w:szCs w:val="16"/>
                <w:lang w:val="bg-BG"/>
              </w:rPr>
              <w:t>PM</w:t>
            </w:r>
            <w:r w:rsidRPr="00B46923">
              <w:rPr>
                <w:rFonts w:eastAsia="Calibri" w:cs="Times New Roman"/>
                <w:sz w:val="16"/>
                <w:szCs w:val="16"/>
                <w:vertAlign w:val="subscript"/>
                <w:lang w:val="bg-BG"/>
              </w:rPr>
              <w:t>10</w:t>
            </w:r>
          </w:p>
        </w:tc>
        <w:tc>
          <w:tcPr>
            <w:tcW w:w="849" w:type="pct"/>
            <w:shd w:val="clear" w:color="auto" w:fill="auto"/>
            <w:vAlign w:val="center"/>
          </w:tcPr>
          <w:p w14:paraId="693CFE66" w14:textId="2D35F9DB" w:rsidR="00972E0A" w:rsidRPr="00B46923" w:rsidRDefault="00B46923" w:rsidP="00B46923">
            <w:pPr>
              <w:spacing w:line="240" w:lineRule="auto"/>
              <w:contextualSpacing/>
              <w:jc w:val="center"/>
              <w:rPr>
                <w:rFonts w:eastAsia="Calibri" w:cs="Times New Roman"/>
                <w:sz w:val="16"/>
                <w:szCs w:val="16"/>
                <w:lang w:val="bg-BG"/>
              </w:rPr>
            </w:pPr>
            <w:r w:rsidRPr="00B46923">
              <w:rPr>
                <w:rFonts w:eastAsia="Calibri" w:cs="Times New Roman"/>
                <w:sz w:val="16"/>
                <w:szCs w:val="16"/>
                <w:lang w:val="bg-BG"/>
              </w:rPr>
              <w:t>Средна дневна стойност</w:t>
            </w:r>
          </w:p>
        </w:tc>
        <w:tc>
          <w:tcPr>
            <w:tcW w:w="452" w:type="pct"/>
            <w:shd w:val="clear" w:color="auto" w:fill="auto"/>
            <w:vAlign w:val="center"/>
          </w:tcPr>
          <w:p w14:paraId="63F88717" w14:textId="77777777" w:rsidR="00972E0A" w:rsidRPr="00B46923" w:rsidRDefault="00972E0A" w:rsidP="00BD770A">
            <w:pPr>
              <w:spacing w:line="240" w:lineRule="auto"/>
              <w:contextualSpacing/>
              <w:jc w:val="center"/>
              <w:rPr>
                <w:rFonts w:eastAsia="Calibri" w:cs="Times New Roman"/>
                <w:sz w:val="16"/>
                <w:szCs w:val="16"/>
                <w:lang w:val="bg-BG"/>
              </w:rPr>
            </w:pPr>
            <w:r w:rsidRPr="00B46923">
              <w:rPr>
                <w:rFonts w:eastAsia="Calibri" w:cs="Times New Roman"/>
                <w:sz w:val="16"/>
                <w:szCs w:val="16"/>
                <w:lang w:val="bg-BG"/>
              </w:rPr>
              <w:t>60,66</w:t>
            </w:r>
          </w:p>
        </w:tc>
        <w:tc>
          <w:tcPr>
            <w:tcW w:w="884" w:type="pct"/>
            <w:shd w:val="clear" w:color="auto" w:fill="auto"/>
            <w:vAlign w:val="center"/>
          </w:tcPr>
          <w:p w14:paraId="506356BF" w14:textId="77777777" w:rsidR="00972E0A" w:rsidRPr="00B46923" w:rsidRDefault="00972E0A" w:rsidP="00BD770A">
            <w:pPr>
              <w:spacing w:line="240" w:lineRule="auto"/>
              <w:contextualSpacing/>
              <w:jc w:val="center"/>
              <w:rPr>
                <w:rFonts w:eastAsia="Calibri" w:cs="Times New Roman"/>
                <w:sz w:val="16"/>
                <w:szCs w:val="16"/>
                <w:lang w:val="bg-BG"/>
              </w:rPr>
            </w:pPr>
            <w:r w:rsidRPr="00B46923">
              <w:rPr>
                <w:rFonts w:eastAsia="Calibri" w:cs="Times New Roman"/>
                <w:sz w:val="16"/>
                <w:szCs w:val="16"/>
                <w:lang w:val="bg-BG"/>
              </w:rPr>
              <w:t>35</w:t>
            </w:r>
          </w:p>
        </w:tc>
        <w:tc>
          <w:tcPr>
            <w:tcW w:w="706" w:type="pct"/>
            <w:shd w:val="clear" w:color="auto" w:fill="auto"/>
            <w:vAlign w:val="center"/>
          </w:tcPr>
          <w:p w14:paraId="0E03AB9D" w14:textId="77777777" w:rsidR="00972E0A" w:rsidRPr="00B46923" w:rsidRDefault="00972E0A" w:rsidP="00BD770A">
            <w:pPr>
              <w:spacing w:line="240" w:lineRule="auto"/>
              <w:contextualSpacing/>
              <w:jc w:val="center"/>
              <w:rPr>
                <w:rFonts w:eastAsia="Calibri" w:cs="Times New Roman"/>
                <w:sz w:val="16"/>
                <w:szCs w:val="16"/>
                <w:lang w:val="bg-BG"/>
              </w:rPr>
            </w:pPr>
            <w:r w:rsidRPr="00B46923">
              <w:rPr>
                <w:rFonts w:eastAsia="Calibri" w:cs="Times New Roman"/>
                <w:sz w:val="16"/>
                <w:szCs w:val="16"/>
                <w:lang w:val="bg-BG"/>
              </w:rPr>
              <w:t>50</w:t>
            </w:r>
          </w:p>
        </w:tc>
        <w:tc>
          <w:tcPr>
            <w:tcW w:w="732" w:type="pct"/>
            <w:shd w:val="clear" w:color="auto" w:fill="auto"/>
            <w:vAlign w:val="center"/>
          </w:tcPr>
          <w:p w14:paraId="3DDB71CA" w14:textId="77777777" w:rsidR="00972E0A" w:rsidRPr="00B46923" w:rsidRDefault="00972E0A" w:rsidP="00BD770A">
            <w:pPr>
              <w:spacing w:line="240" w:lineRule="auto"/>
              <w:contextualSpacing/>
              <w:jc w:val="center"/>
              <w:rPr>
                <w:rFonts w:eastAsia="Calibri" w:cs="Times New Roman"/>
                <w:sz w:val="16"/>
                <w:szCs w:val="16"/>
                <w:lang w:val="bg-BG"/>
              </w:rPr>
            </w:pPr>
            <w:r w:rsidRPr="00B46923">
              <w:rPr>
                <w:rFonts w:eastAsia="Calibri" w:cs="Times New Roman"/>
                <w:sz w:val="16"/>
                <w:szCs w:val="16"/>
                <w:lang w:val="bg-BG"/>
              </w:rPr>
              <w:t>&lt;PA; &lt;VL</w:t>
            </w:r>
          </w:p>
        </w:tc>
      </w:tr>
      <w:tr w:rsidR="00972E0A" w:rsidRPr="00695609" w14:paraId="119D44CB" w14:textId="77777777" w:rsidTr="00B46923">
        <w:trPr>
          <w:trHeight w:val="265"/>
          <w:jc w:val="center"/>
        </w:trPr>
        <w:tc>
          <w:tcPr>
            <w:tcW w:w="723" w:type="pct"/>
            <w:vMerge w:val="restart"/>
            <w:shd w:val="clear" w:color="auto" w:fill="auto"/>
            <w:vAlign w:val="center"/>
          </w:tcPr>
          <w:p w14:paraId="40FE904E" w14:textId="7FDEB9B4" w:rsidR="00972E0A" w:rsidRPr="00695609" w:rsidRDefault="00B46923" w:rsidP="00B46923">
            <w:pPr>
              <w:spacing w:line="240" w:lineRule="auto"/>
              <w:contextualSpacing/>
              <w:jc w:val="center"/>
              <w:rPr>
                <w:rFonts w:eastAsia="Calibri" w:cs="Times New Roman"/>
                <w:sz w:val="16"/>
                <w:szCs w:val="16"/>
                <w:lang w:val="bg-BG"/>
              </w:rPr>
            </w:pPr>
            <w:r w:rsidRPr="00B46923">
              <w:rPr>
                <w:rFonts w:eastAsia="Calibri" w:cs="Times New Roman"/>
                <w:sz w:val="16"/>
                <w:szCs w:val="16"/>
                <w:lang w:val="bg-BG"/>
              </w:rPr>
              <w:t>Експлоатация на машини и оборудване</w:t>
            </w:r>
          </w:p>
        </w:tc>
        <w:tc>
          <w:tcPr>
            <w:tcW w:w="654" w:type="pct"/>
            <w:shd w:val="clear" w:color="auto" w:fill="auto"/>
            <w:vAlign w:val="center"/>
          </w:tcPr>
          <w:p w14:paraId="00F2D4DC"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SO</w:t>
            </w:r>
            <w:r w:rsidRPr="00695609">
              <w:rPr>
                <w:rFonts w:eastAsia="Calibri" w:cs="Times New Roman"/>
                <w:sz w:val="16"/>
                <w:szCs w:val="16"/>
                <w:vertAlign w:val="subscript"/>
                <w:lang w:val="bg-BG"/>
              </w:rPr>
              <w:t>2</w:t>
            </w:r>
          </w:p>
        </w:tc>
        <w:tc>
          <w:tcPr>
            <w:tcW w:w="849" w:type="pct"/>
            <w:shd w:val="clear" w:color="auto" w:fill="auto"/>
            <w:vAlign w:val="center"/>
          </w:tcPr>
          <w:p w14:paraId="7EDCAB33" w14:textId="287FB3F0" w:rsidR="00972E0A" w:rsidRPr="00695609" w:rsidRDefault="00B46923" w:rsidP="00B46923">
            <w:pPr>
              <w:spacing w:line="240" w:lineRule="auto"/>
              <w:contextualSpacing/>
              <w:jc w:val="center"/>
              <w:rPr>
                <w:rFonts w:eastAsia="Calibri" w:cs="Times New Roman"/>
                <w:sz w:val="16"/>
                <w:szCs w:val="16"/>
                <w:lang w:val="bg-BG"/>
              </w:rPr>
            </w:pPr>
            <w:r w:rsidRPr="00B46923">
              <w:rPr>
                <w:rFonts w:eastAsia="Calibri" w:cs="Times New Roman"/>
                <w:sz w:val="16"/>
                <w:szCs w:val="16"/>
                <w:lang w:val="bg-BG"/>
              </w:rPr>
              <w:t>Почасов максимум</w:t>
            </w:r>
          </w:p>
        </w:tc>
        <w:tc>
          <w:tcPr>
            <w:tcW w:w="452" w:type="pct"/>
            <w:shd w:val="clear" w:color="auto" w:fill="auto"/>
            <w:vAlign w:val="center"/>
          </w:tcPr>
          <w:p w14:paraId="72A0B4F8"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1,3</w:t>
            </w:r>
          </w:p>
        </w:tc>
        <w:tc>
          <w:tcPr>
            <w:tcW w:w="884" w:type="pct"/>
            <w:shd w:val="clear" w:color="auto" w:fill="auto"/>
            <w:vAlign w:val="center"/>
          </w:tcPr>
          <w:p w14:paraId="1A4B73A0"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245</w:t>
            </w:r>
          </w:p>
        </w:tc>
        <w:tc>
          <w:tcPr>
            <w:tcW w:w="706" w:type="pct"/>
            <w:shd w:val="clear" w:color="auto" w:fill="auto"/>
            <w:vAlign w:val="center"/>
          </w:tcPr>
          <w:p w14:paraId="5B9F7965"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350</w:t>
            </w:r>
          </w:p>
        </w:tc>
        <w:tc>
          <w:tcPr>
            <w:tcW w:w="732" w:type="pct"/>
            <w:shd w:val="clear" w:color="auto" w:fill="auto"/>
            <w:vAlign w:val="center"/>
          </w:tcPr>
          <w:p w14:paraId="10010158"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&lt;PA; &lt;VL</w:t>
            </w:r>
          </w:p>
        </w:tc>
      </w:tr>
      <w:tr w:rsidR="00972E0A" w:rsidRPr="00695609" w14:paraId="6AFE8C64" w14:textId="77777777" w:rsidTr="00B46923">
        <w:trPr>
          <w:jc w:val="center"/>
        </w:trPr>
        <w:tc>
          <w:tcPr>
            <w:tcW w:w="723" w:type="pct"/>
            <w:vMerge/>
            <w:shd w:val="clear" w:color="auto" w:fill="auto"/>
            <w:vAlign w:val="center"/>
          </w:tcPr>
          <w:p w14:paraId="5964DF95" w14:textId="77777777" w:rsidR="00972E0A" w:rsidRPr="00695609" w:rsidRDefault="00972E0A" w:rsidP="00BD770A">
            <w:pPr>
              <w:spacing w:line="240" w:lineRule="auto"/>
              <w:contextualSpacing/>
              <w:jc w:val="center"/>
              <w:rPr>
                <w:rFonts w:eastAsia="Calibri" w:cs="Times New Roman"/>
                <w:sz w:val="16"/>
                <w:szCs w:val="16"/>
                <w:lang w:val="bg-BG"/>
              </w:rPr>
            </w:pPr>
          </w:p>
        </w:tc>
        <w:tc>
          <w:tcPr>
            <w:tcW w:w="654" w:type="pct"/>
            <w:shd w:val="clear" w:color="auto" w:fill="auto"/>
            <w:vAlign w:val="center"/>
          </w:tcPr>
          <w:p w14:paraId="0DE24E0B"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NO</w:t>
            </w:r>
            <w:r w:rsidRPr="00695609">
              <w:rPr>
                <w:rFonts w:eastAsia="Calibri" w:cs="Times New Roman"/>
                <w:sz w:val="16"/>
                <w:szCs w:val="16"/>
                <w:vertAlign w:val="subscript"/>
                <w:lang w:val="bg-BG"/>
              </w:rPr>
              <w:t>2</w:t>
            </w:r>
          </w:p>
        </w:tc>
        <w:tc>
          <w:tcPr>
            <w:tcW w:w="849" w:type="pct"/>
            <w:shd w:val="clear" w:color="auto" w:fill="auto"/>
            <w:vAlign w:val="center"/>
          </w:tcPr>
          <w:p w14:paraId="3DD8B996" w14:textId="044FD773" w:rsidR="00972E0A" w:rsidRPr="00695609" w:rsidRDefault="00B46923" w:rsidP="00B46923">
            <w:pPr>
              <w:spacing w:line="240" w:lineRule="auto"/>
              <w:contextualSpacing/>
              <w:jc w:val="center"/>
              <w:rPr>
                <w:rFonts w:eastAsia="Calibri" w:cs="Times New Roman"/>
                <w:sz w:val="16"/>
                <w:szCs w:val="16"/>
                <w:lang w:val="bg-BG"/>
              </w:rPr>
            </w:pPr>
            <w:r w:rsidRPr="00B46923">
              <w:rPr>
                <w:rFonts w:eastAsia="Calibri" w:cs="Times New Roman"/>
                <w:sz w:val="16"/>
                <w:szCs w:val="16"/>
                <w:lang w:val="bg-BG"/>
              </w:rPr>
              <w:t>Средна часова стойност</w:t>
            </w:r>
          </w:p>
        </w:tc>
        <w:tc>
          <w:tcPr>
            <w:tcW w:w="452" w:type="pct"/>
            <w:shd w:val="clear" w:color="auto" w:fill="auto"/>
            <w:vAlign w:val="center"/>
          </w:tcPr>
          <w:p w14:paraId="3E54952C"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239</w:t>
            </w:r>
          </w:p>
        </w:tc>
        <w:tc>
          <w:tcPr>
            <w:tcW w:w="884" w:type="pct"/>
            <w:shd w:val="clear" w:color="auto" w:fill="auto"/>
            <w:vAlign w:val="center"/>
          </w:tcPr>
          <w:p w14:paraId="4DEB7F1E"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140</w:t>
            </w:r>
          </w:p>
        </w:tc>
        <w:tc>
          <w:tcPr>
            <w:tcW w:w="706" w:type="pct"/>
            <w:shd w:val="clear" w:color="auto" w:fill="auto"/>
            <w:vAlign w:val="center"/>
          </w:tcPr>
          <w:p w14:paraId="5E787C56"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200</w:t>
            </w:r>
          </w:p>
        </w:tc>
        <w:tc>
          <w:tcPr>
            <w:tcW w:w="732" w:type="pct"/>
            <w:shd w:val="clear" w:color="auto" w:fill="auto"/>
            <w:vAlign w:val="center"/>
          </w:tcPr>
          <w:p w14:paraId="4F46D24C"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Calibri"/>
                <w:sz w:val="16"/>
                <w:szCs w:val="16"/>
                <w:lang w:val="bg-BG"/>
              </w:rPr>
              <w:t>&gt;</w:t>
            </w:r>
            <w:r w:rsidRPr="00695609">
              <w:rPr>
                <w:rFonts w:eastAsia="Calibri" w:cs="Times New Roman"/>
                <w:sz w:val="16"/>
                <w:szCs w:val="16"/>
                <w:lang w:val="bg-BG"/>
              </w:rPr>
              <w:t xml:space="preserve">PA; </w:t>
            </w:r>
            <w:r w:rsidRPr="00695609">
              <w:rPr>
                <w:rFonts w:eastAsia="Calibri" w:cs="Calibri"/>
                <w:sz w:val="16"/>
                <w:szCs w:val="16"/>
                <w:lang w:val="bg-BG"/>
              </w:rPr>
              <w:t>&gt;</w:t>
            </w:r>
            <w:r w:rsidRPr="00695609">
              <w:rPr>
                <w:rFonts w:eastAsia="Calibri" w:cs="Times New Roman"/>
                <w:sz w:val="16"/>
                <w:szCs w:val="16"/>
                <w:lang w:val="bg-BG"/>
              </w:rPr>
              <w:t>VL</w:t>
            </w:r>
          </w:p>
        </w:tc>
      </w:tr>
      <w:tr w:rsidR="00972E0A" w:rsidRPr="00695609" w14:paraId="5396E924" w14:textId="77777777" w:rsidTr="00B46923">
        <w:trPr>
          <w:jc w:val="center"/>
        </w:trPr>
        <w:tc>
          <w:tcPr>
            <w:tcW w:w="723" w:type="pct"/>
            <w:vMerge/>
            <w:shd w:val="clear" w:color="auto" w:fill="auto"/>
            <w:vAlign w:val="center"/>
          </w:tcPr>
          <w:p w14:paraId="425CCFEA" w14:textId="77777777" w:rsidR="00972E0A" w:rsidRPr="00695609" w:rsidRDefault="00972E0A" w:rsidP="00BD770A">
            <w:pPr>
              <w:spacing w:line="240" w:lineRule="auto"/>
              <w:contextualSpacing/>
              <w:jc w:val="center"/>
              <w:rPr>
                <w:rFonts w:eastAsia="Calibri" w:cs="Times New Roman"/>
                <w:sz w:val="16"/>
                <w:szCs w:val="16"/>
                <w:lang w:val="bg-BG"/>
              </w:rPr>
            </w:pPr>
          </w:p>
        </w:tc>
        <w:tc>
          <w:tcPr>
            <w:tcW w:w="654" w:type="pct"/>
            <w:shd w:val="clear" w:color="auto" w:fill="auto"/>
            <w:vAlign w:val="center"/>
          </w:tcPr>
          <w:p w14:paraId="7DA119F2"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PM</w:t>
            </w:r>
            <w:r w:rsidRPr="00695609">
              <w:rPr>
                <w:rFonts w:eastAsia="Calibri" w:cs="Times New Roman"/>
                <w:sz w:val="16"/>
                <w:szCs w:val="16"/>
                <w:vertAlign w:val="subscript"/>
                <w:lang w:val="bg-BG"/>
              </w:rPr>
              <w:t>10</w:t>
            </w:r>
          </w:p>
        </w:tc>
        <w:tc>
          <w:tcPr>
            <w:tcW w:w="849" w:type="pct"/>
            <w:shd w:val="clear" w:color="auto" w:fill="auto"/>
            <w:vAlign w:val="center"/>
          </w:tcPr>
          <w:p w14:paraId="286D663B" w14:textId="375B2D42" w:rsidR="00972E0A" w:rsidRPr="00695609" w:rsidRDefault="00B46923" w:rsidP="00B46923">
            <w:pPr>
              <w:spacing w:line="240" w:lineRule="auto"/>
              <w:contextualSpacing/>
              <w:jc w:val="center"/>
              <w:rPr>
                <w:rFonts w:eastAsia="Calibri" w:cs="Times New Roman"/>
                <w:sz w:val="16"/>
                <w:szCs w:val="16"/>
                <w:lang w:val="bg-BG"/>
              </w:rPr>
            </w:pPr>
            <w:r w:rsidRPr="00B46923">
              <w:rPr>
                <w:rFonts w:eastAsia="Calibri" w:cs="Times New Roman"/>
                <w:sz w:val="16"/>
                <w:szCs w:val="16"/>
                <w:lang w:val="bg-BG"/>
              </w:rPr>
              <w:t>Средногодишна стойност</w:t>
            </w:r>
          </w:p>
        </w:tc>
        <w:tc>
          <w:tcPr>
            <w:tcW w:w="452" w:type="pct"/>
            <w:shd w:val="clear" w:color="auto" w:fill="auto"/>
            <w:vAlign w:val="center"/>
          </w:tcPr>
          <w:p w14:paraId="07F7AF18"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1,62</w:t>
            </w:r>
          </w:p>
        </w:tc>
        <w:tc>
          <w:tcPr>
            <w:tcW w:w="884" w:type="pct"/>
            <w:shd w:val="clear" w:color="auto" w:fill="auto"/>
            <w:vAlign w:val="center"/>
          </w:tcPr>
          <w:p w14:paraId="4404CE09"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35</w:t>
            </w:r>
          </w:p>
        </w:tc>
        <w:tc>
          <w:tcPr>
            <w:tcW w:w="706" w:type="pct"/>
            <w:shd w:val="clear" w:color="auto" w:fill="auto"/>
            <w:vAlign w:val="center"/>
          </w:tcPr>
          <w:p w14:paraId="07611075"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40</w:t>
            </w:r>
          </w:p>
        </w:tc>
        <w:tc>
          <w:tcPr>
            <w:tcW w:w="732" w:type="pct"/>
            <w:shd w:val="clear" w:color="auto" w:fill="auto"/>
            <w:vAlign w:val="center"/>
          </w:tcPr>
          <w:p w14:paraId="31C0FC2C"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&lt;PA; &lt;VL</w:t>
            </w:r>
          </w:p>
        </w:tc>
      </w:tr>
      <w:tr w:rsidR="00972E0A" w:rsidRPr="00695609" w14:paraId="70A9FE1F" w14:textId="77777777" w:rsidTr="00B46923">
        <w:trPr>
          <w:jc w:val="center"/>
        </w:trPr>
        <w:tc>
          <w:tcPr>
            <w:tcW w:w="723" w:type="pct"/>
            <w:vMerge/>
            <w:shd w:val="clear" w:color="auto" w:fill="auto"/>
            <w:vAlign w:val="center"/>
          </w:tcPr>
          <w:p w14:paraId="5F7AFD04" w14:textId="77777777" w:rsidR="00972E0A" w:rsidRPr="00695609" w:rsidRDefault="00972E0A" w:rsidP="00BD770A">
            <w:pPr>
              <w:spacing w:line="240" w:lineRule="auto"/>
              <w:contextualSpacing/>
              <w:jc w:val="center"/>
              <w:rPr>
                <w:rFonts w:eastAsia="Calibri" w:cs="Times New Roman"/>
                <w:sz w:val="16"/>
                <w:szCs w:val="16"/>
                <w:lang w:val="bg-BG"/>
              </w:rPr>
            </w:pPr>
          </w:p>
        </w:tc>
        <w:tc>
          <w:tcPr>
            <w:tcW w:w="654" w:type="pct"/>
            <w:shd w:val="clear" w:color="auto" w:fill="auto"/>
            <w:vAlign w:val="center"/>
          </w:tcPr>
          <w:p w14:paraId="0C4974B9"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CO</w:t>
            </w:r>
          </w:p>
        </w:tc>
        <w:tc>
          <w:tcPr>
            <w:tcW w:w="849" w:type="pct"/>
            <w:shd w:val="clear" w:color="auto" w:fill="auto"/>
            <w:vAlign w:val="center"/>
          </w:tcPr>
          <w:p w14:paraId="790F90C1" w14:textId="0060DE37" w:rsidR="00972E0A" w:rsidRPr="00695609" w:rsidRDefault="00B46923" w:rsidP="00B46923">
            <w:pPr>
              <w:spacing w:line="240" w:lineRule="auto"/>
              <w:contextualSpacing/>
              <w:jc w:val="center"/>
              <w:rPr>
                <w:rFonts w:eastAsia="Calibri" w:cs="Times New Roman"/>
                <w:sz w:val="16"/>
                <w:szCs w:val="16"/>
                <w:lang w:val="bg-BG"/>
              </w:rPr>
            </w:pPr>
            <w:r w:rsidRPr="00B46923">
              <w:rPr>
                <w:rFonts w:eastAsia="Calibri" w:cs="Times New Roman"/>
                <w:sz w:val="16"/>
                <w:szCs w:val="16"/>
                <w:lang w:val="bg-BG"/>
              </w:rPr>
              <w:t>Максимална 8-часова средна стойност</w:t>
            </w:r>
          </w:p>
        </w:tc>
        <w:tc>
          <w:tcPr>
            <w:tcW w:w="452" w:type="pct"/>
            <w:shd w:val="clear" w:color="auto" w:fill="auto"/>
            <w:vAlign w:val="center"/>
          </w:tcPr>
          <w:p w14:paraId="65313B1D"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0,0334</w:t>
            </w:r>
          </w:p>
        </w:tc>
        <w:tc>
          <w:tcPr>
            <w:tcW w:w="884" w:type="pct"/>
            <w:shd w:val="clear" w:color="auto" w:fill="auto"/>
            <w:vAlign w:val="center"/>
          </w:tcPr>
          <w:p w14:paraId="2CB5C33E"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7000</w:t>
            </w:r>
          </w:p>
        </w:tc>
        <w:tc>
          <w:tcPr>
            <w:tcW w:w="706" w:type="pct"/>
            <w:shd w:val="clear" w:color="auto" w:fill="auto"/>
            <w:vAlign w:val="center"/>
          </w:tcPr>
          <w:p w14:paraId="540FF717"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10000</w:t>
            </w:r>
          </w:p>
        </w:tc>
        <w:tc>
          <w:tcPr>
            <w:tcW w:w="732" w:type="pct"/>
            <w:shd w:val="clear" w:color="auto" w:fill="auto"/>
            <w:vAlign w:val="center"/>
          </w:tcPr>
          <w:p w14:paraId="038717D5" w14:textId="77777777" w:rsidR="00972E0A" w:rsidRPr="00695609" w:rsidRDefault="00972E0A"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&lt;PA; &lt;VL</w:t>
            </w:r>
          </w:p>
        </w:tc>
      </w:tr>
    </w:tbl>
    <w:p w14:paraId="65FB8D6C" w14:textId="77777777" w:rsidR="00B46923" w:rsidRPr="00B46923" w:rsidRDefault="00B46923" w:rsidP="00B46923">
      <w:pPr>
        <w:pStyle w:val="Caption"/>
        <w:jc w:val="both"/>
        <w:rPr>
          <w:sz w:val="16"/>
          <w:szCs w:val="16"/>
          <w:lang w:val="bg-BG"/>
        </w:rPr>
      </w:pPr>
      <w:r w:rsidRPr="00B46923">
        <w:rPr>
          <w:sz w:val="16"/>
          <w:szCs w:val="16"/>
          <w:lang w:val="bg-BG"/>
        </w:rPr>
        <w:t>Таблица 3- 2 Сравнение между максималните концентрации и граничните стойности</w:t>
      </w:r>
    </w:p>
    <w:tbl>
      <w:tblPr>
        <w:tblW w:w="11085" w:type="dxa"/>
        <w:tblInd w:w="-572"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000" w:firstRow="0" w:lastRow="0" w:firstColumn="0" w:lastColumn="0" w:noHBand="0" w:noVBand="0"/>
      </w:tblPr>
      <w:tblGrid>
        <w:gridCol w:w="2041"/>
        <w:gridCol w:w="1047"/>
        <w:gridCol w:w="1257"/>
        <w:gridCol w:w="838"/>
        <w:gridCol w:w="1257"/>
        <w:gridCol w:w="1230"/>
        <w:gridCol w:w="1330"/>
        <w:gridCol w:w="1130"/>
        <w:gridCol w:w="955"/>
      </w:tblGrid>
      <w:tr w:rsidR="007C1D62" w:rsidRPr="009F5BA0" w14:paraId="77B094DF" w14:textId="77777777" w:rsidTr="007C1D62">
        <w:trPr>
          <w:trHeight w:val="899"/>
        </w:trPr>
        <w:tc>
          <w:tcPr>
            <w:tcW w:w="2041" w:type="dxa"/>
            <w:shd w:val="clear" w:color="auto" w:fill="00A2E8"/>
            <w:vAlign w:val="center"/>
          </w:tcPr>
          <w:p w14:paraId="33DED58F" w14:textId="77777777" w:rsidR="007C1D62" w:rsidRPr="00B03282" w:rsidRDefault="007C1D62" w:rsidP="007D0127">
            <w:pPr>
              <w:spacing w:line="240" w:lineRule="auto"/>
              <w:contextualSpacing/>
              <w:jc w:val="center"/>
              <w:rPr>
                <w:rFonts w:eastAsia="Calibri" w:cs="Times New Roman"/>
                <w:b/>
                <w:color w:val="FFFFFF"/>
                <w:sz w:val="16"/>
                <w:szCs w:val="16"/>
                <w:lang w:val="bg-BG"/>
              </w:rPr>
            </w:pPr>
            <w:r w:rsidRPr="00B03282">
              <w:rPr>
                <w:rFonts w:eastAsia="Calibri" w:cs="Times New Roman"/>
                <w:b/>
                <w:bCs/>
                <w:color w:val="FFFFFF"/>
                <w:sz w:val="16"/>
                <w:szCs w:val="16"/>
                <w:lang w:val="bg-BG"/>
              </w:rPr>
              <w:t>Източник:</w:t>
            </w:r>
          </w:p>
          <w:p w14:paraId="06B399F5" w14:textId="77777777" w:rsidR="007C1D62" w:rsidRPr="009F5BA0" w:rsidRDefault="007C1D62" w:rsidP="007D0127">
            <w:pPr>
              <w:spacing w:line="240" w:lineRule="auto"/>
              <w:contextualSpacing/>
              <w:jc w:val="center"/>
              <w:rPr>
                <w:rFonts w:eastAsia="Calibri" w:cs="Times New Roman"/>
                <w:b/>
                <w:color w:val="FFFFFF"/>
                <w:sz w:val="16"/>
                <w:szCs w:val="16"/>
                <w:lang w:val="bg-BG"/>
              </w:rPr>
            </w:pPr>
          </w:p>
        </w:tc>
        <w:tc>
          <w:tcPr>
            <w:tcW w:w="1047" w:type="dxa"/>
            <w:shd w:val="clear" w:color="auto" w:fill="00A2E8"/>
            <w:vAlign w:val="center"/>
          </w:tcPr>
          <w:p w14:paraId="3325F8AA" w14:textId="77777777" w:rsidR="007C1D62" w:rsidRPr="009F5BA0" w:rsidRDefault="007C1D62" w:rsidP="007D0127">
            <w:pPr>
              <w:spacing w:line="240" w:lineRule="auto"/>
              <w:contextualSpacing/>
              <w:jc w:val="center"/>
              <w:rPr>
                <w:rFonts w:eastAsia="Calibri" w:cs="Times New Roman"/>
                <w:b/>
                <w:color w:val="FFFFFF"/>
                <w:sz w:val="16"/>
                <w:szCs w:val="16"/>
                <w:lang w:val="bg-BG"/>
              </w:rPr>
            </w:pPr>
            <w:r w:rsidRPr="009F5BA0">
              <w:rPr>
                <w:rFonts w:eastAsia="Calibri" w:cs="Times New Roman"/>
                <w:b/>
                <w:bCs/>
                <w:color w:val="FFFFFF"/>
                <w:sz w:val="16"/>
                <w:szCs w:val="16"/>
                <w:lang w:val="bg-BG"/>
              </w:rPr>
              <w:t>Разстояние между точката на максимална концентрация и приемника</w:t>
            </w:r>
            <w:r w:rsidRPr="009F5BA0">
              <w:rPr>
                <w:rFonts w:eastAsia="Calibri" w:cs="Times New Roman"/>
                <w:b/>
                <w:color w:val="FFFFFF"/>
                <w:sz w:val="16"/>
                <w:szCs w:val="16"/>
                <w:lang w:val="bg-BG"/>
              </w:rPr>
              <w:t xml:space="preserve"> </w:t>
            </w:r>
          </w:p>
          <w:p w14:paraId="52C14F20" w14:textId="77777777" w:rsidR="007C1D62" w:rsidRPr="009F5BA0" w:rsidRDefault="007C1D62" w:rsidP="007D0127">
            <w:pPr>
              <w:spacing w:line="240" w:lineRule="auto"/>
              <w:contextualSpacing/>
              <w:jc w:val="center"/>
              <w:rPr>
                <w:rFonts w:eastAsia="Calibri" w:cs="Times New Roman"/>
                <w:b/>
                <w:color w:val="FFFFFF"/>
                <w:sz w:val="16"/>
                <w:szCs w:val="16"/>
                <w:lang w:val="bg-BG"/>
              </w:rPr>
            </w:pPr>
            <w:r w:rsidRPr="009F5BA0">
              <w:rPr>
                <w:rFonts w:eastAsia="Calibri" w:cs="Times New Roman"/>
                <w:b/>
                <w:color w:val="FFFFFF"/>
                <w:sz w:val="16"/>
                <w:szCs w:val="16"/>
                <w:lang w:val="bg-BG"/>
              </w:rPr>
              <w:t>(км)</w:t>
            </w:r>
          </w:p>
        </w:tc>
        <w:tc>
          <w:tcPr>
            <w:tcW w:w="1257" w:type="dxa"/>
            <w:shd w:val="clear" w:color="auto" w:fill="00A2E8"/>
            <w:vAlign w:val="center"/>
          </w:tcPr>
          <w:p w14:paraId="5D054F65" w14:textId="77777777" w:rsidR="007C1D62" w:rsidRPr="009F5BA0" w:rsidRDefault="007C1D62" w:rsidP="007D0127">
            <w:pPr>
              <w:spacing w:line="240" w:lineRule="auto"/>
              <w:contextualSpacing/>
              <w:jc w:val="center"/>
              <w:rPr>
                <w:rFonts w:eastAsia="Calibri" w:cs="Times New Roman"/>
                <w:b/>
                <w:color w:val="FFFFFF"/>
                <w:sz w:val="16"/>
                <w:szCs w:val="16"/>
                <w:lang w:val="bg-BG"/>
              </w:rPr>
            </w:pPr>
            <w:r w:rsidRPr="009F5BA0">
              <w:rPr>
                <w:rFonts w:eastAsia="Calibri" w:cs="Times New Roman"/>
                <w:b/>
                <w:bCs/>
                <w:color w:val="FFFFFF"/>
                <w:sz w:val="16"/>
                <w:szCs w:val="16"/>
                <w:lang w:val="bg-BG"/>
              </w:rPr>
              <w:t>Концентрация/обхват на концентрациите при чувствителните рецептори</w:t>
            </w:r>
          </w:p>
          <w:p w14:paraId="2FC3CE8D" w14:textId="77777777" w:rsidR="007C1D62" w:rsidRPr="009F5BA0" w:rsidRDefault="007C1D62" w:rsidP="007D0127">
            <w:pPr>
              <w:spacing w:line="240" w:lineRule="auto"/>
              <w:contextualSpacing/>
              <w:jc w:val="center"/>
              <w:rPr>
                <w:rFonts w:eastAsia="Calibri" w:cs="Times New Roman"/>
                <w:b/>
                <w:color w:val="FFFFFF"/>
                <w:sz w:val="16"/>
                <w:szCs w:val="16"/>
                <w:lang w:val="bg-BG"/>
              </w:rPr>
            </w:pPr>
            <w:r w:rsidRPr="009F5BA0">
              <w:rPr>
                <w:rFonts w:eastAsia="Calibri" w:cs="Times New Roman"/>
                <w:b/>
                <w:color w:val="FFFFFF"/>
                <w:sz w:val="16"/>
                <w:szCs w:val="16"/>
                <w:lang w:val="bg-BG"/>
              </w:rPr>
              <w:t>(</w:t>
            </w:r>
            <w:r w:rsidRPr="009F5BA0">
              <w:rPr>
                <w:rFonts w:eastAsia="Calibri" w:cs="Times New Roman"/>
                <w:b/>
                <w:color w:val="FFFFFF"/>
                <w:sz w:val="16"/>
                <w:szCs w:val="16"/>
                <w:lang w:val="bg-BG"/>
              </w:rPr>
              <w:sym w:font="Symbol" w:char="F06D"/>
            </w:r>
            <w:r w:rsidRPr="009F5BA0">
              <w:rPr>
                <w:rFonts w:eastAsia="Calibri" w:cs="Times New Roman"/>
                <w:b/>
                <w:color w:val="FFFFFF"/>
                <w:sz w:val="16"/>
                <w:szCs w:val="16"/>
                <w:lang w:val="bg-BG"/>
              </w:rPr>
              <w:t>г/м</w:t>
            </w:r>
            <w:r w:rsidRPr="009F5BA0">
              <w:rPr>
                <w:rFonts w:eastAsia="Calibri" w:cs="Times New Roman"/>
                <w:b/>
                <w:color w:val="FFFFFF"/>
                <w:sz w:val="16"/>
                <w:szCs w:val="16"/>
                <w:vertAlign w:val="superscript"/>
                <w:lang w:val="bg-BG"/>
              </w:rPr>
              <w:t>3</w:t>
            </w:r>
            <w:r w:rsidRPr="009F5BA0">
              <w:rPr>
                <w:rFonts w:eastAsia="Calibri" w:cs="Times New Roman"/>
                <w:b/>
                <w:color w:val="FFFFFF"/>
                <w:sz w:val="16"/>
                <w:szCs w:val="16"/>
                <w:lang w:val="bg-BG"/>
              </w:rPr>
              <w:t>)</w:t>
            </w:r>
          </w:p>
        </w:tc>
        <w:tc>
          <w:tcPr>
            <w:tcW w:w="838" w:type="dxa"/>
            <w:shd w:val="clear" w:color="auto" w:fill="00A2E8"/>
            <w:vAlign w:val="center"/>
          </w:tcPr>
          <w:p w14:paraId="05D7D08B" w14:textId="77777777" w:rsidR="007C1D62" w:rsidRPr="009F5BA0" w:rsidRDefault="007C1D62" w:rsidP="007D0127">
            <w:pPr>
              <w:spacing w:line="240" w:lineRule="auto"/>
              <w:contextualSpacing/>
              <w:jc w:val="center"/>
              <w:rPr>
                <w:rFonts w:eastAsia="Calibri" w:cs="Times New Roman"/>
                <w:b/>
                <w:color w:val="FFFFFF"/>
                <w:sz w:val="16"/>
                <w:szCs w:val="16"/>
                <w:lang w:val="bg-BG"/>
              </w:rPr>
            </w:pPr>
            <w:r w:rsidRPr="009F5BA0">
              <w:rPr>
                <w:rFonts w:eastAsia="Calibri" w:cs="Times New Roman"/>
                <w:b/>
                <w:bCs/>
                <w:color w:val="FFFFFF"/>
                <w:sz w:val="16"/>
                <w:szCs w:val="16"/>
                <w:lang w:val="bg-BG"/>
              </w:rPr>
              <w:t>Пределна стойност</w:t>
            </w:r>
          </w:p>
          <w:p w14:paraId="43680564" w14:textId="77777777" w:rsidR="007C1D62" w:rsidRPr="009F5BA0" w:rsidRDefault="007C1D62" w:rsidP="007D0127">
            <w:pPr>
              <w:spacing w:line="240" w:lineRule="auto"/>
              <w:contextualSpacing/>
              <w:jc w:val="center"/>
              <w:rPr>
                <w:rFonts w:eastAsia="Calibri" w:cs="Times New Roman"/>
                <w:b/>
                <w:color w:val="FFFFFF"/>
                <w:sz w:val="16"/>
                <w:szCs w:val="16"/>
                <w:lang w:val="bg-BG"/>
              </w:rPr>
            </w:pPr>
            <w:r w:rsidRPr="009F5BA0">
              <w:rPr>
                <w:rFonts w:eastAsia="Calibri" w:cs="Times New Roman"/>
                <w:b/>
                <w:color w:val="FFFFFF"/>
                <w:sz w:val="16"/>
                <w:szCs w:val="16"/>
                <w:lang w:val="bg-BG"/>
              </w:rPr>
              <w:t>(</w:t>
            </w:r>
            <w:r w:rsidRPr="009F5BA0">
              <w:rPr>
                <w:rFonts w:eastAsia="Calibri" w:cs="Times New Roman"/>
                <w:b/>
                <w:color w:val="FFFFFF"/>
                <w:sz w:val="16"/>
                <w:szCs w:val="16"/>
                <w:lang w:val="bg-BG"/>
              </w:rPr>
              <w:sym w:font="Symbol" w:char="F06D"/>
            </w:r>
            <w:r w:rsidRPr="009F5BA0">
              <w:rPr>
                <w:rFonts w:eastAsia="Calibri" w:cs="Times New Roman"/>
                <w:b/>
                <w:color w:val="FFFFFF"/>
                <w:sz w:val="16"/>
                <w:szCs w:val="16"/>
                <w:lang w:val="bg-BG"/>
              </w:rPr>
              <w:t>г/м</w:t>
            </w:r>
            <w:r w:rsidRPr="009F5BA0">
              <w:rPr>
                <w:rFonts w:eastAsia="Calibri" w:cs="Times New Roman"/>
                <w:b/>
                <w:color w:val="FFFFFF"/>
                <w:sz w:val="16"/>
                <w:szCs w:val="16"/>
                <w:vertAlign w:val="superscript"/>
                <w:lang w:val="bg-BG"/>
              </w:rPr>
              <w:t>3</w:t>
            </w:r>
            <w:r w:rsidRPr="009F5BA0">
              <w:rPr>
                <w:rFonts w:eastAsia="Calibri" w:cs="Times New Roman"/>
                <w:b/>
                <w:color w:val="FFFFFF"/>
                <w:sz w:val="16"/>
                <w:szCs w:val="16"/>
                <w:lang w:val="bg-BG"/>
              </w:rPr>
              <w:t>)</w:t>
            </w:r>
          </w:p>
        </w:tc>
        <w:tc>
          <w:tcPr>
            <w:tcW w:w="1257" w:type="dxa"/>
            <w:shd w:val="clear" w:color="auto" w:fill="00A2E8"/>
            <w:vAlign w:val="center"/>
          </w:tcPr>
          <w:p w14:paraId="08A39D35" w14:textId="77777777" w:rsidR="007C1D62" w:rsidRPr="009F5BA0" w:rsidRDefault="007C1D62" w:rsidP="007D0127">
            <w:pPr>
              <w:spacing w:line="240" w:lineRule="auto"/>
              <w:contextualSpacing/>
              <w:jc w:val="center"/>
              <w:rPr>
                <w:rFonts w:eastAsia="Calibri" w:cs="Times New Roman"/>
                <w:b/>
                <w:color w:val="FFFFFF"/>
                <w:sz w:val="16"/>
                <w:szCs w:val="16"/>
                <w:lang w:val="bg-BG"/>
              </w:rPr>
            </w:pPr>
            <w:r w:rsidRPr="009F5BA0">
              <w:rPr>
                <w:rFonts w:eastAsia="Calibri" w:cs="Times New Roman"/>
                <w:b/>
                <w:bCs/>
                <w:color w:val="FFFFFF"/>
                <w:sz w:val="16"/>
                <w:szCs w:val="16"/>
                <w:lang w:val="bg-BG"/>
              </w:rPr>
              <w:t>Горен оценъчен праг за защита на растителността</w:t>
            </w:r>
            <w:r w:rsidRPr="009F5BA0">
              <w:rPr>
                <w:rFonts w:eastAsia="Calibri" w:cs="Times New Roman"/>
                <w:b/>
                <w:color w:val="FFFFFF"/>
                <w:sz w:val="16"/>
                <w:szCs w:val="16"/>
                <w:lang w:val="bg-BG"/>
              </w:rPr>
              <w:t xml:space="preserve"> </w:t>
            </w:r>
          </w:p>
          <w:p w14:paraId="07D29F7F" w14:textId="77777777" w:rsidR="007C1D62" w:rsidRPr="009F5BA0" w:rsidRDefault="007C1D62" w:rsidP="007D0127">
            <w:pPr>
              <w:spacing w:line="240" w:lineRule="auto"/>
              <w:contextualSpacing/>
              <w:jc w:val="center"/>
              <w:rPr>
                <w:rFonts w:eastAsia="Calibri" w:cs="Times New Roman"/>
                <w:b/>
                <w:color w:val="FFFFFF"/>
                <w:sz w:val="16"/>
                <w:szCs w:val="16"/>
                <w:lang w:val="bg-BG"/>
              </w:rPr>
            </w:pPr>
            <w:r w:rsidRPr="009F5BA0">
              <w:rPr>
                <w:rFonts w:eastAsia="Calibri" w:cs="Times New Roman"/>
                <w:b/>
                <w:color w:val="FFFFFF"/>
                <w:sz w:val="16"/>
                <w:szCs w:val="16"/>
                <w:lang w:val="bg-BG"/>
              </w:rPr>
              <w:t>((</w:t>
            </w:r>
            <w:r w:rsidRPr="009F5BA0">
              <w:rPr>
                <w:rFonts w:eastAsia="Calibri" w:cs="Times New Roman"/>
                <w:b/>
                <w:color w:val="FFFFFF"/>
                <w:sz w:val="16"/>
                <w:szCs w:val="16"/>
                <w:lang w:val="bg-BG"/>
              </w:rPr>
              <w:sym w:font="Symbol" w:char="F06D"/>
            </w:r>
            <w:r w:rsidRPr="009F5BA0">
              <w:rPr>
                <w:rFonts w:eastAsia="Calibri" w:cs="Times New Roman"/>
                <w:b/>
                <w:color w:val="FFFFFF"/>
                <w:sz w:val="16"/>
                <w:szCs w:val="16"/>
                <w:lang w:val="bg-BG"/>
              </w:rPr>
              <w:t>г/м</w:t>
            </w:r>
            <w:r w:rsidRPr="009F5BA0">
              <w:rPr>
                <w:rFonts w:eastAsia="Calibri" w:cs="Times New Roman"/>
                <w:b/>
                <w:color w:val="FFFFFF"/>
                <w:sz w:val="16"/>
                <w:szCs w:val="16"/>
                <w:vertAlign w:val="superscript"/>
                <w:lang w:val="bg-BG"/>
              </w:rPr>
              <w:t>3</w:t>
            </w:r>
            <w:r w:rsidRPr="009F5BA0">
              <w:rPr>
                <w:rFonts w:eastAsia="Calibri" w:cs="Times New Roman"/>
                <w:b/>
                <w:color w:val="FFFFFF"/>
                <w:sz w:val="16"/>
                <w:szCs w:val="16"/>
                <w:lang w:val="bg-BG"/>
              </w:rPr>
              <w:t>)</w:t>
            </w:r>
          </w:p>
        </w:tc>
        <w:tc>
          <w:tcPr>
            <w:tcW w:w="1230" w:type="dxa"/>
            <w:shd w:val="clear" w:color="auto" w:fill="00A2E8"/>
            <w:vAlign w:val="center"/>
          </w:tcPr>
          <w:p w14:paraId="363D892E" w14:textId="77777777" w:rsidR="007C1D62" w:rsidRPr="009F5BA0" w:rsidRDefault="007C1D62" w:rsidP="007D0127">
            <w:pPr>
              <w:spacing w:line="240" w:lineRule="auto"/>
              <w:contextualSpacing/>
              <w:jc w:val="center"/>
              <w:rPr>
                <w:rFonts w:eastAsia="Calibri" w:cs="Times New Roman"/>
                <w:b/>
                <w:color w:val="FFFFFF"/>
                <w:sz w:val="16"/>
                <w:szCs w:val="16"/>
                <w:lang w:val="bg-BG"/>
              </w:rPr>
            </w:pPr>
            <w:r w:rsidRPr="009F5BA0">
              <w:rPr>
                <w:rFonts w:eastAsia="Calibri" w:cs="Times New Roman"/>
                <w:b/>
                <w:bCs/>
                <w:color w:val="FFFFFF"/>
                <w:sz w:val="16"/>
                <w:szCs w:val="16"/>
                <w:lang w:val="bg-BG"/>
              </w:rPr>
              <w:t>По-нисък праг на оценка за защита на растителността</w:t>
            </w:r>
            <w:r w:rsidRPr="009F5BA0">
              <w:rPr>
                <w:rFonts w:eastAsia="Calibri" w:cs="Times New Roman"/>
                <w:b/>
                <w:color w:val="FFFFFF"/>
                <w:sz w:val="16"/>
                <w:szCs w:val="16"/>
                <w:lang w:val="bg-BG"/>
              </w:rPr>
              <w:t xml:space="preserve"> </w:t>
            </w:r>
          </w:p>
          <w:p w14:paraId="71C46C78" w14:textId="77777777" w:rsidR="007C1D62" w:rsidRPr="009F5BA0" w:rsidRDefault="007C1D62" w:rsidP="007D0127">
            <w:pPr>
              <w:spacing w:line="240" w:lineRule="auto"/>
              <w:contextualSpacing/>
              <w:jc w:val="center"/>
              <w:rPr>
                <w:rFonts w:eastAsia="Calibri" w:cs="Times New Roman"/>
                <w:b/>
                <w:color w:val="FFFFFF"/>
                <w:sz w:val="16"/>
                <w:szCs w:val="16"/>
                <w:lang w:val="bg-BG"/>
              </w:rPr>
            </w:pPr>
            <w:r w:rsidRPr="009F5BA0">
              <w:rPr>
                <w:rFonts w:eastAsia="Calibri" w:cs="Times New Roman"/>
                <w:b/>
                <w:color w:val="FFFFFF"/>
                <w:sz w:val="16"/>
                <w:szCs w:val="16"/>
                <w:lang w:val="bg-BG"/>
              </w:rPr>
              <w:t>((</w:t>
            </w:r>
            <w:r w:rsidRPr="009F5BA0">
              <w:rPr>
                <w:rFonts w:eastAsia="Calibri" w:cs="Times New Roman"/>
                <w:b/>
                <w:color w:val="FFFFFF"/>
                <w:sz w:val="16"/>
                <w:szCs w:val="16"/>
                <w:lang w:val="bg-BG"/>
              </w:rPr>
              <w:sym w:font="Symbol" w:char="F06D"/>
            </w:r>
            <w:r w:rsidRPr="009F5BA0">
              <w:rPr>
                <w:rFonts w:eastAsia="Calibri" w:cs="Times New Roman"/>
                <w:b/>
                <w:color w:val="FFFFFF"/>
                <w:sz w:val="16"/>
                <w:szCs w:val="16"/>
                <w:lang w:val="bg-BG"/>
              </w:rPr>
              <w:t>г/м</w:t>
            </w:r>
            <w:r w:rsidRPr="009F5BA0">
              <w:rPr>
                <w:rFonts w:eastAsia="Calibri" w:cs="Times New Roman"/>
                <w:b/>
                <w:color w:val="FFFFFF"/>
                <w:sz w:val="16"/>
                <w:szCs w:val="16"/>
                <w:vertAlign w:val="superscript"/>
                <w:lang w:val="bg-BG"/>
              </w:rPr>
              <w:t>3</w:t>
            </w:r>
            <w:r w:rsidRPr="009F5BA0">
              <w:rPr>
                <w:rFonts w:eastAsia="Calibri" w:cs="Times New Roman"/>
                <w:b/>
                <w:color w:val="FFFFFF"/>
                <w:sz w:val="16"/>
                <w:szCs w:val="16"/>
                <w:lang w:val="bg-BG"/>
              </w:rPr>
              <w:t>)</w:t>
            </w:r>
          </w:p>
        </w:tc>
        <w:tc>
          <w:tcPr>
            <w:tcW w:w="1330" w:type="dxa"/>
            <w:shd w:val="clear" w:color="auto" w:fill="00A2E8"/>
            <w:vAlign w:val="center"/>
          </w:tcPr>
          <w:p w14:paraId="178231BB" w14:textId="77777777" w:rsidR="007C1D62" w:rsidRPr="009F5BA0" w:rsidRDefault="007C1D62" w:rsidP="007D0127">
            <w:pPr>
              <w:spacing w:line="240" w:lineRule="auto"/>
              <w:contextualSpacing/>
              <w:jc w:val="center"/>
              <w:rPr>
                <w:rFonts w:eastAsia="Calibri" w:cs="Times New Roman"/>
                <w:b/>
                <w:color w:val="FFFFFF"/>
                <w:sz w:val="16"/>
                <w:szCs w:val="16"/>
                <w:lang w:val="bg-BG"/>
              </w:rPr>
            </w:pPr>
            <w:r w:rsidRPr="009F5BA0">
              <w:rPr>
                <w:rFonts w:eastAsia="Calibri" w:cs="Times New Roman"/>
                <w:b/>
                <w:bCs/>
                <w:color w:val="FFFFFF"/>
                <w:sz w:val="16"/>
                <w:szCs w:val="16"/>
                <w:lang w:val="bg-BG"/>
              </w:rPr>
              <w:t>Горен оценъчен праг за опазване на здравето</w:t>
            </w:r>
            <w:r w:rsidRPr="009F5BA0">
              <w:rPr>
                <w:rFonts w:eastAsia="Calibri" w:cs="Times New Roman"/>
                <w:b/>
                <w:color w:val="FFFFFF"/>
                <w:sz w:val="16"/>
                <w:szCs w:val="16"/>
                <w:lang w:val="bg-BG"/>
              </w:rPr>
              <w:t xml:space="preserve"> </w:t>
            </w:r>
          </w:p>
          <w:p w14:paraId="78BA8967" w14:textId="77777777" w:rsidR="007C1D62" w:rsidRPr="009F5BA0" w:rsidRDefault="007C1D62" w:rsidP="007D0127">
            <w:pPr>
              <w:spacing w:line="240" w:lineRule="auto"/>
              <w:contextualSpacing/>
              <w:jc w:val="center"/>
              <w:rPr>
                <w:rFonts w:eastAsia="Calibri" w:cs="Times New Roman"/>
                <w:b/>
                <w:color w:val="FFFFFF"/>
                <w:sz w:val="16"/>
                <w:szCs w:val="16"/>
                <w:lang w:val="bg-BG"/>
              </w:rPr>
            </w:pPr>
            <w:r w:rsidRPr="009F5BA0">
              <w:rPr>
                <w:rFonts w:eastAsia="Calibri" w:cs="Times New Roman"/>
                <w:b/>
                <w:color w:val="FFFFFF"/>
                <w:sz w:val="16"/>
                <w:szCs w:val="16"/>
                <w:lang w:val="bg-BG"/>
              </w:rPr>
              <w:t>((</w:t>
            </w:r>
            <w:r w:rsidRPr="009F5BA0">
              <w:rPr>
                <w:rFonts w:eastAsia="Calibri" w:cs="Times New Roman"/>
                <w:b/>
                <w:color w:val="FFFFFF"/>
                <w:sz w:val="16"/>
                <w:szCs w:val="16"/>
                <w:lang w:val="bg-BG"/>
              </w:rPr>
              <w:sym w:font="Symbol" w:char="F06D"/>
            </w:r>
            <w:r w:rsidRPr="009F5BA0">
              <w:rPr>
                <w:rFonts w:eastAsia="Calibri" w:cs="Times New Roman"/>
                <w:b/>
                <w:color w:val="FFFFFF"/>
                <w:sz w:val="16"/>
                <w:szCs w:val="16"/>
                <w:lang w:val="bg-BG"/>
              </w:rPr>
              <w:t>г/м</w:t>
            </w:r>
            <w:r w:rsidRPr="009F5BA0">
              <w:rPr>
                <w:rFonts w:eastAsia="Calibri" w:cs="Times New Roman"/>
                <w:b/>
                <w:color w:val="FFFFFF"/>
                <w:sz w:val="16"/>
                <w:szCs w:val="16"/>
                <w:vertAlign w:val="superscript"/>
                <w:lang w:val="bg-BG"/>
              </w:rPr>
              <w:t>3</w:t>
            </w:r>
            <w:r w:rsidRPr="009F5BA0">
              <w:rPr>
                <w:rFonts w:eastAsia="Calibri" w:cs="Times New Roman"/>
                <w:b/>
                <w:color w:val="FFFFFF"/>
                <w:sz w:val="16"/>
                <w:szCs w:val="16"/>
                <w:lang w:val="bg-BG"/>
              </w:rPr>
              <w:t>)</w:t>
            </w:r>
          </w:p>
        </w:tc>
        <w:tc>
          <w:tcPr>
            <w:tcW w:w="1130" w:type="dxa"/>
            <w:shd w:val="clear" w:color="auto" w:fill="00A2E8"/>
            <w:vAlign w:val="center"/>
          </w:tcPr>
          <w:p w14:paraId="273636A5" w14:textId="77777777" w:rsidR="007C1D62" w:rsidRPr="009F5BA0" w:rsidRDefault="007C1D62" w:rsidP="007D0127">
            <w:pPr>
              <w:spacing w:line="240" w:lineRule="auto"/>
              <w:contextualSpacing/>
              <w:jc w:val="center"/>
              <w:rPr>
                <w:rFonts w:eastAsia="Calibri" w:cs="Times New Roman"/>
                <w:b/>
                <w:color w:val="FFFFFF"/>
                <w:sz w:val="16"/>
                <w:szCs w:val="16"/>
                <w:lang w:val="bg-BG"/>
              </w:rPr>
            </w:pPr>
            <w:r w:rsidRPr="009F5BA0">
              <w:rPr>
                <w:rFonts w:eastAsia="Calibri" w:cs="Times New Roman"/>
                <w:b/>
                <w:bCs/>
                <w:color w:val="FFFFFF"/>
                <w:sz w:val="16"/>
                <w:szCs w:val="16"/>
                <w:lang w:val="bg-BG"/>
              </w:rPr>
              <w:t>По-нисък праг за оценка на защитата на здравето</w:t>
            </w:r>
            <w:r w:rsidRPr="009F5BA0">
              <w:rPr>
                <w:rFonts w:eastAsia="Calibri" w:cs="Times New Roman"/>
                <w:b/>
                <w:color w:val="FFFFFF"/>
                <w:sz w:val="16"/>
                <w:szCs w:val="16"/>
                <w:lang w:val="bg-BG"/>
              </w:rPr>
              <w:t xml:space="preserve"> </w:t>
            </w:r>
          </w:p>
          <w:p w14:paraId="65DB2617" w14:textId="77777777" w:rsidR="007C1D62" w:rsidRPr="009F5BA0" w:rsidRDefault="007C1D62" w:rsidP="007D0127">
            <w:pPr>
              <w:spacing w:line="240" w:lineRule="auto"/>
              <w:contextualSpacing/>
              <w:jc w:val="center"/>
              <w:rPr>
                <w:rFonts w:eastAsia="Calibri" w:cs="Times New Roman"/>
                <w:b/>
                <w:color w:val="FFFFFF"/>
                <w:sz w:val="16"/>
                <w:szCs w:val="16"/>
                <w:lang w:val="bg-BG"/>
              </w:rPr>
            </w:pPr>
            <w:r w:rsidRPr="009F5BA0">
              <w:rPr>
                <w:rFonts w:eastAsia="Calibri" w:cs="Times New Roman"/>
                <w:b/>
                <w:color w:val="FFFFFF"/>
                <w:sz w:val="16"/>
                <w:szCs w:val="16"/>
                <w:lang w:val="bg-BG"/>
              </w:rPr>
              <w:t>((</w:t>
            </w:r>
            <w:r w:rsidRPr="009F5BA0">
              <w:rPr>
                <w:rFonts w:eastAsia="Calibri" w:cs="Times New Roman"/>
                <w:b/>
                <w:color w:val="FFFFFF"/>
                <w:sz w:val="16"/>
                <w:szCs w:val="16"/>
                <w:lang w:val="bg-BG"/>
              </w:rPr>
              <w:sym w:font="Symbol" w:char="F06D"/>
            </w:r>
            <w:r w:rsidRPr="009F5BA0">
              <w:rPr>
                <w:rFonts w:eastAsia="Calibri" w:cs="Times New Roman"/>
                <w:b/>
                <w:color w:val="FFFFFF"/>
                <w:sz w:val="16"/>
                <w:szCs w:val="16"/>
                <w:lang w:val="bg-BG"/>
              </w:rPr>
              <w:t>г/м</w:t>
            </w:r>
            <w:r w:rsidRPr="009F5BA0">
              <w:rPr>
                <w:rFonts w:eastAsia="Calibri" w:cs="Times New Roman"/>
                <w:b/>
                <w:color w:val="FFFFFF"/>
                <w:sz w:val="16"/>
                <w:szCs w:val="16"/>
                <w:vertAlign w:val="superscript"/>
                <w:lang w:val="bg-BG"/>
              </w:rPr>
              <w:t>3</w:t>
            </w:r>
            <w:r w:rsidRPr="009F5BA0">
              <w:rPr>
                <w:rFonts w:eastAsia="Calibri" w:cs="Times New Roman"/>
                <w:b/>
                <w:color w:val="FFFFFF"/>
                <w:sz w:val="16"/>
                <w:szCs w:val="16"/>
                <w:lang w:val="bg-BG"/>
              </w:rPr>
              <w:t>)</w:t>
            </w:r>
          </w:p>
        </w:tc>
        <w:tc>
          <w:tcPr>
            <w:tcW w:w="955" w:type="dxa"/>
            <w:shd w:val="clear" w:color="auto" w:fill="00A2E8"/>
            <w:vAlign w:val="center"/>
          </w:tcPr>
          <w:p w14:paraId="23512B81" w14:textId="77777777" w:rsidR="007C1D62" w:rsidRPr="009F5BA0" w:rsidRDefault="007C1D62" w:rsidP="007D0127">
            <w:pPr>
              <w:spacing w:line="240" w:lineRule="auto"/>
              <w:contextualSpacing/>
              <w:jc w:val="center"/>
              <w:rPr>
                <w:rFonts w:eastAsia="Calibri" w:cs="Times New Roman"/>
                <w:b/>
                <w:color w:val="FFFFFF"/>
                <w:sz w:val="16"/>
                <w:szCs w:val="16"/>
                <w:lang w:val="bg-BG"/>
              </w:rPr>
            </w:pPr>
            <w:r w:rsidRPr="009F5BA0">
              <w:rPr>
                <w:rFonts w:eastAsia="Calibri" w:cs="Times New Roman"/>
                <w:b/>
                <w:bCs/>
                <w:color w:val="FFFFFF"/>
                <w:sz w:val="16"/>
                <w:szCs w:val="16"/>
                <w:lang w:val="bg-BG"/>
              </w:rPr>
              <w:t>Забележки</w:t>
            </w:r>
          </w:p>
          <w:p w14:paraId="7BFEC3F5" w14:textId="77777777" w:rsidR="007C1D62" w:rsidRPr="009F5BA0" w:rsidRDefault="007C1D62" w:rsidP="007D0127">
            <w:pPr>
              <w:spacing w:line="240" w:lineRule="auto"/>
              <w:contextualSpacing/>
              <w:jc w:val="center"/>
              <w:rPr>
                <w:rFonts w:eastAsia="Calibri" w:cs="Times New Roman"/>
                <w:b/>
                <w:color w:val="FFFFFF"/>
                <w:sz w:val="16"/>
                <w:szCs w:val="16"/>
                <w:lang w:val="bg-BG"/>
              </w:rPr>
            </w:pPr>
          </w:p>
        </w:tc>
      </w:tr>
      <w:tr w:rsidR="007C1D62" w:rsidRPr="009F5BA0" w14:paraId="65BFDF58" w14:textId="77777777" w:rsidTr="007C1D62">
        <w:trPr>
          <w:trHeight w:val="408"/>
        </w:trPr>
        <w:tc>
          <w:tcPr>
            <w:tcW w:w="2041" w:type="dxa"/>
            <w:shd w:val="clear" w:color="auto" w:fill="auto"/>
            <w:vAlign w:val="center"/>
          </w:tcPr>
          <w:p w14:paraId="4C4C2D6A"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Обработка на Земята PM10 - среднодневна стойност</w:t>
            </w:r>
          </w:p>
        </w:tc>
        <w:tc>
          <w:tcPr>
            <w:tcW w:w="1047" w:type="dxa"/>
            <w:shd w:val="clear" w:color="auto" w:fill="auto"/>
            <w:vAlign w:val="center"/>
          </w:tcPr>
          <w:p w14:paraId="217725D5"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1,5</w:t>
            </w:r>
          </w:p>
        </w:tc>
        <w:tc>
          <w:tcPr>
            <w:tcW w:w="1257" w:type="dxa"/>
            <w:shd w:val="clear" w:color="auto" w:fill="auto"/>
            <w:vAlign w:val="center"/>
          </w:tcPr>
          <w:p w14:paraId="72F32C8D"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В рамките на 0,5</w:t>
            </w:r>
          </w:p>
        </w:tc>
        <w:tc>
          <w:tcPr>
            <w:tcW w:w="838" w:type="dxa"/>
            <w:shd w:val="clear" w:color="auto" w:fill="auto"/>
            <w:vAlign w:val="center"/>
          </w:tcPr>
          <w:p w14:paraId="760104B2"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50</w:t>
            </w:r>
          </w:p>
        </w:tc>
        <w:tc>
          <w:tcPr>
            <w:tcW w:w="1257" w:type="dxa"/>
            <w:shd w:val="clear" w:color="auto" w:fill="auto"/>
            <w:vAlign w:val="center"/>
          </w:tcPr>
          <w:p w14:paraId="201E1B06"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28</w:t>
            </w:r>
          </w:p>
        </w:tc>
        <w:tc>
          <w:tcPr>
            <w:tcW w:w="1230" w:type="dxa"/>
            <w:shd w:val="clear" w:color="auto" w:fill="auto"/>
            <w:vAlign w:val="center"/>
          </w:tcPr>
          <w:p w14:paraId="3DFF807C"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20</w:t>
            </w:r>
          </w:p>
        </w:tc>
        <w:tc>
          <w:tcPr>
            <w:tcW w:w="1330" w:type="dxa"/>
            <w:shd w:val="clear" w:color="auto" w:fill="auto"/>
            <w:vAlign w:val="center"/>
          </w:tcPr>
          <w:p w14:paraId="0DF0DD95"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35</w:t>
            </w:r>
          </w:p>
        </w:tc>
        <w:tc>
          <w:tcPr>
            <w:tcW w:w="1130" w:type="dxa"/>
            <w:shd w:val="clear" w:color="auto" w:fill="auto"/>
            <w:vAlign w:val="center"/>
          </w:tcPr>
          <w:p w14:paraId="6C714A02"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25</w:t>
            </w:r>
          </w:p>
        </w:tc>
        <w:tc>
          <w:tcPr>
            <w:tcW w:w="955" w:type="dxa"/>
            <w:shd w:val="clear" w:color="auto" w:fill="auto"/>
            <w:vAlign w:val="center"/>
          </w:tcPr>
          <w:p w14:paraId="5131275C" w14:textId="77777777" w:rsidR="007C1D62" w:rsidRPr="009F5BA0" w:rsidRDefault="007C1D62" w:rsidP="007D0127">
            <w:pPr>
              <w:spacing w:line="240" w:lineRule="auto"/>
              <w:contextualSpacing/>
              <w:jc w:val="center"/>
              <w:rPr>
                <w:rFonts w:eastAsia="Calibri"/>
                <w:sz w:val="16"/>
                <w:szCs w:val="16"/>
                <w:lang w:val="bg-BG"/>
              </w:rPr>
            </w:pPr>
            <w:r w:rsidRPr="009F5BA0">
              <w:rPr>
                <w:rFonts w:eastAsia="Calibri" w:cs="Times New Roman"/>
                <w:sz w:val="16"/>
                <w:szCs w:val="16"/>
                <w:lang w:val="bg-BG"/>
              </w:rPr>
              <w:t xml:space="preserve">&lt; </w:t>
            </w:r>
            <w:r w:rsidRPr="009F5BA0">
              <w:rPr>
                <w:rFonts w:eastAsia="Calibri"/>
                <w:sz w:val="16"/>
                <w:szCs w:val="16"/>
                <w:lang w:val="bg-BG"/>
              </w:rPr>
              <w:t>ограничение</w:t>
            </w:r>
          </w:p>
        </w:tc>
      </w:tr>
      <w:tr w:rsidR="007C1D62" w:rsidRPr="009F5BA0" w14:paraId="7CDD7174" w14:textId="77777777" w:rsidTr="007C1D62">
        <w:trPr>
          <w:trHeight w:val="408"/>
        </w:trPr>
        <w:tc>
          <w:tcPr>
            <w:tcW w:w="2041" w:type="dxa"/>
            <w:shd w:val="clear" w:color="auto" w:fill="auto"/>
            <w:vAlign w:val="center"/>
          </w:tcPr>
          <w:p w14:paraId="0CE81487"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Експлоатация на машини и оборудване - SO</w:t>
            </w:r>
            <w:r w:rsidRPr="009F5BA0">
              <w:rPr>
                <w:rFonts w:eastAsia="Calibri" w:cs="Times New Roman"/>
                <w:sz w:val="16"/>
                <w:szCs w:val="16"/>
                <w:vertAlign w:val="subscript"/>
                <w:lang w:val="bg-BG"/>
              </w:rPr>
              <w:t>2</w:t>
            </w:r>
          </w:p>
        </w:tc>
        <w:tc>
          <w:tcPr>
            <w:tcW w:w="1047" w:type="dxa"/>
            <w:shd w:val="clear" w:color="auto" w:fill="auto"/>
            <w:vAlign w:val="center"/>
          </w:tcPr>
          <w:p w14:paraId="3E68458D"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1,45</w:t>
            </w:r>
          </w:p>
        </w:tc>
        <w:tc>
          <w:tcPr>
            <w:tcW w:w="1257" w:type="dxa"/>
            <w:shd w:val="clear" w:color="auto" w:fill="auto"/>
            <w:vAlign w:val="center"/>
          </w:tcPr>
          <w:p w14:paraId="41410924"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Извън границите на 0,2</w:t>
            </w:r>
          </w:p>
        </w:tc>
        <w:tc>
          <w:tcPr>
            <w:tcW w:w="838" w:type="dxa"/>
            <w:shd w:val="clear" w:color="auto" w:fill="auto"/>
            <w:vAlign w:val="center"/>
          </w:tcPr>
          <w:p w14:paraId="77087886"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350</w:t>
            </w:r>
          </w:p>
        </w:tc>
        <w:tc>
          <w:tcPr>
            <w:tcW w:w="1257" w:type="dxa"/>
            <w:shd w:val="clear" w:color="auto" w:fill="auto"/>
            <w:vAlign w:val="center"/>
          </w:tcPr>
          <w:p w14:paraId="1B04B3B4"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12</w:t>
            </w:r>
          </w:p>
        </w:tc>
        <w:tc>
          <w:tcPr>
            <w:tcW w:w="1230" w:type="dxa"/>
            <w:shd w:val="clear" w:color="auto" w:fill="auto"/>
            <w:vAlign w:val="center"/>
          </w:tcPr>
          <w:p w14:paraId="1E6EC028"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8</w:t>
            </w:r>
          </w:p>
        </w:tc>
        <w:tc>
          <w:tcPr>
            <w:tcW w:w="1330" w:type="dxa"/>
            <w:shd w:val="clear" w:color="auto" w:fill="auto"/>
            <w:vAlign w:val="center"/>
          </w:tcPr>
          <w:p w14:paraId="19CE881D"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75</w:t>
            </w:r>
          </w:p>
        </w:tc>
        <w:tc>
          <w:tcPr>
            <w:tcW w:w="1130" w:type="dxa"/>
            <w:shd w:val="clear" w:color="auto" w:fill="auto"/>
            <w:vAlign w:val="center"/>
          </w:tcPr>
          <w:p w14:paraId="23488240"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50</w:t>
            </w:r>
          </w:p>
        </w:tc>
        <w:tc>
          <w:tcPr>
            <w:tcW w:w="955" w:type="dxa"/>
            <w:shd w:val="clear" w:color="auto" w:fill="auto"/>
            <w:vAlign w:val="center"/>
          </w:tcPr>
          <w:p w14:paraId="2FB99031"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 xml:space="preserve">&lt; </w:t>
            </w:r>
            <w:r w:rsidRPr="009F5BA0">
              <w:rPr>
                <w:rFonts w:eastAsia="Calibri"/>
                <w:sz w:val="16"/>
                <w:szCs w:val="16"/>
                <w:lang w:val="bg-BG"/>
              </w:rPr>
              <w:t>ограничение</w:t>
            </w:r>
          </w:p>
        </w:tc>
      </w:tr>
      <w:tr w:rsidR="007C1D62" w:rsidRPr="009F5BA0" w14:paraId="2852D55F" w14:textId="77777777" w:rsidTr="007C1D62">
        <w:trPr>
          <w:trHeight w:val="392"/>
        </w:trPr>
        <w:tc>
          <w:tcPr>
            <w:tcW w:w="2041" w:type="dxa"/>
            <w:shd w:val="clear" w:color="auto" w:fill="auto"/>
            <w:vAlign w:val="center"/>
          </w:tcPr>
          <w:p w14:paraId="56565E2F"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Експлоатация на машини и оборудване – NO</w:t>
            </w:r>
            <w:r w:rsidRPr="009F5BA0">
              <w:rPr>
                <w:rFonts w:eastAsia="Calibri" w:cs="Times New Roman"/>
                <w:sz w:val="16"/>
                <w:szCs w:val="16"/>
                <w:vertAlign w:val="subscript"/>
                <w:lang w:val="bg-BG"/>
              </w:rPr>
              <w:t>2</w:t>
            </w:r>
          </w:p>
        </w:tc>
        <w:tc>
          <w:tcPr>
            <w:tcW w:w="1047" w:type="dxa"/>
            <w:shd w:val="clear" w:color="auto" w:fill="auto"/>
            <w:vAlign w:val="center"/>
          </w:tcPr>
          <w:p w14:paraId="4A681268"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1,56</w:t>
            </w:r>
          </w:p>
        </w:tc>
        <w:tc>
          <w:tcPr>
            <w:tcW w:w="1257" w:type="dxa"/>
            <w:shd w:val="clear" w:color="auto" w:fill="auto"/>
            <w:vAlign w:val="center"/>
          </w:tcPr>
          <w:p w14:paraId="1596F7C0"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Извън границите на 30</w:t>
            </w:r>
          </w:p>
        </w:tc>
        <w:tc>
          <w:tcPr>
            <w:tcW w:w="838" w:type="dxa"/>
            <w:shd w:val="clear" w:color="auto" w:fill="auto"/>
            <w:vAlign w:val="center"/>
          </w:tcPr>
          <w:p w14:paraId="5BAB3DAA"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200</w:t>
            </w:r>
          </w:p>
        </w:tc>
        <w:tc>
          <w:tcPr>
            <w:tcW w:w="1257" w:type="dxa"/>
            <w:shd w:val="clear" w:color="auto" w:fill="auto"/>
            <w:vAlign w:val="center"/>
          </w:tcPr>
          <w:p w14:paraId="53699672"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24</w:t>
            </w:r>
          </w:p>
        </w:tc>
        <w:tc>
          <w:tcPr>
            <w:tcW w:w="1230" w:type="dxa"/>
            <w:shd w:val="clear" w:color="auto" w:fill="auto"/>
            <w:vAlign w:val="center"/>
          </w:tcPr>
          <w:p w14:paraId="14BD7EA4"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19,5</w:t>
            </w:r>
          </w:p>
        </w:tc>
        <w:tc>
          <w:tcPr>
            <w:tcW w:w="1330" w:type="dxa"/>
            <w:shd w:val="clear" w:color="auto" w:fill="auto"/>
            <w:vAlign w:val="center"/>
          </w:tcPr>
          <w:p w14:paraId="44B00A48"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140</w:t>
            </w:r>
          </w:p>
        </w:tc>
        <w:tc>
          <w:tcPr>
            <w:tcW w:w="1130" w:type="dxa"/>
            <w:shd w:val="clear" w:color="auto" w:fill="auto"/>
            <w:vAlign w:val="center"/>
          </w:tcPr>
          <w:p w14:paraId="3087488B"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100</w:t>
            </w:r>
          </w:p>
        </w:tc>
        <w:tc>
          <w:tcPr>
            <w:tcW w:w="955" w:type="dxa"/>
            <w:shd w:val="clear" w:color="auto" w:fill="auto"/>
            <w:vAlign w:val="center"/>
          </w:tcPr>
          <w:p w14:paraId="50F6D4E9"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 xml:space="preserve">&gt; </w:t>
            </w:r>
            <w:r w:rsidRPr="009F5BA0">
              <w:rPr>
                <w:rFonts w:eastAsia="Calibri"/>
                <w:sz w:val="16"/>
                <w:szCs w:val="16"/>
                <w:lang w:val="bg-BG"/>
              </w:rPr>
              <w:t>ограничение</w:t>
            </w:r>
          </w:p>
        </w:tc>
      </w:tr>
      <w:tr w:rsidR="007C1D62" w:rsidRPr="009F5BA0" w14:paraId="7F0506C0" w14:textId="77777777" w:rsidTr="007C1D62">
        <w:trPr>
          <w:trHeight w:val="408"/>
        </w:trPr>
        <w:tc>
          <w:tcPr>
            <w:tcW w:w="2041" w:type="dxa"/>
            <w:shd w:val="clear" w:color="auto" w:fill="auto"/>
            <w:vAlign w:val="center"/>
          </w:tcPr>
          <w:p w14:paraId="0CD0787A"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Експлоатация на машини и оборудване – PM</w:t>
            </w:r>
            <w:r w:rsidRPr="009F5BA0">
              <w:rPr>
                <w:rFonts w:eastAsia="Calibri" w:cs="Times New Roman"/>
                <w:sz w:val="16"/>
                <w:szCs w:val="16"/>
                <w:vertAlign w:val="subscript"/>
                <w:lang w:val="bg-BG"/>
              </w:rPr>
              <w:t>10</w:t>
            </w:r>
          </w:p>
        </w:tc>
        <w:tc>
          <w:tcPr>
            <w:tcW w:w="1047" w:type="dxa"/>
            <w:shd w:val="clear" w:color="auto" w:fill="auto"/>
            <w:vAlign w:val="center"/>
          </w:tcPr>
          <w:p w14:paraId="34AAA76E"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1,2</w:t>
            </w:r>
          </w:p>
        </w:tc>
        <w:tc>
          <w:tcPr>
            <w:tcW w:w="1257" w:type="dxa"/>
            <w:shd w:val="clear" w:color="auto" w:fill="auto"/>
            <w:vAlign w:val="center"/>
          </w:tcPr>
          <w:p w14:paraId="11E5E8E7"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В рамките на de 0,03</w:t>
            </w:r>
          </w:p>
        </w:tc>
        <w:tc>
          <w:tcPr>
            <w:tcW w:w="838" w:type="dxa"/>
            <w:shd w:val="clear" w:color="auto" w:fill="auto"/>
            <w:vAlign w:val="center"/>
          </w:tcPr>
          <w:p w14:paraId="3C249366"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50</w:t>
            </w:r>
          </w:p>
        </w:tc>
        <w:tc>
          <w:tcPr>
            <w:tcW w:w="1257" w:type="dxa"/>
            <w:shd w:val="clear" w:color="auto" w:fill="auto"/>
            <w:vAlign w:val="center"/>
          </w:tcPr>
          <w:p w14:paraId="623793B5"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28</w:t>
            </w:r>
          </w:p>
        </w:tc>
        <w:tc>
          <w:tcPr>
            <w:tcW w:w="1230" w:type="dxa"/>
            <w:shd w:val="clear" w:color="auto" w:fill="auto"/>
            <w:vAlign w:val="center"/>
          </w:tcPr>
          <w:p w14:paraId="092A76ED"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20</w:t>
            </w:r>
          </w:p>
        </w:tc>
        <w:tc>
          <w:tcPr>
            <w:tcW w:w="1330" w:type="dxa"/>
            <w:shd w:val="clear" w:color="auto" w:fill="auto"/>
            <w:vAlign w:val="center"/>
          </w:tcPr>
          <w:p w14:paraId="3D21125A"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35</w:t>
            </w:r>
          </w:p>
        </w:tc>
        <w:tc>
          <w:tcPr>
            <w:tcW w:w="1130" w:type="dxa"/>
            <w:shd w:val="clear" w:color="auto" w:fill="auto"/>
            <w:vAlign w:val="center"/>
          </w:tcPr>
          <w:p w14:paraId="38C9DFA3"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25</w:t>
            </w:r>
          </w:p>
        </w:tc>
        <w:tc>
          <w:tcPr>
            <w:tcW w:w="955" w:type="dxa"/>
            <w:shd w:val="clear" w:color="auto" w:fill="auto"/>
            <w:vAlign w:val="center"/>
          </w:tcPr>
          <w:p w14:paraId="33953AFF"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 xml:space="preserve">&lt; </w:t>
            </w:r>
            <w:r w:rsidRPr="009F5BA0">
              <w:rPr>
                <w:rFonts w:eastAsia="Calibri"/>
                <w:sz w:val="16"/>
                <w:szCs w:val="16"/>
                <w:lang w:val="bg-BG"/>
              </w:rPr>
              <w:t>ограничение</w:t>
            </w:r>
          </w:p>
        </w:tc>
      </w:tr>
      <w:tr w:rsidR="007C1D62" w:rsidRPr="009F5BA0" w14:paraId="28CC6E11" w14:textId="77777777" w:rsidTr="007C1D62">
        <w:trPr>
          <w:trHeight w:val="392"/>
        </w:trPr>
        <w:tc>
          <w:tcPr>
            <w:tcW w:w="2041" w:type="dxa"/>
            <w:shd w:val="clear" w:color="auto" w:fill="auto"/>
            <w:vAlign w:val="center"/>
          </w:tcPr>
          <w:p w14:paraId="7EE0E3D7"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Експлоатация на машини и оборудване – CO</w:t>
            </w:r>
          </w:p>
        </w:tc>
        <w:tc>
          <w:tcPr>
            <w:tcW w:w="1047" w:type="dxa"/>
            <w:shd w:val="clear" w:color="auto" w:fill="auto"/>
            <w:vAlign w:val="center"/>
          </w:tcPr>
          <w:p w14:paraId="1491A51F"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1,32</w:t>
            </w:r>
          </w:p>
        </w:tc>
        <w:tc>
          <w:tcPr>
            <w:tcW w:w="1257" w:type="dxa"/>
            <w:shd w:val="clear" w:color="auto" w:fill="auto"/>
            <w:vAlign w:val="center"/>
          </w:tcPr>
          <w:p w14:paraId="32784D09"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В рамките на de 0,005</w:t>
            </w:r>
          </w:p>
        </w:tc>
        <w:tc>
          <w:tcPr>
            <w:tcW w:w="838" w:type="dxa"/>
            <w:shd w:val="clear" w:color="auto" w:fill="auto"/>
            <w:vAlign w:val="center"/>
          </w:tcPr>
          <w:p w14:paraId="4C3023A4"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10000</w:t>
            </w:r>
          </w:p>
        </w:tc>
        <w:tc>
          <w:tcPr>
            <w:tcW w:w="1257" w:type="dxa"/>
            <w:shd w:val="clear" w:color="auto" w:fill="auto"/>
            <w:vAlign w:val="center"/>
          </w:tcPr>
          <w:p w14:paraId="6DD42E74"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w:t>
            </w:r>
          </w:p>
        </w:tc>
        <w:tc>
          <w:tcPr>
            <w:tcW w:w="1230" w:type="dxa"/>
            <w:shd w:val="clear" w:color="auto" w:fill="auto"/>
            <w:vAlign w:val="center"/>
          </w:tcPr>
          <w:p w14:paraId="00071D38"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w:t>
            </w:r>
          </w:p>
        </w:tc>
        <w:tc>
          <w:tcPr>
            <w:tcW w:w="1330" w:type="dxa"/>
            <w:shd w:val="clear" w:color="auto" w:fill="auto"/>
            <w:vAlign w:val="center"/>
          </w:tcPr>
          <w:p w14:paraId="2BF8913C"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7000</w:t>
            </w:r>
          </w:p>
        </w:tc>
        <w:tc>
          <w:tcPr>
            <w:tcW w:w="1130" w:type="dxa"/>
            <w:shd w:val="clear" w:color="auto" w:fill="auto"/>
            <w:vAlign w:val="center"/>
          </w:tcPr>
          <w:p w14:paraId="79E884DC"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5000</w:t>
            </w:r>
          </w:p>
        </w:tc>
        <w:tc>
          <w:tcPr>
            <w:tcW w:w="955" w:type="dxa"/>
            <w:shd w:val="clear" w:color="auto" w:fill="auto"/>
            <w:vAlign w:val="center"/>
          </w:tcPr>
          <w:p w14:paraId="683DE022" w14:textId="77777777" w:rsidR="007C1D62" w:rsidRPr="009F5BA0" w:rsidRDefault="007C1D62" w:rsidP="007D0127">
            <w:pPr>
              <w:spacing w:line="240" w:lineRule="auto"/>
              <w:contextualSpacing/>
              <w:jc w:val="center"/>
              <w:rPr>
                <w:rFonts w:eastAsia="Calibri" w:cs="Times New Roman"/>
                <w:sz w:val="16"/>
                <w:szCs w:val="16"/>
                <w:lang w:val="bg-BG"/>
              </w:rPr>
            </w:pPr>
            <w:r w:rsidRPr="009F5BA0">
              <w:rPr>
                <w:rFonts w:eastAsia="Calibri" w:cs="Times New Roman"/>
                <w:sz w:val="16"/>
                <w:szCs w:val="16"/>
                <w:lang w:val="bg-BG"/>
              </w:rPr>
              <w:t xml:space="preserve">&lt; </w:t>
            </w:r>
            <w:r w:rsidRPr="009F5BA0">
              <w:rPr>
                <w:rFonts w:eastAsia="Calibri"/>
                <w:sz w:val="16"/>
                <w:szCs w:val="16"/>
                <w:lang w:val="bg-BG"/>
              </w:rPr>
              <w:t>ограничение</w:t>
            </w:r>
          </w:p>
        </w:tc>
      </w:tr>
    </w:tbl>
    <w:p w14:paraId="19121E4E" w14:textId="77777777" w:rsidR="007C1D62" w:rsidRPr="007C1D62" w:rsidRDefault="007C1D62" w:rsidP="00E162A8">
      <w:pPr>
        <w:spacing w:after="120" w:line="360" w:lineRule="auto"/>
        <w:jc w:val="both"/>
        <w:rPr>
          <w:rFonts w:asciiTheme="majorHAnsi" w:eastAsia="Times New Roman" w:hAnsiTheme="majorHAnsi" w:cs="Times New Roman"/>
          <w:lang w:val="en-GB" w:eastAsia="en-GB"/>
        </w:rPr>
      </w:pPr>
    </w:p>
    <w:p w14:paraId="2069BD1C" w14:textId="77777777" w:rsidR="00B46923" w:rsidRPr="00B46923" w:rsidRDefault="00B46923" w:rsidP="00B46923">
      <w:pPr>
        <w:spacing w:after="120" w:line="360" w:lineRule="auto"/>
        <w:jc w:val="both"/>
        <w:rPr>
          <w:color w:val="33CCFF"/>
          <w:lang w:val="bg-BG"/>
        </w:rPr>
      </w:pPr>
      <w:r w:rsidRPr="00B46923">
        <w:rPr>
          <w:b/>
          <w:bCs/>
          <w:color w:val="33CCFF"/>
          <w:lang w:val="bg-BG"/>
        </w:rPr>
        <w:t>Емисии във водата</w:t>
      </w:r>
    </w:p>
    <w:p w14:paraId="138898C4" w14:textId="77777777" w:rsidR="00B46923" w:rsidRPr="00B46923" w:rsidRDefault="00B46923" w:rsidP="00B46923">
      <w:pPr>
        <w:spacing w:after="120" w:line="360" w:lineRule="auto"/>
        <w:jc w:val="both"/>
        <w:rPr>
          <w:color w:val="000000"/>
          <w:lang w:val="bg-BG"/>
        </w:rPr>
      </w:pPr>
      <w:r w:rsidRPr="00B46923">
        <w:rPr>
          <w:color w:val="000000"/>
          <w:lang w:val="bg-BG"/>
        </w:rPr>
        <w:t>Източниците на строително замърсяване, които могат да повлияят на водните ресурси, включват:</w:t>
      </w:r>
    </w:p>
    <w:p w14:paraId="59B7D460" w14:textId="77777777" w:rsidR="00B46923" w:rsidRPr="00695609" w:rsidRDefault="00B46923">
      <w:pPr>
        <w:pStyle w:val="ListParagraph"/>
        <w:numPr>
          <w:ilvl w:val="0"/>
          <w:numId w:val="180"/>
        </w:numPr>
        <w:spacing w:after="120" w:line="360" w:lineRule="auto"/>
        <w:jc w:val="both"/>
        <w:rPr>
          <w:color w:val="000000"/>
          <w:lang w:val="bg-BG"/>
        </w:rPr>
      </w:pPr>
      <w:r w:rsidRPr="00695609">
        <w:rPr>
          <w:color w:val="000000"/>
          <w:lang w:val="bg-BG"/>
        </w:rPr>
        <w:t>Неподходящо управление и съхранение на битовите отпадъчни води от зелените тоалетни, използвани на строителната площадка;</w:t>
      </w:r>
    </w:p>
    <w:p w14:paraId="647E3FC7" w14:textId="77777777" w:rsidR="00B46923" w:rsidRPr="00695609" w:rsidRDefault="00B46923">
      <w:pPr>
        <w:pStyle w:val="ListParagraph"/>
        <w:numPr>
          <w:ilvl w:val="0"/>
          <w:numId w:val="180"/>
        </w:numPr>
        <w:spacing w:after="120" w:line="360" w:lineRule="auto"/>
        <w:jc w:val="both"/>
        <w:rPr>
          <w:color w:val="000000"/>
          <w:lang w:val="bg-BG"/>
        </w:rPr>
      </w:pPr>
      <w:r w:rsidRPr="00695609">
        <w:rPr>
          <w:color w:val="000000"/>
          <w:lang w:val="bg-BG"/>
        </w:rPr>
        <w:t>неправилно изхвърляне на отпадъци от строителни дейности;</w:t>
      </w:r>
    </w:p>
    <w:p w14:paraId="5180E061" w14:textId="77777777" w:rsidR="00B46923" w:rsidRPr="00695609" w:rsidRDefault="00B46923">
      <w:pPr>
        <w:pStyle w:val="ListParagraph"/>
        <w:numPr>
          <w:ilvl w:val="0"/>
          <w:numId w:val="180"/>
        </w:numPr>
        <w:spacing w:after="120" w:line="360" w:lineRule="auto"/>
        <w:ind w:left="714" w:hanging="357"/>
        <w:jc w:val="both"/>
        <w:rPr>
          <w:color w:val="000000"/>
          <w:lang w:val="bg-BG"/>
        </w:rPr>
      </w:pPr>
      <w:r w:rsidRPr="00695609">
        <w:rPr>
          <w:color w:val="000000"/>
          <w:lang w:val="bg-BG"/>
        </w:rPr>
        <w:t>изкопни работи, които могат да замърсят повърхностните води с малки частици;</w:t>
      </w:r>
    </w:p>
    <w:p w14:paraId="76545716" w14:textId="77777777" w:rsidR="00B46923" w:rsidRPr="00695609" w:rsidRDefault="00B46923">
      <w:pPr>
        <w:pStyle w:val="ListParagraph"/>
        <w:numPr>
          <w:ilvl w:val="0"/>
          <w:numId w:val="180"/>
        </w:numPr>
        <w:spacing w:after="120" w:line="360" w:lineRule="auto"/>
        <w:ind w:left="714" w:hanging="357"/>
        <w:jc w:val="both"/>
        <w:rPr>
          <w:color w:val="000000"/>
          <w:lang w:val="bg-BG"/>
        </w:rPr>
      </w:pPr>
      <w:r w:rsidRPr="00695609">
        <w:rPr>
          <w:color w:val="000000"/>
          <w:lang w:val="bg-BG"/>
        </w:rPr>
        <w:t>неправилно обработване или съхранение на строителни материали (бетон, пръст, пясък и др.), които могат да попаднат в повърхностните води, пренасяни от дъждовните води;</w:t>
      </w:r>
    </w:p>
    <w:p w14:paraId="044B3535" w14:textId="3DAB792C" w:rsidR="00B46923" w:rsidRPr="00695609" w:rsidRDefault="00B46923">
      <w:pPr>
        <w:pStyle w:val="ListParagraph"/>
        <w:numPr>
          <w:ilvl w:val="0"/>
          <w:numId w:val="180"/>
        </w:numPr>
        <w:spacing w:after="120" w:line="360" w:lineRule="auto"/>
        <w:ind w:left="357"/>
        <w:jc w:val="both"/>
        <w:rPr>
          <w:rFonts w:asciiTheme="majorHAnsi" w:hAnsiTheme="majorHAnsi"/>
          <w:color w:val="000000"/>
          <w:lang w:val="bg-BG"/>
        </w:rPr>
      </w:pPr>
      <w:r w:rsidRPr="00695609">
        <w:rPr>
          <w:color w:val="000000"/>
          <w:lang w:val="bg-BG"/>
        </w:rPr>
        <w:t xml:space="preserve">Случайни разливи на горива и смазочни материали от строителни превозни средства и </w:t>
      </w:r>
      <w:r w:rsidRPr="00695609">
        <w:rPr>
          <w:rFonts w:asciiTheme="majorHAnsi" w:hAnsiTheme="majorHAnsi"/>
          <w:color w:val="000000"/>
          <w:lang w:val="bg-BG"/>
        </w:rPr>
        <w:t>машини.</w:t>
      </w:r>
    </w:p>
    <w:p w14:paraId="21B753CC" w14:textId="77777777" w:rsidR="00B46923" w:rsidRPr="00695609" w:rsidRDefault="00B46923" w:rsidP="00B46923">
      <w:pPr>
        <w:spacing w:before="100" w:beforeAutospacing="1" w:after="120" w:line="360" w:lineRule="auto"/>
        <w:ind w:left="357"/>
        <w:jc w:val="both"/>
        <w:rPr>
          <w:rFonts w:asciiTheme="majorHAnsi" w:eastAsia="Times New Roman" w:hAnsiTheme="majorHAnsi" w:cs="Times New Roman"/>
          <w:lang w:val="bg-BG" w:eastAsia="en-GB"/>
        </w:rPr>
      </w:pPr>
      <w:r w:rsidRPr="00695609">
        <w:rPr>
          <w:rFonts w:asciiTheme="majorHAnsi" w:eastAsia="Times New Roman" w:hAnsiTheme="majorHAnsi" w:cs="Times New Roman"/>
          <w:lang w:val="bg-BG" w:eastAsia="en-GB"/>
        </w:rPr>
        <w:lastRenderedPageBreak/>
        <w:t>Манипулирането на земни маси (изкопни работи, подравняване, уплътняване) може да има незначително въздействие върху качеството на повърхностните води чрез отлагане на прахови седименти.</w:t>
      </w:r>
    </w:p>
    <w:p w14:paraId="40112014" w14:textId="493C19D1" w:rsidR="00B46923" w:rsidRPr="00695609" w:rsidRDefault="00B46923" w:rsidP="00B46923">
      <w:pPr>
        <w:spacing w:before="100" w:beforeAutospacing="1" w:after="120" w:line="360" w:lineRule="auto"/>
        <w:ind w:left="357"/>
        <w:jc w:val="both"/>
        <w:rPr>
          <w:rFonts w:asciiTheme="majorHAnsi" w:eastAsia="Times New Roman" w:hAnsiTheme="majorHAnsi" w:cs="Times New Roman"/>
          <w:lang w:val="bg-BG" w:eastAsia="en-GB"/>
        </w:rPr>
      </w:pPr>
      <w:r w:rsidRPr="00695609">
        <w:rPr>
          <w:rFonts w:asciiTheme="majorHAnsi" w:eastAsia="Times New Roman" w:hAnsiTheme="majorHAnsi" w:cs="Times New Roman"/>
          <w:lang w:val="bg-BG" w:eastAsia="en-GB"/>
        </w:rPr>
        <w:t>Работите, необходими за изпълнението на плана, не са значителен източник на въздействие върху качеството на подземните и повърхностните води.</w:t>
      </w:r>
    </w:p>
    <w:p w14:paraId="4BE84748" w14:textId="09D90636" w:rsidR="00695609" w:rsidRPr="00695609" w:rsidRDefault="00695609" w:rsidP="00695609">
      <w:pPr>
        <w:spacing w:after="120" w:line="360" w:lineRule="auto"/>
        <w:ind w:left="357"/>
        <w:jc w:val="both"/>
        <w:rPr>
          <w:rFonts w:asciiTheme="majorHAnsi" w:hAnsiTheme="majorHAnsi"/>
          <w:color w:val="007BB8"/>
          <w:lang w:val="bg-BG"/>
        </w:rPr>
      </w:pPr>
      <w:r w:rsidRPr="00695609">
        <w:rPr>
          <w:rFonts w:asciiTheme="majorHAnsi" w:hAnsiTheme="majorHAnsi"/>
          <w:b/>
          <w:bCs/>
          <w:color w:val="007BB8"/>
          <w:lang w:val="bg-BG"/>
        </w:rPr>
        <w:t>Емисии в почвата/подпочвата</w:t>
      </w:r>
    </w:p>
    <w:p w14:paraId="290372BE" w14:textId="77777777" w:rsidR="00695609" w:rsidRPr="00695609" w:rsidRDefault="00695609" w:rsidP="00695609">
      <w:pPr>
        <w:spacing w:after="120" w:line="360" w:lineRule="auto"/>
        <w:ind w:left="357"/>
        <w:jc w:val="both"/>
        <w:rPr>
          <w:rFonts w:asciiTheme="majorHAnsi" w:hAnsiTheme="majorHAnsi"/>
          <w:color w:val="000000"/>
          <w:lang w:val="bg-BG"/>
        </w:rPr>
      </w:pPr>
      <w:r w:rsidRPr="00695609">
        <w:rPr>
          <w:rFonts w:asciiTheme="majorHAnsi" w:hAnsiTheme="majorHAnsi"/>
          <w:color w:val="000000"/>
          <w:lang w:val="bg-BG"/>
        </w:rPr>
        <w:t>Основните потенциални източници на замърсяване или деградация на почвата и подпочвените слоеве са:</w:t>
      </w:r>
    </w:p>
    <w:p w14:paraId="0455B7D9" w14:textId="77777777" w:rsidR="00695609" w:rsidRPr="00695609" w:rsidRDefault="00695609" w:rsidP="00695609">
      <w:pPr>
        <w:spacing w:after="120" w:line="360" w:lineRule="auto"/>
        <w:ind w:left="357"/>
        <w:jc w:val="both"/>
        <w:rPr>
          <w:rFonts w:asciiTheme="majorHAnsi" w:hAnsiTheme="majorHAnsi"/>
          <w:color w:val="000000"/>
          <w:lang w:val="bg-BG"/>
        </w:rPr>
      </w:pPr>
      <w:r w:rsidRPr="00695609">
        <w:rPr>
          <w:rFonts w:asciiTheme="majorHAnsi" w:hAnsiTheme="majorHAnsi"/>
          <w:color w:val="000000"/>
          <w:lang w:val="bg-BG"/>
        </w:rPr>
        <w:t>- Случайни загуби на петролни продукти от строителни машини или моторни превозни средства, превозващи суровини и материали.</w:t>
      </w:r>
    </w:p>
    <w:p w14:paraId="677AA49F" w14:textId="77777777" w:rsidR="00695609" w:rsidRPr="00695609" w:rsidRDefault="00695609" w:rsidP="00695609">
      <w:pPr>
        <w:spacing w:after="120" w:line="360" w:lineRule="auto"/>
        <w:ind w:left="357"/>
        <w:jc w:val="both"/>
        <w:rPr>
          <w:rFonts w:asciiTheme="majorHAnsi" w:hAnsiTheme="majorHAnsi"/>
          <w:color w:val="000000"/>
          <w:lang w:val="bg-BG"/>
        </w:rPr>
      </w:pPr>
      <w:r w:rsidRPr="00695609">
        <w:rPr>
          <w:rFonts w:asciiTheme="majorHAnsi" w:hAnsiTheme="majorHAnsi"/>
          <w:color w:val="000000"/>
          <w:lang w:val="bg-BG"/>
        </w:rPr>
        <w:t>- Неконтролирано складиране на суровини или строителни отпадъци директно върху земята.</w:t>
      </w:r>
    </w:p>
    <w:p w14:paraId="670A48B8" w14:textId="77777777" w:rsidR="00695609" w:rsidRPr="00695609" w:rsidRDefault="00695609" w:rsidP="00695609">
      <w:pPr>
        <w:spacing w:after="120" w:line="360" w:lineRule="auto"/>
        <w:ind w:left="357"/>
        <w:jc w:val="both"/>
        <w:rPr>
          <w:rFonts w:asciiTheme="majorHAnsi" w:hAnsiTheme="majorHAnsi"/>
          <w:color w:val="000000"/>
          <w:lang w:val="bg-BG"/>
        </w:rPr>
      </w:pPr>
      <w:r w:rsidRPr="00695609">
        <w:rPr>
          <w:rFonts w:asciiTheme="majorHAnsi" w:hAnsiTheme="majorHAnsi"/>
          <w:color w:val="000000"/>
          <w:lang w:val="bg-BG"/>
        </w:rPr>
        <w:t>Замърсяване на почвата и подпочвените слоеве от строителните работи може да възникне само при случайни ситуации. За справяне с такива ситуации се препоръчва да се осигурят абсорбиращи материали.</w:t>
      </w:r>
    </w:p>
    <w:p w14:paraId="1C88DCF5" w14:textId="77777777" w:rsidR="00695609" w:rsidRPr="00695609" w:rsidRDefault="00695609" w:rsidP="00695609">
      <w:pPr>
        <w:spacing w:after="120" w:line="360" w:lineRule="auto"/>
        <w:ind w:left="357"/>
        <w:jc w:val="both"/>
        <w:rPr>
          <w:rFonts w:asciiTheme="majorHAnsi" w:hAnsiTheme="majorHAnsi"/>
          <w:color w:val="000000"/>
          <w:lang w:val="bg-BG"/>
        </w:rPr>
      </w:pPr>
      <w:r w:rsidRPr="00695609">
        <w:rPr>
          <w:rFonts w:asciiTheme="majorHAnsi" w:hAnsiTheme="majorHAnsi"/>
          <w:b/>
          <w:bCs/>
          <w:color w:val="000000"/>
          <w:lang w:val="bg-BG"/>
        </w:rPr>
        <w:t>Шум и вибрации</w:t>
      </w:r>
    </w:p>
    <w:p w14:paraId="49915847" w14:textId="77777777" w:rsidR="00695609" w:rsidRPr="00695609" w:rsidRDefault="00695609" w:rsidP="00695609">
      <w:pPr>
        <w:spacing w:after="120" w:line="360" w:lineRule="auto"/>
        <w:ind w:left="357"/>
        <w:jc w:val="both"/>
        <w:rPr>
          <w:rFonts w:asciiTheme="majorHAnsi" w:hAnsiTheme="majorHAnsi"/>
          <w:color w:val="000000"/>
          <w:lang w:val="bg-BG"/>
        </w:rPr>
      </w:pPr>
      <w:r w:rsidRPr="00695609">
        <w:rPr>
          <w:rFonts w:asciiTheme="majorHAnsi" w:hAnsiTheme="majorHAnsi"/>
          <w:color w:val="000000"/>
          <w:lang w:val="bg-BG"/>
        </w:rPr>
        <w:t xml:space="preserve">По време на </w:t>
      </w:r>
      <w:r w:rsidRPr="00695609">
        <w:rPr>
          <w:rFonts w:asciiTheme="majorHAnsi" w:hAnsiTheme="majorHAnsi"/>
          <w:b/>
          <w:bCs/>
          <w:color w:val="000000"/>
          <w:lang w:val="bg-BG"/>
        </w:rPr>
        <w:t>етапа на строителство</w:t>
      </w:r>
      <w:r w:rsidRPr="00695609">
        <w:rPr>
          <w:rFonts w:asciiTheme="majorHAnsi" w:hAnsiTheme="majorHAnsi"/>
          <w:color w:val="000000"/>
          <w:lang w:val="bg-BG"/>
        </w:rPr>
        <w:t>, основната форма на физическо замърсяване, свързана с анализирания план, ще бъдат шумът и вибрациите, генерирани от работата на определени инсталации, оборудване и превозни средства по време на строителния период.</w:t>
      </w:r>
    </w:p>
    <w:p w14:paraId="67F47B40" w14:textId="59ED471B" w:rsidR="00695609" w:rsidRPr="00695609" w:rsidRDefault="00695609" w:rsidP="00695609">
      <w:pPr>
        <w:spacing w:after="120" w:line="360" w:lineRule="auto"/>
        <w:ind w:left="357"/>
        <w:jc w:val="both"/>
        <w:rPr>
          <w:rFonts w:asciiTheme="majorHAnsi" w:hAnsiTheme="majorHAnsi"/>
          <w:color w:val="000000"/>
          <w:lang w:val="bg-BG"/>
        </w:rPr>
      </w:pPr>
      <w:r w:rsidRPr="00695609">
        <w:rPr>
          <w:rFonts w:asciiTheme="majorHAnsi" w:hAnsiTheme="majorHAnsi"/>
          <w:color w:val="000000"/>
          <w:lang w:val="bg-BG"/>
        </w:rPr>
        <w:t xml:space="preserve">Нивото на шума, регламентирано от SR 10009:2017/C91:2020, „Акустика. Допустими гранични стойности на нивото на шума в околната среда“ е 65 </w:t>
      </w:r>
      <w:r>
        <w:rPr>
          <w:rFonts w:asciiTheme="majorHAnsi" w:hAnsiTheme="majorHAnsi"/>
          <w:color w:val="000000"/>
          <w:lang w:val="bg-BG"/>
        </w:rPr>
        <w:t>дБ</w:t>
      </w:r>
      <w:r w:rsidRPr="00695609">
        <w:rPr>
          <w:rFonts w:asciiTheme="majorHAnsi" w:hAnsiTheme="majorHAnsi"/>
          <w:color w:val="000000"/>
          <w:lang w:val="bg-BG"/>
        </w:rPr>
        <w:t>(A) на границата на площадката. Съгласно Наредба № 119/ 2014 г. на Министерството на здравеопазването за утвърждаване на хигиенни и здравни норми за жизнената среда на населението, непрекъснатото еквивалентно ниво на шума, измерено извън жилището съгласно SR ISO 1996-2:2018, на височина 1,5 m над земята, не трябва да превишава 55 дБ(A) и кривата на шума Гц 50. През нощта (23:00 - 7:00 ч.) непрекъснатото еквивалентно ниво на шума не трябва да превишава 45 дб(A) и кривата на шума Гц 40.</w:t>
      </w:r>
    </w:p>
    <w:p w14:paraId="51EBE9B6" w14:textId="4BACA353" w:rsidR="00695609" w:rsidRPr="00695609" w:rsidRDefault="00695609" w:rsidP="00695609">
      <w:pPr>
        <w:spacing w:after="120" w:line="360" w:lineRule="auto"/>
        <w:ind w:left="357"/>
        <w:jc w:val="both"/>
        <w:rPr>
          <w:rFonts w:asciiTheme="majorHAnsi" w:hAnsiTheme="majorHAnsi"/>
          <w:color w:val="000000"/>
          <w:lang w:val="bg-BG"/>
        </w:rPr>
      </w:pPr>
      <w:r w:rsidRPr="00695609">
        <w:rPr>
          <w:rFonts w:asciiTheme="majorHAnsi" w:hAnsiTheme="majorHAnsi"/>
          <w:color w:val="000000"/>
          <w:lang w:val="bg-BG"/>
        </w:rPr>
        <w:t>Що се отнася до въздействието на шума върху дивата природа, понастоящем все още има ниско ниво на познания. Barber et al. (2010 г.) посочват, че увеличаването на шума (спрямо естествения фонов шум) с 3 до 10 дБ(A) може да доведе до намаляване на разстоянието за предупреждение на дивите животни с 30 до 90 %. Повечето от доказателствата за това обаче идват от изследването на шума, генериран от пътни артерии. По-малко се знае за въздействието на периодичния шум за кратки периоди от време. Известно е обаче, че по-високите нива на шума обикновено водят до извеждане на диви видове от района, като по този начин Foreman и съавтори (1998 г.) посочват, че намаляването на броя на тревните птици настъпва при еквивалентни нива на шума над 48 дБ(A), а на горските птици - при нива над 42 дБ(A).</w:t>
      </w:r>
    </w:p>
    <w:p w14:paraId="6271DDAE" w14:textId="77777777" w:rsidR="00695609" w:rsidRPr="00695609" w:rsidRDefault="00695609" w:rsidP="00695609">
      <w:pPr>
        <w:spacing w:after="120" w:line="360" w:lineRule="auto"/>
        <w:ind w:left="357"/>
        <w:jc w:val="both"/>
        <w:rPr>
          <w:rFonts w:asciiTheme="majorHAnsi" w:hAnsiTheme="majorHAnsi"/>
          <w:color w:val="000000"/>
          <w:lang w:val="bg-BG"/>
        </w:rPr>
      </w:pPr>
      <w:r w:rsidRPr="00695609">
        <w:rPr>
          <w:rFonts w:asciiTheme="majorHAnsi" w:hAnsiTheme="majorHAnsi"/>
          <w:color w:val="000000"/>
          <w:lang w:val="bg-BG"/>
        </w:rPr>
        <w:t>Граничните стойности на шума съгласно действащото законодателство и стандарти са обобщени в следната таблица.</w:t>
      </w:r>
    </w:p>
    <w:p w14:paraId="69C36488" w14:textId="56256CE8" w:rsidR="00695609" w:rsidRPr="00695609" w:rsidRDefault="00695609" w:rsidP="00695609">
      <w:pPr>
        <w:spacing w:after="120" w:line="360" w:lineRule="auto"/>
        <w:ind w:left="357"/>
        <w:jc w:val="both"/>
        <w:rPr>
          <w:rFonts w:asciiTheme="majorHAnsi" w:hAnsiTheme="majorHAnsi"/>
          <w:b/>
          <w:bCs/>
          <w:color w:val="007BB8"/>
          <w:lang w:val="bg-BG"/>
        </w:rPr>
      </w:pPr>
      <w:r w:rsidRPr="00695609">
        <w:rPr>
          <w:rFonts w:asciiTheme="majorHAnsi" w:hAnsiTheme="majorHAnsi"/>
          <w:b/>
          <w:bCs/>
          <w:color w:val="007BB8"/>
          <w:lang w:val="bg-BG"/>
        </w:rPr>
        <w:lastRenderedPageBreak/>
        <w:t>Таблица 3- 2 Референтни стойности за нивото на шума - дб(A)</w:t>
      </w:r>
    </w:p>
    <w:tbl>
      <w:tblPr>
        <w:tblW w:w="9244"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2609"/>
        <w:gridCol w:w="703"/>
        <w:gridCol w:w="687"/>
        <w:gridCol w:w="709"/>
        <w:gridCol w:w="709"/>
        <w:gridCol w:w="708"/>
        <w:gridCol w:w="483"/>
        <w:gridCol w:w="679"/>
        <w:gridCol w:w="709"/>
        <w:gridCol w:w="681"/>
        <w:gridCol w:w="567"/>
      </w:tblGrid>
      <w:tr w:rsidR="00695609" w:rsidRPr="00695609" w14:paraId="0A91B925" w14:textId="77777777" w:rsidTr="00BD770A">
        <w:trPr>
          <w:cantSplit/>
          <w:trHeight w:val="1452"/>
          <w:tblHeader/>
        </w:trPr>
        <w:tc>
          <w:tcPr>
            <w:tcW w:w="2609" w:type="dxa"/>
            <w:shd w:val="clear" w:color="auto" w:fill="00A2E8"/>
            <w:noWrap/>
            <w:vAlign w:val="center"/>
            <w:hideMark/>
          </w:tcPr>
          <w:p w14:paraId="27652A57" w14:textId="77777777" w:rsidR="00695609" w:rsidRPr="00695609" w:rsidRDefault="00695609" w:rsidP="00695609">
            <w:pPr>
              <w:spacing w:line="240" w:lineRule="auto"/>
              <w:contextualSpacing/>
              <w:jc w:val="center"/>
              <w:rPr>
                <w:rFonts w:eastAsia="Times New Roman" w:cs="Times New Roman"/>
                <w:b/>
                <w:color w:val="FFFFFF"/>
                <w:sz w:val="16"/>
                <w:szCs w:val="16"/>
                <w:lang w:val="bg-BG" w:eastAsia="ro-RO"/>
              </w:rPr>
            </w:pPr>
            <w:r w:rsidRPr="00695609">
              <w:rPr>
                <w:rFonts w:eastAsia="Times New Roman" w:cs="Times New Roman"/>
                <w:b/>
                <w:bCs/>
                <w:color w:val="FFFFFF"/>
                <w:sz w:val="16"/>
                <w:szCs w:val="16"/>
                <w:lang w:val="bg-BG" w:eastAsia="ro-RO"/>
              </w:rPr>
              <w:t>Законодателство</w:t>
            </w:r>
          </w:p>
          <w:p w14:paraId="2A87BF83" w14:textId="5CE3BA0B" w:rsidR="00695609" w:rsidRPr="00695609" w:rsidRDefault="00695609" w:rsidP="00BD770A">
            <w:pPr>
              <w:spacing w:line="240" w:lineRule="auto"/>
              <w:contextualSpacing/>
              <w:jc w:val="center"/>
              <w:rPr>
                <w:rFonts w:eastAsia="Times New Roman" w:cs="Times New Roman"/>
                <w:b/>
                <w:color w:val="FFFFFF"/>
                <w:sz w:val="16"/>
                <w:szCs w:val="16"/>
                <w:lang w:val="bg-BG" w:eastAsia="ro-RO"/>
              </w:rPr>
            </w:pPr>
          </w:p>
        </w:tc>
        <w:tc>
          <w:tcPr>
            <w:tcW w:w="703" w:type="dxa"/>
            <w:shd w:val="clear" w:color="auto" w:fill="00A2E8"/>
            <w:noWrap/>
            <w:textDirection w:val="btLr"/>
            <w:vAlign w:val="center"/>
            <w:hideMark/>
          </w:tcPr>
          <w:p w14:paraId="34CACB79" w14:textId="7F4839EC" w:rsidR="00695609" w:rsidRPr="00695609" w:rsidRDefault="00695609" w:rsidP="00BD770A">
            <w:pPr>
              <w:spacing w:line="240" w:lineRule="auto"/>
              <w:ind w:left="113" w:right="113"/>
              <w:contextualSpacing/>
              <w:jc w:val="center"/>
              <w:rPr>
                <w:rFonts w:eastAsia="Times New Roman" w:cs="Times New Roman"/>
                <w:b/>
                <w:color w:val="FFFFFF"/>
                <w:sz w:val="16"/>
                <w:szCs w:val="16"/>
                <w:lang w:val="bg-BG" w:eastAsia="ro-RO"/>
              </w:rPr>
            </w:pPr>
            <w:r w:rsidRPr="00695609">
              <w:rPr>
                <w:rFonts w:eastAsia="Times New Roman" w:cs="Times New Roman"/>
                <w:b/>
                <w:color w:val="FFFFFF"/>
                <w:sz w:val="16"/>
                <w:szCs w:val="16"/>
                <w:lang w:val="bg-BG" w:eastAsia="ro-RO"/>
              </w:rPr>
              <w:t>LAeq 31.5Гц</w:t>
            </w:r>
          </w:p>
        </w:tc>
        <w:tc>
          <w:tcPr>
            <w:tcW w:w="687" w:type="dxa"/>
            <w:shd w:val="clear" w:color="auto" w:fill="00A2E8"/>
            <w:noWrap/>
            <w:textDirection w:val="btLr"/>
            <w:vAlign w:val="center"/>
            <w:hideMark/>
          </w:tcPr>
          <w:p w14:paraId="62ECB45A" w14:textId="0995299A" w:rsidR="00695609" w:rsidRPr="00695609" w:rsidRDefault="00695609" w:rsidP="00BD770A">
            <w:pPr>
              <w:spacing w:line="240" w:lineRule="auto"/>
              <w:ind w:left="113" w:right="113"/>
              <w:contextualSpacing/>
              <w:jc w:val="center"/>
              <w:rPr>
                <w:rFonts w:eastAsia="Times New Roman" w:cs="Times New Roman"/>
                <w:b/>
                <w:color w:val="FFFFFF"/>
                <w:sz w:val="16"/>
                <w:szCs w:val="16"/>
                <w:lang w:val="bg-BG" w:eastAsia="ro-RO"/>
              </w:rPr>
            </w:pPr>
            <w:r w:rsidRPr="00695609">
              <w:rPr>
                <w:rFonts w:eastAsia="Times New Roman" w:cs="Times New Roman"/>
                <w:b/>
                <w:color w:val="FFFFFF"/>
                <w:sz w:val="16"/>
                <w:szCs w:val="16"/>
                <w:lang w:val="bg-BG" w:eastAsia="ro-RO"/>
              </w:rPr>
              <w:t>LAeq 63Гц</w:t>
            </w:r>
          </w:p>
        </w:tc>
        <w:tc>
          <w:tcPr>
            <w:tcW w:w="709" w:type="dxa"/>
            <w:shd w:val="clear" w:color="auto" w:fill="00A2E8"/>
            <w:noWrap/>
            <w:textDirection w:val="btLr"/>
            <w:vAlign w:val="center"/>
            <w:hideMark/>
          </w:tcPr>
          <w:p w14:paraId="2DCFC0E8" w14:textId="1F0276D0" w:rsidR="00695609" w:rsidRPr="00695609" w:rsidRDefault="00695609" w:rsidP="00BD770A">
            <w:pPr>
              <w:spacing w:line="240" w:lineRule="auto"/>
              <w:ind w:left="113" w:right="113"/>
              <w:contextualSpacing/>
              <w:jc w:val="center"/>
              <w:rPr>
                <w:rFonts w:eastAsia="Times New Roman" w:cs="Times New Roman"/>
                <w:b/>
                <w:color w:val="FFFFFF"/>
                <w:sz w:val="16"/>
                <w:szCs w:val="16"/>
                <w:lang w:val="bg-BG" w:eastAsia="ro-RO"/>
              </w:rPr>
            </w:pPr>
            <w:r w:rsidRPr="00695609">
              <w:rPr>
                <w:rFonts w:eastAsia="Times New Roman" w:cs="Times New Roman"/>
                <w:b/>
                <w:color w:val="FFFFFF"/>
                <w:sz w:val="16"/>
                <w:szCs w:val="16"/>
                <w:lang w:val="bg-BG" w:eastAsia="ro-RO"/>
              </w:rPr>
              <w:t>LAeq 125Гц</w:t>
            </w:r>
          </w:p>
        </w:tc>
        <w:tc>
          <w:tcPr>
            <w:tcW w:w="709" w:type="dxa"/>
            <w:shd w:val="clear" w:color="auto" w:fill="00A2E8"/>
            <w:noWrap/>
            <w:textDirection w:val="btLr"/>
            <w:vAlign w:val="center"/>
            <w:hideMark/>
          </w:tcPr>
          <w:p w14:paraId="16284074" w14:textId="2BCB4845" w:rsidR="00695609" w:rsidRPr="00695609" w:rsidRDefault="00695609" w:rsidP="00BD770A">
            <w:pPr>
              <w:spacing w:line="240" w:lineRule="auto"/>
              <w:ind w:left="113" w:right="113"/>
              <w:contextualSpacing/>
              <w:jc w:val="center"/>
              <w:rPr>
                <w:rFonts w:eastAsia="Times New Roman" w:cs="Times New Roman"/>
                <w:b/>
                <w:color w:val="FFFFFF"/>
                <w:sz w:val="16"/>
                <w:szCs w:val="16"/>
                <w:lang w:val="bg-BG" w:eastAsia="ro-RO"/>
              </w:rPr>
            </w:pPr>
            <w:r w:rsidRPr="00695609">
              <w:rPr>
                <w:rFonts w:eastAsia="Times New Roman" w:cs="Times New Roman"/>
                <w:b/>
                <w:color w:val="FFFFFF"/>
                <w:sz w:val="16"/>
                <w:szCs w:val="16"/>
                <w:lang w:val="bg-BG" w:eastAsia="ro-RO"/>
              </w:rPr>
              <w:t>LAeq 250Гц</w:t>
            </w:r>
          </w:p>
        </w:tc>
        <w:tc>
          <w:tcPr>
            <w:tcW w:w="708" w:type="dxa"/>
            <w:shd w:val="clear" w:color="auto" w:fill="00A2E8"/>
            <w:noWrap/>
            <w:textDirection w:val="btLr"/>
            <w:vAlign w:val="center"/>
            <w:hideMark/>
          </w:tcPr>
          <w:p w14:paraId="213D5026" w14:textId="6D169718" w:rsidR="00695609" w:rsidRPr="00695609" w:rsidRDefault="00695609" w:rsidP="00BD770A">
            <w:pPr>
              <w:spacing w:line="240" w:lineRule="auto"/>
              <w:ind w:left="113" w:right="113"/>
              <w:contextualSpacing/>
              <w:jc w:val="center"/>
              <w:rPr>
                <w:rFonts w:eastAsia="Times New Roman" w:cs="Times New Roman"/>
                <w:b/>
                <w:color w:val="FFFFFF"/>
                <w:sz w:val="16"/>
                <w:szCs w:val="16"/>
                <w:lang w:val="bg-BG" w:eastAsia="ro-RO"/>
              </w:rPr>
            </w:pPr>
            <w:r w:rsidRPr="00695609">
              <w:rPr>
                <w:rFonts w:eastAsia="Times New Roman" w:cs="Times New Roman"/>
                <w:b/>
                <w:color w:val="FFFFFF"/>
                <w:sz w:val="16"/>
                <w:szCs w:val="16"/>
                <w:lang w:val="bg-BG" w:eastAsia="ro-RO"/>
              </w:rPr>
              <w:t>LAeq 500Гц</w:t>
            </w:r>
          </w:p>
        </w:tc>
        <w:tc>
          <w:tcPr>
            <w:tcW w:w="483" w:type="dxa"/>
            <w:shd w:val="clear" w:color="auto" w:fill="00A2E8"/>
            <w:noWrap/>
            <w:textDirection w:val="btLr"/>
            <w:vAlign w:val="center"/>
            <w:hideMark/>
          </w:tcPr>
          <w:p w14:paraId="48388983" w14:textId="265A0550" w:rsidR="00695609" w:rsidRPr="00695609" w:rsidRDefault="00695609" w:rsidP="00BD770A">
            <w:pPr>
              <w:spacing w:line="240" w:lineRule="auto"/>
              <w:ind w:left="113" w:right="113"/>
              <w:contextualSpacing/>
              <w:jc w:val="center"/>
              <w:rPr>
                <w:rFonts w:eastAsia="Times New Roman" w:cs="Times New Roman"/>
                <w:b/>
                <w:color w:val="FFFFFF"/>
                <w:sz w:val="16"/>
                <w:szCs w:val="16"/>
                <w:lang w:val="bg-BG" w:eastAsia="ro-RO"/>
              </w:rPr>
            </w:pPr>
            <w:r w:rsidRPr="00695609">
              <w:rPr>
                <w:rFonts w:eastAsia="Times New Roman" w:cs="Times New Roman"/>
                <w:b/>
                <w:color w:val="FFFFFF"/>
                <w:sz w:val="16"/>
                <w:szCs w:val="16"/>
                <w:lang w:val="bg-BG" w:eastAsia="ro-RO"/>
              </w:rPr>
              <w:t>LAeq 1kГц</w:t>
            </w:r>
          </w:p>
        </w:tc>
        <w:tc>
          <w:tcPr>
            <w:tcW w:w="679" w:type="dxa"/>
            <w:shd w:val="clear" w:color="auto" w:fill="00A2E8"/>
            <w:noWrap/>
            <w:textDirection w:val="btLr"/>
            <w:vAlign w:val="center"/>
            <w:hideMark/>
          </w:tcPr>
          <w:p w14:paraId="3C0039E9" w14:textId="08FD9397" w:rsidR="00695609" w:rsidRPr="00695609" w:rsidRDefault="00695609" w:rsidP="00BD770A">
            <w:pPr>
              <w:spacing w:line="240" w:lineRule="auto"/>
              <w:ind w:left="113" w:right="113"/>
              <w:contextualSpacing/>
              <w:jc w:val="center"/>
              <w:rPr>
                <w:rFonts w:eastAsia="Times New Roman" w:cs="Times New Roman"/>
                <w:b/>
                <w:color w:val="FFFFFF"/>
                <w:sz w:val="16"/>
                <w:szCs w:val="16"/>
                <w:lang w:val="bg-BG" w:eastAsia="ro-RO"/>
              </w:rPr>
            </w:pPr>
            <w:r w:rsidRPr="00695609">
              <w:rPr>
                <w:rFonts w:eastAsia="Times New Roman" w:cs="Times New Roman"/>
                <w:b/>
                <w:color w:val="FFFFFF"/>
                <w:sz w:val="16"/>
                <w:szCs w:val="16"/>
                <w:lang w:val="bg-BG" w:eastAsia="ro-RO"/>
              </w:rPr>
              <w:t>LAeq 2kГц</w:t>
            </w:r>
          </w:p>
        </w:tc>
        <w:tc>
          <w:tcPr>
            <w:tcW w:w="709" w:type="dxa"/>
            <w:shd w:val="clear" w:color="auto" w:fill="00A2E8"/>
            <w:noWrap/>
            <w:textDirection w:val="btLr"/>
            <w:vAlign w:val="center"/>
            <w:hideMark/>
          </w:tcPr>
          <w:p w14:paraId="6FBA78E2" w14:textId="360172E6" w:rsidR="00695609" w:rsidRPr="00695609" w:rsidRDefault="00695609" w:rsidP="00BD770A">
            <w:pPr>
              <w:spacing w:line="240" w:lineRule="auto"/>
              <w:ind w:left="113" w:right="113"/>
              <w:contextualSpacing/>
              <w:jc w:val="center"/>
              <w:rPr>
                <w:rFonts w:eastAsia="Times New Roman" w:cs="Times New Roman"/>
                <w:b/>
                <w:color w:val="FFFFFF"/>
                <w:sz w:val="16"/>
                <w:szCs w:val="16"/>
                <w:lang w:val="bg-BG" w:eastAsia="ro-RO"/>
              </w:rPr>
            </w:pPr>
            <w:r w:rsidRPr="00695609">
              <w:rPr>
                <w:rFonts w:eastAsia="Times New Roman" w:cs="Times New Roman"/>
                <w:b/>
                <w:color w:val="FFFFFF"/>
                <w:sz w:val="16"/>
                <w:szCs w:val="16"/>
                <w:lang w:val="bg-BG" w:eastAsia="ro-RO"/>
              </w:rPr>
              <w:t>LAeq 4kГц</w:t>
            </w:r>
          </w:p>
        </w:tc>
        <w:tc>
          <w:tcPr>
            <w:tcW w:w="681" w:type="dxa"/>
            <w:shd w:val="clear" w:color="auto" w:fill="00A2E8"/>
            <w:noWrap/>
            <w:textDirection w:val="btLr"/>
            <w:vAlign w:val="center"/>
            <w:hideMark/>
          </w:tcPr>
          <w:p w14:paraId="5FBC5CC0" w14:textId="6CC45914" w:rsidR="00695609" w:rsidRPr="00695609" w:rsidRDefault="00695609" w:rsidP="00BD770A">
            <w:pPr>
              <w:spacing w:line="240" w:lineRule="auto"/>
              <w:ind w:left="113" w:right="113"/>
              <w:contextualSpacing/>
              <w:jc w:val="center"/>
              <w:rPr>
                <w:rFonts w:eastAsia="Times New Roman" w:cs="Times New Roman"/>
                <w:b/>
                <w:color w:val="FFFFFF"/>
                <w:sz w:val="16"/>
                <w:szCs w:val="16"/>
                <w:lang w:val="bg-BG" w:eastAsia="ro-RO"/>
              </w:rPr>
            </w:pPr>
            <w:r w:rsidRPr="00695609">
              <w:rPr>
                <w:rFonts w:eastAsia="Times New Roman" w:cs="Times New Roman"/>
                <w:b/>
                <w:color w:val="FFFFFF"/>
                <w:sz w:val="16"/>
                <w:szCs w:val="16"/>
                <w:lang w:val="bg-BG" w:eastAsia="ro-RO"/>
              </w:rPr>
              <w:t>LAeq 8kГц</w:t>
            </w:r>
          </w:p>
        </w:tc>
        <w:tc>
          <w:tcPr>
            <w:tcW w:w="567" w:type="dxa"/>
            <w:shd w:val="clear" w:color="auto" w:fill="00A2E8"/>
            <w:noWrap/>
            <w:textDirection w:val="btLr"/>
            <w:vAlign w:val="center"/>
            <w:hideMark/>
          </w:tcPr>
          <w:p w14:paraId="583F2C42" w14:textId="77777777" w:rsidR="00695609" w:rsidRPr="00695609" w:rsidRDefault="00695609" w:rsidP="00BD770A">
            <w:pPr>
              <w:spacing w:line="240" w:lineRule="auto"/>
              <w:ind w:left="113" w:right="113"/>
              <w:contextualSpacing/>
              <w:jc w:val="center"/>
              <w:rPr>
                <w:rFonts w:eastAsia="Times New Roman" w:cs="Times New Roman"/>
                <w:b/>
                <w:color w:val="FFFFFF"/>
                <w:sz w:val="16"/>
                <w:szCs w:val="16"/>
                <w:lang w:val="bg-BG" w:eastAsia="ro-RO"/>
              </w:rPr>
            </w:pPr>
            <w:r w:rsidRPr="00695609">
              <w:rPr>
                <w:rFonts w:eastAsia="Times New Roman" w:cs="Times New Roman"/>
                <w:b/>
                <w:color w:val="FFFFFF"/>
                <w:sz w:val="16"/>
                <w:szCs w:val="16"/>
                <w:lang w:val="bg-BG" w:eastAsia="ro-RO"/>
              </w:rPr>
              <w:t>LAeq</w:t>
            </w:r>
          </w:p>
        </w:tc>
      </w:tr>
      <w:tr w:rsidR="00695609" w:rsidRPr="00695609" w14:paraId="46C5FC36" w14:textId="77777777" w:rsidTr="00BD770A">
        <w:trPr>
          <w:trHeight w:val="300"/>
        </w:trPr>
        <w:tc>
          <w:tcPr>
            <w:tcW w:w="2609" w:type="dxa"/>
            <w:shd w:val="clear" w:color="auto" w:fill="auto"/>
            <w:noWrap/>
            <w:vAlign w:val="center"/>
          </w:tcPr>
          <w:p w14:paraId="137879C4" w14:textId="6621BC0E" w:rsidR="00695609" w:rsidRPr="00695609" w:rsidRDefault="00695609" w:rsidP="00BD770A">
            <w:pPr>
              <w:spacing w:line="240" w:lineRule="auto"/>
              <w:contextualSpacing/>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Заповед № 119/2014 - за жилищни райони - ден</w:t>
            </w:r>
          </w:p>
        </w:tc>
        <w:tc>
          <w:tcPr>
            <w:tcW w:w="703" w:type="dxa"/>
            <w:shd w:val="clear" w:color="auto" w:fill="auto"/>
            <w:noWrap/>
            <w:vAlign w:val="center"/>
          </w:tcPr>
          <w:p w14:paraId="0FE405F5"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687" w:type="dxa"/>
            <w:shd w:val="clear" w:color="auto" w:fill="auto"/>
            <w:noWrap/>
            <w:vAlign w:val="center"/>
          </w:tcPr>
          <w:p w14:paraId="39C552DC"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709" w:type="dxa"/>
            <w:shd w:val="clear" w:color="auto" w:fill="auto"/>
            <w:noWrap/>
            <w:vAlign w:val="center"/>
          </w:tcPr>
          <w:p w14:paraId="62088701"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709" w:type="dxa"/>
            <w:shd w:val="clear" w:color="auto" w:fill="auto"/>
            <w:noWrap/>
            <w:vAlign w:val="center"/>
          </w:tcPr>
          <w:p w14:paraId="7C301D55"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708" w:type="dxa"/>
            <w:shd w:val="clear" w:color="auto" w:fill="auto"/>
            <w:noWrap/>
            <w:vAlign w:val="center"/>
          </w:tcPr>
          <w:p w14:paraId="5CE23C44"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483" w:type="dxa"/>
            <w:shd w:val="clear" w:color="auto" w:fill="auto"/>
            <w:noWrap/>
            <w:vAlign w:val="center"/>
          </w:tcPr>
          <w:p w14:paraId="6E2ED63D"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679" w:type="dxa"/>
            <w:shd w:val="clear" w:color="auto" w:fill="auto"/>
            <w:noWrap/>
            <w:vAlign w:val="center"/>
          </w:tcPr>
          <w:p w14:paraId="15DDE4B0"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709" w:type="dxa"/>
            <w:shd w:val="clear" w:color="auto" w:fill="auto"/>
            <w:noWrap/>
            <w:vAlign w:val="center"/>
          </w:tcPr>
          <w:p w14:paraId="7C9AF798"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681" w:type="dxa"/>
            <w:shd w:val="clear" w:color="auto" w:fill="auto"/>
            <w:noWrap/>
            <w:vAlign w:val="center"/>
          </w:tcPr>
          <w:p w14:paraId="6019833E"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567" w:type="dxa"/>
            <w:shd w:val="clear" w:color="auto" w:fill="auto"/>
            <w:noWrap/>
            <w:vAlign w:val="center"/>
          </w:tcPr>
          <w:p w14:paraId="4DCCD9A2"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55</w:t>
            </w:r>
          </w:p>
        </w:tc>
      </w:tr>
      <w:tr w:rsidR="00695609" w:rsidRPr="00695609" w14:paraId="792C2FFD" w14:textId="77777777" w:rsidTr="00BD770A">
        <w:trPr>
          <w:trHeight w:val="300"/>
        </w:trPr>
        <w:tc>
          <w:tcPr>
            <w:tcW w:w="2609" w:type="dxa"/>
            <w:shd w:val="clear" w:color="auto" w:fill="auto"/>
            <w:noWrap/>
            <w:vAlign w:val="center"/>
          </w:tcPr>
          <w:p w14:paraId="34696DB9" w14:textId="73B6F64D" w:rsidR="00695609" w:rsidRPr="00695609" w:rsidRDefault="00695609" w:rsidP="00BD770A">
            <w:pPr>
              <w:spacing w:line="240" w:lineRule="auto"/>
              <w:contextualSpacing/>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Заповед № 119/2014 - за жилищни райони - нощ</w:t>
            </w:r>
          </w:p>
        </w:tc>
        <w:tc>
          <w:tcPr>
            <w:tcW w:w="703" w:type="dxa"/>
            <w:shd w:val="clear" w:color="auto" w:fill="auto"/>
            <w:noWrap/>
            <w:vAlign w:val="center"/>
          </w:tcPr>
          <w:p w14:paraId="4BA31E55"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687" w:type="dxa"/>
            <w:shd w:val="clear" w:color="auto" w:fill="auto"/>
            <w:noWrap/>
            <w:vAlign w:val="center"/>
          </w:tcPr>
          <w:p w14:paraId="4BCF91B3"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709" w:type="dxa"/>
            <w:shd w:val="clear" w:color="auto" w:fill="auto"/>
            <w:noWrap/>
            <w:vAlign w:val="center"/>
          </w:tcPr>
          <w:p w14:paraId="75154C4D"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709" w:type="dxa"/>
            <w:shd w:val="clear" w:color="auto" w:fill="auto"/>
            <w:noWrap/>
            <w:vAlign w:val="center"/>
          </w:tcPr>
          <w:p w14:paraId="4D1D22BA"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708" w:type="dxa"/>
            <w:shd w:val="clear" w:color="auto" w:fill="auto"/>
            <w:noWrap/>
            <w:vAlign w:val="center"/>
          </w:tcPr>
          <w:p w14:paraId="71CA240A"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483" w:type="dxa"/>
            <w:shd w:val="clear" w:color="auto" w:fill="auto"/>
            <w:noWrap/>
            <w:vAlign w:val="center"/>
          </w:tcPr>
          <w:p w14:paraId="72D5981A"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679" w:type="dxa"/>
            <w:shd w:val="clear" w:color="auto" w:fill="auto"/>
            <w:noWrap/>
            <w:vAlign w:val="center"/>
          </w:tcPr>
          <w:p w14:paraId="0739230C"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709" w:type="dxa"/>
            <w:shd w:val="clear" w:color="auto" w:fill="auto"/>
            <w:noWrap/>
            <w:vAlign w:val="center"/>
          </w:tcPr>
          <w:p w14:paraId="360231BE"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681" w:type="dxa"/>
            <w:shd w:val="clear" w:color="auto" w:fill="auto"/>
            <w:noWrap/>
            <w:vAlign w:val="center"/>
          </w:tcPr>
          <w:p w14:paraId="0D3B0A36"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c>
          <w:tcPr>
            <w:tcW w:w="567" w:type="dxa"/>
            <w:shd w:val="clear" w:color="auto" w:fill="auto"/>
            <w:noWrap/>
            <w:vAlign w:val="center"/>
          </w:tcPr>
          <w:p w14:paraId="2D037855"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45</w:t>
            </w:r>
          </w:p>
        </w:tc>
      </w:tr>
      <w:tr w:rsidR="00695609" w:rsidRPr="00695609" w14:paraId="0A0E72FC" w14:textId="77777777" w:rsidTr="00BD770A">
        <w:trPr>
          <w:trHeight w:val="300"/>
        </w:trPr>
        <w:tc>
          <w:tcPr>
            <w:tcW w:w="2609" w:type="dxa"/>
            <w:shd w:val="clear" w:color="auto" w:fill="auto"/>
            <w:noWrap/>
            <w:vAlign w:val="center"/>
          </w:tcPr>
          <w:p w14:paraId="2F39F852" w14:textId="503BC2D6" w:rsidR="00695609" w:rsidRPr="00695609" w:rsidRDefault="00695609" w:rsidP="00BD770A">
            <w:pPr>
              <w:spacing w:line="240" w:lineRule="auto"/>
              <w:contextualSpacing/>
              <w:rPr>
                <w:rFonts w:eastAsia="Times New Roman"/>
                <w:color w:val="000000"/>
                <w:sz w:val="16"/>
                <w:szCs w:val="16"/>
                <w:lang w:val="bg-BG" w:eastAsia="ro-RO"/>
              </w:rPr>
            </w:pPr>
            <w:r w:rsidRPr="00695609">
              <w:rPr>
                <w:rFonts w:eastAsia="Times New Roman" w:cs="Times New Roman"/>
                <w:color w:val="000000"/>
                <w:sz w:val="16"/>
                <w:szCs w:val="16"/>
                <w:lang w:val="bg-BG" w:eastAsia="ro-RO"/>
              </w:rPr>
              <w:t xml:space="preserve">SR 6156:2020 – </w:t>
            </w:r>
            <w:r w:rsidRPr="00695609">
              <w:rPr>
                <w:rFonts w:eastAsia="Times New Roman"/>
                <w:color w:val="000000"/>
                <w:sz w:val="16"/>
                <w:szCs w:val="16"/>
                <w:lang w:val="bg-BG" w:eastAsia="ro-RO"/>
              </w:rPr>
              <w:t>за хигиената и общественото здраве на жизнената среда на населението*</w:t>
            </w:r>
          </w:p>
        </w:tc>
        <w:tc>
          <w:tcPr>
            <w:tcW w:w="703" w:type="dxa"/>
            <w:shd w:val="clear" w:color="auto" w:fill="auto"/>
            <w:noWrap/>
            <w:vAlign w:val="center"/>
          </w:tcPr>
          <w:p w14:paraId="5DF81B8F"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89,4</w:t>
            </w:r>
          </w:p>
        </w:tc>
        <w:tc>
          <w:tcPr>
            <w:tcW w:w="687" w:type="dxa"/>
            <w:shd w:val="clear" w:color="auto" w:fill="auto"/>
            <w:noWrap/>
            <w:vAlign w:val="center"/>
          </w:tcPr>
          <w:p w14:paraId="12461884"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75</w:t>
            </w:r>
          </w:p>
        </w:tc>
        <w:tc>
          <w:tcPr>
            <w:tcW w:w="709" w:type="dxa"/>
            <w:shd w:val="clear" w:color="auto" w:fill="auto"/>
            <w:noWrap/>
            <w:vAlign w:val="center"/>
          </w:tcPr>
          <w:p w14:paraId="26273215"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65,2</w:t>
            </w:r>
          </w:p>
        </w:tc>
        <w:tc>
          <w:tcPr>
            <w:tcW w:w="709" w:type="dxa"/>
            <w:shd w:val="clear" w:color="auto" w:fill="auto"/>
            <w:noWrap/>
            <w:vAlign w:val="center"/>
          </w:tcPr>
          <w:p w14:paraId="48B916F6"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58,5</w:t>
            </w:r>
          </w:p>
        </w:tc>
        <w:tc>
          <w:tcPr>
            <w:tcW w:w="708" w:type="dxa"/>
            <w:shd w:val="clear" w:color="auto" w:fill="auto"/>
            <w:noWrap/>
            <w:vAlign w:val="center"/>
          </w:tcPr>
          <w:p w14:paraId="7FB2B235"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53,5</w:t>
            </w:r>
          </w:p>
        </w:tc>
        <w:tc>
          <w:tcPr>
            <w:tcW w:w="483" w:type="dxa"/>
            <w:shd w:val="clear" w:color="auto" w:fill="auto"/>
            <w:noWrap/>
            <w:vAlign w:val="center"/>
          </w:tcPr>
          <w:p w14:paraId="056B891A"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50</w:t>
            </w:r>
          </w:p>
        </w:tc>
        <w:tc>
          <w:tcPr>
            <w:tcW w:w="679" w:type="dxa"/>
            <w:shd w:val="clear" w:color="auto" w:fill="auto"/>
            <w:noWrap/>
            <w:vAlign w:val="center"/>
          </w:tcPr>
          <w:p w14:paraId="09776904"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47,2</w:t>
            </w:r>
          </w:p>
        </w:tc>
        <w:tc>
          <w:tcPr>
            <w:tcW w:w="709" w:type="dxa"/>
            <w:shd w:val="clear" w:color="auto" w:fill="auto"/>
            <w:noWrap/>
            <w:vAlign w:val="center"/>
          </w:tcPr>
          <w:p w14:paraId="45046544"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45,2</w:t>
            </w:r>
          </w:p>
        </w:tc>
        <w:tc>
          <w:tcPr>
            <w:tcW w:w="681" w:type="dxa"/>
            <w:shd w:val="clear" w:color="auto" w:fill="auto"/>
            <w:noWrap/>
            <w:vAlign w:val="center"/>
          </w:tcPr>
          <w:p w14:paraId="54ADBEFD"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43,5</w:t>
            </w:r>
          </w:p>
        </w:tc>
        <w:tc>
          <w:tcPr>
            <w:tcW w:w="567" w:type="dxa"/>
            <w:shd w:val="clear" w:color="auto" w:fill="auto"/>
            <w:noWrap/>
            <w:vAlign w:val="center"/>
          </w:tcPr>
          <w:p w14:paraId="2884CF38"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r>
      <w:tr w:rsidR="00695609" w:rsidRPr="00695609" w14:paraId="612B40EB" w14:textId="77777777" w:rsidTr="00BD770A">
        <w:trPr>
          <w:trHeight w:val="300"/>
        </w:trPr>
        <w:tc>
          <w:tcPr>
            <w:tcW w:w="2609" w:type="dxa"/>
            <w:shd w:val="clear" w:color="auto" w:fill="auto"/>
            <w:noWrap/>
            <w:vAlign w:val="center"/>
          </w:tcPr>
          <w:p w14:paraId="675DE6A4" w14:textId="60A7A56E" w:rsidR="00695609" w:rsidRPr="00695609" w:rsidRDefault="00695609" w:rsidP="00BD770A">
            <w:pPr>
              <w:spacing w:line="240" w:lineRule="auto"/>
              <w:contextualSpacing/>
              <w:rPr>
                <w:rFonts w:eastAsia="Times New Roman"/>
                <w:color w:val="000000"/>
                <w:sz w:val="16"/>
                <w:szCs w:val="16"/>
                <w:lang w:val="bg-BG" w:eastAsia="ro-RO"/>
              </w:rPr>
            </w:pPr>
            <w:r w:rsidRPr="00695609">
              <w:rPr>
                <w:rFonts w:eastAsia="Times New Roman" w:cs="Times New Roman"/>
                <w:color w:val="000000"/>
                <w:sz w:val="16"/>
                <w:szCs w:val="16"/>
                <w:lang w:val="bg-BG" w:eastAsia="ro-RO"/>
              </w:rPr>
              <w:t xml:space="preserve">SR 10009:2017/C91:2020– </w:t>
            </w:r>
            <w:r w:rsidRPr="00695609">
              <w:rPr>
                <w:rFonts w:eastAsia="Times New Roman"/>
                <w:color w:val="000000"/>
                <w:sz w:val="16"/>
                <w:szCs w:val="16"/>
                <w:lang w:val="bg-BG" w:eastAsia="ro-RO"/>
              </w:rPr>
              <w:t>за пазари, търговски обекти и открити заведения за обществено хранене/индустриални обекти</w:t>
            </w:r>
          </w:p>
        </w:tc>
        <w:tc>
          <w:tcPr>
            <w:tcW w:w="703" w:type="dxa"/>
            <w:shd w:val="clear" w:color="auto" w:fill="auto"/>
            <w:noWrap/>
            <w:vAlign w:val="center"/>
          </w:tcPr>
          <w:p w14:paraId="18660B28"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w:t>
            </w:r>
          </w:p>
        </w:tc>
        <w:tc>
          <w:tcPr>
            <w:tcW w:w="687" w:type="dxa"/>
            <w:shd w:val="clear" w:color="auto" w:fill="auto"/>
            <w:noWrap/>
            <w:vAlign w:val="center"/>
          </w:tcPr>
          <w:p w14:paraId="1DC6AE63"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w:t>
            </w:r>
          </w:p>
        </w:tc>
        <w:tc>
          <w:tcPr>
            <w:tcW w:w="709" w:type="dxa"/>
            <w:shd w:val="clear" w:color="auto" w:fill="auto"/>
            <w:noWrap/>
            <w:vAlign w:val="center"/>
          </w:tcPr>
          <w:p w14:paraId="6A1CCFEC"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w:t>
            </w:r>
          </w:p>
        </w:tc>
        <w:tc>
          <w:tcPr>
            <w:tcW w:w="709" w:type="dxa"/>
            <w:shd w:val="clear" w:color="auto" w:fill="auto"/>
            <w:noWrap/>
            <w:vAlign w:val="center"/>
          </w:tcPr>
          <w:p w14:paraId="6E618745"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w:t>
            </w:r>
          </w:p>
        </w:tc>
        <w:tc>
          <w:tcPr>
            <w:tcW w:w="708" w:type="dxa"/>
            <w:shd w:val="clear" w:color="auto" w:fill="auto"/>
            <w:noWrap/>
            <w:vAlign w:val="center"/>
          </w:tcPr>
          <w:p w14:paraId="2E8F498B"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w:t>
            </w:r>
          </w:p>
        </w:tc>
        <w:tc>
          <w:tcPr>
            <w:tcW w:w="483" w:type="dxa"/>
            <w:shd w:val="clear" w:color="auto" w:fill="auto"/>
            <w:noWrap/>
            <w:vAlign w:val="center"/>
          </w:tcPr>
          <w:p w14:paraId="4A052D7E"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w:t>
            </w:r>
          </w:p>
        </w:tc>
        <w:tc>
          <w:tcPr>
            <w:tcW w:w="679" w:type="dxa"/>
            <w:shd w:val="clear" w:color="auto" w:fill="auto"/>
            <w:noWrap/>
            <w:vAlign w:val="center"/>
          </w:tcPr>
          <w:p w14:paraId="43AF0600"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w:t>
            </w:r>
          </w:p>
        </w:tc>
        <w:tc>
          <w:tcPr>
            <w:tcW w:w="709" w:type="dxa"/>
            <w:shd w:val="clear" w:color="auto" w:fill="auto"/>
            <w:noWrap/>
            <w:vAlign w:val="center"/>
          </w:tcPr>
          <w:p w14:paraId="2C8615ED"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w:t>
            </w:r>
          </w:p>
        </w:tc>
        <w:tc>
          <w:tcPr>
            <w:tcW w:w="681" w:type="dxa"/>
            <w:shd w:val="clear" w:color="auto" w:fill="auto"/>
            <w:noWrap/>
            <w:vAlign w:val="center"/>
          </w:tcPr>
          <w:p w14:paraId="2F03FC77"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w:t>
            </w:r>
          </w:p>
        </w:tc>
        <w:tc>
          <w:tcPr>
            <w:tcW w:w="567" w:type="dxa"/>
            <w:shd w:val="clear" w:color="auto" w:fill="auto"/>
            <w:noWrap/>
            <w:vAlign w:val="center"/>
          </w:tcPr>
          <w:p w14:paraId="46F93321"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65</w:t>
            </w:r>
          </w:p>
        </w:tc>
      </w:tr>
      <w:tr w:rsidR="00695609" w:rsidRPr="00695609" w14:paraId="6BDE56A4" w14:textId="77777777" w:rsidTr="00BD770A">
        <w:trPr>
          <w:trHeight w:val="300"/>
        </w:trPr>
        <w:tc>
          <w:tcPr>
            <w:tcW w:w="2609" w:type="dxa"/>
            <w:shd w:val="clear" w:color="auto" w:fill="auto"/>
            <w:noWrap/>
            <w:vAlign w:val="center"/>
          </w:tcPr>
          <w:p w14:paraId="53665F98" w14:textId="1F712FB0" w:rsidR="00695609" w:rsidRPr="00695609" w:rsidRDefault="00695609" w:rsidP="00BD770A">
            <w:pPr>
              <w:spacing w:line="240" w:lineRule="auto"/>
              <w:contextualSpacing/>
              <w:rPr>
                <w:rFonts w:eastAsia="Times New Roman"/>
                <w:color w:val="000000"/>
                <w:sz w:val="16"/>
                <w:szCs w:val="16"/>
                <w:lang w:val="bg-BG" w:eastAsia="ro-RO"/>
              </w:rPr>
            </w:pPr>
            <w:r w:rsidRPr="00695609">
              <w:rPr>
                <w:rFonts w:eastAsia="Times New Roman" w:cs="Times New Roman"/>
                <w:color w:val="000000"/>
                <w:sz w:val="16"/>
                <w:szCs w:val="16"/>
                <w:lang w:val="bg-BG" w:eastAsia="ro-RO"/>
              </w:rPr>
              <w:t xml:space="preserve">SR 6156:2020 – </w:t>
            </w:r>
            <w:r w:rsidRPr="00695609">
              <w:rPr>
                <w:rFonts w:eastAsia="Times New Roman"/>
                <w:color w:val="000000"/>
                <w:sz w:val="16"/>
                <w:szCs w:val="16"/>
                <w:lang w:val="bg-BG" w:eastAsia="ro-RO"/>
              </w:rPr>
              <w:t>за пазари, търговски обекти и обекти за обществено хранене / промишлени обекти**</w:t>
            </w:r>
          </w:p>
        </w:tc>
        <w:tc>
          <w:tcPr>
            <w:tcW w:w="703" w:type="dxa"/>
            <w:shd w:val="clear" w:color="auto" w:fill="auto"/>
            <w:noWrap/>
            <w:vAlign w:val="center"/>
          </w:tcPr>
          <w:p w14:paraId="196E3D76"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96,3</w:t>
            </w:r>
          </w:p>
        </w:tc>
        <w:tc>
          <w:tcPr>
            <w:tcW w:w="687" w:type="dxa"/>
            <w:shd w:val="clear" w:color="auto" w:fill="auto"/>
            <w:noWrap/>
            <w:vAlign w:val="center"/>
          </w:tcPr>
          <w:p w14:paraId="35389948"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82,9</w:t>
            </w:r>
          </w:p>
        </w:tc>
        <w:tc>
          <w:tcPr>
            <w:tcW w:w="709" w:type="dxa"/>
            <w:shd w:val="clear" w:color="auto" w:fill="auto"/>
            <w:noWrap/>
            <w:vAlign w:val="center"/>
          </w:tcPr>
          <w:p w14:paraId="575D2896"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74,2</w:t>
            </w:r>
          </w:p>
        </w:tc>
        <w:tc>
          <w:tcPr>
            <w:tcW w:w="709" w:type="dxa"/>
            <w:shd w:val="clear" w:color="auto" w:fill="auto"/>
            <w:noWrap/>
            <w:vAlign w:val="center"/>
          </w:tcPr>
          <w:p w14:paraId="2BEADCA2"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67,8</w:t>
            </w:r>
          </w:p>
        </w:tc>
        <w:tc>
          <w:tcPr>
            <w:tcW w:w="708" w:type="dxa"/>
            <w:shd w:val="clear" w:color="auto" w:fill="auto"/>
            <w:noWrap/>
            <w:vAlign w:val="center"/>
          </w:tcPr>
          <w:p w14:paraId="6C1EFA08"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63,2</w:t>
            </w:r>
          </w:p>
        </w:tc>
        <w:tc>
          <w:tcPr>
            <w:tcW w:w="483" w:type="dxa"/>
            <w:shd w:val="clear" w:color="auto" w:fill="auto"/>
            <w:noWrap/>
            <w:vAlign w:val="center"/>
          </w:tcPr>
          <w:p w14:paraId="7B6AF42C"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60</w:t>
            </w:r>
          </w:p>
        </w:tc>
        <w:tc>
          <w:tcPr>
            <w:tcW w:w="679" w:type="dxa"/>
            <w:shd w:val="clear" w:color="auto" w:fill="auto"/>
            <w:noWrap/>
            <w:vAlign w:val="center"/>
          </w:tcPr>
          <w:p w14:paraId="51263225"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57,4</w:t>
            </w:r>
          </w:p>
        </w:tc>
        <w:tc>
          <w:tcPr>
            <w:tcW w:w="709" w:type="dxa"/>
            <w:shd w:val="clear" w:color="auto" w:fill="auto"/>
            <w:noWrap/>
            <w:vAlign w:val="center"/>
          </w:tcPr>
          <w:p w14:paraId="415EA084"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55,4</w:t>
            </w:r>
          </w:p>
        </w:tc>
        <w:tc>
          <w:tcPr>
            <w:tcW w:w="681" w:type="dxa"/>
            <w:shd w:val="clear" w:color="auto" w:fill="auto"/>
            <w:noWrap/>
            <w:vAlign w:val="center"/>
          </w:tcPr>
          <w:p w14:paraId="6640B115" w14:textId="77777777" w:rsidR="00695609" w:rsidRPr="00695609" w:rsidRDefault="00695609" w:rsidP="00BD770A">
            <w:pPr>
              <w:spacing w:line="240" w:lineRule="auto"/>
              <w:contextualSpacing/>
              <w:jc w:val="center"/>
              <w:rPr>
                <w:rFonts w:eastAsia="Calibri" w:cs="Times New Roman"/>
                <w:sz w:val="16"/>
                <w:szCs w:val="16"/>
                <w:lang w:val="bg-BG"/>
              </w:rPr>
            </w:pPr>
            <w:r w:rsidRPr="00695609">
              <w:rPr>
                <w:rFonts w:eastAsia="Calibri" w:cs="Times New Roman"/>
                <w:sz w:val="16"/>
                <w:szCs w:val="16"/>
                <w:lang w:val="bg-BG"/>
              </w:rPr>
              <w:t>53,8</w:t>
            </w:r>
          </w:p>
        </w:tc>
        <w:tc>
          <w:tcPr>
            <w:tcW w:w="567" w:type="dxa"/>
            <w:shd w:val="clear" w:color="auto" w:fill="auto"/>
            <w:noWrap/>
            <w:vAlign w:val="center"/>
          </w:tcPr>
          <w:p w14:paraId="5AD65742" w14:textId="77777777" w:rsidR="00695609" w:rsidRPr="00695609" w:rsidRDefault="00695609" w:rsidP="00BD770A">
            <w:pPr>
              <w:spacing w:line="240" w:lineRule="auto"/>
              <w:contextualSpacing/>
              <w:jc w:val="center"/>
              <w:rPr>
                <w:rFonts w:eastAsia="Times New Roman" w:cs="Times New Roman"/>
                <w:color w:val="000000"/>
                <w:sz w:val="16"/>
                <w:szCs w:val="16"/>
                <w:lang w:val="bg-BG" w:eastAsia="ro-RO"/>
              </w:rPr>
            </w:pPr>
            <w:r w:rsidRPr="00695609">
              <w:rPr>
                <w:rFonts w:eastAsia="Times New Roman" w:cs="Times New Roman"/>
                <w:color w:val="000000"/>
                <w:sz w:val="16"/>
                <w:szCs w:val="16"/>
                <w:lang w:val="bg-BG" w:eastAsia="ro-RO"/>
              </w:rPr>
              <w:t>-</w:t>
            </w:r>
          </w:p>
        </w:tc>
      </w:tr>
    </w:tbl>
    <w:p w14:paraId="161E39EE" w14:textId="77777777" w:rsidR="00695609" w:rsidRPr="00695609" w:rsidRDefault="00695609" w:rsidP="00695609">
      <w:pPr>
        <w:spacing w:after="120" w:line="360" w:lineRule="auto"/>
        <w:ind w:left="357"/>
        <w:jc w:val="both"/>
        <w:rPr>
          <w:rFonts w:asciiTheme="majorHAnsi" w:hAnsiTheme="majorHAnsi"/>
          <w:b/>
          <w:bCs/>
          <w:color w:val="007BB8"/>
          <w:lang w:val="bg-BG"/>
        </w:rPr>
      </w:pPr>
    </w:p>
    <w:p w14:paraId="5EB67EFB" w14:textId="77777777" w:rsidR="00695609" w:rsidRPr="00695609" w:rsidRDefault="00695609" w:rsidP="00BA4196">
      <w:pPr>
        <w:spacing w:after="120" w:line="360" w:lineRule="auto"/>
        <w:ind w:left="357"/>
        <w:jc w:val="both"/>
        <w:rPr>
          <w:rFonts w:asciiTheme="majorHAnsi" w:hAnsiTheme="majorHAnsi"/>
          <w:color w:val="000000"/>
          <w:lang w:val="bg-BG"/>
        </w:rPr>
      </w:pPr>
      <w:r w:rsidRPr="00695609">
        <w:rPr>
          <w:rFonts w:asciiTheme="majorHAnsi" w:hAnsiTheme="majorHAnsi"/>
          <w:color w:val="000000"/>
          <w:lang w:val="bg-BG"/>
        </w:rPr>
        <w:t>Основните източници на шум и вибрации на обекта по време на работата ще бъдат:</w:t>
      </w:r>
    </w:p>
    <w:p w14:paraId="1A324F75" w14:textId="572A1D47" w:rsidR="00695609" w:rsidRPr="00BA4196" w:rsidRDefault="00695609">
      <w:pPr>
        <w:pStyle w:val="ListParagraph"/>
        <w:numPr>
          <w:ilvl w:val="0"/>
          <w:numId w:val="181"/>
        </w:numPr>
        <w:spacing w:after="120" w:line="360" w:lineRule="auto"/>
        <w:jc w:val="both"/>
        <w:rPr>
          <w:rFonts w:asciiTheme="majorHAnsi" w:hAnsiTheme="majorHAnsi"/>
          <w:color w:val="000000"/>
          <w:lang w:val="bg-BG"/>
        </w:rPr>
      </w:pPr>
      <w:r w:rsidRPr="00BA4196">
        <w:rPr>
          <w:rFonts w:asciiTheme="majorHAnsi" w:hAnsiTheme="majorHAnsi"/>
          <w:color w:val="000000"/>
          <w:lang w:val="bg-BG"/>
        </w:rPr>
        <w:t>работата на машините за земни работи, използвани за полагане на платформите и основите на турбините;</w:t>
      </w:r>
    </w:p>
    <w:p w14:paraId="171F010A" w14:textId="11F45E37" w:rsidR="00695609" w:rsidRPr="00BA4196" w:rsidRDefault="00695609">
      <w:pPr>
        <w:pStyle w:val="ListParagraph"/>
        <w:numPr>
          <w:ilvl w:val="0"/>
          <w:numId w:val="181"/>
        </w:numPr>
        <w:spacing w:after="120" w:line="360" w:lineRule="auto"/>
        <w:jc w:val="both"/>
        <w:rPr>
          <w:rFonts w:asciiTheme="majorHAnsi" w:hAnsiTheme="majorHAnsi"/>
          <w:color w:val="000000"/>
          <w:lang w:val="bg-BG"/>
        </w:rPr>
      </w:pPr>
      <w:r w:rsidRPr="00BA4196">
        <w:rPr>
          <w:rFonts w:asciiTheme="majorHAnsi" w:hAnsiTheme="majorHAnsi"/>
          <w:color w:val="000000"/>
          <w:lang w:val="bg-BG"/>
        </w:rPr>
        <w:t>работа с компонентите на турбината.</w:t>
      </w:r>
    </w:p>
    <w:p w14:paraId="1B77A5B1" w14:textId="77777777" w:rsidR="00695609" w:rsidRPr="00695609" w:rsidRDefault="00695609" w:rsidP="00BA4196">
      <w:pPr>
        <w:spacing w:after="120" w:line="360" w:lineRule="auto"/>
        <w:ind w:left="357"/>
        <w:jc w:val="both"/>
        <w:rPr>
          <w:rFonts w:asciiTheme="majorHAnsi" w:hAnsiTheme="majorHAnsi"/>
          <w:color w:val="000000"/>
          <w:lang w:val="bg-BG"/>
        </w:rPr>
      </w:pPr>
      <w:r w:rsidRPr="00695609">
        <w:rPr>
          <w:rFonts w:asciiTheme="majorHAnsi" w:hAnsiTheme="majorHAnsi"/>
          <w:color w:val="000000"/>
          <w:lang w:val="bg-BG"/>
        </w:rPr>
        <w:t>Източниците на шум ще бъдат временни. За да се оцени нивото на шума, генериран от изпълнението на проекта, е разгледана най-неблагоприятната ситуация, т.е. работата на цялото оборудване и машини, участващи в строителните дейности, в три различни работни фронта: един за изкопни работи и подготовка на площадката, един за изпълнение на основите и платформите на турбините и един за същинския монтаж на инсталациите.</w:t>
      </w:r>
    </w:p>
    <w:p w14:paraId="581C2E99" w14:textId="77777777" w:rsidR="00695609" w:rsidRPr="00BA4196" w:rsidRDefault="00695609" w:rsidP="00BA4196">
      <w:pPr>
        <w:spacing w:after="120" w:line="360" w:lineRule="auto"/>
        <w:ind w:left="357"/>
        <w:jc w:val="both"/>
        <w:rPr>
          <w:rFonts w:asciiTheme="majorHAnsi" w:hAnsiTheme="majorHAnsi"/>
          <w:color w:val="000000"/>
          <w:lang w:val="bg-BG"/>
        </w:rPr>
      </w:pPr>
      <w:r w:rsidRPr="00695609">
        <w:rPr>
          <w:rFonts w:asciiTheme="majorHAnsi" w:hAnsiTheme="majorHAnsi"/>
          <w:color w:val="000000"/>
          <w:lang w:val="bg-BG"/>
        </w:rPr>
        <w:t>Според данните и информацията от специализираната литература и подобни проекти, машините, участващи в изграждането на вятърната инфраструктура, и свързаните с тях нива на шум са представени от:</w:t>
      </w:r>
    </w:p>
    <w:p w14:paraId="62E028F8" w14:textId="3785395E" w:rsidR="00695609" w:rsidRPr="00BA4196" w:rsidRDefault="00695609">
      <w:pPr>
        <w:pStyle w:val="ListParagraph"/>
        <w:numPr>
          <w:ilvl w:val="0"/>
          <w:numId w:val="182"/>
        </w:numPr>
        <w:spacing w:afterLines="120" w:after="288" w:line="360" w:lineRule="auto"/>
        <w:ind w:left="357" w:firstLine="357"/>
        <w:jc w:val="both"/>
        <w:rPr>
          <w:rFonts w:asciiTheme="majorHAnsi" w:hAnsiTheme="majorHAnsi"/>
          <w:color w:val="000000"/>
          <w:lang w:val="bg-BG"/>
        </w:rPr>
      </w:pPr>
      <w:r w:rsidRPr="00BA4196">
        <w:rPr>
          <w:rFonts w:asciiTheme="majorHAnsi" w:hAnsiTheme="majorHAnsi"/>
          <w:color w:val="000000"/>
          <w:lang w:val="bg-BG"/>
        </w:rPr>
        <w:t>Булдозери - 2 бр. (115 дБ);</w:t>
      </w:r>
    </w:p>
    <w:p w14:paraId="4C9097C5" w14:textId="6E9FBE82" w:rsidR="00695609" w:rsidRPr="00BA4196" w:rsidRDefault="00695609">
      <w:pPr>
        <w:pStyle w:val="ListParagraph"/>
        <w:numPr>
          <w:ilvl w:val="0"/>
          <w:numId w:val="182"/>
        </w:numPr>
        <w:spacing w:afterLines="120" w:after="288" w:line="360" w:lineRule="auto"/>
        <w:ind w:left="357" w:firstLine="357"/>
        <w:jc w:val="both"/>
        <w:rPr>
          <w:rFonts w:asciiTheme="majorHAnsi" w:hAnsiTheme="majorHAnsi"/>
          <w:color w:val="000000"/>
          <w:lang w:val="bg-BG"/>
        </w:rPr>
      </w:pPr>
      <w:r w:rsidRPr="00BA4196">
        <w:rPr>
          <w:rFonts w:asciiTheme="majorHAnsi" w:hAnsiTheme="majorHAnsi"/>
          <w:color w:val="000000"/>
          <w:lang w:val="bg-BG"/>
        </w:rPr>
        <w:t>Автогрейдер - 1 бр. (112 дБ);</w:t>
      </w:r>
    </w:p>
    <w:p w14:paraId="29D1F0B5" w14:textId="77777777" w:rsidR="00695609" w:rsidRPr="00BA4196" w:rsidRDefault="00695609">
      <w:pPr>
        <w:pStyle w:val="ListParagraph"/>
        <w:numPr>
          <w:ilvl w:val="0"/>
          <w:numId w:val="182"/>
        </w:numPr>
        <w:spacing w:afterLines="120" w:after="288" w:line="360" w:lineRule="auto"/>
        <w:ind w:left="357" w:firstLine="357"/>
        <w:jc w:val="both"/>
        <w:rPr>
          <w:rFonts w:asciiTheme="majorHAnsi" w:hAnsiTheme="majorHAnsi"/>
          <w:color w:val="000000"/>
          <w:lang w:val="bg-BG"/>
        </w:rPr>
      </w:pPr>
      <w:r w:rsidRPr="00BA4196">
        <w:rPr>
          <w:rFonts w:asciiTheme="majorHAnsi" w:hAnsiTheme="majorHAnsi"/>
          <w:color w:val="000000"/>
          <w:lang w:val="bg-BG"/>
        </w:rPr>
        <w:t>Валяк - 4 бр. (105 дБ);</w:t>
      </w:r>
    </w:p>
    <w:p w14:paraId="1FE65EA1" w14:textId="77777777" w:rsidR="00695609" w:rsidRPr="00BA4196" w:rsidRDefault="00695609">
      <w:pPr>
        <w:pStyle w:val="ListParagraph"/>
        <w:numPr>
          <w:ilvl w:val="0"/>
          <w:numId w:val="182"/>
        </w:numPr>
        <w:spacing w:afterLines="120" w:after="288" w:line="360" w:lineRule="auto"/>
        <w:ind w:left="357" w:firstLine="357"/>
        <w:jc w:val="both"/>
        <w:rPr>
          <w:rFonts w:asciiTheme="majorHAnsi" w:hAnsiTheme="majorHAnsi"/>
          <w:color w:val="000000"/>
          <w:lang w:val="bg-BG"/>
        </w:rPr>
      </w:pPr>
      <w:r w:rsidRPr="00BA4196">
        <w:rPr>
          <w:rFonts w:asciiTheme="majorHAnsi" w:hAnsiTheme="majorHAnsi"/>
          <w:color w:val="000000"/>
          <w:lang w:val="bg-BG"/>
        </w:rPr>
        <w:t>Самосвали - 7 бр. (107 дБ);</w:t>
      </w:r>
    </w:p>
    <w:p w14:paraId="0A42DDD5" w14:textId="77777777" w:rsidR="00695609" w:rsidRPr="00BA4196" w:rsidRDefault="00695609">
      <w:pPr>
        <w:pStyle w:val="ListParagraph"/>
        <w:numPr>
          <w:ilvl w:val="0"/>
          <w:numId w:val="182"/>
        </w:numPr>
        <w:spacing w:afterLines="120" w:after="288" w:line="360" w:lineRule="auto"/>
        <w:ind w:left="357" w:firstLine="357"/>
        <w:jc w:val="both"/>
        <w:rPr>
          <w:rFonts w:asciiTheme="majorHAnsi" w:hAnsiTheme="majorHAnsi"/>
          <w:color w:val="000000"/>
          <w:lang w:val="bg-BG"/>
        </w:rPr>
      </w:pPr>
      <w:r w:rsidRPr="00BA4196">
        <w:rPr>
          <w:rFonts w:asciiTheme="majorHAnsi" w:hAnsiTheme="majorHAnsi"/>
          <w:color w:val="000000"/>
          <w:lang w:val="bg-BG"/>
        </w:rPr>
        <w:t>Товарен автомобил с кран - 1 бр. (96 дБ);</w:t>
      </w:r>
    </w:p>
    <w:p w14:paraId="252046A3" w14:textId="77777777" w:rsidR="00695609" w:rsidRPr="00BA4196" w:rsidRDefault="00695609">
      <w:pPr>
        <w:pStyle w:val="ListParagraph"/>
        <w:numPr>
          <w:ilvl w:val="0"/>
          <w:numId w:val="182"/>
        </w:numPr>
        <w:spacing w:afterLines="120" w:after="288" w:line="360" w:lineRule="auto"/>
        <w:ind w:left="357" w:firstLine="357"/>
        <w:jc w:val="both"/>
        <w:rPr>
          <w:rFonts w:asciiTheme="majorHAnsi" w:hAnsiTheme="majorHAnsi"/>
          <w:color w:val="000000"/>
          <w:lang w:val="bg-BG"/>
        </w:rPr>
      </w:pPr>
      <w:r w:rsidRPr="00BA4196">
        <w:rPr>
          <w:rFonts w:asciiTheme="majorHAnsi" w:hAnsiTheme="majorHAnsi"/>
          <w:color w:val="000000"/>
          <w:lang w:val="bg-BG"/>
        </w:rPr>
        <w:t>Саморазтоварващ се товарач - 1 бр. (83 дБ);</w:t>
      </w:r>
    </w:p>
    <w:p w14:paraId="75565437" w14:textId="77777777" w:rsidR="00695609" w:rsidRPr="00BA4196" w:rsidRDefault="00695609">
      <w:pPr>
        <w:pStyle w:val="ListParagraph"/>
        <w:numPr>
          <w:ilvl w:val="0"/>
          <w:numId w:val="182"/>
        </w:numPr>
        <w:spacing w:afterLines="120" w:after="288" w:line="360" w:lineRule="auto"/>
        <w:ind w:left="357" w:firstLine="357"/>
        <w:jc w:val="both"/>
        <w:rPr>
          <w:rFonts w:asciiTheme="majorHAnsi" w:hAnsiTheme="majorHAnsi"/>
          <w:color w:val="000000"/>
          <w:lang w:val="bg-BG"/>
        </w:rPr>
      </w:pPr>
      <w:r w:rsidRPr="00BA4196">
        <w:rPr>
          <w:rFonts w:asciiTheme="majorHAnsi" w:hAnsiTheme="majorHAnsi"/>
          <w:color w:val="000000"/>
          <w:lang w:val="bg-BG"/>
        </w:rPr>
        <w:t>Смесител за камион - 2 бр. (107 дБ);</w:t>
      </w:r>
    </w:p>
    <w:p w14:paraId="04E8776D" w14:textId="77777777" w:rsidR="00695609" w:rsidRPr="00BA4196" w:rsidRDefault="00695609">
      <w:pPr>
        <w:pStyle w:val="ListParagraph"/>
        <w:numPr>
          <w:ilvl w:val="0"/>
          <w:numId w:val="182"/>
        </w:numPr>
        <w:spacing w:afterLines="120" w:after="288" w:line="360" w:lineRule="auto"/>
        <w:ind w:left="357" w:firstLine="357"/>
        <w:jc w:val="both"/>
        <w:rPr>
          <w:rFonts w:asciiTheme="majorHAnsi" w:hAnsiTheme="majorHAnsi"/>
          <w:color w:val="000000"/>
          <w:lang w:val="bg-BG"/>
        </w:rPr>
      </w:pPr>
      <w:r w:rsidRPr="00BA4196">
        <w:rPr>
          <w:rFonts w:asciiTheme="majorHAnsi" w:hAnsiTheme="majorHAnsi"/>
          <w:color w:val="000000"/>
          <w:lang w:val="bg-BG"/>
        </w:rPr>
        <w:t>Хидравлични машини за забиване на пилоти - 2 бр. (120 дБ);</w:t>
      </w:r>
    </w:p>
    <w:p w14:paraId="4F2722DC" w14:textId="599A0617" w:rsidR="00695609" w:rsidRPr="00BA4196" w:rsidRDefault="00695609">
      <w:pPr>
        <w:pStyle w:val="ListParagraph"/>
        <w:numPr>
          <w:ilvl w:val="0"/>
          <w:numId w:val="182"/>
        </w:numPr>
        <w:spacing w:afterLines="120" w:after="288" w:line="360" w:lineRule="auto"/>
        <w:ind w:left="357" w:firstLine="357"/>
        <w:jc w:val="both"/>
        <w:rPr>
          <w:rFonts w:asciiTheme="majorHAnsi" w:hAnsiTheme="majorHAnsi"/>
          <w:color w:val="000000"/>
          <w:lang w:val="bg-BG"/>
        </w:rPr>
      </w:pPr>
      <w:r w:rsidRPr="00BA4196">
        <w:rPr>
          <w:rFonts w:asciiTheme="majorHAnsi" w:hAnsiTheme="majorHAnsi"/>
          <w:color w:val="000000"/>
          <w:lang w:val="bg-BG"/>
        </w:rPr>
        <w:t>Авторемарке - 3 бр. (90 дБ);</w:t>
      </w:r>
    </w:p>
    <w:p w14:paraId="65DD9A15" w14:textId="50AE5733" w:rsidR="00695609" w:rsidRPr="00BA4196" w:rsidRDefault="00695609">
      <w:pPr>
        <w:pStyle w:val="ListParagraph"/>
        <w:numPr>
          <w:ilvl w:val="0"/>
          <w:numId w:val="182"/>
        </w:numPr>
        <w:spacing w:before="100" w:beforeAutospacing="1" w:afterLines="120" w:after="288" w:line="360" w:lineRule="auto"/>
        <w:ind w:left="357" w:firstLine="357"/>
        <w:rPr>
          <w:rFonts w:asciiTheme="majorHAnsi" w:eastAsia="Times New Roman" w:hAnsiTheme="majorHAnsi" w:cs="Times New Roman"/>
          <w:lang w:val="bg-BG" w:eastAsia="en-GB"/>
        </w:rPr>
      </w:pPr>
      <w:r w:rsidRPr="00BA4196">
        <w:rPr>
          <w:rFonts w:asciiTheme="majorHAnsi" w:eastAsia="Times New Roman" w:hAnsiTheme="majorHAnsi" w:cs="Times New Roman"/>
          <w:lang w:val="bg-BG" w:eastAsia="en-GB"/>
        </w:rPr>
        <w:t xml:space="preserve">Багер - 2 бр. (116 </w:t>
      </w:r>
      <w:r w:rsidR="00BA4196" w:rsidRPr="00BA4196">
        <w:rPr>
          <w:rFonts w:asciiTheme="majorHAnsi" w:eastAsia="Times New Roman" w:hAnsiTheme="majorHAnsi" w:cs="Times New Roman"/>
          <w:lang w:val="bg-BG" w:eastAsia="en-GB"/>
        </w:rPr>
        <w:t>дБ</w:t>
      </w:r>
      <w:r w:rsidRPr="00BA4196">
        <w:rPr>
          <w:rFonts w:asciiTheme="majorHAnsi" w:eastAsia="Times New Roman" w:hAnsiTheme="majorHAnsi" w:cs="Times New Roman"/>
          <w:lang w:val="bg-BG" w:eastAsia="en-GB"/>
        </w:rPr>
        <w:t>);</w:t>
      </w:r>
    </w:p>
    <w:p w14:paraId="016D0C99" w14:textId="05F08DE0" w:rsidR="00695609" w:rsidRPr="00BA4196" w:rsidRDefault="00695609">
      <w:pPr>
        <w:pStyle w:val="ListParagraph"/>
        <w:numPr>
          <w:ilvl w:val="0"/>
          <w:numId w:val="182"/>
        </w:numPr>
        <w:spacing w:before="100" w:beforeAutospacing="1" w:afterLines="120" w:after="288" w:line="360" w:lineRule="auto"/>
        <w:ind w:left="357" w:firstLine="357"/>
        <w:rPr>
          <w:rFonts w:asciiTheme="majorHAnsi" w:eastAsia="Times New Roman" w:hAnsiTheme="majorHAnsi" w:cs="Times New Roman"/>
          <w:lang w:val="bg-BG" w:eastAsia="en-GB"/>
        </w:rPr>
      </w:pPr>
      <w:r w:rsidRPr="00BA4196">
        <w:rPr>
          <w:rFonts w:asciiTheme="majorHAnsi" w:eastAsia="Times New Roman" w:hAnsiTheme="majorHAnsi" w:cs="Times New Roman"/>
          <w:lang w:val="bg-BG" w:eastAsia="en-GB"/>
        </w:rPr>
        <w:t xml:space="preserve">Оборудване за стабилизиране на почвата - 1 бр. (105 </w:t>
      </w:r>
      <w:r w:rsidR="00BA4196" w:rsidRPr="00BA4196">
        <w:rPr>
          <w:rFonts w:asciiTheme="majorHAnsi" w:eastAsia="Times New Roman" w:hAnsiTheme="majorHAnsi" w:cs="Times New Roman"/>
          <w:lang w:val="bg-BG" w:eastAsia="en-GB"/>
        </w:rPr>
        <w:t>дБ</w:t>
      </w:r>
      <w:r w:rsidRPr="00BA4196">
        <w:rPr>
          <w:rFonts w:asciiTheme="majorHAnsi" w:eastAsia="Times New Roman" w:hAnsiTheme="majorHAnsi" w:cs="Times New Roman"/>
          <w:lang w:val="bg-BG" w:eastAsia="en-GB"/>
        </w:rPr>
        <w:t>).</w:t>
      </w:r>
    </w:p>
    <w:p w14:paraId="4F88EB73" w14:textId="77777777" w:rsidR="00695609" w:rsidRPr="00BA4196" w:rsidRDefault="00695609">
      <w:pPr>
        <w:pStyle w:val="ListParagraph"/>
        <w:numPr>
          <w:ilvl w:val="0"/>
          <w:numId w:val="182"/>
        </w:numPr>
        <w:spacing w:before="100" w:beforeAutospacing="1" w:afterLines="120" w:after="288" w:line="360" w:lineRule="auto"/>
        <w:ind w:left="357" w:firstLine="357"/>
        <w:rPr>
          <w:rFonts w:asciiTheme="majorHAnsi" w:eastAsia="Times New Roman" w:hAnsiTheme="majorHAnsi" w:cs="Times New Roman"/>
          <w:lang w:val="bg-BG" w:eastAsia="en-GB"/>
        </w:rPr>
      </w:pPr>
      <w:r w:rsidRPr="00BA4196">
        <w:rPr>
          <w:rFonts w:asciiTheme="majorHAnsi" w:eastAsia="Times New Roman" w:hAnsiTheme="majorHAnsi" w:cs="Times New Roman"/>
          <w:lang w:val="bg-BG" w:eastAsia="en-GB"/>
        </w:rPr>
        <w:lastRenderedPageBreak/>
        <w:t>За да се оцени нивото на шума, генерирано при горепосочения сценарий, е извършено моделиране на източника на шум с помощта на софтуерното приложение SoundPLANnoise 9.0. Използваните входни данни бяха представени от:</w:t>
      </w:r>
    </w:p>
    <w:p w14:paraId="52BD7883" w14:textId="68616C4A" w:rsidR="00695609" w:rsidRPr="00BA4196" w:rsidRDefault="00695609">
      <w:pPr>
        <w:pStyle w:val="ListParagraph"/>
        <w:numPr>
          <w:ilvl w:val="0"/>
          <w:numId w:val="182"/>
        </w:numPr>
        <w:spacing w:before="100" w:beforeAutospacing="1" w:afterLines="120" w:after="288" w:line="360" w:lineRule="auto"/>
        <w:ind w:left="357" w:firstLine="357"/>
        <w:rPr>
          <w:rFonts w:asciiTheme="majorHAnsi" w:eastAsia="Times New Roman" w:hAnsiTheme="majorHAnsi" w:cs="Times New Roman"/>
          <w:lang w:val="bg-BG" w:eastAsia="en-GB"/>
        </w:rPr>
      </w:pPr>
      <w:r w:rsidRPr="00BA4196">
        <w:rPr>
          <w:rFonts w:asciiTheme="majorHAnsi" w:eastAsia="Times New Roman" w:hAnsiTheme="majorHAnsi" w:cs="Times New Roman"/>
          <w:lang w:val="bg-BG" w:eastAsia="en-GB"/>
        </w:rPr>
        <w:t>цифров модел на терена на анализираната област - ASCII формат;</w:t>
      </w:r>
    </w:p>
    <w:p w14:paraId="49C527CF" w14:textId="7A68F0B0" w:rsidR="00695609" w:rsidRPr="00BA4196" w:rsidRDefault="00695609">
      <w:pPr>
        <w:pStyle w:val="ListParagraph"/>
        <w:numPr>
          <w:ilvl w:val="0"/>
          <w:numId w:val="182"/>
        </w:numPr>
        <w:spacing w:before="100" w:beforeAutospacing="1" w:afterLines="120" w:after="288" w:line="360" w:lineRule="auto"/>
        <w:ind w:left="357" w:firstLine="357"/>
        <w:rPr>
          <w:rFonts w:asciiTheme="majorHAnsi" w:eastAsia="Times New Roman" w:hAnsiTheme="majorHAnsi" w:cs="Times New Roman"/>
          <w:lang w:val="bg-BG" w:eastAsia="en-GB"/>
        </w:rPr>
      </w:pPr>
      <w:r w:rsidRPr="00BA4196">
        <w:rPr>
          <w:rFonts w:asciiTheme="majorHAnsi" w:eastAsia="Times New Roman" w:hAnsiTheme="majorHAnsi" w:cs="Times New Roman"/>
          <w:lang w:val="bg-BG" w:eastAsia="en-GB"/>
        </w:rPr>
        <w:t>местоположение на източниците на шум от подробния сценарий (координати в проекция STEREO 70);</w:t>
      </w:r>
    </w:p>
    <w:p w14:paraId="2B951175" w14:textId="7617C81D" w:rsidR="00695609" w:rsidRPr="00BA4196" w:rsidRDefault="00695609">
      <w:pPr>
        <w:pStyle w:val="ListParagraph"/>
        <w:numPr>
          <w:ilvl w:val="0"/>
          <w:numId w:val="182"/>
        </w:numPr>
        <w:spacing w:before="100" w:beforeAutospacing="1" w:afterLines="120" w:after="288" w:line="360" w:lineRule="auto"/>
        <w:ind w:left="357" w:firstLine="357"/>
        <w:rPr>
          <w:rFonts w:asciiTheme="majorHAnsi" w:eastAsia="Times New Roman" w:hAnsiTheme="majorHAnsi" w:cs="Times New Roman"/>
          <w:lang w:val="bg-BG" w:eastAsia="en-GB"/>
        </w:rPr>
      </w:pPr>
      <w:r w:rsidRPr="00BA4196">
        <w:rPr>
          <w:rFonts w:asciiTheme="majorHAnsi" w:eastAsia="Times New Roman" w:hAnsiTheme="majorHAnsi" w:cs="Times New Roman"/>
          <w:lang w:val="bg-BG" w:eastAsia="en-GB"/>
        </w:rPr>
        <w:t>положение на чувствителните приемници спрямо източниците на шум (координати в проекция STEREO 70);</w:t>
      </w:r>
    </w:p>
    <w:p w14:paraId="10CB8681" w14:textId="0441742C" w:rsidR="00695609" w:rsidRPr="00BA4196" w:rsidRDefault="00695609">
      <w:pPr>
        <w:pStyle w:val="ListParagraph"/>
        <w:numPr>
          <w:ilvl w:val="0"/>
          <w:numId w:val="182"/>
        </w:numPr>
        <w:spacing w:before="100" w:beforeAutospacing="1" w:afterLines="120" w:after="288" w:line="360" w:lineRule="auto"/>
        <w:ind w:left="714" w:hanging="357"/>
        <w:jc w:val="both"/>
        <w:rPr>
          <w:rFonts w:asciiTheme="majorHAnsi" w:eastAsia="Times New Roman" w:hAnsiTheme="majorHAnsi" w:cs="Times New Roman"/>
          <w:lang w:val="bg-BG" w:eastAsia="en-GB"/>
        </w:rPr>
      </w:pPr>
      <w:r w:rsidRPr="00BA4196">
        <w:rPr>
          <w:rFonts w:asciiTheme="majorHAnsi" w:eastAsia="Times New Roman" w:hAnsiTheme="majorHAnsi" w:cs="Times New Roman"/>
          <w:lang w:val="bg-BG" w:eastAsia="en-GB"/>
        </w:rPr>
        <w:t>информация от специализираната литература за нивото на шума на всеки тип оборудване и машини, представляващи източници на шум.</w:t>
      </w:r>
    </w:p>
    <w:p w14:paraId="216E5B38" w14:textId="77777777" w:rsidR="00BA4196" w:rsidRPr="00BA4196" w:rsidRDefault="00BA4196">
      <w:pPr>
        <w:pStyle w:val="ListParagraph"/>
        <w:numPr>
          <w:ilvl w:val="0"/>
          <w:numId w:val="182"/>
        </w:numPr>
        <w:spacing w:before="100" w:beforeAutospacing="1" w:after="120" w:line="360" w:lineRule="auto"/>
        <w:ind w:left="714" w:hanging="357"/>
        <w:jc w:val="both"/>
        <w:rPr>
          <w:rFonts w:asciiTheme="majorHAnsi" w:eastAsia="Times New Roman" w:hAnsiTheme="majorHAnsi" w:cs="Times New Roman"/>
          <w:lang w:val="bg-BG" w:eastAsia="en-GB"/>
        </w:rPr>
      </w:pPr>
      <w:r w:rsidRPr="00BA4196">
        <w:rPr>
          <w:rFonts w:asciiTheme="majorHAnsi" w:eastAsia="Times New Roman" w:hAnsiTheme="majorHAnsi" w:cs="Times New Roman"/>
          <w:lang w:val="bg-BG" w:eastAsia="en-GB"/>
        </w:rPr>
        <w:t>Обикновено строителните работи ще се извършват през деня между 08:00 и 18:00 часа. Има обаче и операции, които трябва да се извършват непрекъснато, като например изливането на бетон за основи, което може да изисква работа и през нощта.</w:t>
      </w:r>
    </w:p>
    <w:p w14:paraId="21AE2540" w14:textId="77777777" w:rsidR="00BA4196" w:rsidRPr="00BA4196" w:rsidRDefault="00BA4196">
      <w:pPr>
        <w:pStyle w:val="ListParagraph"/>
        <w:numPr>
          <w:ilvl w:val="0"/>
          <w:numId w:val="182"/>
        </w:numPr>
        <w:spacing w:before="100" w:beforeAutospacing="1" w:after="120" w:line="360" w:lineRule="auto"/>
        <w:ind w:left="714" w:hanging="357"/>
        <w:jc w:val="both"/>
        <w:rPr>
          <w:rFonts w:asciiTheme="majorHAnsi" w:eastAsia="Times New Roman" w:hAnsiTheme="majorHAnsi" w:cs="Times New Roman"/>
          <w:lang w:val="bg-BG" w:eastAsia="en-GB"/>
        </w:rPr>
      </w:pPr>
      <w:r w:rsidRPr="00BA4196">
        <w:rPr>
          <w:rFonts w:asciiTheme="majorHAnsi" w:eastAsia="Times New Roman" w:hAnsiTheme="majorHAnsi" w:cs="Times New Roman"/>
          <w:lang w:val="bg-BG" w:eastAsia="en-GB"/>
        </w:rPr>
        <w:t>Резултатите от моделирането, извършено с помощта на софтуера SoundPLANnoise, показват, че по време на строителната фаза нивото на шума, генериран от проекта, няма да окаже значително въздействие върху качеството на живот в съседните села на нивото на най-близките рецептори, тъй като работата на оборудването, използвано при моделирането, генерира максимално ниво на шума от около 36 dB. Шумът, генериран от строителните дейности, не е в състояние да промени настоящото ниво на шума, предизвикано главно от автомобилния трафик по DJ391.</w:t>
      </w:r>
    </w:p>
    <w:p w14:paraId="6B8621C1" w14:textId="15BDA756" w:rsidR="00695609" w:rsidRPr="00BA4196" w:rsidRDefault="00BA4196" w:rsidP="00BA4196">
      <w:pPr>
        <w:spacing w:afterLines="120" w:after="288" w:line="360" w:lineRule="auto"/>
        <w:ind w:left="357"/>
        <w:jc w:val="both"/>
        <w:rPr>
          <w:rFonts w:asciiTheme="majorHAnsi" w:hAnsiTheme="majorHAnsi"/>
          <w:color w:val="000000"/>
          <w:lang w:val="bg-BG"/>
        </w:rPr>
      </w:pPr>
      <w:r w:rsidRPr="00BA4196">
        <w:rPr>
          <w:rFonts w:ascii="Calibri" w:eastAsia="Calibri" w:hAnsi="Calibri"/>
          <w:noProof/>
          <w:kern w:val="2"/>
          <w:sz w:val="22"/>
          <w:szCs w:val="22"/>
          <w:lang w:val="bg-BG"/>
          <w14:ligatures w14:val="standardContextual"/>
        </w:rPr>
        <w:drawing>
          <wp:inline distT="0" distB="0" distL="0" distR="0" wp14:anchorId="27C9385B" wp14:editId="08D1328F">
            <wp:extent cx="5601068" cy="3960000"/>
            <wp:effectExtent l="0" t="0" r="0" b="2540"/>
            <wp:docPr id="21235974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601068" cy="3960000"/>
                    </a:xfrm>
                    <a:prstGeom prst="rect">
                      <a:avLst/>
                    </a:prstGeom>
                    <a:noFill/>
                    <a:ln>
                      <a:noFill/>
                    </a:ln>
                  </pic:spPr>
                </pic:pic>
              </a:graphicData>
            </a:graphic>
          </wp:inline>
        </w:drawing>
      </w:r>
    </w:p>
    <w:p w14:paraId="5BA38457" w14:textId="77777777" w:rsidR="00BA4196" w:rsidRPr="00BA4196" w:rsidRDefault="00BA4196" w:rsidP="00BA4196">
      <w:pPr>
        <w:spacing w:after="120" w:line="240" w:lineRule="auto"/>
        <w:ind w:left="357" w:firstLine="357"/>
        <w:jc w:val="both"/>
        <w:rPr>
          <w:rFonts w:asciiTheme="majorHAnsi" w:hAnsiTheme="majorHAnsi"/>
          <w:b/>
          <w:bCs/>
          <w:color w:val="007BB8"/>
          <w:lang w:val="bg-BG"/>
        </w:rPr>
      </w:pPr>
      <w:r w:rsidRPr="00BA4196">
        <w:rPr>
          <w:rFonts w:asciiTheme="majorHAnsi" w:hAnsiTheme="majorHAnsi"/>
          <w:b/>
          <w:bCs/>
          <w:color w:val="007BB8"/>
          <w:lang w:val="bg-BG"/>
        </w:rPr>
        <w:t>Фигура 3- 6 Област на пряко въздействие</w:t>
      </w:r>
    </w:p>
    <w:p w14:paraId="626C0880" w14:textId="143552F1" w:rsidR="00BA4196" w:rsidRPr="00BA4196" w:rsidRDefault="00BA4196" w:rsidP="00BA4196">
      <w:pPr>
        <w:spacing w:after="120" w:line="240" w:lineRule="auto"/>
        <w:ind w:left="357"/>
        <w:jc w:val="both"/>
        <w:rPr>
          <w:rFonts w:asciiTheme="majorHAnsi" w:hAnsiTheme="majorHAnsi"/>
          <w:color w:val="000000"/>
          <w:lang w:val="bg-BG"/>
        </w:rPr>
      </w:pPr>
      <w:r w:rsidRPr="00BA4196">
        <w:rPr>
          <w:rFonts w:asciiTheme="majorHAnsi" w:hAnsiTheme="majorHAnsi"/>
          <w:color w:val="000000"/>
          <w:lang w:val="bg-BG"/>
        </w:rPr>
        <w:lastRenderedPageBreak/>
        <w:t>Също така в най-неблагоприятната ситуация (илюстрирана на предишната фигура) е подчертано, че зоната на значително въздействие, в която могат да бъдат превишени дневните гранични стойности от 55 дб (работата се извършва изключително през деня), е с максимална площ от приблизително 4,92 ха, разположена строго на работния фронт, на максимално разстояние от 300 м от работния фронт.</w:t>
      </w:r>
    </w:p>
    <w:p w14:paraId="658F0A43" w14:textId="7D4A6D25" w:rsidR="00BA4196" w:rsidRPr="00BA4196" w:rsidRDefault="00BA4196" w:rsidP="00BA4196">
      <w:pPr>
        <w:spacing w:after="120" w:line="240" w:lineRule="auto"/>
        <w:ind w:left="357"/>
        <w:jc w:val="both"/>
        <w:rPr>
          <w:rFonts w:asciiTheme="majorHAnsi" w:hAnsiTheme="majorHAnsi"/>
          <w:color w:val="000000"/>
          <w:lang w:val="bg-BG"/>
        </w:rPr>
      </w:pPr>
      <w:r w:rsidRPr="00BA4196">
        <w:rPr>
          <w:rFonts w:asciiTheme="majorHAnsi" w:hAnsiTheme="majorHAnsi"/>
          <w:color w:val="000000"/>
          <w:lang w:val="bg-BG"/>
        </w:rPr>
        <w:t xml:space="preserve">В анализирания район не са провеждани проучвания за определяне на настоящото ниво на шума. Според литературните данни за стойност на фоновото замърсяване в селските райони може да се счита 40 </w:t>
      </w:r>
      <w:r>
        <w:rPr>
          <w:rFonts w:asciiTheme="majorHAnsi" w:hAnsiTheme="majorHAnsi"/>
          <w:color w:val="000000"/>
          <w:lang w:val="bg-BG"/>
        </w:rPr>
        <w:t>дБ</w:t>
      </w:r>
      <w:r w:rsidRPr="00BA4196">
        <w:rPr>
          <w:rFonts w:asciiTheme="majorHAnsi" w:hAnsiTheme="majorHAnsi"/>
          <w:color w:val="000000"/>
          <w:lang w:val="bg-BG"/>
        </w:rPr>
        <w:t xml:space="preserve"> през деня и 30 д</w:t>
      </w:r>
      <w:r>
        <w:rPr>
          <w:rFonts w:asciiTheme="majorHAnsi" w:hAnsiTheme="majorHAnsi"/>
          <w:color w:val="000000"/>
          <w:lang w:val="bg-BG"/>
        </w:rPr>
        <w:t>Б</w:t>
      </w:r>
      <w:r w:rsidRPr="00BA4196">
        <w:rPr>
          <w:rFonts w:asciiTheme="majorHAnsi" w:hAnsiTheme="majorHAnsi"/>
          <w:color w:val="000000"/>
          <w:lang w:val="bg-BG"/>
        </w:rPr>
        <w:t xml:space="preserve"> през нощта (Ir. F.W.J. van Deventer, 2014 г.</w:t>
      </w:r>
      <w:r w:rsidRPr="00BA4196">
        <w:rPr>
          <w:rFonts w:asciiTheme="majorHAnsi" w:hAnsiTheme="majorHAnsi"/>
          <w:i/>
          <w:iCs/>
          <w:color w:val="000000"/>
          <w:lang w:val="bg-BG"/>
        </w:rPr>
        <w:t>, Handboek Basisiskennis Vliegtuiggeluid</w:t>
      </w:r>
      <w:r w:rsidRPr="00BA4196">
        <w:rPr>
          <w:rFonts w:asciiTheme="majorHAnsi" w:hAnsiTheme="majorHAnsi"/>
          <w:color w:val="000000"/>
          <w:lang w:val="bg-BG"/>
        </w:rPr>
        <w:t>).</w:t>
      </w:r>
    </w:p>
    <w:p w14:paraId="3B899E88" w14:textId="746564D1" w:rsidR="00BA4196" w:rsidRDefault="00BA4196" w:rsidP="00BA4196">
      <w:pPr>
        <w:spacing w:after="120" w:line="240" w:lineRule="auto"/>
        <w:ind w:left="357"/>
        <w:jc w:val="both"/>
        <w:rPr>
          <w:rFonts w:asciiTheme="majorHAnsi" w:hAnsiTheme="majorHAnsi"/>
          <w:color w:val="000000"/>
          <w:lang w:val="bg-BG"/>
        </w:rPr>
      </w:pPr>
      <w:r w:rsidRPr="00BA4196">
        <w:rPr>
          <w:rFonts w:asciiTheme="majorHAnsi" w:hAnsiTheme="majorHAnsi"/>
          <w:color w:val="000000"/>
          <w:lang w:val="bg-BG"/>
        </w:rPr>
        <w:t>Като се вземе предвид фоновото ниво на шума в района на проекта (селски район без значителни източници на шум) от 40 дБ(A), нивото на шума, получено при чувствителните</w:t>
      </w:r>
      <w:r>
        <w:rPr>
          <w:rFonts w:asciiTheme="majorHAnsi" w:hAnsiTheme="majorHAnsi"/>
          <w:color w:val="000000"/>
          <w:lang w:val="bg-BG"/>
        </w:rPr>
        <w:t xml:space="preserve"> </w:t>
      </w:r>
      <w:r w:rsidRPr="00BA4196">
        <w:rPr>
          <w:rFonts w:asciiTheme="majorHAnsi" w:hAnsiTheme="majorHAnsi"/>
          <w:color w:val="000000"/>
          <w:lang w:val="bg-BG"/>
        </w:rPr>
        <w:t>рецептори от моделирането и прилагането на изчислителната формула за сумиране на нивата на шума.</w:t>
      </w:r>
    </w:p>
    <w:p w14:paraId="59AAF660" w14:textId="77777777" w:rsidR="00BA4196" w:rsidRPr="00BA4196" w:rsidRDefault="00BA4196" w:rsidP="00BA4196">
      <w:pPr>
        <w:spacing w:after="120" w:line="240" w:lineRule="auto"/>
        <w:jc w:val="center"/>
        <w:rPr>
          <w:rFonts w:eastAsia="Times New Roman" w:cs="Times New Roman"/>
          <w:kern w:val="2"/>
          <w14:ligatures w14:val="standardContextual"/>
        </w:rPr>
      </w:pPr>
      <m:oMath>
        <m:r>
          <w:rPr>
            <w:rFonts w:ascii="Cambria Math" w:eastAsia="Calibri" w:hAnsi="Cambria Math" w:cs="Times New Roman"/>
            <w:kern w:val="2"/>
            <w:sz w:val="22"/>
            <w:szCs w:val="22"/>
            <w14:ligatures w14:val="standardContextual"/>
          </w:rPr>
          <m:t>L</m:t>
        </m:r>
        <m:nary>
          <m:naryPr>
            <m:chr m:val="∑"/>
            <m:limLoc m:val="undOvr"/>
            <m:subHide m:val="1"/>
            <m:supHide m:val="1"/>
            <m:ctrlPr>
              <w:rPr>
                <w:rFonts w:ascii="Cambria Math" w:eastAsia="Calibri" w:hAnsi="Cambria Math" w:cs="Times New Roman"/>
                <w:i/>
                <w:kern w:val="2"/>
                <w:sz w:val="22"/>
                <w:szCs w:val="22"/>
                <w14:ligatures w14:val="standardContextual"/>
              </w:rPr>
            </m:ctrlPr>
          </m:naryPr>
          <m:sub/>
          <m:sup/>
          <m:e>
            <m:r>
              <w:rPr>
                <w:rFonts w:ascii="Cambria Math" w:eastAsia="Calibri" w:hAnsi="Cambria Math" w:cs="Times New Roman"/>
                <w:kern w:val="2"/>
                <w:sz w:val="22"/>
                <w:szCs w:val="22"/>
                <w14:ligatures w14:val="standardContextual"/>
              </w:rPr>
              <m:t>=10×</m:t>
            </m:r>
            <m:func>
              <m:funcPr>
                <m:ctrlPr>
                  <w:rPr>
                    <w:rFonts w:ascii="Cambria Math" w:eastAsia="Calibri" w:hAnsi="Cambria Math" w:cs="Times New Roman"/>
                    <w:i/>
                    <w:kern w:val="2"/>
                    <w:sz w:val="22"/>
                    <w:szCs w:val="22"/>
                    <w14:ligatures w14:val="standardContextual"/>
                  </w:rPr>
                </m:ctrlPr>
              </m:funcPr>
              <m:fName>
                <m:sSub>
                  <m:sSubPr>
                    <m:ctrlPr>
                      <w:rPr>
                        <w:rFonts w:ascii="Cambria Math" w:eastAsia="Calibri" w:hAnsi="Cambria Math" w:cs="Times New Roman"/>
                        <w:i/>
                        <w:kern w:val="2"/>
                        <w:sz w:val="22"/>
                        <w:szCs w:val="22"/>
                        <w14:ligatures w14:val="standardContextual"/>
                      </w:rPr>
                    </m:ctrlPr>
                  </m:sSubPr>
                  <m:e>
                    <m:r>
                      <m:rPr>
                        <m:sty m:val="p"/>
                      </m:rPr>
                      <w:rPr>
                        <w:rFonts w:ascii="Cambria Math" w:eastAsia="Calibri" w:hAnsi="Cambria Math" w:cs="Times New Roman"/>
                        <w:kern w:val="2"/>
                        <w:sz w:val="22"/>
                        <w:szCs w:val="22"/>
                        <w14:ligatures w14:val="standardContextual"/>
                      </w:rPr>
                      <m:t>log</m:t>
                    </m:r>
                  </m:e>
                  <m:sub>
                    <m:r>
                      <w:rPr>
                        <w:rFonts w:ascii="Cambria Math" w:eastAsia="Calibri" w:hAnsi="Cambria Math" w:cs="Times New Roman"/>
                        <w:kern w:val="2"/>
                        <w:sz w:val="22"/>
                        <w:szCs w:val="22"/>
                        <w14:ligatures w14:val="standardContextual"/>
                      </w:rPr>
                      <m:t>10</m:t>
                    </m:r>
                  </m:sub>
                </m:sSub>
              </m:fName>
              <m:e>
                <m:r>
                  <w:rPr>
                    <w:rFonts w:ascii="Cambria Math" w:eastAsia="Calibri" w:hAnsi="Cambria Math" w:cs="Times New Roman"/>
                    <w:kern w:val="2"/>
                    <w:sz w:val="22"/>
                    <w:szCs w:val="22"/>
                    <w14:ligatures w14:val="standardContextual"/>
                  </w:rPr>
                  <m:t>(</m:t>
                </m:r>
                <m:sSup>
                  <m:sSupPr>
                    <m:ctrlPr>
                      <w:rPr>
                        <w:rFonts w:ascii="Cambria Math" w:eastAsia="Calibri" w:hAnsi="Cambria Math" w:cs="Times New Roman"/>
                        <w:i/>
                        <w:kern w:val="2"/>
                        <w:sz w:val="22"/>
                        <w:szCs w:val="22"/>
                        <w14:ligatures w14:val="standardContextual"/>
                      </w:rPr>
                    </m:ctrlPr>
                  </m:sSupPr>
                  <m:e>
                    <m:r>
                      <w:rPr>
                        <w:rFonts w:ascii="Cambria Math" w:eastAsia="Calibri" w:hAnsi="Cambria Math" w:cs="Times New Roman"/>
                        <w:kern w:val="2"/>
                        <w:sz w:val="22"/>
                        <w:szCs w:val="22"/>
                        <w14:ligatures w14:val="standardContextual"/>
                      </w:rPr>
                      <m:t>10</m:t>
                    </m:r>
                  </m:e>
                  <m:sup>
                    <m:f>
                      <m:fPr>
                        <m:ctrlPr>
                          <w:rPr>
                            <w:rFonts w:ascii="Cambria Math" w:eastAsia="Calibri" w:hAnsi="Cambria Math" w:cs="Times New Roman"/>
                            <w:i/>
                            <w:kern w:val="2"/>
                            <w:sz w:val="22"/>
                            <w:szCs w:val="22"/>
                            <w14:ligatures w14:val="standardContextual"/>
                          </w:rPr>
                        </m:ctrlPr>
                      </m:fPr>
                      <m:num>
                        <m:sSub>
                          <m:sSubPr>
                            <m:ctrlPr>
                              <w:rPr>
                                <w:rFonts w:ascii="Cambria Math" w:eastAsia="Calibri" w:hAnsi="Cambria Math" w:cs="Times New Roman"/>
                                <w:i/>
                                <w:kern w:val="2"/>
                                <w:sz w:val="22"/>
                                <w:szCs w:val="22"/>
                                <w14:ligatures w14:val="standardContextual"/>
                              </w:rPr>
                            </m:ctrlPr>
                          </m:sSubPr>
                          <m:e>
                            <m:r>
                              <w:rPr>
                                <w:rFonts w:ascii="Cambria Math" w:eastAsia="Calibri" w:hAnsi="Cambria Math" w:cs="Times New Roman"/>
                                <w:kern w:val="2"/>
                                <w:sz w:val="22"/>
                                <w:szCs w:val="22"/>
                                <w14:ligatures w14:val="standardContextual"/>
                              </w:rPr>
                              <m:t>L</m:t>
                            </m:r>
                          </m:e>
                          <m:sub>
                            <m:r>
                              <w:rPr>
                                <w:rFonts w:ascii="Cambria Math" w:eastAsia="Calibri" w:hAnsi="Cambria Math" w:cs="Times New Roman"/>
                                <w:kern w:val="2"/>
                                <w:sz w:val="22"/>
                                <w:szCs w:val="22"/>
                                <w14:ligatures w14:val="standardContextual"/>
                              </w:rPr>
                              <m:t>1</m:t>
                            </m:r>
                          </m:sub>
                        </m:sSub>
                      </m:num>
                      <m:den>
                        <m:r>
                          <w:rPr>
                            <w:rFonts w:ascii="Cambria Math" w:eastAsia="Calibri" w:hAnsi="Cambria Math" w:cs="Times New Roman"/>
                            <w:kern w:val="2"/>
                            <w:sz w:val="22"/>
                            <w:szCs w:val="22"/>
                            <w14:ligatures w14:val="standardContextual"/>
                          </w:rPr>
                          <m:t>10</m:t>
                        </m:r>
                      </m:den>
                    </m:f>
                  </m:sup>
                </m:sSup>
                <m:r>
                  <w:rPr>
                    <w:rFonts w:ascii="Cambria Math" w:eastAsia="Calibri" w:hAnsi="Cambria Math" w:cs="Times New Roman"/>
                    <w:kern w:val="2"/>
                    <w:sz w:val="22"/>
                    <w:szCs w:val="22"/>
                    <w14:ligatures w14:val="standardContextual"/>
                  </w:rPr>
                  <m:t>+</m:t>
                </m:r>
                <m:sSup>
                  <m:sSupPr>
                    <m:ctrlPr>
                      <w:rPr>
                        <w:rFonts w:ascii="Cambria Math" w:eastAsia="Calibri" w:hAnsi="Cambria Math" w:cs="Times New Roman"/>
                        <w:i/>
                        <w:kern w:val="2"/>
                        <w:sz w:val="22"/>
                        <w:szCs w:val="22"/>
                        <w14:ligatures w14:val="standardContextual"/>
                      </w:rPr>
                    </m:ctrlPr>
                  </m:sSupPr>
                  <m:e>
                    <m:r>
                      <w:rPr>
                        <w:rFonts w:ascii="Cambria Math" w:eastAsia="Calibri" w:hAnsi="Cambria Math" w:cs="Times New Roman"/>
                        <w:kern w:val="2"/>
                        <w:sz w:val="22"/>
                        <w:szCs w:val="22"/>
                        <w14:ligatures w14:val="standardContextual"/>
                      </w:rPr>
                      <m:t>10</m:t>
                    </m:r>
                  </m:e>
                  <m:sup>
                    <m:f>
                      <m:fPr>
                        <m:ctrlPr>
                          <w:rPr>
                            <w:rFonts w:ascii="Cambria Math" w:eastAsia="Calibri" w:hAnsi="Cambria Math" w:cs="Times New Roman"/>
                            <w:i/>
                            <w:kern w:val="2"/>
                            <w:sz w:val="22"/>
                            <w:szCs w:val="22"/>
                            <w14:ligatures w14:val="standardContextual"/>
                          </w:rPr>
                        </m:ctrlPr>
                      </m:fPr>
                      <m:num>
                        <m:sSub>
                          <m:sSubPr>
                            <m:ctrlPr>
                              <w:rPr>
                                <w:rFonts w:ascii="Cambria Math" w:eastAsia="Calibri" w:hAnsi="Cambria Math" w:cs="Times New Roman"/>
                                <w:i/>
                                <w:kern w:val="2"/>
                                <w:sz w:val="22"/>
                                <w:szCs w:val="22"/>
                                <w14:ligatures w14:val="standardContextual"/>
                              </w:rPr>
                            </m:ctrlPr>
                          </m:sSubPr>
                          <m:e>
                            <m:r>
                              <w:rPr>
                                <w:rFonts w:ascii="Cambria Math" w:eastAsia="Calibri" w:hAnsi="Cambria Math" w:cs="Times New Roman"/>
                                <w:kern w:val="2"/>
                                <w:sz w:val="22"/>
                                <w:szCs w:val="22"/>
                                <w14:ligatures w14:val="standardContextual"/>
                              </w:rPr>
                              <m:t>L</m:t>
                            </m:r>
                          </m:e>
                          <m:sub>
                            <m:r>
                              <w:rPr>
                                <w:rFonts w:ascii="Cambria Math" w:eastAsia="Calibri" w:hAnsi="Cambria Math" w:cs="Times New Roman"/>
                                <w:kern w:val="2"/>
                                <w:sz w:val="22"/>
                                <w:szCs w:val="22"/>
                                <w14:ligatures w14:val="standardContextual"/>
                              </w:rPr>
                              <m:t>1</m:t>
                            </m:r>
                          </m:sub>
                        </m:sSub>
                      </m:num>
                      <m:den>
                        <m:r>
                          <w:rPr>
                            <w:rFonts w:ascii="Cambria Math" w:eastAsia="Calibri" w:hAnsi="Cambria Math" w:cs="Times New Roman"/>
                            <w:kern w:val="2"/>
                            <w:sz w:val="22"/>
                            <w:szCs w:val="22"/>
                            <w14:ligatures w14:val="standardContextual"/>
                          </w:rPr>
                          <m:t>10</m:t>
                        </m:r>
                      </m:den>
                    </m:f>
                  </m:sup>
                </m:sSup>
                <m:r>
                  <w:rPr>
                    <w:rFonts w:ascii="Cambria Math" w:eastAsia="Calibri" w:hAnsi="Cambria Math" w:cs="Times New Roman"/>
                    <w:kern w:val="2"/>
                    <w:sz w:val="22"/>
                    <w:szCs w:val="22"/>
                    <w14:ligatures w14:val="standardContextual"/>
                  </w:rPr>
                  <m:t>)</m:t>
                </m:r>
              </m:e>
            </m:func>
          </m:e>
        </m:nary>
      </m:oMath>
      <w:r w:rsidRPr="00BA4196">
        <w:rPr>
          <w:rFonts w:eastAsia="Times New Roman" w:cs="Times New Roman"/>
          <w:kern w:val="2"/>
          <w:sz w:val="22"/>
          <w:szCs w:val="22"/>
          <w14:ligatures w14:val="standardContextual"/>
        </w:rPr>
        <w:t xml:space="preserve">  </w:t>
      </w:r>
      <w:r w:rsidRPr="00BA4196">
        <w:rPr>
          <w:rFonts w:eastAsia="Times New Roman" w:cs="Times New Roman"/>
          <w:kern w:val="2"/>
          <w14:ligatures w14:val="standardContextual"/>
        </w:rPr>
        <w:t>dB</w:t>
      </w:r>
    </w:p>
    <w:p w14:paraId="0D52C36A" w14:textId="41B2C672" w:rsidR="00BA4196" w:rsidRPr="00BA4196" w:rsidRDefault="00BA4196" w:rsidP="00BA4196">
      <w:pPr>
        <w:spacing w:afterLines="120" w:after="288" w:line="360" w:lineRule="auto"/>
        <w:jc w:val="both"/>
        <w:rPr>
          <w:rFonts w:asciiTheme="majorHAnsi" w:hAnsiTheme="majorHAnsi"/>
          <w:color w:val="000000"/>
          <w:lang w:val="bg-BG"/>
        </w:rPr>
      </w:pPr>
      <w:r w:rsidRPr="00BA4196">
        <w:rPr>
          <w:rFonts w:asciiTheme="majorHAnsi" w:hAnsiTheme="majorHAnsi"/>
          <w:color w:val="000000"/>
          <w:lang w:val="bg-BG"/>
        </w:rPr>
        <w:t xml:space="preserve">Резултатът е, че проектът няма да има значителен принос за настоящото ниво на шума в идентифицираните чувствителни рецептори в района, като изчисленията показват много малки промени, т.е.: между 40,008 </w:t>
      </w:r>
      <w:r>
        <w:rPr>
          <w:rFonts w:asciiTheme="majorHAnsi" w:hAnsiTheme="majorHAnsi"/>
          <w:color w:val="000000"/>
          <w:lang w:val="bg-BG"/>
        </w:rPr>
        <w:t>дБ</w:t>
      </w:r>
      <w:r w:rsidRPr="00BA4196">
        <w:rPr>
          <w:rFonts w:asciiTheme="majorHAnsi" w:hAnsiTheme="majorHAnsi"/>
          <w:color w:val="000000"/>
          <w:lang w:val="bg-BG"/>
        </w:rPr>
        <w:t xml:space="preserve"> и 40,016 д</w:t>
      </w:r>
      <w:r>
        <w:rPr>
          <w:rFonts w:asciiTheme="majorHAnsi" w:hAnsiTheme="majorHAnsi"/>
          <w:color w:val="000000"/>
          <w:lang w:val="bg-BG"/>
        </w:rPr>
        <w:t>Ю</w:t>
      </w:r>
      <w:r w:rsidRPr="00BA4196">
        <w:rPr>
          <w:rFonts w:asciiTheme="majorHAnsi" w:hAnsiTheme="majorHAnsi"/>
          <w:color w:val="000000"/>
          <w:lang w:val="bg-BG"/>
        </w:rPr>
        <w:t>.</w:t>
      </w:r>
    </w:p>
    <w:p w14:paraId="3B1F6471" w14:textId="68F50F59" w:rsidR="00BA4196" w:rsidRPr="00BA4196" w:rsidRDefault="00BA4196" w:rsidP="00BA4196">
      <w:pPr>
        <w:spacing w:afterLines="120" w:after="288" w:line="360" w:lineRule="auto"/>
        <w:jc w:val="both"/>
        <w:rPr>
          <w:rFonts w:asciiTheme="majorHAnsi" w:hAnsiTheme="majorHAnsi"/>
          <w:color w:val="000000"/>
          <w:lang w:val="bg-BG"/>
        </w:rPr>
      </w:pPr>
      <w:r w:rsidRPr="00BA4196">
        <w:rPr>
          <w:rFonts w:asciiTheme="majorHAnsi" w:hAnsiTheme="majorHAnsi"/>
          <w:color w:val="000000"/>
          <w:lang w:val="bg-BG"/>
        </w:rPr>
        <w:t>Също така, за най-близката идентифицирана защитена природна зона в района на проекта (BG0000569 Кардам) изчисленото при моделирането ниво на шума е 27 дБ(A), което съответства на промяна на настоящото ниво на шума с 0,2 дБ (40,2 дБ).</w:t>
      </w:r>
    </w:p>
    <w:p w14:paraId="3E5D1FF6" w14:textId="77777777" w:rsidR="00BA4196" w:rsidRPr="00BA4196" w:rsidRDefault="00BA4196" w:rsidP="00BA4196">
      <w:pPr>
        <w:spacing w:afterLines="120" w:after="288" w:line="360" w:lineRule="auto"/>
        <w:jc w:val="both"/>
        <w:rPr>
          <w:rFonts w:asciiTheme="majorHAnsi" w:hAnsiTheme="majorHAnsi"/>
          <w:color w:val="000000"/>
          <w:lang w:val="bg-BG"/>
        </w:rPr>
      </w:pPr>
      <w:r w:rsidRPr="00BA4196">
        <w:rPr>
          <w:rFonts w:asciiTheme="majorHAnsi" w:hAnsiTheme="majorHAnsi"/>
          <w:color w:val="000000"/>
          <w:lang w:val="bg-BG"/>
        </w:rPr>
        <w:t>Резултатите от моделирането показват, че проектът няма да окаже значително неблагоприятно въздействие върху чувствителните рецептори, идентифицирани в района на проучването. Както за социалния, така и за фаунистичния компонент, следва да се отбележи, че източниците на шум, които са оценени с помощта на програмата SoundPLANnoise, са временни по своя характер и присъстват на площадката само през периода на изпълнение на проекта (около 30 дни).</w:t>
      </w:r>
    </w:p>
    <w:p w14:paraId="25849DFD" w14:textId="77777777" w:rsidR="00BA4196" w:rsidRDefault="00BA4196" w:rsidP="00BA4196">
      <w:pPr>
        <w:spacing w:afterLines="120" w:after="288" w:line="360" w:lineRule="auto"/>
        <w:jc w:val="both"/>
        <w:rPr>
          <w:rFonts w:asciiTheme="majorHAnsi" w:hAnsiTheme="majorHAnsi"/>
          <w:color w:val="000000"/>
          <w:lang w:val="bg-BG"/>
        </w:rPr>
      </w:pPr>
      <w:r w:rsidRPr="00BA4196">
        <w:rPr>
          <w:rFonts w:asciiTheme="majorHAnsi" w:hAnsiTheme="majorHAnsi"/>
          <w:color w:val="000000"/>
          <w:lang w:val="bg-BG"/>
        </w:rPr>
        <w:t>Представените по-горе източници на шум могат да имат потенциално отрицателно въздействие върху персонала, пряко ангажиран с конкретните дейности по проекта. За тях шумовият дискомфорт може да бъде сведен до минимум чрез спазване на правилата за здравословни и безопасни условия на труд, т.е. чрез използване на индивидуални средства за защита от шум.</w:t>
      </w:r>
    </w:p>
    <w:p w14:paraId="5BA4270C" w14:textId="7D75A695" w:rsidR="00624A6C" w:rsidRPr="007375EB" w:rsidRDefault="00624A6C" w:rsidP="00BA4196">
      <w:pPr>
        <w:spacing w:afterLines="120" w:after="288" w:line="360" w:lineRule="auto"/>
        <w:jc w:val="both"/>
        <w:rPr>
          <w:lang w:val="bg-BG"/>
        </w:rPr>
      </w:pPr>
      <w:r w:rsidRPr="007375EB">
        <w:rPr>
          <w:lang w:val="bg-BG"/>
        </w:rPr>
        <w:t>С реализирането на вятърния парк електроенергията, произведена от него, ще замени същото количество енергия от изкопаеми горива, което означава намаляване на количеството парникови газове, свързани с производството на енергия от невъзобновяеми източници, като по този начин ще допринесе за смекчаване на изменението на климата.</w:t>
      </w:r>
    </w:p>
    <w:p w14:paraId="17732C5A" w14:textId="437AE907" w:rsidR="00C6452D" w:rsidRPr="007375EB" w:rsidRDefault="00624A6C" w:rsidP="00BA4196">
      <w:pPr>
        <w:spacing w:after="120" w:line="360" w:lineRule="auto"/>
        <w:jc w:val="both"/>
        <w:rPr>
          <w:lang w:val="bg-BG"/>
        </w:rPr>
      </w:pPr>
      <w:r w:rsidRPr="007375EB">
        <w:rPr>
          <w:lang w:val="bg-BG"/>
        </w:rPr>
        <w:t>Строителните работи и транспортният трафик ще предизвикат повишаване на нивата на шум и вибрации, но те ще бъдат локални, в района на и в близост до работните лица</w:t>
      </w:r>
      <w:r w:rsidR="00C6452D" w:rsidRPr="007375EB">
        <w:rPr>
          <w:lang w:val="bg-BG"/>
        </w:rPr>
        <w:t xml:space="preserve">. </w:t>
      </w:r>
    </w:p>
    <w:p w14:paraId="75663323" w14:textId="27A20D64" w:rsidR="00DD667D" w:rsidRPr="007375EB" w:rsidRDefault="00624A6C" w:rsidP="00DD667D">
      <w:pPr>
        <w:spacing w:after="120" w:line="360" w:lineRule="auto"/>
        <w:ind w:left="-20" w:right="-20"/>
        <w:jc w:val="both"/>
        <w:rPr>
          <w:rFonts w:eastAsia="Verdana" w:cs="Verdana"/>
          <w:lang w:val="bg-BG"/>
        </w:rPr>
      </w:pPr>
      <w:r w:rsidRPr="007375EB">
        <w:rPr>
          <w:rFonts w:eastAsia="Verdana" w:cs="Verdana"/>
          <w:lang w:val="bg-BG"/>
        </w:rPr>
        <w:t xml:space="preserve">За реализацията на ветроенергийния парк ще бъдат използвани следните количества ресурси: горен слой почва от разчистването около 108600 </w:t>
      </w:r>
      <w:r w:rsidR="00BA4196">
        <w:rPr>
          <w:rFonts w:eastAsia="Verdana" w:cs="Verdana"/>
          <w:lang w:val="bg-BG"/>
        </w:rPr>
        <w:t>м</w:t>
      </w:r>
      <w:r w:rsidR="00BA4196">
        <w:rPr>
          <w:rFonts w:eastAsia="Verdana" w:cs="Verdana"/>
          <w:vertAlign w:val="superscript"/>
          <w:lang w:val="bg-BG"/>
        </w:rPr>
        <w:t>3</w:t>
      </w:r>
      <w:r w:rsidRPr="007375EB">
        <w:rPr>
          <w:rFonts w:eastAsia="Verdana" w:cs="Verdana"/>
          <w:lang w:val="bg-BG"/>
        </w:rPr>
        <w:t>, естествена пръст от изкопните работи 24350 м</w:t>
      </w:r>
      <w:r w:rsidRPr="007375EB">
        <w:rPr>
          <w:rFonts w:eastAsia="Verdana" w:cs="Verdana"/>
          <w:vertAlign w:val="superscript"/>
          <w:lang w:val="bg-BG"/>
        </w:rPr>
        <w:t>3</w:t>
      </w:r>
      <w:r w:rsidRPr="007375EB">
        <w:rPr>
          <w:rFonts w:eastAsia="Verdana" w:cs="Verdana"/>
          <w:lang w:val="bg-BG"/>
        </w:rPr>
        <w:t>, трошен камък за запълване 114250 м</w:t>
      </w:r>
      <w:r w:rsidRPr="007375EB">
        <w:rPr>
          <w:rFonts w:eastAsia="Verdana" w:cs="Verdana"/>
          <w:vertAlign w:val="superscript"/>
          <w:lang w:val="bg-BG"/>
        </w:rPr>
        <w:t>3</w:t>
      </w:r>
      <w:r w:rsidRPr="007375EB">
        <w:rPr>
          <w:rFonts w:eastAsia="Verdana" w:cs="Verdana"/>
          <w:lang w:val="bg-BG"/>
        </w:rPr>
        <w:t xml:space="preserve">, като към тези количества се добавят незначителни количества вода за различни дейности на обекта (пръскане за намаляване на праховото </w:t>
      </w:r>
      <w:r w:rsidRPr="007375EB">
        <w:rPr>
          <w:rFonts w:eastAsia="Verdana" w:cs="Verdana"/>
          <w:lang w:val="bg-BG"/>
        </w:rPr>
        <w:lastRenderedPageBreak/>
        <w:t>замърсяване, когато е необходимо, пръскане на основите по време на периода на сушене и др.). Водата ще се доставя на обекта при необходимост</w:t>
      </w:r>
      <w:r w:rsidR="006A07AB" w:rsidRPr="007375EB">
        <w:rPr>
          <w:rFonts w:eastAsia="Verdana" w:cs="Verdana"/>
          <w:lang w:val="bg-BG"/>
        </w:rPr>
        <w:t xml:space="preserve">. </w:t>
      </w:r>
    </w:p>
    <w:p w14:paraId="26C656D6" w14:textId="77777777" w:rsidR="00624A6C" w:rsidRPr="007375EB" w:rsidRDefault="00624A6C" w:rsidP="00624A6C">
      <w:pPr>
        <w:spacing w:after="120" w:line="360" w:lineRule="auto"/>
        <w:jc w:val="both"/>
        <w:rPr>
          <w:rFonts w:eastAsia="Verdana" w:cs="Verdana"/>
          <w:lang w:val="bg-BG"/>
        </w:rPr>
      </w:pPr>
      <w:r w:rsidRPr="007375EB">
        <w:rPr>
          <w:rFonts w:eastAsia="Verdana" w:cs="Verdana"/>
          <w:lang w:val="bg-BG"/>
        </w:rPr>
        <w:t>През периода на експлоатация на вятърния парк единственият използван природен ресурс е вятърната енергия - неизчерпаем ресурс.</w:t>
      </w:r>
    </w:p>
    <w:p w14:paraId="21FE05EB" w14:textId="7517C72D" w:rsidR="00624A6C" w:rsidRPr="007375EB" w:rsidRDefault="00624A6C" w:rsidP="00624A6C">
      <w:pPr>
        <w:spacing w:after="120" w:line="360" w:lineRule="auto"/>
        <w:jc w:val="both"/>
        <w:rPr>
          <w:rFonts w:eastAsia="Verdana" w:cs="Verdana"/>
          <w:lang w:val="bg-BG"/>
        </w:rPr>
      </w:pPr>
      <w:r w:rsidRPr="007375EB">
        <w:rPr>
          <w:rFonts w:eastAsia="Verdana" w:cs="Verdana"/>
          <w:lang w:val="bg-BG"/>
        </w:rPr>
        <w:t>Паркът се изгражда в местната административна единица Черкезу, извън нейната територия, като най-близките населени места са: T32 на 1,1 км от Вироага, T5 на 1 км от Черкезу, T35 на 1 км от Мъгура, T3 на 1,56 км от българското селище Йовков, T47 на 2,1 км от българското селище Краище, T9 на 3,98 км от Негру Вода.</w:t>
      </w:r>
    </w:p>
    <w:p w14:paraId="74CBA467" w14:textId="1EF3735E" w:rsidR="00B0225A" w:rsidRPr="007375EB" w:rsidRDefault="00624A6C" w:rsidP="00624A6C">
      <w:pPr>
        <w:spacing w:after="120" w:line="360" w:lineRule="auto"/>
        <w:jc w:val="both"/>
        <w:rPr>
          <w:lang w:val="bg-BG"/>
        </w:rPr>
      </w:pPr>
      <w:r w:rsidRPr="007375EB">
        <w:rPr>
          <w:rFonts w:eastAsia="Verdana" w:cs="Verdana"/>
          <w:lang w:val="bg-BG"/>
        </w:rPr>
        <w:t xml:space="preserve">В района на парка за вятърна енергия, на разстояние около 20 </w:t>
      </w:r>
      <w:r w:rsidR="0034375E" w:rsidRPr="007375EB">
        <w:rPr>
          <w:rFonts w:eastAsia="Verdana" w:cs="Verdana"/>
          <w:lang w:val="bg-BG"/>
        </w:rPr>
        <w:t>км</w:t>
      </w:r>
      <w:r w:rsidRPr="007375EB">
        <w:rPr>
          <w:rFonts w:eastAsia="Verdana" w:cs="Verdana"/>
          <w:lang w:val="bg-BG"/>
        </w:rPr>
        <w:t xml:space="preserve"> от границата на PUZ, са идентифицирани 10 защитени природни зони</w:t>
      </w:r>
      <w:r w:rsidR="00B0225A" w:rsidRPr="007375EB">
        <w:rPr>
          <w:lang w:val="bg-BG"/>
        </w:rPr>
        <w:t>:</w:t>
      </w:r>
    </w:p>
    <w:p w14:paraId="436EE905" w14:textId="4B13E941" w:rsidR="00B0225A" w:rsidRPr="007375EB" w:rsidRDefault="00624A6C" w:rsidP="00125F99">
      <w:pPr>
        <w:pStyle w:val="ListParagraph"/>
        <w:numPr>
          <w:ilvl w:val="0"/>
          <w:numId w:val="59"/>
        </w:numPr>
        <w:spacing w:after="120" w:line="360" w:lineRule="auto"/>
        <w:jc w:val="both"/>
        <w:rPr>
          <w:rFonts w:asciiTheme="minorHAnsi" w:hAnsiTheme="minorHAnsi"/>
          <w:lang w:val="bg-BG"/>
        </w:rPr>
      </w:pPr>
      <w:r w:rsidRPr="007375EB">
        <w:rPr>
          <w:rFonts w:asciiTheme="minorHAnsi" w:hAnsiTheme="minorHAnsi"/>
          <w:lang w:val="bg-BG"/>
        </w:rPr>
        <w:t xml:space="preserve">1 защитена природна зона, идентифицирана в района на пряко въздействие </w:t>
      </w:r>
      <w:r w:rsidR="00B0225A" w:rsidRPr="007375EB">
        <w:rPr>
          <w:rFonts w:asciiTheme="minorHAnsi" w:hAnsiTheme="minorHAnsi"/>
          <w:lang w:val="bg-BG"/>
        </w:rPr>
        <w:t>(ROSAC0071)</w:t>
      </w:r>
    </w:p>
    <w:p w14:paraId="10EE4A59" w14:textId="5FBEB992" w:rsidR="00B0225A" w:rsidRPr="007375EB" w:rsidRDefault="00624A6C" w:rsidP="00125F99">
      <w:pPr>
        <w:pStyle w:val="ListParagraph"/>
        <w:numPr>
          <w:ilvl w:val="0"/>
          <w:numId w:val="59"/>
        </w:numPr>
        <w:spacing w:after="120" w:line="360" w:lineRule="auto"/>
        <w:jc w:val="both"/>
        <w:rPr>
          <w:rFonts w:asciiTheme="minorHAnsi" w:hAnsiTheme="minorHAnsi"/>
          <w:lang w:val="bg-BG"/>
        </w:rPr>
      </w:pPr>
      <w:r w:rsidRPr="007375EB">
        <w:rPr>
          <w:rFonts w:asciiTheme="minorHAnsi" w:hAnsiTheme="minorHAnsi"/>
          <w:lang w:val="bg-BG"/>
        </w:rPr>
        <w:t>6 защитени природни зони, идентифицирани</w:t>
      </w:r>
      <w:r w:rsidR="00B0225A" w:rsidRPr="007375EB">
        <w:rPr>
          <w:rFonts w:asciiTheme="minorHAnsi" w:hAnsiTheme="minorHAnsi"/>
          <w:lang w:val="bg-BG"/>
        </w:rPr>
        <w:t xml:space="preserve"> </w:t>
      </w:r>
      <w:r w:rsidRPr="007375EB">
        <w:rPr>
          <w:rFonts w:asciiTheme="minorHAnsi" w:hAnsiTheme="minorHAnsi"/>
          <w:lang w:val="bg-BG"/>
        </w:rPr>
        <w:t xml:space="preserve">в района на непряко влияние </w:t>
      </w:r>
      <w:r w:rsidR="00B0225A" w:rsidRPr="007375EB">
        <w:rPr>
          <w:rFonts w:asciiTheme="minorHAnsi" w:hAnsiTheme="minorHAnsi"/>
          <w:lang w:val="bg-BG"/>
        </w:rPr>
        <w:t>(ROSPA0036, ROSPA0166, ROSPA0094, ROSAC0157(ROSCI0157),  BG0000570(</w:t>
      </w:r>
      <w:r w:rsidR="007F380E" w:rsidRPr="007375EB">
        <w:rPr>
          <w:rFonts w:asciiTheme="minorHAnsi" w:hAnsiTheme="minorHAnsi"/>
          <w:lang w:val="bg-BG"/>
        </w:rPr>
        <w:t>България</w:t>
      </w:r>
      <w:r w:rsidR="00B0225A" w:rsidRPr="007375EB">
        <w:rPr>
          <w:rFonts w:asciiTheme="minorHAnsi" w:hAnsiTheme="minorHAnsi"/>
          <w:lang w:val="bg-BG"/>
        </w:rPr>
        <w:t>), BG0000130 (</w:t>
      </w:r>
      <w:r w:rsidR="007F380E" w:rsidRPr="007375EB">
        <w:rPr>
          <w:rFonts w:asciiTheme="minorHAnsi" w:hAnsiTheme="minorHAnsi"/>
          <w:lang w:val="bg-BG"/>
        </w:rPr>
        <w:t>България</w:t>
      </w:r>
      <w:r w:rsidR="00B0225A" w:rsidRPr="007375EB">
        <w:rPr>
          <w:rFonts w:asciiTheme="minorHAnsi" w:hAnsiTheme="minorHAnsi"/>
          <w:lang w:val="bg-BG"/>
        </w:rPr>
        <w:t>))</w:t>
      </w:r>
    </w:p>
    <w:p w14:paraId="20A6F088" w14:textId="24F24BEA" w:rsidR="00B0225A" w:rsidRPr="007375EB" w:rsidRDefault="007F380E" w:rsidP="00125F99">
      <w:pPr>
        <w:pStyle w:val="ListParagraph"/>
        <w:numPr>
          <w:ilvl w:val="0"/>
          <w:numId w:val="59"/>
        </w:numPr>
        <w:spacing w:after="120" w:line="360" w:lineRule="auto"/>
        <w:jc w:val="both"/>
        <w:rPr>
          <w:rFonts w:asciiTheme="minorHAnsi" w:hAnsiTheme="minorHAnsi"/>
          <w:lang w:val="bg-BG"/>
        </w:rPr>
      </w:pPr>
      <w:r w:rsidRPr="007375EB">
        <w:rPr>
          <w:rFonts w:asciiTheme="minorHAnsi" w:hAnsiTheme="minorHAnsi"/>
          <w:lang w:val="bg-BG"/>
        </w:rPr>
        <w:t xml:space="preserve">3 защитени природни зони, които не попадат в пряката или непряката зона на въздействие на PUZ </w:t>
      </w:r>
      <w:r w:rsidR="00B0225A" w:rsidRPr="007375EB">
        <w:rPr>
          <w:rFonts w:asciiTheme="minorHAnsi" w:hAnsiTheme="minorHAnsi"/>
          <w:lang w:val="bg-BG"/>
        </w:rPr>
        <w:t>(BG0000569 (</w:t>
      </w:r>
      <w:r w:rsidRPr="007375EB">
        <w:rPr>
          <w:rFonts w:asciiTheme="minorHAnsi" w:hAnsiTheme="minorHAnsi"/>
          <w:lang w:val="bg-BG"/>
        </w:rPr>
        <w:t>България</w:t>
      </w:r>
      <w:r w:rsidR="00B0225A" w:rsidRPr="007375EB">
        <w:rPr>
          <w:rFonts w:asciiTheme="minorHAnsi" w:hAnsiTheme="minorHAnsi"/>
          <w:lang w:val="bg-BG"/>
        </w:rPr>
        <w:t>), ROSPA0151, ROSPA0001)</w:t>
      </w:r>
    </w:p>
    <w:p w14:paraId="4DD27A2E" w14:textId="3DC54934" w:rsidR="00B0225A" w:rsidRDefault="00743525" w:rsidP="00FF5E18">
      <w:pPr>
        <w:spacing w:after="120" w:line="360" w:lineRule="auto"/>
        <w:jc w:val="both"/>
        <w:rPr>
          <w:rFonts w:asciiTheme="minorHAnsi" w:hAnsiTheme="minorHAnsi"/>
          <w:b/>
          <w:bCs/>
          <w:lang w:val="bg-BG"/>
        </w:rPr>
      </w:pPr>
      <w:r w:rsidRPr="007375EB">
        <w:rPr>
          <w:rFonts w:asciiTheme="minorHAnsi" w:hAnsiTheme="minorHAnsi"/>
          <w:b/>
          <w:bCs/>
          <w:lang w:val="bg-BG"/>
        </w:rPr>
        <w:t>Анализирайки разстоянието и видовете/местообитанията/хабитатите, за които са определени тези зони, беше установено, че редица от 5 защитени природни зони на територията на Румъния и две на територията на България могат да бъдат потенциално пряко/непряко засегнати от PUZ</w:t>
      </w:r>
      <w:r w:rsidR="00B0225A" w:rsidRPr="007375EB">
        <w:rPr>
          <w:rFonts w:asciiTheme="minorHAnsi" w:hAnsiTheme="minorHAnsi"/>
          <w:b/>
          <w:bCs/>
          <w:lang w:val="bg-BG"/>
        </w:rPr>
        <w:t>.</w:t>
      </w:r>
    </w:p>
    <w:p w14:paraId="076BC2EF" w14:textId="77777777" w:rsidR="00BA4196" w:rsidRPr="00BA4196" w:rsidRDefault="00BA4196" w:rsidP="00BA4196">
      <w:pPr>
        <w:spacing w:after="120" w:line="360" w:lineRule="auto"/>
        <w:jc w:val="both"/>
        <w:rPr>
          <w:rFonts w:asciiTheme="minorHAnsi" w:hAnsiTheme="minorHAnsi"/>
          <w:lang w:val="bg-BG"/>
        </w:rPr>
      </w:pPr>
      <w:r w:rsidRPr="00BA4196">
        <w:rPr>
          <w:rFonts w:asciiTheme="minorHAnsi" w:hAnsiTheme="minorHAnsi"/>
          <w:lang w:val="bg-BG"/>
        </w:rPr>
        <w:t xml:space="preserve">Оценката на въздействието на плана върху обектите от „Натура 2000“, които могат да бъдат засегнати, е извършена въз основа на специфичните цели за опазване, определени от ANANP за периода 2021-2023 г. за всички обекти, разгледани в оценката. В оценката е разгледано потенциалното кумулативно въздействие, което може да бъде генерирано заедно с предложените и съществуващите вятърни паркове както на територията на Румъния, така и на България. </w:t>
      </w:r>
    </w:p>
    <w:p w14:paraId="4C21F575" w14:textId="77777777" w:rsidR="00BA4196" w:rsidRPr="00BA4196" w:rsidRDefault="00BA4196" w:rsidP="00BA4196">
      <w:pPr>
        <w:spacing w:after="120" w:line="360" w:lineRule="auto"/>
        <w:jc w:val="both"/>
        <w:rPr>
          <w:rFonts w:asciiTheme="minorHAnsi" w:hAnsiTheme="minorHAnsi"/>
          <w:lang w:val="bg-BG"/>
        </w:rPr>
      </w:pPr>
      <w:r w:rsidRPr="00BA4196">
        <w:rPr>
          <w:rFonts w:asciiTheme="minorHAnsi" w:hAnsiTheme="minorHAnsi"/>
          <w:lang w:val="bg-BG"/>
        </w:rPr>
        <w:t>Най-важната потенциална форма на въздействие, свързана с плана, е намаляването на популациите на дивите животни, което може да настъпи по време на етапите на строителство и експлоатация в резултат на строителните работи, сблъсъците със строителния трафик и най-вече сблъсъците с вятърните турбини (особено за видовете птици и хироптери). Намаляването на числеността на популациите вероятно ще окаже значително въздействие върху популациите на дивите животни и ще повлияе на параметрите за численост на популациите на специфичните природозащитни цели, определени за видовете.</w:t>
      </w:r>
    </w:p>
    <w:p w14:paraId="4DD270E8" w14:textId="77777777" w:rsidR="00BA4196" w:rsidRPr="00BA4196" w:rsidRDefault="00BA4196" w:rsidP="00BA4196">
      <w:pPr>
        <w:spacing w:after="120" w:line="360" w:lineRule="auto"/>
        <w:jc w:val="both"/>
        <w:rPr>
          <w:rFonts w:asciiTheme="minorHAnsi" w:hAnsiTheme="minorHAnsi"/>
          <w:lang w:val="bg-BG"/>
        </w:rPr>
      </w:pPr>
      <w:r w:rsidRPr="00BA4196">
        <w:rPr>
          <w:rFonts w:asciiTheme="minorHAnsi" w:hAnsiTheme="minorHAnsi"/>
          <w:lang w:val="bg-BG"/>
        </w:rPr>
        <w:t>За да се оцени потенциалното въздействие на развитието на ПУЗ върху животинските видове, в проучването за подходяща оценка е анализиран рискът от смъртност за хироптерите и рискът от смъртност за орнитофауната.</w:t>
      </w:r>
    </w:p>
    <w:p w14:paraId="5F88FA72" w14:textId="77777777" w:rsidR="001C4446" w:rsidRPr="001C4446" w:rsidRDefault="001C4446" w:rsidP="001C4446">
      <w:pPr>
        <w:spacing w:after="120" w:line="360" w:lineRule="auto"/>
        <w:jc w:val="both"/>
        <w:rPr>
          <w:rFonts w:asciiTheme="minorHAnsi" w:hAnsiTheme="minorHAnsi"/>
          <w:b/>
          <w:bCs/>
          <w:lang w:val="bg-BG"/>
        </w:rPr>
      </w:pPr>
      <w:r w:rsidRPr="001C4446">
        <w:rPr>
          <w:rFonts w:asciiTheme="minorHAnsi" w:hAnsiTheme="minorHAnsi"/>
          <w:b/>
          <w:bCs/>
          <w:lang w:val="bg-BG"/>
        </w:rPr>
        <w:t xml:space="preserve">Риск от смъртност - прилепи </w:t>
      </w:r>
    </w:p>
    <w:p w14:paraId="24FCDD6E" w14:textId="3B0CF714" w:rsidR="001C4446" w:rsidRPr="001C4446" w:rsidRDefault="001C4446" w:rsidP="001C4446">
      <w:pPr>
        <w:spacing w:after="120" w:line="360" w:lineRule="auto"/>
        <w:jc w:val="both"/>
        <w:rPr>
          <w:rFonts w:asciiTheme="minorHAnsi" w:hAnsiTheme="minorHAnsi"/>
          <w:i/>
          <w:iCs/>
          <w:lang w:val="bg-BG"/>
        </w:rPr>
      </w:pPr>
      <w:r w:rsidRPr="001C4446">
        <w:rPr>
          <w:rFonts w:asciiTheme="minorHAnsi" w:hAnsiTheme="minorHAnsi"/>
          <w:lang w:val="bg-BG"/>
        </w:rPr>
        <w:t>Що се отнася до анализа на риска от смъртност за видовете хироптери, той е извършен с помощта на книгата на NatureScot „</w:t>
      </w:r>
      <w:r w:rsidRPr="001C4446">
        <w:rPr>
          <w:rFonts w:asciiTheme="minorHAnsi" w:hAnsiTheme="minorHAnsi"/>
          <w:i/>
          <w:iCs/>
          <w:lang w:val="bg-BG"/>
        </w:rPr>
        <w:t>Bats and onshore wind turbines - survey, assessment and mitigation</w:t>
      </w:r>
      <w:r w:rsidRPr="001C4446">
        <w:rPr>
          <w:rFonts w:asciiTheme="minorHAnsi" w:hAnsiTheme="minorHAnsi"/>
          <w:lang w:val="bg-BG"/>
        </w:rPr>
        <w:t xml:space="preserve">“, в която се отчитат както рискът от сблъсък на видове прилепи, така и рискът от баротравма, дължащ </w:t>
      </w:r>
      <w:r w:rsidRPr="001C4446">
        <w:rPr>
          <w:rFonts w:asciiTheme="minorHAnsi" w:hAnsiTheme="minorHAnsi"/>
          <w:lang w:val="bg-BG"/>
        </w:rPr>
        <w:lastRenderedPageBreak/>
        <w:t xml:space="preserve">се на разликите в налягането, породени от работата на вятърните турбини, уязвимостта на видовете, тяхната активност в района на проекта (оценена въз основа на теренни наблюдения), местоположението на проекта и видовете предложени интервенции. </w:t>
      </w:r>
    </w:p>
    <w:p w14:paraId="3AF93D30" w14:textId="77777777" w:rsidR="001C4446" w:rsidRPr="001C4446" w:rsidRDefault="001C4446" w:rsidP="001C4446">
      <w:pPr>
        <w:spacing w:after="120" w:line="360" w:lineRule="auto"/>
        <w:jc w:val="both"/>
        <w:rPr>
          <w:rFonts w:asciiTheme="minorHAnsi" w:hAnsiTheme="minorHAnsi"/>
          <w:lang w:val="bg-BG"/>
        </w:rPr>
      </w:pPr>
      <w:r w:rsidRPr="001C4446">
        <w:rPr>
          <w:rFonts w:asciiTheme="minorHAnsi" w:hAnsiTheme="minorHAnsi"/>
          <w:lang w:val="bg-BG"/>
        </w:rPr>
        <w:t xml:space="preserve">Въз основа на описаната методология мястото на плана представлява местообитание с умерена стойност, т.е. район със сгради, дървета или други структури с умерено висок потенциал за нощуване, който може да се използва интензивно от хранещите се прилепи. По отношение на размера на проекта той се вписва в групата на по-големите проекти (&gt; 40 турбини) с други проекти за вятърна енергия, които се разработват в радиус от 5 км от него, с турбини с височина над 100 м. Анализирайки матрицата за първоначална оценка на риска, обектът на проекта попада в категорията с висок риск. </w:t>
      </w:r>
    </w:p>
    <w:p w14:paraId="06AD2080" w14:textId="77777777" w:rsidR="001C4446" w:rsidRPr="001C4446" w:rsidRDefault="001C4446" w:rsidP="001C4446">
      <w:pPr>
        <w:spacing w:after="120" w:line="360" w:lineRule="auto"/>
        <w:jc w:val="both"/>
        <w:rPr>
          <w:rFonts w:asciiTheme="minorHAnsi" w:hAnsiTheme="minorHAnsi"/>
          <w:lang w:val="bg-BG"/>
        </w:rPr>
      </w:pPr>
      <w:r w:rsidRPr="001C4446">
        <w:rPr>
          <w:rFonts w:asciiTheme="minorHAnsi" w:hAnsiTheme="minorHAnsi"/>
          <w:lang w:val="bg-BG"/>
        </w:rPr>
        <w:t>Като се вземе предвид горепосочената информация, както и данните от мониторинга и като се използва общата матрица за оценка на риска, обектът на плана е с висок риск по отношение на сблъсъците и следователно смъртността за хироптерите.</w:t>
      </w:r>
    </w:p>
    <w:p w14:paraId="3AC48712" w14:textId="77777777" w:rsidR="001C4446" w:rsidRPr="001C4446" w:rsidRDefault="001C4446" w:rsidP="001C4446">
      <w:pPr>
        <w:spacing w:after="120" w:line="360" w:lineRule="auto"/>
        <w:jc w:val="both"/>
        <w:rPr>
          <w:rFonts w:asciiTheme="minorHAnsi" w:hAnsiTheme="minorHAnsi"/>
          <w:lang w:val="bg-BG"/>
        </w:rPr>
      </w:pPr>
      <w:r w:rsidRPr="001C4446">
        <w:rPr>
          <w:rFonts w:asciiTheme="minorHAnsi" w:hAnsiTheme="minorHAnsi"/>
          <w:lang w:val="bg-BG"/>
        </w:rPr>
        <w:t>Съществуващите методики обаче не позволяват изчисляване на потенциалния брой жертви за видовете прилепи, както това се прави за видовете птици.</w:t>
      </w:r>
    </w:p>
    <w:p w14:paraId="47954C9A" w14:textId="77777777" w:rsidR="001C4446" w:rsidRPr="001C4446" w:rsidRDefault="001C4446" w:rsidP="001C4446">
      <w:pPr>
        <w:spacing w:after="120" w:line="360" w:lineRule="auto"/>
        <w:jc w:val="both"/>
        <w:rPr>
          <w:rFonts w:asciiTheme="minorHAnsi" w:hAnsiTheme="minorHAnsi"/>
          <w:b/>
          <w:bCs/>
          <w:lang w:val="bg-BG"/>
        </w:rPr>
      </w:pPr>
      <w:r w:rsidRPr="001C4446">
        <w:rPr>
          <w:rFonts w:asciiTheme="minorHAnsi" w:hAnsiTheme="minorHAnsi"/>
          <w:b/>
          <w:bCs/>
          <w:lang w:val="bg-BG"/>
        </w:rPr>
        <w:t>Риск от смъртност при птиците</w:t>
      </w:r>
    </w:p>
    <w:p w14:paraId="391C19F8" w14:textId="7BF781EB" w:rsidR="001C4446" w:rsidRPr="001C4446" w:rsidRDefault="001C4446" w:rsidP="001C4446">
      <w:pPr>
        <w:spacing w:after="120" w:line="360" w:lineRule="auto"/>
        <w:jc w:val="both"/>
        <w:rPr>
          <w:rFonts w:asciiTheme="minorHAnsi" w:hAnsiTheme="minorHAnsi"/>
          <w:i/>
          <w:iCs/>
          <w:lang w:val="bg-BG"/>
        </w:rPr>
      </w:pPr>
      <w:r w:rsidRPr="001C4446">
        <w:rPr>
          <w:rFonts w:asciiTheme="minorHAnsi" w:hAnsiTheme="minorHAnsi"/>
          <w:lang w:val="bg-BG"/>
        </w:rPr>
        <w:t xml:space="preserve">Рискът от сблъсък на наблюдаваните видове е изчислен съгласно ръководството на Шотландското национално наследство: </w:t>
      </w:r>
      <w:r w:rsidRPr="001C4446">
        <w:rPr>
          <w:rFonts w:asciiTheme="minorHAnsi" w:hAnsiTheme="minorHAnsi"/>
          <w:i/>
          <w:iCs/>
          <w:lang w:val="bg-BG"/>
        </w:rPr>
        <w:t>„Wind farms and Birds: Calculating a theoretical collision risk assuming no avoiding action“.</w:t>
      </w:r>
    </w:p>
    <w:p w14:paraId="061D0275" w14:textId="6F6E1F16" w:rsidR="001C4446" w:rsidRPr="001C4446" w:rsidRDefault="001C4446" w:rsidP="001C4446">
      <w:pPr>
        <w:spacing w:after="120" w:line="360" w:lineRule="auto"/>
        <w:jc w:val="both"/>
        <w:rPr>
          <w:rFonts w:asciiTheme="minorHAnsi" w:hAnsiTheme="minorHAnsi"/>
          <w:lang w:val="bg-BG"/>
        </w:rPr>
      </w:pPr>
      <w:r w:rsidRPr="001C4446">
        <w:rPr>
          <w:rFonts w:asciiTheme="minorHAnsi" w:hAnsiTheme="minorHAnsi"/>
          <w:lang w:val="bg-BG"/>
        </w:rPr>
        <w:t>За целите на настоящия план е изготвен документът „Проучване на риска от сблъсък на реещи се птици в бъдещия ветроенергиен парк Cerchezu, окръг Констанца“, приложение към проучването за адекватна оценка.</w:t>
      </w:r>
    </w:p>
    <w:p w14:paraId="21F4014C" w14:textId="77777777" w:rsidR="001C4446" w:rsidRPr="001C4446" w:rsidRDefault="001C4446" w:rsidP="001C4446">
      <w:pPr>
        <w:spacing w:after="120" w:line="360" w:lineRule="auto"/>
        <w:jc w:val="both"/>
        <w:rPr>
          <w:rFonts w:asciiTheme="minorHAnsi" w:hAnsiTheme="minorHAnsi"/>
          <w:lang w:val="bg-BG"/>
        </w:rPr>
      </w:pPr>
      <w:r w:rsidRPr="001C4446">
        <w:rPr>
          <w:rFonts w:asciiTheme="minorHAnsi" w:hAnsiTheme="minorHAnsi"/>
          <w:lang w:val="bg-BG"/>
        </w:rPr>
        <w:t>Заключенията от проучването на риска от сблъсък с летящи птици показват, че:</w:t>
      </w:r>
    </w:p>
    <w:p w14:paraId="33C1DA39" w14:textId="77777777" w:rsidR="001C4446" w:rsidRPr="001C4446" w:rsidRDefault="001C4446">
      <w:pPr>
        <w:pStyle w:val="ListParagraph"/>
        <w:numPr>
          <w:ilvl w:val="0"/>
          <w:numId w:val="183"/>
        </w:numPr>
        <w:spacing w:after="120" w:line="360" w:lineRule="auto"/>
        <w:jc w:val="both"/>
        <w:rPr>
          <w:rFonts w:asciiTheme="minorHAnsi" w:hAnsiTheme="minorHAnsi"/>
          <w:lang w:val="bg-BG"/>
        </w:rPr>
      </w:pPr>
      <w:r w:rsidRPr="001C4446">
        <w:rPr>
          <w:rFonts w:asciiTheme="minorHAnsi" w:hAnsiTheme="minorHAnsi"/>
          <w:lang w:val="bg-BG"/>
        </w:rPr>
        <w:t>от 18-те вида, за които е направена оценка на риска от сблъсък с вятърни турбини, за 12 вида тя води до окончателен положителен риск от сблъсък, отчетен за една година, а именно за видовете: Accipiter nisus (0,014 индивида/година), Aquila pomarina (0,066 индивида/година), Buteo buteo (0,605 индивида/година), Buteo rufinus (0,031 индивида/година), Ciconia ciconia (0,998 индивида/година), Circaetus gallicus (0,009 индивида/година), Circus aeruginosus (0,025 индивида/година), Circus cyaneus (0,008 индивида/година), Corvus corax (0,007 индивида/година), Falco subbuteo (0,006 индивида/година), Falco tinnununculus (0,201 индивида/година), Pernis apivorus (0,008 индивида/година). Нито един от тях не показва годишни стойности над единицата.</w:t>
      </w:r>
    </w:p>
    <w:p w14:paraId="760F5DEA" w14:textId="2E41F788" w:rsidR="001C4446" w:rsidRPr="001C4446" w:rsidRDefault="001C4446">
      <w:pPr>
        <w:pStyle w:val="ListParagraph"/>
        <w:numPr>
          <w:ilvl w:val="0"/>
          <w:numId w:val="183"/>
        </w:numPr>
        <w:spacing w:afterLines="120" w:after="288" w:line="240" w:lineRule="auto"/>
        <w:ind w:left="714" w:hanging="357"/>
        <w:jc w:val="both"/>
        <w:rPr>
          <w:rFonts w:asciiTheme="majorHAnsi" w:hAnsiTheme="majorHAnsi"/>
          <w:lang w:val="bg-BG"/>
        </w:rPr>
      </w:pPr>
      <w:r w:rsidRPr="001C4446">
        <w:rPr>
          <w:rFonts w:asciiTheme="majorHAnsi" w:eastAsia="Times New Roman" w:hAnsiTheme="majorHAnsi" w:cs="Times New Roman"/>
          <w:lang w:val="bg-BG" w:eastAsia="en-GB"/>
        </w:rPr>
        <w:t>Всичките 12 вида с положителен краен риск от сблъсък, отчитан на годишна база, са видове птици, които според Червения списък на европейските видове птици (Birdlife International, 2015 г.) са категоризирани като видове, които са обект на най-малка загриженост. На румънско ниво, според Червения списък на видовете птици в Румъния, три вида са класифицирани като почти застрашени, един е оценен като уязвим и два не са оценени (Not Evaluated).</w:t>
      </w:r>
    </w:p>
    <w:p w14:paraId="703DED72" w14:textId="77777777" w:rsidR="001C4446" w:rsidRPr="001C4446" w:rsidRDefault="001C4446">
      <w:pPr>
        <w:pStyle w:val="ListParagraph"/>
        <w:numPr>
          <w:ilvl w:val="0"/>
          <w:numId w:val="183"/>
        </w:numPr>
        <w:spacing w:afterLines="120" w:after="288" w:line="240" w:lineRule="auto"/>
        <w:ind w:left="714" w:hanging="357"/>
        <w:jc w:val="both"/>
        <w:rPr>
          <w:rFonts w:asciiTheme="majorHAnsi" w:eastAsia="Times New Roman" w:hAnsiTheme="majorHAnsi"/>
          <w:lang w:val="bg-BG" w:eastAsia="en-GB"/>
        </w:rPr>
      </w:pPr>
      <w:r w:rsidRPr="001C4446">
        <w:rPr>
          <w:rFonts w:asciiTheme="majorHAnsi" w:eastAsia="Times New Roman" w:hAnsiTheme="majorHAnsi" w:cs="Times New Roman"/>
          <w:lang w:val="bg-BG" w:eastAsia="en-GB"/>
        </w:rPr>
        <w:t xml:space="preserve">за да се определи значимостта на въздействието на ветроенергийния парк Cerchezu върху видовете грабливи и плаващи птици, като отправна точка е използвана (където е възможно) числеността на популацията на видовете в района на изследването, като е желано да се сравнят жертвите на сблъсъци със съответната популация на видовете - гнездяща или зимуваща популация, или преминаваща популация, според случая. По този </w:t>
      </w:r>
      <w:r w:rsidRPr="001C4446">
        <w:rPr>
          <w:rFonts w:asciiTheme="majorHAnsi" w:eastAsia="Times New Roman" w:hAnsiTheme="majorHAnsi" w:cs="Times New Roman"/>
          <w:lang w:val="bg-BG" w:eastAsia="en-GB"/>
        </w:rPr>
        <w:lastRenderedPageBreak/>
        <w:t xml:space="preserve">начин бяха консултирани стойностите на популациите на вида в съседните зони от мрежата Натура 2000 ROSPA0036 Думбръвени и ROSPA0166 Плопени-Кирногени, като се счита, че намаляване с 1 % на минималната популация в рамките на зоната представлява значително въздействие върху популацията и може да попречи на постигането на природозащитните цели на зоната. Въпреки това са налице ситуации, при които в рамките на природозащитните цели на зоните ROSPA0036 Думбръвени и ROSPA0166 Плопени-Кирногени не са посочени стойности на популацията на вида или не са посочени съответните стойности на популацията </w:t>
      </w:r>
      <w:r w:rsidRPr="001C4446">
        <w:rPr>
          <w:rFonts w:asciiTheme="majorHAnsi" w:eastAsia="Times New Roman" w:hAnsiTheme="majorHAnsi"/>
          <w:lang w:val="bg-BG" w:eastAsia="en-GB"/>
        </w:rPr>
        <w:t xml:space="preserve">- (като видовете Accipiter gentilis, Accipiter nisus, Buteo buteo, Buteo rufinus, Ciconia ciconia, Ciconia nigra, Circaetus gallicus, Circus aeruginosus, Corvus corax, Corvus frugilegus, Falco columbarius, Falco subbuteo, Falco tinnununculus, Pernis apivorus). При това положение бяха направени справки за размера на националната популация на видовете, докладвана от Румъния в съответствие с чл. 12 от Директивата за птиците (налична на </w:t>
      </w:r>
      <w:hyperlink r:id="rId89" w:history="1">
        <w:r w:rsidRPr="001C4446">
          <w:rPr>
            <w:rStyle w:val="Hyperlink"/>
            <w:rFonts w:asciiTheme="majorHAnsi" w:eastAsia="Times New Roman" w:hAnsiTheme="majorHAnsi"/>
            <w:lang w:val="bg-BG" w:eastAsia="en-GB"/>
          </w:rPr>
          <w:t>https://nature-art12.eionet.europa.eu/article12/summary</w:t>
        </w:r>
      </w:hyperlink>
      <w:r w:rsidRPr="001C4446">
        <w:rPr>
          <w:rFonts w:asciiTheme="majorHAnsi" w:eastAsia="Times New Roman" w:hAnsiTheme="majorHAnsi"/>
          <w:lang w:val="bg-BG" w:eastAsia="en-GB"/>
        </w:rPr>
        <w:t>), и бе счетено, че намалението с 0,05 % на минималната национална популация представлява значително въздействие.</w:t>
      </w:r>
    </w:p>
    <w:p w14:paraId="392FF49C" w14:textId="75395A11" w:rsidR="001C4446" w:rsidRPr="00596282" w:rsidRDefault="001C4446" w:rsidP="001C4446">
      <w:pPr>
        <w:spacing w:afterLines="120" w:after="288"/>
        <w:jc w:val="both"/>
        <w:rPr>
          <w:rFonts w:asciiTheme="majorHAnsi" w:eastAsia="Times New Roman" w:hAnsiTheme="majorHAnsi" w:cs="Times New Roman"/>
          <w:lang w:val="bg-BG" w:eastAsia="en-GB"/>
        </w:rPr>
      </w:pPr>
      <w:r w:rsidRPr="001C4446">
        <w:rPr>
          <w:rFonts w:asciiTheme="majorHAnsi" w:eastAsia="Times New Roman" w:hAnsiTheme="majorHAnsi" w:cs="Times New Roman"/>
          <w:lang w:val="bg-BG" w:eastAsia="en-GB"/>
        </w:rPr>
        <w:t xml:space="preserve">Заключенията от проучването за подходяща оценка, подробно описани за всеки засегнат ANPIC, </w:t>
      </w:r>
      <w:r w:rsidRPr="00596282">
        <w:rPr>
          <w:rFonts w:asciiTheme="majorHAnsi" w:eastAsia="Times New Roman" w:hAnsiTheme="majorHAnsi" w:cs="Times New Roman"/>
          <w:lang w:val="bg-BG" w:eastAsia="en-GB"/>
        </w:rPr>
        <w:t>са включени като приложение към настоящото проучване.</w:t>
      </w:r>
    </w:p>
    <w:p w14:paraId="198F58CF" w14:textId="77777777" w:rsidR="00596282" w:rsidRPr="00596282" w:rsidRDefault="00596282" w:rsidP="00596282">
      <w:pPr>
        <w:spacing w:afterLines="120" w:after="288"/>
        <w:jc w:val="both"/>
        <w:rPr>
          <w:rFonts w:asciiTheme="majorHAnsi" w:eastAsia="Times New Roman" w:hAnsiTheme="majorHAnsi" w:cs="Times New Roman"/>
          <w:lang w:val="bg-BG" w:eastAsia="en-GB"/>
        </w:rPr>
      </w:pPr>
      <w:r w:rsidRPr="00596282">
        <w:rPr>
          <w:rFonts w:asciiTheme="majorHAnsi" w:eastAsia="Times New Roman" w:hAnsiTheme="majorHAnsi" w:cs="Times New Roman"/>
          <w:lang w:val="bg-BG" w:eastAsia="en-GB"/>
        </w:rPr>
        <w:t>Мерките, предложени в подходящата оценка за избягване и минимизиране на въздействието, обхващат всички форми на установените въздействия, които могат да повлияят на параметрите на природозащитните цели, определени за местообитанията и видовете от интерес за Общността в потенциално засегнатите зони от Натура 2000.</w:t>
      </w:r>
    </w:p>
    <w:p w14:paraId="2B4EB8B2" w14:textId="77777777" w:rsidR="00596282" w:rsidRPr="00596282" w:rsidRDefault="00596282" w:rsidP="00596282">
      <w:pPr>
        <w:spacing w:afterLines="120" w:after="288"/>
        <w:jc w:val="both"/>
        <w:rPr>
          <w:rFonts w:asciiTheme="majorHAnsi" w:eastAsia="Times New Roman" w:hAnsiTheme="majorHAnsi" w:cs="Times New Roman"/>
          <w:lang w:val="bg-BG" w:eastAsia="en-GB"/>
        </w:rPr>
      </w:pPr>
      <w:r w:rsidRPr="00596282">
        <w:rPr>
          <w:rFonts w:asciiTheme="majorHAnsi" w:eastAsia="Times New Roman" w:hAnsiTheme="majorHAnsi" w:cs="Times New Roman"/>
          <w:lang w:val="bg-BG" w:eastAsia="en-GB"/>
        </w:rPr>
        <w:t>Проучването на подходящата оценка идентифицира необходимостта от прилагане на мерки, които могат да осигурят поддържането на остатъчно незначително въздействие. За да се потвърди ефективността на мерките за избягване и смекчаване на въздействието, е предложена програма за мониторинг, която включва разпоредби както за периода на строителство, така и за периода на експлоатация. Изпълнението на програмата за мониторинг е от съществено значение, за да може да се гарантира правилното изпълнение и функционалност на мерките за избягване и смекчаване на въздействието.</w:t>
      </w:r>
    </w:p>
    <w:p w14:paraId="17874D4A" w14:textId="516188CD" w:rsidR="0093454D" w:rsidRPr="00596282" w:rsidRDefault="00743525" w:rsidP="00FF5E18">
      <w:pPr>
        <w:spacing w:after="120" w:line="360" w:lineRule="auto"/>
        <w:jc w:val="both"/>
        <w:rPr>
          <w:rFonts w:asciiTheme="minorHAnsi" w:hAnsiTheme="minorHAnsi"/>
          <w:lang w:val="bg-BG"/>
        </w:rPr>
      </w:pPr>
      <w:r w:rsidRPr="00596282">
        <w:rPr>
          <w:rFonts w:asciiTheme="minorHAnsi" w:hAnsiTheme="minorHAnsi"/>
          <w:lang w:val="bg-BG"/>
        </w:rPr>
        <w:t>Подробности за потенциалното въздействие на PUZ върху видовете и местообитанията в защитените природни зони са представени подробно в изследването на адекватната оценка.</w:t>
      </w:r>
      <w:r w:rsidR="006E2BDC" w:rsidRPr="00596282">
        <w:rPr>
          <w:rFonts w:asciiTheme="minorHAnsi" w:hAnsiTheme="minorHAnsi"/>
          <w:lang w:val="bg-BG"/>
        </w:rPr>
        <w:t xml:space="preserve"> </w:t>
      </w:r>
    </w:p>
    <w:p w14:paraId="75696946" w14:textId="21C44FE7" w:rsidR="006B59ED" w:rsidRPr="007375EB" w:rsidRDefault="00624A6C" w:rsidP="001516B6">
      <w:pPr>
        <w:pStyle w:val="Heading1"/>
        <w:numPr>
          <w:ilvl w:val="0"/>
          <w:numId w:val="16"/>
        </w:numPr>
        <w:suppressAutoHyphens w:val="0"/>
        <w:spacing w:before="0" w:after="240" w:line="360" w:lineRule="auto"/>
        <w:ind w:left="567" w:hanging="567"/>
        <w:contextualSpacing w:val="0"/>
        <w:jc w:val="both"/>
        <w:rPr>
          <w:b/>
          <w:bCs w:val="0"/>
          <w:sz w:val="20"/>
          <w:szCs w:val="20"/>
          <w:lang w:val="bg-BG" w:eastAsia="ro-RO"/>
        </w:rPr>
      </w:pPr>
      <w:r w:rsidRPr="007375EB">
        <w:rPr>
          <w:b/>
          <w:bCs w:val="0"/>
          <w:sz w:val="20"/>
          <w:szCs w:val="20"/>
          <w:lang w:val="bg-BG" w:eastAsia="ro-RO"/>
        </w:rPr>
        <w:t>Целите за опазване на околната среда, определени на национално, общностно или международно равнище, които са от значение за PUZ, и как тези цели и всички други съображения, свързани с околната среда, са били взети предвид по време на подготовката на PUZ</w:t>
      </w:r>
    </w:p>
    <w:p w14:paraId="67F8A39B" w14:textId="1A6DADB7" w:rsidR="006B59ED" w:rsidRPr="007375EB" w:rsidRDefault="00624A6C" w:rsidP="00624A6C">
      <w:pPr>
        <w:pStyle w:val="ListParagraph"/>
        <w:numPr>
          <w:ilvl w:val="1"/>
          <w:numId w:val="60"/>
        </w:numPr>
        <w:spacing w:after="120" w:line="360" w:lineRule="auto"/>
        <w:jc w:val="both"/>
        <w:outlineLvl w:val="1"/>
        <w:rPr>
          <w:b/>
          <w:i/>
          <w:color w:val="009DF0"/>
          <w:lang w:val="bg-BG" w:eastAsia="ro-RO"/>
        </w:rPr>
      </w:pPr>
      <w:r w:rsidRPr="007375EB">
        <w:rPr>
          <w:b/>
          <w:i/>
          <w:color w:val="009DF0"/>
          <w:lang w:val="bg-BG" w:eastAsia="ro-RO"/>
        </w:rPr>
        <w:t>Целите за опазване на околната среда, определени на национално, общностно или международно равнище, които са от значение за плана или програмата</w:t>
      </w:r>
    </w:p>
    <w:p w14:paraId="577BEC62" w14:textId="297A5752" w:rsidR="009B5E28" w:rsidRPr="007375EB" w:rsidRDefault="00765E38" w:rsidP="009B5E28">
      <w:pPr>
        <w:spacing w:after="120" w:line="360" w:lineRule="auto"/>
        <w:jc w:val="both"/>
        <w:rPr>
          <w:color w:val="000000" w:themeColor="text1"/>
          <w:lang w:val="bg-BG" w:eastAsia="ro-RO"/>
        </w:rPr>
      </w:pPr>
      <w:r w:rsidRPr="007375EB">
        <w:rPr>
          <w:color w:val="000000" w:themeColor="text1"/>
          <w:lang w:val="bg-BG" w:eastAsia="ro-RO"/>
        </w:rPr>
        <w:t>За да се създаде рамка за оценка на въздействието върху околната среда, породено от изпълнението на PUZ, предмет на настоящия доклад за околната среда, на етапа на определяне на обхвата на процедурата по СЕО бяха определени няколко съответни цели на околната среда, пряко свързани с</w:t>
      </w:r>
      <w:r w:rsidR="00CF06F4" w:rsidRPr="007375EB">
        <w:rPr>
          <w:color w:val="000000" w:themeColor="text1"/>
          <w:lang w:val="bg-BG" w:eastAsia="ro-RO"/>
        </w:rPr>
        <w:t>:</w:t>
      </w:r>
    </w:p>
    <w:p w14:paraId="290B9C01" w14:textId="6CCA5383" w:rsidR="00765E38" w:rsidRPr="007375EB" w:rsidRDefault="00765E38" w:rsidP="00765E38">
      <w:pPr>
        <w:pStyle w:val="ListParagraph"/>
        <w:numPr>
          <w:ilvl w:val="0"/>
          <w:numId w:val="55"/>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Екологични аспекти, посочени в приложение 2 към РП 1076/2004;</w:t>
      </w:r>
    </w:p>
    <w:p w14:paraId="033AAF85" w14:textId="01704F24" w:rsidR="00555438" w:rsidRPr="007375EB" w:rsidRDefault="00765E38" w:rsidP="00765E38">
      <w:pPr>
        <w:pStyle w:val="ListParagraph"/>
        <w:numPr>
          <w:ilvl w:val="0"/>
          <w:numId w:val="55"/>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Екологичните проблеми, свързани с PUZ, представени в глава 5 от настоящия доклад за околната среда, определени въз основа на анализа на текущото състояние на околната среда в района на изследването</w:t>
      </w:r>
      <w:r w:rsidR="00555438" w:rsidRPr="007375EB">
        <w:rPr>
          <w:rFonts w:eastAsia="Verdana" w:cs="Verdana"/>
          <w:color w:val="000000" w:themeColor="text1"/>
          <w:lang w:val="bg-BG"/>
        </w:rPr>
        <w:t>.</w:t>
      </w:r>
    </w:p>
    <w:p w14:paraId="7D6C402E" w14:textId="2100605F" w:rsidR="00555438" w:rsidRPr="007375EB" w:rsidRDefault="006F05A1" w:rsidP="00125F99">
      <w:pPr>
        <w:pStyle w:val="ListParagraph"/>
        <w:numPr>
          <w:ilvl w:val="0"/>
          <w:numId w:val="55"/>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lastRenderedPageBreak/>
        <w:t>Съответствие на анализираните PUZ със съответните планове/програми/стратегии/ръководства</w:t>
      </w:r>
      <w:r w:rsidR="00555438" w:rsidRPr="007375EB">
        <w:rPr>
          <w:rFonts w:eastAsia="Verdana" w:cs="Verdana"/>
          <w:color w:val="000000" w:themeColor="text1"/>
          <w:lang w:val="bg-BG"/>
        </w:rPr>
        <w:t xml:space="preserve">: </w:t>
      </w:r>
    </w:p>
    <w:p w14:paraId="128C9EF7" w14:textId="2D678A7A" w:rsidR="003915CA" w:rsidRPr="007375EB" w:rsidRDefault="006F05A1" w:rsidP="00125F99">
      <w:pPr>
        <w:pStyle w:val="ListParagraph"/>
        <w:numPr>
          <w:ilvl w:val="1"/>
          <w:numId w:val="54"/>
        </w:numPr>
        <w:spacing w:after="120" w:line="360" w:lineRule="auto"/>
        <w:ind w:left="1134" w:hanging="283"/>
        <w:jc w:val="both"/>
        <w:rPr>
          <w:rFonts w:eastAsia="Verdana" w:cs="Verdana"/>
          <w:color w:val="000000" w:themeColor="text1"/>
          <w:lang w:val="bg-BG"/>
        </w:rPr>
      </w:pPr>
      <w:r w:rsidRPr="007375EB">
        <w:rPr>
          <w:color w:val="000000" w:themeColor="text1"/>
          <w:lang w:val="bg-BG"/>
        </w:rPr>
        <w:t>Пакет за енергийния съюз (2015 г.) Рамкова стратегия за устойчив енергиен съюз с ориентирана към бъдещето политика в областта на изменението на климата</w:t>
      </w:r>
      <w:r w:rsidR="003915CA" w:rsidRPr="007375EB">
        <w:rPr>
          <w:color w:val="000000" w:themeColor="text1"/>
          <w:lang w:val="bg-BG"/>
        </w:rPr>
        <w:t>;</w:t>
      </w:r>
    </w:p>
    <w:p w14:paraId="380F00A2" w14:textId="60BD0B82" w:rsidR="006F05A1" w:rsidRPr="007375EB" w:rsidRDefault="006F05A1" w:rsidP="006F05A1">
      <w:pPr>
        <w:pStyle w:val="ListParagraph"/>
        <w:numPr>
          <w:ilvl w:val="1"/>
          <w:numId w:val="54"/>
        </w:numPr>
        <w:spacing w:after="120" w:line="360" w:lineRule="auto"/>
        <w:jc w:val="both"/>
        <w:rPr>
          <w:color w:val="000000" w:themeColor="text1"/>
          <w:lang w:val="bg-BG"/>
        </w:rPr>
      </w:pPr>
      <w:r w:rsidRPr="007375EB">
        <w:rPr>
          <w:color w:val="000000" w:themeColor="text1"/>
          <w:lang w:val="bg-BG"/>
        </w:rPr>
        <w:t>Споразумение от Париж;</w:t>
      </w:r>
    </w:p>
    <w:p w14:paraId="7950BB0A" w14:textId="00A75B6C" w:rsidR="00314F0A" w:rsidRPr="007375EB" w:rsidRDefault="006F05A1" w:rsidP="006F05A1">
      <w:pPr>
        <w:pStyle w:val="ListParagraph"/>
        <w:numPr>
          <w:ilvl w:val="1"/>
          <w:numId w:val="54"/>
        </w:numPr>
        <w:spacing w:after="120" w:line="360" w:lineRule="auto"/>
        <w:jc w:val="both"/>
        <w:rPr>
          <w:rFonts w:eastAsia="Verdana" w:cs="Verdana"/>
          <w:color w:val="000000" w:themeColor="text1"/>
          <w:lang w:val="bg-BG"/>
        </w:rPr>
      </w:pPr>
      <w:r w:rsidRPr="007375EB">
        <w:rPr>
          <w:color w:val="000000" w:themeColor="text1"/>
          <w:lang w:val="bg-BG"/>
        </w:rPr>
        <w:t>Европейски зелен пакт</w:t>
      </w:r>
    </w:p>
    <w:p w14:paraId="3CE724C2" w14:textId="3397A289" w:rsidR="00555438" w:rsidRPr="007375EB" w:rsidRDefault="006F05A1" w:rsidP="00125F99">
      <w:pPr>
        <w:pStyle w:val="ListParagraph"/>
        <w:numPr>
          <w:ilvl w:val="1"/>
          <w:numId w:val="54"/>
        </w:numPr>
        <w:spacing w:after="120" w:line="360" w:lineRule="auto"/>
        <w:ind w:left="1134" w:hanging="283"/>
        <w:jc w:val="both"/>
        <w:rPr>
          <w:rFonts w:eastAsia="Verdana" w:cs="Verdana"/>
          <w:color w:val="000000" w:themeColor="text1"/>
          <w:lang w:val="bg-BG"/>
        </w:rPr>
      </w:pPr>
      <w:r w:rsidRPr="007375EB">
        <w:rPr>
          <w:color w:val="000000" w:themeColor="text1"/>
          <w:lang w:val="bg-BG"/>
        </w:rPr>
        <w:t>Карта за климата и енергетиката до 2030 г. - определяне на по-амбициозна цел за климата в Европа до 2030 г. Инвестиране в неутрално по отношение на климата бъдеще в полза на гражданите</w:t>
      </w:r>
      <w:r w:rsidR="008054F0" w:rsidRPr="007375EB">
        <w:rPr>
          <w:color w:val="000000" w:themeColor="text1"/>
          <w:lang w:val="bg-BG"/>
        </w:rPr>
        <w:t>:</w:t>
      </w:r>
    </w:p>
    <w:p w14:paraId="46C3B121" w14:textId="6D178F00" w:rsidR="008054F0" w:rsidRPr="007375EB" w:rsidRDefault="006F05A1" w:rsidP="00125F99">
      <w:pPr>
        <w:pStyle w:val="ListParagraph"/>
        <w:numPr>
          <w:ilvl w:val="1"/>
          <w:numId w:val="54"/>
        </w:numPr>
        <w:spacing w:after="120" w:line="360" w:lineRule="auto"/>
        <w:ind w:left="1134" w:hanging="283"/>
        <w:jc w:val="both"/>
        <w:rPr>
          <w:rFonts w:eastAsia="Verdana" w:cs="Verdana"/>
          <w:color w:val="000000" w:themeColor="text1"/>
          <w:lang w:val="bg-BG"/>
        </w:rPr>
      </w:pPr>
      <w:r w:rsidRPr="007375EB">
        <w:rPr>
          <w:color w:val="000000" w:themeColor="text1"/>
          <w:lang w:val="bg-BG"/>
        </w:rPr>
        <w:t>Законодателен пакет „Готови за 55</w:t>
      </w:r>
      <w:r w:rsidR="008054F0" w:rsidRPr="007375EB">
        <w:rPr>
          <w:color w:val="000000" w:themeColor="text1"/>
          <w:lang w:val="bg-BG"/>
        </w:rPr>
        <w:t>”</w:t>
      </w:r>
      <w:r w:rsidR="00FF271B" w:rsidRPr="007375EB">
        <w:rPr>
          <w:color w:val="000000" w:themeColor="text1"/>
          <w:lang w:val="bg-BG"/>
        </w:rPr>
        <w:t>;</w:t>
      </w:r>
    </w:p>
    <w:p w14:paraId="2016F64E" w14:textId="77777777" w:rsidR="006F05A1" w:rsidRPr="007375EB" w:rsidRDefault="006F05A1" w:rsidP="006F05A1">
      <w:pPr>
        <w:pStyle w:val="ListParagraph"/>
        <w:numPr>
          <w:ilvl w:val="1"/>
          <w:numId w:val="54"/>
        </w:numPr>
        <w:spacing w:after="120" w:line="360" w:lineRule="auto"/>
        <w:ind w:left="1134" w:hanging="283"/>
        <w:jc w:val="both"/>
        <w:rPr>
          <w:rFonts w:eastAsia="Verdana" w:cs="Verdana"/>
          <w:color w:val="000000" w:themeColor="text1"/>
          <w:lang w:val="bg-BG"/>
        </w:rPr>
      </w:pPr>
      <w:r w:rsidRPr="007375EB">
        <w:rPr>
          <w:color w:val="000000" w:themeColor="text1"/>
          <w:lang w:val="bg-BG"/>
        </w:rPr>
        <w:t xml:space="preserve">План </w:t>
      </w:r>
      <w:r w:rsidR="00FF271B" w:rsidRPr="007375EB">
        <w:rPr>
          <w:color w:val="000000" w:themeColor="text1"/>
          <w:lang w:val="bg-BG"/>
        </w:rPr>
        <w:t>REPowerEU</w:t>
      </w:r>
      <w:r w:rsidR="000D72C7" w:rsidRPr="007375EB">
        <w:rPr>
          <w:color w:val="000000" w:themeColor="text1"/>
          <w:lang w:val="bg-BG"/>
        </w:rPr>
        <w:t>;</w:t>
      </w:r>
    </w:p>
    <w:p w14:paraId="151DA779" w14:textId="77777777" w:rsidR="004A4967" w:rsidRPr="007375EB" w:rsidRDefault="006F05A1" w:rsidP="004A4967">
      <w:pPr>
        <w:pStyle w:val="ListParagraph"/>
        <w:numPr>
          <w:ilvl w:val="1"/>
          <w:numId w:val="54"/>
        </w:numPr>
        <w:spacing w:after="120" w:line="360" w:lineRule="auto"/>
        <w:ind w:left="1134" w:hanging="283"/>
        <w:jc w:val="both"/>
        <w:rPr>
          <w:rFonts w:eastAsia="Verdana" w:cs="Verdana"/>
          <w:color w:val="000000" w:themeColor="text1"/>
          <w:lang w:val="bg-BG"/>
        </w:rPr>
      </w:pPr>
      <w:r w:rsidRPr="007375EB">
        <w:rPr>
          <w:color w:val="000000" w:themeColor="text1"/>
          <w:lang w:val="bg-BG"/>
        </w:rPr>
        <w:t>Обща програма за действие на Съюза в областта на околната среда до 2030 г., 8-а ПДОС, 2022 г;</w:t>
      </w:r>
    </w:p>
    <w:p w14:paraId="1BCA781A" w14:textId="20772044" w:rsidR="0023242B" w:rsidRPr="007375EB" w:rsidRDefault="006F05A1" w:rsidP="004A4967">
      <w:pPr>
        <w:pStyle w:val="ListParagraph"/>
        <w:numPr>
          <w:ilvl w:val="1"/>
          <w:numId w:val="54"/>
        </w:numPr>
        <w:spacing w:after="120" w:line="360" w:lineRule="auto"/>
        <w:ind w:left="1134" w:hanging="283"/>
        <w:jc w:val="both"/>
        <w:rPr>
          <w:rFonts w:eastAsia="Verdana" w:cs="Verdana"/>
          <w:color w:val="000000" w:themeColor="text1"/>
          <w:lang w:val="bg-BG"/>
        </w:rPr>
      </w:pPr>
      <w:r w:rsidRPr="007375EB">
        <w:rPr>
          <w:color w:val="000000" w:themeColor="text1"/>
          <w:lang w:val="bg-BG"/>
        </w:rPr>
        <w:t>Индустриален план „Европейски пакт за ерата на нулеви нетни емисии</w:t>
      </w:r>
      <w:r w:rsidR="009A601C" w:rsidRPr="007375EB">
        <w:rPr>
          <w:color w:val="000000" w:themeColor="text1"/>
          <w:lang w:val="bg-BG"/>
        </w:rPr>
        <w:t>;</w:t>
      </w:r>
    </w:p>
    <w:p w14:paraId="40B29B98" w14:textId="3D18F0DB" w:rsidR="009A601C" w:rsidRPr="007375EB" w:rsidRDefault="004A4967" w:rsidP="00125F99">
      <w:pPr>
        <w:pStyle w:val="ListParagraph"/>
        <w:numPr>
          <w:ilvl w:val="1"/>
          <w:numId w:val="54"/>
        </w:numPr>
        <w:spacing w:after="120" w:line="360" w:lineRule="auto"/>
        <w:ind w:left="1134" w:hanging="283"/>
        <w:jc w:val="both"/>
        <w:rPr>
          <w:rFonts w:eastAsia="Verdana" w:cs="Verdana"/>
          <w:color w:val="000000" w:themeColor="text1"/>
          <w:lang w:val="bg-BG"/>
        </w:rPr>
      </w:pPr>
      <w:r w:rsidRPr="007375EB">
        <w:rPr>
          <w:color w:val="000000" w:themeColor="text1"/>
          <w:lang w:val="bg-BG"/>
        </w:rPr>
        <w:t>Стратегия на ЕС за биологичното разнообразие до 2030 г.</w:t>
      </w:r>
    </w:p>
    <w:p w14:paraId="3EEE0D24" w14:textId="47564DAA" w:rsidR="00555438" w:rsidRPr="007375EB" w:rsidRDefault="004A4967" w:rsidP="00125F99">
      <w:pPr>
        <w:pStyle w:val="ListParagraph"/>
        <w:numPr>
          <w:ilvl w:val="1"/>
          <w:numId w:val="54"/>
        </w:numPr>
        <w:spacing w:after="120" w:line="360" w:lineRule="auto"/>
        <w:ind w:left="1134" w:hanging="283"/>
        <w:jc w:val="both"/>
        <w:rPr>
          <w:rFonts w:eastAsia="Verdana" w:cs="Verdana"/>
          <w:color w:val="000000" w:themeColor="text1"/>
          <w:u w:val="single"/>
          <w:lang w:val="bg-BG"/>
        </w:rPr>
      </w:pPr>
      <w:r w:rsidRPr="007375EB">
        <w:rPr>
          <w:rFonts w:eastAsia="Verdana" w:cs="Verdana"/>
          <w:color w:val="000000" w:themeColor="text1"/>
          <w:u w:val="single"/>
          <w:lang w:val="bg-BG"/>
        </w:rPr>
        <w:t>Европейски директиви, регламенти и закони</w:t>
      </w:r>
      <w:r w:rsidR="00555438" w:rsidRPr="007375EB">
        <w:rPr>
          <w:rFonts w:eastAsia="Verdana" w:cs="Verdana"/>
          <w:color w:val="000000" w:themeColor="text1"/>
          <w:u w:val="single"/>
          <w:lang w:val="bg-BG"/>
        </w:rPr>
        <w:t xml:space="preserve">: </w:t>
      </w:r>
    </w:p>
    <w:p w14:paraId="4D7AF212" w14:textId="709804C8" w:rsidR="00555438" w:rsidRPr="007375EB" w:rsidRDefault="004A4967" w:rsidP="00125F99">
      <w:pPr>
        <w:pStyle w:val="ListParagraph"/>
        <w:numPr>
          <w:ilvl w:val="2"/>
          <w:numId w:val="54"/>
        </w:numPr>
        <w:spacing w:after="120" w:line="360" w:lineRule="auto"/>
        <w:ind w:left="1276" w:hanging="142"/>
        <w:jc w:val="both"/>
        <w:rPr>
          <w:rFonts w:eastAsia="Verdana" w:cs="Verdana"/>
          <w:color w:val="000000" w:themeColor="text1"/>
          <w:lang w:val="bg-BG"/>
        </w:rPr>
      </w:pPr>
      <w:r w:rsidRPr="007375EB">
        <w:rPr>
          <w:rFonts w:eastAsia="Verdana" w:cs="Verdana"/>
          <w:color w:val="000000" w:themeColor="text1"/>
          <w:lang w:val="bg-BG"/>
        </w:rPr>
        <w:t xml:space="preserve">Европейско законодателство в областта на климата (Регламент на ЕС </w:t>
      </w:r>
      <w:r w:rsidR="00643C2B" w:rsidRPr="007375EB">
        <w:rPr>
          <w:color w:val="000000" w:themeColor="text1"/>
          <w:lang w:val="bg-BG"/>
        </w:rPr>
        <w:t>2021/1119</w:t>
      </w:r>
      <w:r w:rsidR="00643C2B" w:rsidRPr="007375EB">
        <w:rPr>
          <w:rFonts w:eastAsia="Verdana" w:cs="Verdana"/>
          <w:color w:val="000000" w:themeColor="text1"/>
          <w:lang w:val="bg-BG"/>
        </w:rPr>
        <w:t>)</w:t>
      </w:r>
      <w:r w:rsidR="00DC2226" w:rsidRPr="007375EB">
        <w:rPr>
          <w:rFonts w:eastAsia="Verdana" w:cs="Verdana"/>
          <w:color w:val="000000" w:themeColor="text1"/>
          <w:lang w:val="bg-BG"/>
        </w:rPr>
        <w:t>;</w:t>
      </w:r>
    </w:p>
    <w:p w14:paraId="3D3D1BE3" w14:textId="18EBFA31" w:rsidR="004A4967" w:rsidRPr="007375EB" w:rsidRDefault="004A4967" w:rsidP="004A4967">
      <w:pPr>
        <w:pStyle w:val="ListParagraph"/>
        <w:numPr>
          <w:ilvl w:val="2"/>
          <w:numId w:val="54"/>
        </w:numPr>
        <w:spacing w:after="120" w:line="360" w:lineRule="auto"/>
        <w:ind w:left="1276" w:hanging="142"/>
        <w:jc w:val="both"/>
        <w:rPr>
          <w:rFonts w:eastAsia="Verdana" w:cs="Verdana"/>
          <w:color w:val="000000" w:themeColor="text1"/>
          <w:lang w:val="bg-BG"/>
        </w:rPr>
      </w:pPr>
      <w:r w:rsidRPr="007375EB">
        <w:rPr>
          <w:color w:val="000000" w:themeColor="text1"/>
          <w:lang w:val="bg-BG"/>
        </w:rPr>
        <w:t xml:space="preserve">Директива за насърчаване използването на енергия от възобновяеми източници (Директива (ЕС) 2018/2001, изменена и допълнена (Регламент (ЕС) 2022/759, Директива на ЕС  </w:t>
      </w:r>
      <w:r w:rsidR="00BA6D39" w:rsidRPr="007375EB">
        <w:rPr>
          <w:color w:val="000000" w:themeColor="text1"/>
          <w:lang w:val="bg-BG"/>
        </w:rPr>
        <w:t>2023/2413))</w:t>
      </w:r>
      <w:r w:rsidR="00B06003" w:rsidRPr="007375EB">
        <w:rPr>
          <w:color w:val="000000" w:themeColor="text1"/>
          <w:lang w:val="bg-BG"/>
        </w:rPr>
        <w:t>;</w:t>
      </w:r>
    </w:p>
    <w:p w14:paraId="6D22703C" w14:textId="1EE5B5B2" w:rsidR="004A4967" w:rsidRPr="007375EB" w:rsidRDefault="004A4967" w:rsidP="004A4967">
      <w:pPr>
        <w:pStyle w:val="ListParagraph"/>
        <w:numPr>
          <w:ilvl w:val="2"/>
          <w:numId w:val="54"/>
        </w:numPr>
        <w:spacing w:after="120" w:line="360" w:lineRule="auto"/>
        <w:ind w:left="1276" w:hanging="142"/>
        <w:jc w:val="both"/>
        <w:rPr>
          <w:rFonts w:eastAsia="Verdana" w:cs="Verdana"/>
          <w:color w:val="000000" w:themeColor="text1"/>
          <w:lang w:val="bg-BG"/>
        </w:rPr>
      </w:pPr>
      <w:r w:rsidRPr="007375EB">
        <w:rPr>
          <w:color w:val="000000" w:themeColor="text1"/>
          <w:lang w:val="bg-BG"/>
        </w:rPr>
        <w:t>Регламент (ЕС) 2022/869 относно насоките за трансевропейската енергийна инфраструктура;</w:t>
      </w:r>
    </w:p>
    <w:p w14:paraId="5F8A10EA" w14:textId="4620A338" w:rsidR="00B06003" w:rsidRPr="007375EB" w:rsidRDefault="004A4967" w:rsidP="004A4967">
      <w:pPr>
        <w:pStyle w:val="ListParagraph"/>
        <w:numPr>
          <w:ilvl w:val="2"/>
          <w:numId w:val="54"/>
        </w:numPr>
        <w:spacing w:after="120" w:line="360" w:lineRule="auto"/>
        <w:ind w:left="1276" w:hanging="142"/>
        <w:jc w:val="both"/>
        <w:rPr>
          <w:rFonts w:eastAsia="Verdana" w:cs="Verdana"/>
          <w:color w:val="000000" w:themeColor="text1"/>
          <w:lang w:val="bg-BG"/>
        </w:rPr>
      </w:pPr>
      <w:r w:rsidRPr="007375EB">
        <w:rPr>
          <w:color w:val="000000" w:themeColor="text1"/>
          <w:lang w:val="bg-BG"/>
        </w:rPr>
        <w:t>Регламент (ЕС) 2022/2577 за създаване на рамка за ускорено внедряване на енергия от възобновяеми източници</w:t>
      </w:r>
      <w:r w:rsidR="00D61765" w:rsidRPr="007375EB">
        <w:rPr>
          <w:color w:val="000000" w:themeColor="text1"/>
          <w:lang w:val="bg-BG"/>
        </w:rPr>
        <w:t>;</w:t>
      </w:r>
    </w:p>
    <w:p w14:paraId="6B2A8271" w14:textId="6CA322BE" w:rsidR="00D61765" w:rsidRPr="007375EB" w:rsidRDefault="004A4967" w:rsidP="00125F99">
      <w:pPr>
        <w:pStyle w:val="ListParagraph"/>
        <w:numPr>
          <w:ilvl w:val="2"/>
          <w:numId w:val="54"/>
        </w:numPr>
        <w:spacing w:after="120" w:line="360" w:lineRule="auto"/>
        <w:ind w:left="1276" w:hanging="142"/>
        <w:jc w:val="both"/>
        <w:rPr>
          <w:rFonts w:eastAsia="Verdana" w:cs="Verdana"/>
          <w:color w:val="000000" w:themeColor="text1"/>
          <w:lang w:val="bg-BG"/>
        </w:rPr>
      </w:pPr>
      <w:r w:rsidRPr="007375EB">
        <w:rPr>
          <w:color w:val="000000" w:themeColor="text1"/>
          <w:lang w:val="bg-BG"/>
        </w:rPr>
        <w:t>Закон за възстановяване на природата, предложение за регламент относно възстановяването на природата</w:t>
      </w:r>
    </w:p>
    <w:p w14:paraId="59DD47B4" w14:textId="5BA8F68A" w:rsidR="00555438" w:rsidRPr="007375EB" w:rsidRDefault="004A4967" w:rsidP="00125F99">
      <w:pPr>
        <w:pStyle w:val="ListParagraph"/>
        <w:numPr>
          <w:ilvl w:val="1"/>
          <w:numId w:val="54"/>
        </w:numPr>
        <w:spacing w:after="120" w:line="360" w:lineRule="auto"/>
        <w:ind w:left="1134" w:hanging="283"/>
        <w:jc w:val="both"/>
        <w:rPr>
          <w:rFonts w:eastAsia="Verdana" w:cs="Verdana"/>
          <w:color w:val="000000" w:themeColor="text1"/>
          <w:u w:val="single"/>
          <w:lang w:val="bg-BG"/>
        </w:rPr>
      </w:pPr>
      <w:r w:rsidRPr="007375EB">
        <w:rPr>
          <w:rFonts w:eastAsia="Verdana" w:cs="Verdana"/>
          <w:color w:val="000000" w:themeColor="text1"/>
          <w:u w:val="single"/>
          <w:lang w:val="bg-BG"/>
        </w:rPr>
        <w:t>Национални стратегии и планове</w:t>
      </w:r>
      <w:r w:rsidR="00555438" w:rsidRPr="007375EB">
        <w:rPr>
          <w:rFonts w:eastAsia="Verdana" w:cs="Verdana"/>
          <w:color w:val="000000" w:themeColor="text1"/>
          <w:u w:val="single"/>
          <w:lang w:val="bg-BG"/>
        </w:rPr>
        <w:t>:</w:t>
      </w:r>
    </w:p>
    <w:p w14:paraId="6A6DDA4E" w14:textId="5302DE8E" w:rsidR="004A4967" w:rsidRPr="007375EB" w:rsidRDefault="004A4967" w:rsidP="004A4967">
      <w:pPr>
        <w:pStyle w:val="ListParagraph"/>
        <w:numPr>
          <w:ilvl w:val="2"/>
          <w:numId w:val="54"/>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Стратегия за остойностяване на възобновяемите енергийни източници;</w:t>
      </w:r>
    </w:p>
    <w:p w14:paraId="135CCE89" w14:textId="77F68215" w:rsidR="004A4967" w:rsidRPr="007375EB" w:rsidRDefault="004A4967" w:rsidP="004A4967">
      <w:pPr>
        <w:pStyle w:val="ListParagraph"/>
        <w:numPr>
          <w:ilvl w:val="2"/>
          <w:numId w:val="54"/>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Енергийна стратегия на Румъния 2007-2020 г;</w:t>
      </w:r>
    </w:p>
    <w:p w14:paraId="6A6C1C55" w14:textId="58E133FD" w:rsidR="004A4967" w:rsidRPr="007375EB" w:rsidRDefault="004A4967" w:rsidP="004A4967">
      <w:pPr>
        <w:pStyle w:val="ListParagraph"/>
        <w:numPr>
          <w:ilvl w:val="2"/>
          <w:numId w:val="54"/>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Енергийна стратегия на Румъния 2022-2030 г., с перспектива до 2050 г.;</w:t>
      </w:r>
    </w:p>
    <w:p w14:paraId="5087DC6B" w14:textId="7A7440A7" w:rsidR="004A4967" w:rsidRPr="007375EB" w:rsidRDefault="004A4967" w:rsidP="004A4967">
      <w:pPr>
        <w:pStyle w:val="ListParagraph"/>
        <w:numPr>
          <w:ilvl w:val="2"/>
          <w:numId w:val="54"/>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Национален интегриран план в областта на енергетиката и изменението на климата за периода 2021-2030 г.;</w:t>
      </w:r>
    </w:p>
    <w:p w14:paraId="071FD229" w14:textId="0DFB3D88" w:rsidR="004A4967" w:rsidRPr="007375EB" w:rsidRDefault="004A4967" w:rsidP="004A4967">
      <w:pPr>
        <w:pStyle w:val="ListParagraph"/>
        <w:numPr>
          <w:ilvl w:val="2"/>
          <w:numId w:val="54"/>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Национален интегриран план в областта на енергетиката и изменението на климата за периода 2021-2030 г.;</w:t>
      </w:r>
    </w:p>
    <w:p w14:paraId="711B006F" w14:textId="5A83D124" w:rsidR="00760C70" w:rsidRPr="007375EB" w:rsidRDefault="004A4967" w:rsidP="004A4967">
      <w:pPr>
        <w:pStyle w:val="ListParagraph"/>
        <w:numPr>
          <w:ilvl w:val="2"/>
          <w:numId w:val="54"/>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Национална стратегия за устойчиво развитие на Румъния до 2030 г. и план за действие</w:t>
      </w:r>
      <w:r w:rsidR="00BC5239" w:rsidRPr="007375EB">
        <w:rPr>
          <w:color w:val="000000" w:themeColor="text1"/>
          <w:lang w:val="bg-BG"/>
        </w:rPr>
        <w:t>;</w:t>
      </w:r>
    </w:p>
    <w:p w14:paraId="1E590AB0" w14:textId="7217E69B" w:rsidR="004A4967" w:rsidRPr="007375EB" w:rsidRDefault="004A4967" w:rsidP="004A4967">
      <w:pPr>
        <w:pStyle w:val="ListParagraph"/>
        <w:numPr>
          <w:ilvl w:val="2"/>
          <w:numId w:val="54"/>
        </w:numPr>
        <w:spacing w:after="120" w:line="360" w:lineRule="auto"/>
        <w:jc w:val="both"/>
        <w:rPr>
          <w:color w:val="000000" w:themeColor="text1"/>
          <w:lang w:val="bg-BG"/>
        </w:rPr>
      </w:pPr>
      <w:r w:rsidRPr="007375EB">
        <w:rPr>
          <w:color w:val="000000" w:themeColor="text1"/>
          <w:lang w:val="bg-BG"/>
        </w:rPr>
        <w:t>Национална стратегия за изменение на климата и нисковъглероден растеж 2016-2020 г. и Национален план за действие;</w:t>
      </w:r>
    </w:p>
    <w:p w14:paraId="17F10015" w14:textId="2ACD82E5" w:rsidR="00760C70" w:rsidRPr="007375EB" w:rsidRDefault="004A4967" w:rsidP="004A4967">
      <w:pPr>
        <w:pStyle w:val="ListParagraph"/>
        <w:numPr>
          <w:ilvl w:val="2"/>
          <w:numId w:val="54"/>
        </w:numPr>
        <w:spacing w:after="120" w:line="360" w:lineRule="auto"/>
        <w:jc w:val="both"/>
        <w:rPr>
          <w:color w:val="000000" w:themeColor="text1"/>
          <w:lang w:val="bg-BG"/>
        </w:rPr>
      </w:pPr>
      <w:r w:rsidRPr="007375EB">
        <w:rPr>
          <w:color w:val="000000" w:themeColor="text1"/>
          <w:lang w:val="bg-BG"/>
        </w:rPr>
        <w:t>Национална стратегия за адаптация към изменението на климата за периода 2022-2030 г. с перспектива до 2050 г. и Национален план за действие</w:t>
      </w:r>
      <w:r w:rsidR="007E2DF1" w:rsidRPr="007375EB">
        <w:rPr>
          <w:color w:val="000000" w:themeColor="text1"/>
          <w:lang w:val="bg-BG"/>
        </w:rPr>
        <w:t>;</w:t>
      </w:r>
    </w:p>
    <w:p w14:paraId="39F5041E" w14:textId="65AC6F8C" w:rsidR="004A4967" w:rsidRPr="007375EB" w:rsidRDefault="004A4967" w:rsidP="004A4967">
      <w:pPr>
        <w:pStyle w:val="ListParagraph"/>
        <w:numPr>
          <w:ilvl w:val="2"/>
          <w:numId w:val="54"/>
        </w:numPr>
        <w:spacing w:after="120" w:line="360" w:lineRule="auto"/>
        <w:jc w:val="both"/>
        <w:rPr>
          <w:color w:val="000000" w:themeColor="text1"/>
          <w:lang w:val="bg-BG"/>
        </w:rPr>
      </w:pPr>
      <w:r w:rsidRPr="007375EB">
        <w:rPr>
          <w:color w:val="000000" w:themeColor="text1"/>
          <w:lang w:val="bg-BG"/>
        </w:rPr>
        <w:t>Дългосрочната стратегия на Румъния за намаляване на емисиите на парникови газове Неутрална Румъния през 2050 г;</w:t>
      </w:r>
    </w:p>
    <w:p w14:paraId="07ABC8FF" w14:textId="72170EFA" w:rsidR="004A4967" w:rsidRPr="007375EB" w:rsidRDefault="004A4967" w:rsidP="004A4967">
      <w:pPr>
        <w:pStyle w:val="ListParagraph"/>
        <w:numPr>
          <w:ilvl w:val="2"/>
          <w:numId w:val="54"/>
        </w:numPr>
        <w:spacing w:after="120" w:line="360" w:lineRule="auto"/>
        <w:jc w:val="both"/>
        <w:rPr>
          <w:color w:val="000000" w:themeColor="text1"/>
          <w:lang w:val="bg-BG"/>
        </w:rPr>
      </w:pPr>
      <w:r w:rsidRPr="007375EB">
        <w:rPr>
          <w:color w:val="000000" w:themeColor="text1"/>
          <w:lang w:val="bg-BG"/>
        </w:rPr>
        <w:lastRenderedPageBreak/>
        <w:t>Национална стратегия и план за действие за опазване на биологичното разнообразие за периода 2014-2020 г;</w:t>
      </w:r>
    </w:p>
    <w:p w14:paraId="644A86CC" w14:textId="04661D8D" w:rsidR="004A4967" w:rsidRPr="007375EB" w:rsidRDefault="004A4967" w:rsidP="004A4967">
      <w:pPr>
        <w:pStyle w:val="ListParagraph"/>
        <w:numPr>
          <w:ilvl w:val="2"/>
          <w:numId w:val="54"/>
        </w:numPr>
        <w:spacing w:after="120" w:line="360" w:lineRule="auto"/>
        <w:jc w:val="both"/>
        <w:rPr>
          <w:color w:val="000000" w:themeColor="text1"/>
          <w:lang w:val="bg-BG"/>
        </w:rPr>
      </w:pPr>
      <w:r w:rsidRPr="007375EB">
        <w:rPr>
          <w:color w:val="000000" w:themeColor="text1"/>
          <w:lang w:val="bg-BG"/>
        </w:rPr>
        <w:t>Национална стратегия за кръгова икономика</w:t>
      </w:r>
    </w:p>
    <w:p w14:paraId="20F077B7" w14:textId="19B84A1A" w:rsidR="00555438" w:rsidRPr="007375EB" w:rsidRDefault="004A4967" w:rsidP="004A4967">
      <w:pPr>
        <w:pStyle w:val="ListParagraph"/>
        <w:numPr>
          <w:ilvl w:val="2"/>
          <w:numId w:val="54"/>
        </w:numPr>
        <w:spacing w:after="120" w:line="360" w:lineRule="auto"/>
        <w:jc w:val="both"/>
        <w:rPr>
          <w:rFonts w:eastAsia="Verdana" w:cs="Verdana"/>
          <w:color w:val="000000" w:themeColor="text1"/>
          <w:lang w:val="bg-BG"/>
        </w:rPr>
      </w:pPr>
      <w:r w:rsidRPr="007375EB">
        <w:rPr>
          <w:color w:val="000000" w:themeColor="text1"/>
          <w:lang w:val="bg-BG"/>
        </w:rPr>
        <w:t>Актуализиран план за управление на Дунавско-литоралния речен басейн.</w:t>
      </w:r>
    </w:p>
    <w:p w14:paraId="65A6EF11" w14:textId="544E6A1F" w:rsidR="003A29A8" w:rsidRPr="007375EB" w:rsidRDefault="004A4967" w:rsidP="003A29A8">
      <w:pPr>
        <w:spacing w:after="120" w:line="360" w:lineRule="auto"/>
        <w:jc w:val="both"/>
        <w:rPr>
          <w:color w:val="000000" w:themeColor="text1"/>
          <w:lang w:val="bg-BG"/>
        </w:rPr>
      </w:pPr>
      <w:r w:rsidRPr="007375EB">
        <w:rPr>
          <w:rFonts w:eastAsia="Verdana" w:cs="Verdana"/>
          <w:color w:val="000000" w:themeColor="text1"/>
          <w:lang w:val="bg-BG"/>
        </w:rPr>
        <w:t>Връзката на анализирания PUZ с посочените съответни планове/стратегии/насоки е насочена към постигане на следните екологични цели, свързани с анализирания план, за всеки екологичен аспект и са представени в следната таблица</w:t>
      </w:r>
      <w:r w:rsidR="003A29A8" w:rsidRPr="007375EB">
        <w:rPr>
          <w:rFonts w:eastAsia="Verdana" w:cs="Verdana"/>
          <w:color w:val="000000" w:themeColor="text1"/>
          <w:lang w:val="bg-BG"/>
        </w:rPr>
        <w:t>:</w:t>
      </w:r>
    </w:p>
    <w:p w14:paraId="502E4527" w14:textId="026E2EC8" w:rsidR="003A29A8" w:rsidRPr="007375EB" w:rsidRDefault="004A4967" w:rsidP="00A32951">
      <w:pPr>
        <w:pStyle w:val="Caption"/>
        <w:rPr>
          <w:rFonts w:eastAsia="Verdana" w:cs="Verdana"/>
          <w:sz w:val="16"/>
          <w:szCs w:val="16"/>
          <w:lang w:val="bg-BG"/>
        </w:rPr>
      </w:pPr>
      <w:r w:rsidRPr="007375EB">
        <w:rPr>
          <w:sz w:val="16"/>
          <w:szCs w:val="16"/>
          <w:lang w:val="bg-BG"/>
        </w:rPr>
        <w:t xml:space="preserve">Таблица 4.1 Цели, отнасящи се за </w:t>
      </w:r>
      <w:r w:rsidR="00873698" w:rsidRPr="007375EB">
        <w:rPr>
          <w:sz w:val="16"/>
          <w:szCs w:val="16"/>
          <w:lang w:val="bg-BG"/>
        </w:rPr>
        <w:t>PUZ</w:t>
      </w:r>
    </w:p>
    <w:tbl>
      <w:tblPr>
        <w:tblStyle w:val="LightGrid-Accent112"/>
        <w:tblW w:w="9606" w:type="dxa"/>
        <w:tblInd w:w="0"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1781"/>
        <w:gridCol w:w="3745"/>
        <w:gridCol w:w="4080"/>
      </w:tblGrid>
      <w:tr w:rsidR="003A29A8" w:rsidRPr="007375EB" w14:paraId="6349C0BD" w14:textId="77777777" w:rsidTr="0002250F">
        <w:trPr>
          <w:trHeight w:val="1041"/>
          <w:tblHeader/>
        </w:trPr>
        <w:tc>
          <w:tcPr>
            <w:tcW w:w="1781" w:type="dxa"/>
            <w:shd w:val="clear" w:color="auto" w:fill="00B0F0"/>
            <w:vAlign w:val="center"/>
          </w:tcPr>
          <w:p w14:paraId="1A1FCB2D" w14:textId="2B289588" w:rsidR="003A29A8" w:rsidRPr="007375EB" w:rsidRDefault="0002250F" w:rsidP="00972A8C">
            <w:pPr>
              <w:spacing w:after="0" w:line="240" w:lineRule="auto"/>
              <w:jc w:val="center"/>
              <w:rPr>
                <w:rFonts w:ascii="Verdana" w:hAnsi="Verdana"/>
                <w:b/>
                <w:bCs/>
                <w:color w:val="FFFFFF" w:themeColor="background1"/>
                <w:sz w:val="16"/>
                <w:szCs w:val="16"/>
                <w:lang w:val="bg-BG"/>
              </w:rPr>
            </w:pPr>
            <w:bookmarkStart w:id="31" w:name="_Hlk36047283"/>
            <w:r w:rsidRPr="007375EB">
              <w:rPr>
                <w:rFonts w:ascii="Verdana" w:hAnsi="Verdana"/>
                <w:b/>
                <w:bCs/>
                <w:color w:val="FFFFFF" w:themeColor="background1"/>
                <w:sz w:val="16"/>
                <w:szCs w:val="16"/>
                <w:lang w:val="bg-BG"/>
              </w:rPr>
              <w:t>Съответни екологични аспекти</w:t>
            </w:r>
          </w:p>
        </w:tc>
        <w:tc>
          <w:tcPr>
            <w:tcW w:w="3745" w:type="dxa"/>
            <w:shd w:val="clear" w:color="auto" w:fill="00B0F0"/>
            <w:vAlign w:val="center"/>
          </w:tcPr>
          <w:p w14:paraId="50C2474D" w14:textId="5741F707" w:rsidR="003A29A8" w:rsidRPr="007375EB" w:rsidRDefault="0002250F" w:rsidP="00972A8C">
            <w:pPr>
              <w:spacing w:after="0" w:line="240" w:lineRule="auto"/>
              <w:jc w:val="center"/>
              <w:rPr>
                <w:rFonts w:ascii="Verdana" w:hAnsi="Verdana"/>
                <w:b/>
                <w:color w:val="FFFFFF" w:themeColor="background1"/>
                <w:sz w:val="16"/>
                <w:szCs w:val="16"/>
                <w:lang w:val="bg-BG"/>
              </w:rPr>
            </w:pPr>
            <w:r w:rsidRPr="007375EB">
              <w:rPr>
                <w:rFonts w:ascii="Verdana" w:hAnsi="Verdana"/>
                <w:b/>
                <w:color w:val="FFFFFF" w:themeColor="background1"/>
                <w:sz w:val="16"/>
                <w:szCs w:val="16"/>
                <w:lang w:val="bg-BG"/>
              </w:rPr>
              <w:t xml:space="preserve">Екологични цели, свързани с </w:t>
            </w:r>
            <w:r w:rsidR="00B34B60" w:rsidRPr="007375EB">
              <w:rPr>
                <w:rFonts w:ascii="Verdana" w:hAnsi="Verdana"/>
                <w:b/>
                <w:color w:val="FFFFFF" w:themeColor="background1"/>
                <w:sz w:val="16"/>
                <w:szCs w:val="16"/>
                <w:lang w:val="bg-BG"/>
              </w:rPr>
              <w:t>PUZ</w:t>
            </w:r>
          </w:p>
        </w:tc>
        <w:tc>
          <w:tcPr>
            <w:tcW w:w="4080" w:type="dxa"/>
            <w:shd w:val="clear" w:color="auto" w:fill="00B0F0"/>
            <w:vAlign w:val="center"/>
          </w:tcPr>
          <w:p w14:paraId="48363987" w14:textId="49F64B86" w:rsidR="003A29A8" w:rsidRPr="007375EB" w:rsidRDefault="0002250F" w:rsidP="00972A8C">
            <w:pPr>
              <w:spacing w:after="0" w:line="240" w:lineRule="auto"/>
              <w:jc w:val="center"/>
              <w:rPr>
                <w:rFonts w:ascii="Verdana" w:hAnsi="Verdana"/>
                <w:b/>
                <w:bCs/>
                <w:color w:val="FFFFFF" w:themeColor="background1"/>
                <w:sz w:val="16"/>
                <w:szCs w:val="16"/>
                <w:lang w:val="bg-BG"/>
              </w:rPr>
            </w:pPr>
            <w:r w:rsidRPr="007375EB">
              <w:rPr>
                <w:rFonts w:ascii="Verdana" w:hAnsi="Verdana"/>
                <w:b/>
                <w:bCs/>
                <w:color w:val="FFFFFF" w:themeColor="background1"/>
                <w:sz w:val="16"/>
                <w:szCs w:val="16"/>
                <w:lang w:val="bg-BG"/>
              </w:rPr>
              <w:t>Цели</w:t>
            </w:r>
          </w:p>
        </w:tc>
      </w:tr>
      <w:tr w:rsidR="00743525" w:rsidRPr="007375EB" w14:paraId="14656B31" w14:textId="77777777" w:rsidTr="0002250F">
        <w:tc>
          <w:tcPr>
            <w:tcW w:w="1781" w:type="dxa"/>
          </w:tcPr>
          <w:p w14:paraId="1F74048E" w14:textId="5D71540B" w:rsidR="00743525" w:rsidRPr="007375EB" w:rsidRDefault="00743525" w:rsidP="00743525">
            <w:pPr>
              <w:spacing w:after="0" w:line="240" w:lineRule="auto"/>
              <w:rPr>
                <w:rFonts w:asciiTheme="minorHAnsi" w:hAnsiTheme="minorHAnsi"/>
                <w:b/>
                <w:bCs/>
                <w:sz w:val="16"/>
                <w:szCs w:val="16"/>
                <w:lang w:val="bg-BG"/>
              </w:rPr>
            </w:pPr>
            <w:r w:rsidRPr="007375EB">
              <w:rPr>
                <w:rFonts w:asciiTheme="minorHAnsi" w:hAnsiTheme="minorHAnsi"/>
                <w:b/>
                <w:bCs/>
                <w:color w:val="000000"/>
                <w:sz w:val="16"/>
                <w:szCs w:val="16"/>
                <w:lang w:val="bg-BG"/>
              </w:rPr>
              <w:t>Вода</w:t>
            </w:r>
          </w:p>
        </w:tc>
        <w:tc>
          <w:tcPr>
            <w:tcW w:w="3745" w:type="dxa"/>
          </w:tcPr>
          <w:p w14:paraId="40DF72A9" w14:textId="4B3D626E" w:rsidR="00743525" w:rsidRPr="007375EB" w:rsidRDefault="0002250F" w:rsidP="00743525">
            <w:pPr>
              <w:pStyle w:val="ListParagraph"/>
              <w:numPr>
                <w:ilvl w:val="0"/>
                <w:numId w:val="56"/>
              </w:numPr>
              <w:tabs>
                <w:tab w:val="left" w:pos="746"/>
              </w:tabs>
              <w:spacing w:after="0" w:line="240" w:lineRule="auto"/>
              <w:ind w:left="604" w:hanging="567"/>
              <w:jc w:val="both"/>
              <w:rPr>
                <w:rFonts w:ascii="Verdana" w:hAnsi="Verdana"/>
                <w:sz w:val="16"/>
                <w:szCs w:val="16"/>
                <w:lang w:val="bg-BG"/>
              </w:rPr>
            </w:pPr>
            <w:r w:rsidRPr="007375EB">
              <w:rPr>
                <w:rFonts w:ascii="Verdana" w:hAnsi="Verdana"/>
                <w:sz w:val="16"/>
                <w:szCs w:val="16"/>
                <w:lang w:val="bg-BG"/>
              </w:rPr>
              <w:t>OM1.</w:t>
            </w:r>
            <w:r w:rsidRPr="007375EB">
              <w:rPr>
                <w:rFonts w:ascii="Verdana" w:hAnsi="Verdana"/>
                <w:sz w:val="16"/>
                <w:szCs w:val="16"/>
                <w:lang w:val="bg-BG"/>
              </w:rPr>
              <w:tab/>
              <w:t>Поддържане и подобряване на екологичното състояние/екологичния потенциал и химичното състояние на повърхностните и подземните водни тела</w:t>
            </w:r>
          </w:p>
        </w:tc>
        <w:tc>
          <w:tcPr>
            <w:tcW w:w="4080" w:type="dxa"/>
          </w:tcPr>
          <w:p w14:paraId="573E8447" w14:textId="4DC658E3" w:rsidR="00743525" w:rsidRPr="007375EB" w:rsidRDefault="0002250F" w:rsidP="00743525">
            <w:pPr>
              <w:spacing w:after="0" w:line="240" w:lineRule="auto"/>
              <w:jc w:val="both"/>
              <w:rPr>
                <w:rFonts w:ascii="Verdana" w:hAnsi="Verdana"/>
                <w:color w:val="FF0000"/>
                <w:sz w:val="16"/>
                <w:szCs w:val="16"/>
                <w:lang w:val="bg-BG"/>
              </w:rPr>
            </w:pPr>
            <w:r w:rsidRPr="007375EB">
              <w:rPr>
                <w:rFonts w:ascii="Verdana" w:hAnsi="Verdana"/>
                <w:sz w:val="16"/>
                <w:szCs w:val="16"/>
                <w:lang w:val="bg-BG"/>
              </w:rPr>
              <w:t>Поддържане/подобряване на екологичните цели за водните обекти с лошо екологично и химично състояние/потенциал до 2027 г.</w:t>
            </w:r>
          </w:p>
        </w:tc>
      </w:tr>
      <w:tr w:rsidR="00743525" w:rsidRPr="007375EB" w14:paraId="4FB2F0F1" w14:textId="77777777" w:rsidTr="0002250F">
        <w:tc>
          <w:tcPr>
            <w:tcW w:w="1781" w:type="dxa"/>
          </w:tcPr>
          <w:p w14:paraId="4DDB936D" w14:textId="4D8EA04A" w:rsidR="00743525" w:rsidRPr="007375EB" w:rsidRDefault="00743525" w:rsidP="00743525">
            <w:pPr>
              <w:spacing w:after="0" w:line="240" w:lineRule="auto"/>
              <w:rPr>
                <w:rFonts w:asciiTheme="minorHAnsi" w:hAnsiTheme="minorHAnsi"/>
                <w:b/>
                <w:bCs/>
                <w:sz w:val="16"/>
                <w:szCs w:val="16"/>
                <w:lang w:val="bg-BG"/>
              </w:rPr>
            </w:pPr>
            <w:r w:rsidRPr="007375EB">
              <w:rPr>
                <w:rFonts w:asciiTheme="minorHAnsi" w:hAnsiTheme="minorHAnsi"/>
                <w:b/>
                <w:bCs/>
                <w:color w:val="000000"/>
                <w:sz w:val="16"/>
                <w:szCs w:val="16"/>
                <w:lang w:val="bg-BG"/>
              </w:rPr>
              <w:t>Въздух</w:t>
            </w:r>
          </w:p>
        </w:tc>
        <w:tc>
          <w:tcPr>
            <w:tcW w:w="3745" w:type="dxa"/>
          </w:tcPr>
          <w:p w14:paraId="7BB3A6D8" w14:textId="114935BD" w:rsidR="00743525" w:rsidRPr="007375EB" w:rsidRDefault="0002250F" w:rsidP="00743525">
            <w:pPr>
              <w:pStyle w:val="ListParagraph"/>
              <w:numPr>
                <w:ilvl w:val="0"/>
                <w:numId w:val="56"/>
              </w:numPr>
              <w:tabs>
                <w:tab w:val="left" w:pos="746"/>
              </w:tabs>
              <w:spacing w:after="0" w:line="240" w:lineRule="auto"/>
              <w:ind w:left="604" w:hanging="567"/>
              <w:jc w:val="both"/>
              <w:rPr>
                <w:rFonts w:ascii="Verdana" w:hAnsi="Verdana"/>
                <w:sz w:val="16"/>
                <w:szCs w:val="16"/>
                <w:lang w:val="bg-BG"/>
              </w:rPr>
            </w:pPr>
            <w:r w:rsidRPr="007375EB">
              <w:rPr>
                <w:rFonts w:ascii="Verdana" w:hAnsi="Verdana"/>
                <w:sz w:val="16"/>
                <w:szCs w:val="16"/>
                <w:lang w:val="bg-BG"/>
              </w:rPr>
              <w:t>OM2.</w:t>
            </w:r>
            <w:r w:rsidRPr="007375EB">
              <w:rPr>
                <w:rFonts w:ascii="Verdana" w:hAnsi="Verdana"/>
                <w:sz w:val="16"/>
                <w:szCs w:val="16"/>
                <w:lang w:val="bg-BG"/>
              </w:rPr>
              <w:tab/>
              <w:t>Поддържане на качеството на въздуха чрез намаляване на емисиите от дейностите в енергийния сектор</w:t>
            </w:r>
          </w:p>
        </w:tc>
        <w:tc>
          <w:tcPr>
            <w:tcW w:w="4080" w:type="dxa"/>
          </w:tcPr>
          <w:p w14:paraId="36149C0A" w14:textId="2C466EC9" w:rsidR="00743525" w:rsidRPr="007375EB" w:rsidRDefault="0002250F" w:rsidP="00743525">
            <w:pPr>
              <w:spacing w:after="0" w:line="240" w:lineRule="auto"/>
              <w:contextualSpacing/>
              <w:jc w:val="both"/>
              <w:rPr>
                <w:rFonts w:ascii="Verdana" w:hAnsi="Verdana"/>
                <w:sz w:val="16"/>
                <w:szCs w:val="16"/>
                <w:lang w:val="bg-BG"/>
              </w:rPr>
            </w:pPr>
            <w:r w:rsidRPr="007375EB">
              <w:rPr>
                <w:rFonts w:ascii="Verdana" w:hAnsi="Verdana"/>
                <w:sz w:val="16"/>
                <w:szCs w:val="16"/>
                <w:lang w:val="bg-BG"/>
              </w:rPr>
              <w:t>Поддържане на нивото на замърсителите на въздуха в границите, наложени от Закон 104/2011 относно качеството на атмосферния въздух</w:t>
            </w:r>
            <w:r w:rsidR="00743525" w:rsidRPr="007375EB">
              <w:rPr>
                <w:rFonts w:ascii="Verdana" w:hAnsi="Verdana"/>
                <w:sz w:val="16"/>
                <w:szCs w:val="16"/>
                <w:lang w:val="bg-BG"/>
              </w:rPr>
              <w:t>.</w:t>
            </w:r>
          </w:p>
        </w:tc>
      </w:tr>
      <w:tr w:rsidR="00743525" w:rsidRPr="007375EB" w14:paraId="304BF152" w14:textId="77777777" w:rsidTr="0002250F">
        <w:tc>
          <w:tcPr>
            <w:tcW w:w="1781" w:type="dxa"/>
          </w:tcPr>
          <w:p w14:paraId="30F25697" w14:textId="133FC7BE" w:rsidR="00743525" w:rsidRPr="007375EB" w:rsidRDefault="00743525" w:rsidP="00743525">
            <w:pPr>
              <w:spacing w:after="0" w:line="240" w:lineRule="auto"/>
              <w:rPr>
                <w:rFonts w:asciiTheme="minorHAnsi" w:hAnsiTheme="minorHAnsi"/>
                <w:b/>
                <w:bCs/>
                <w:sz w:val="16"/>
                <w:szCs w:val="16"/>
                <w:lang w:val="bg-BG"/>
              </w:rPr>
            </w:pPr>
            <w:r w:rsidRPr="007375EB">
              <w:rPr>
                <w:rFonts w:asciiTheme="minorHAnsi" w:hAnsiTheme="minorHAnsi"/>
                <w:b/>
                <w:bCs/>
                <w:color w:val="000000"/>
                <w:sz w:val="16"/>
                <w:szCs w:val="16"/>
                <w:lang w:val="bg-BG"/>
              </w:rPr>
              <w:t>Почва/подпочва</w:t>
            </w:r>
          </w:p>
        </w:tc>
        <w:tc>
          <w:tcPr>
            <w:tcW w:w="3745" w:type="dxa"/>
          </w:tcPr>
          <w:p w14:paraId="5BF0B998" w14:textId="1755D566" w:rsidR="00743525" w:rsidRPr="007375EB" w:rsidRDefault="0002250F" w:rsidP="00743525">
            <w:pPr>
              <w:pStyle w:val="ListParagraph"/>
              <w:numPr>
                <w:ilvl w:val="0"/>
                <w:numId w:val="56"/>
              </w:numPr>
              <w:tabs>
                <w:tab w:val="left" w:pos="746"/>
              </w:tabs>
              <w:spacing w:after="0" w:line="240" w:lineRule="auto"/>
              <w:ind w:left="604" w:hanging="567"/>
              <w:jc w:val="both"/>
              <w:rPr>
                <w:rFonts w:ascii="Verdana" w:hAnsi="Verdana"/>
                <w:sz w:val="16"/>
                <w:szCs w:val="16"/>
                <w:lang w:val="bg-BG"/>
              </w:rPr>
            </w:pPr>
            <w:r w:rsidRPr="007375EB">
              <w:rPr>
                <w:rFonts w:ascii="Verdana" w:hAnsi="Verdana"/>
                <w:sz w:val="16"/>
                <w:szCs w:val="16"/>
                <w:lang w:val="bg-BG"/>
              </w:rPr>
              <w:t>OM3.</w:t>
            </w:r>
            <w:r w:rsidRPr="007375EB">
              <w:rPr>
                <w:rFonts w:ascii="Verdana" w:hAnsi="Verdana"/>
                <w:sz w:val="16"/>
                <w:szCs w:val="16"/>
                <w:lang w:val="bg-BG"/>
              </w:rPr>
              <w:tab/>
              <w:t>Ограничаване на замърсяването на почвата и деградацията на земята</w:t>
            </w:r>
            <w:r w:rsidR="00743525" w:rsidRPr="007375EB">
              <w:rPr>
                <w:rFonts w:ascii="Verdana" w:hAnsi="Verdana"/>
                <w:sz w:val="16"/>
                <w:szCs w:val="16"/>
                <w:lang w:val="bg-BG"/>
              </w:rPr>
              <w:t>.</w:t>
            </w:r>
          </w:p>
        </w:tc>
        <w:tc>
          <w:tcPr>
            <w:tcW w:w="4080" w:type="dxa"/>
          </w:tcPr>
          <w:p w14:paraId="5B071515" w14:textId="77777777" w:rsidR="0002250F" w:rsidRPr="007375EB" w:rsidRDefault="0002250F" w:rsidP="0002250F">
            <w:pPr>
              <w:spacing w:after="0" w:line="240" w:lineRule="auto"/>
              <w:contextualSpacing/>
              <w:jc w:val="both"/>
              <w:rPr>
                <w:rFonts w:ascii="Verdana" w:hAnsi="Verdana"/>
                <w:sz w:val="16"/>
                <w:szCs w:val="16"/>
                <w:lang w:val="bg-BG"/>
              </w:rPr>
            </w:pPr>
            <w:r w:rsidRPr="007375EB">
              <w:rPr>
                <w:rFonts w:ascii="Verdana" w:hAnsi="Verdana"/>
                <w:sz w:val="16"/>
                <w:szCs w:val="16"/>
                <w:lang w:val="bg-BG"/>
              </w:rPr>
              <w:t>Предотвратяване на влошаването и влошаването на качеството на почвата и подпочвените слоеве.</w:t>
            </w:r>
          </w:p>
          <w:p w14:paraId="3D0CD4C9" w14:textId="39C0A3D7" w:rsidR="00743525" w:rsidRPr="007375EB" w:rsidRDefault="0002250F" w:rsidP="0002250F">
            <w:pPr>
              <w:spacing w:after="0" w:line="240" w:lineRule="auto"/>
              <w:contextualSpacing/>
              <w:jc w:val="both"/>
              <w:rPr>
                <w:rFonts w:ascii="Verdana" w:hAnsi="Verdana"/>
                <w:sz w:val="16"/>
                <w:szCs w:val="16"/>
                <w:lang w:val="bg-BG"/>
              </w:rPr>
            </w:pPr>
            <w:r w:rsidRPr="007375EB">
              <w:rPr>
                <w:rFonts w:ascii="Verdana" w:hAnsi="Verdana"/>
                <w:sz w:val="16"/>
                <w:szCs w:val="16"/>
                <w:lang w:val="bg-BG"/>
              </w:rPr>
              <w:t>Ограничаване на заетите площи.</w:t>
            </w:r>
          </w:p>
        </w:tc>
      </w:tr>
      <w:tr w:rsidR="00743525" w:rsidRPr="007375EB" w14:paraId="294E6D62" w14:textId="77777777" w:rsidTr="0002250F">
        <w:trPr>
          <w:trHeight w:val="670"/>
        </w:trPr>
        <w:tc>
          <w:tcPr>
            <w:tcW w:w="1781" w:type="dxa"/>
            <w:vMerge w:val="restart"/>
          </w:tcPr>
          <w:p w14:paraId="14B09AD6" w14:textId="77777777" w:rsidR="00743525" w:rsidRPr="007375EB" w:rsidRDefault="00743525" w:rsidP="00743525">
            <w:pPr>
              <w:spacing w:after="0" w:line="240" w:lineRule="auto"/>
              <w:rPr>
                <w:rFonts w:asciiTheme="minorHAnsi" w:hAnsiTheme="minorHAnsi"/>
                <w:b/>
                <w:bCs/>
                <w:sz w:val="16"/>
                <w:szCs w:val="16"/>
                <w:lang w:val="bg-BG"/>
              </w:rPr>
            </w:pPr>
            <w:r w:rsidRPr="007375EB">
              <w:rPr>
                <w:rFonts w:asciiTheme="minorHAnsi" w:hAnsiTheme="minorHAnsi"/>
                <w:b/>
                <w:bCs/>
                <w:color w:val="000000"/>
                <w:sz w:val="16"/>
                <w:szCs w:val="16"/>
                <w:lang w:val="bg-BG"/>
              </w:rPr>
              <w:t>Използване на природни ресурси</w:t>
            </w:r>
          </w:p>
          <w:p w14:paraId="09119E4C" w14:textId="5630BFE9" w:rsidR="00743525" w:rsidRPr="007375EB" w:rsidRDefault="00743525" w:rsidP="00743525">
            <w:pPr>
              <w:spacing w:after="0" w:line="240" w:lineRule="auto"/>
              <w:rPr>
                <w:rFonts w:asciiTheme="minorHAnsi" w:hAnsiTheme="minorHAnsi"/>
                <w:b/>
                <w:bCs/>
                <w:sz w:val="16"/>
                <w:szCs w:val="16"/>
                <w:lang w:val="bg-BG"/>
              </w:rPr>
            </w:pPr>
            <w:r w:rsidRPr="007375EB">
              <w:rPr>
                <w:rFonts w:asciiTheme="minorHAnsi" w:hAnsiTheme="minorHAnsi"/>
                <w:b/>
                <w:bCs/>
                <w:color w:val="000000"/>
                <w:sz w:val="16"/>
                <w:szCs w:val="16"/>
                <w:lang w:val="bg-BG"/>
              </w:rPr>
              <w:t>Управление на отпадъците</w:t>
            </w:r>
          </w:p>
        </w:tc>
        <w:tc>
          <w:tcPr>
            <w:tcW w:w="3745" w:type="dxa"/>
          </w:tcPr>
          <w:p w14:paraId="03F278D1" w14:textId="1C32EFF4" w:rsidR="00743525" w:rsidRPr="007375EB" w:rsidRDefault="0002250F" w:rsidP="00743525">
            <w:pPr>
              <w:pStyle w:val="ListParagraph"/>
              <w:numPr>
                <w:ilvl w:val="0"/>
                <w:numId w:val="56"/>
              </w:numPr>
              <w:tabs>
                <w:tab w:val="left" w:pos="746"/>
              </w:tabs>
              <w:spacing w:after="0" w:line="240" w:lineRule="auto"/>
              <w:ind w:left="604" w:hanging="567"/>
              <w:jc w:val="both"/>
              <w:rPr>
                <w:rFonts w:ascii="Verdana" w:hAnsi="Verdana"/>
                <w:sz w:val="16"/>
                <w:szCs w:val="16"/>
                <w:lang w:val="bg-BG"/>
              </w:rPr>
            </w:pPr>
            <w:r w:rsidRPr="007375EB">
              <w:rPr>
                <w:rFonts w:ascii="Verdana" w:hAnsi="Verdana"/>
                <w:sz w:val="16"/>
                <w:szCs w:val="16"/>
                <w:lang w:val="bg-BG"/>
              </w:rPr>
              <w:t>ОМ4. Намаляване на експлоатацията на изчерпаемите ресурси и улесняване на експлоатацията на възобновяемите ресурси</w:t>
            </w:r>
          </w:p>
        </w:tc>
        <w:tc>
          <w:tcPr>
            <w:tcW w:w="4080" w:type="dxa"/>
          </w:tcPr>
          <w:p w14:paraId="0811AE0A" w14:textId="0F9C1BC4" w:rsidR="00743525" w:rsidRPr="007375EB" w:rsidRDefault="0002250F" w:rsidP="00743525">
            <w:pPr>
              <w:spacing w:after="0" w:line="240" w:lineRule="auto"/>
              <w:contextualSpacing/>
              <w:jc w:val="both"/>
              <w:rPr>
                <w:rFonts w:ascii="Verdana" w:hAnsi="Verdana"/>
                <w:sz w:val="16"/>
                <w:szCs w:val="16"/>
                <w:lang w:val="bg-BG"/>
              </w:rPr>
            </w:pPr>
            <w:r w:rsidRPr="007375EB">
              <w:rPr>
                <w:rFonts w:ascii="Verdana" w:hAnsi="Verdana"/>
                <w:sz w:val="16"/>
                <w:szCs w:val="16"/>
                <w:lang w:val="bg-BG"/>
              </w:rPr>
              <w:t>Производство на около 303 МВт мощност от възобновяеми източници</w:t>
            </w:r>
          </w:p>
        </w:tc>
      </w:tr>
      <w:tr w:rsidR="00743525" w:rsidRPr="007375EB" w14:paraId="37B75D20" w14:textId="77777777" w:rsidTr="0002250F">
        <w:trPr>
          <w:trHeight w:val="541"/>
        </w:trPr>
        <w:tc>
          <w:tcPr>
            <w:tcW w:w="1781" w:type="dxa"/>
            <w:vMerge/>
          </w:tcPr>
          <w:p w14:paraId="0EF0BEED" w14:textId="77777777" w:rsidR="00743525" w:rsidRPr="007375EB" w:rsidRDefault="00743525" w:rsidP="00743525">
            <w:pPr>
              <w:spacing w:after="0" w:line="240" w:lineRule="auto"/>
              <w:rPr>
                <w:rFonts w:asciiTheme="minorHAnsi" w:hAnsiTheme="minorHAnsi"/>
                <w:b/>
                <w:bCs/>
                <w:sz w:val="16"/>
                <w:szCs w:val="16"/>
                <w:lang w:val="bg-BG"/>
              </w:rPr>
            </w:pPr>
          </w:p>
        </w:tc>
        <w:tc>
          <w:tcPr>
            <w:tcW w:w="3745" w:type="dxa"/>
          </w:tcPr>
          <w:p w14:paraId="44D94956" w14:textId="1E048BE3" w:rsidR="00743525" w:rsidRPr="007375EB" w:rsidRDefault="0002250F" w:rsidP="00743525">
            <w:pPr>
              <w:pStyle w:val="ListParagraph"/>
              <w:numPr>
                <w:ilvl w:val="0"/>
                <w:numId w:val="56"/>
              </w:numPr>
              <w:tabs>
                <w:tab w:val="left" w:pos="746"/>
              </w:tabs>
              <w:spacing w:after="0" w:line="240" w:lineRule="auto"/>
              <w:ind w:left="607" w:hanging="567"/>
              <w:jc w:val="both"/>
              <w:rPr>
                <w:rFonts w:ascii="Verdana" w:hAnsi="Verdana"/>
                <w:sz w:val="16"/>
                <w:szCs w:val="16"/>
                <w:lang w:val="bg-BG"/>
              </w:rPr>
            </w:pPr>
            <w:r w:rsidRPr="007375EB">
              <w:rPr>
                <w:rFonts w:ascii="Verdana" w:hAnsi="Verdana"/>
                <w:sz w:val="16"/>
                <w:szCs w:val="16"/>
                <w:lang w:val="bg-BG"/>
              </w:rPr>
              <w:t>OM5.</w:t>
            </w:r>
            <w:r w:rsidRPr="007375EB">
              <w:rPr>
                <w:rFonts w:ascii="Verdana" w:hAnsi="Verdana"/>
                <w:sz w:val="16"/>
                <w:szCs w:val="16"/>
                <w:lang w:val="bg-BG"/>
              </w:rPr>
              <w:tab/>
              <w:t>Насърчаване на прехода към кръгова и ресурсно ефективна икономика</w:t>
            </w:r>
          </w:p>
        </w:tc>
        <w:tc>
          <w:tcPr>
            <w:tcW w:w="4080" w:type="dxa"/>
          </w:tcPr>
          <w:p w14:paraId="5EDF4DC5" w14:textId="1FE5BFFD" w:rsidR="00743525" w:rsidRPr="007375EB" w:rsidRDefault="0002250F" w:rsidP="00743525">
            <w:pPr>
              <w:spacing w:after="0" w:line="240" w:lineRule="auto"/>
              <w:jc w:val="both"/>
              <w:rPr>
                <w:rFonts w:ascii="Verdana" w:hAnsi="Verdana"/>
                <w:sz w:val="16"/>
                <w:szCs w:val="16"/>
                <w:lang w:val="bg-BG"/>
              </w:rPr>
            </w:pPr>
            <w:r w:rsidRPr="007375EB">
              <w:rPr>
                <w:rFonts w:ascii="Verdana" w:hAnsi="Verdana"/>
                <w:sz w:val="16"/>
                <w:szCs w:val="16"/>
                <w:lang w:val="bg-BG"/>
              </w:rPr>
              <w:t>Оползотворяване на отпадъци</w:t>
            </w:r>
          </w:p>
        </w:tc>
      </w:tr>
      <w:tr w:rsidR="00743525" w:rsidRPr="007375EB" w14:paraId="39742864" w14:textId="77777777" w:rsidTr="0002250F">
        <w:tc>
          <w:tcPr>
            <w:tcW w:w="1781" w:type="dxa"/>
          </w:tcPr>
          <w:p w14:paraId="57ECDCD2" w14:textId="3C08BB29" w:rsidR="00743525" w:rsidRPr="007375EB" w:rsidRDefault="00743525" w:rsidP="00743525">
            <w:pPr>
              <w:spacing w:after="0" w:line="240" w:lineRule="auto"/>
              <w:rPr>
                <w:rFonts w:asciiTheme="minorHAnsi" w:hAnsiTheme="minorHAnsi"/>
                <w:b/>
                <w:bCs/>
                <w:sz w:val="16"/>
                <w:szCs w:val="16"/>
                <w:lang w:val="bg-BG"/>
              </w:rPr>
            </w:pPr>
            <w:r w:rsidRPr="007375EB">
              <w:rPr>
                <w:rFonts w:asciiTheme="minorHAnsi" w:hAnsiTheme="minorHAnsi"/>
                <w:b/>
                <w:bCs/>
                <w:color w:val="000000"/>
                <w:sz w:val="16"/>
                <w:szCs w:val="16"/>
                <w:lang w:val="bg-BG"/>
              </w:rPr>
              <w:t>Шум</w:t>
            </w:r>
          </w:p>
        </w:tc>
        <w:tc>
          <w:tcPr>
            <w:tcW w:w="3745" w:type="dxa"/>
          </w:tcPr>
          <w:p w14:paraId="34E057C1" w14:textId="208258EE" w:rsidR="00743525" w:rsidRPr="007375EB" w:rsidRDefault="0002250F" w:rsidP="00743525">
            <w:pPr>
              <w:pStyle w:val="ListParagraph"/>
              <w:numPr>
                <w:ilvl w:val="0"/>
                <w:numId w:val="56"/>
              </w:numPr>
              <w:tabs>
                <w:tab w:val="left" w:pos="746"/>
              </w:tabs>
              <w:spacing w:after="0" w:line="240" w:lineRule="auto"/>
              <w:ind w:left="604" w:hanging="567"/>
              <w:jc w:val="both"/>
              <w:rPr>
                <w:rFonts w:ascii="Verdana" w:hAnsi="Verdana"/>
                <w:sz w:val="16"/>
                <w:szCs w:val="16"/>
                <w:lang w:val="bg-BG"/>
              </w:rPr>
            </w:pPr>
            <w:r w:rsidRPr="007375EB">
              <w:rPr>
                <w:rFonts w:ascii="Verdana" w:hAnsi="Verdana"/>
                <w:sz w:val="16"/>
                <w:szCs w:val="16"/>
                <w:lang w:val="bg-BG"/>
              </w:rPr>
              <w:t>OM6. намаляване на количествата отпадъци, генерирани и депонирани чрез депониране (депа, отговарящи на изискванията</w:t>
            </w:r>
            <w:r w:rsidR="00743525" w:rsidRPr="007375EB">
              <w:rPr>
                <w:rFonts w:ascii="Verdana" w:hAnsi="Verdana"/>
                <w:sz w:val="16"/>
                <w:szCs w:val="16"/>
                <w:lang w:val="bg-BG"/>
              </w:rPr>
              <w:t>)</w:t>
            </w:r>
          </w:p>
        </w:tc>
        <w:tc>
          <w:tcPr>
            <w:tcW w:w="4080" w:type="dxa"/>
          </w:tcPr>
          <w:p w14:paraId="1D935D6F" w14:textId="5CEDD54B" w:rsidR="00743525" w:rsidRPr="007375EB" w:rsidRDefault="0002250F" w:rsidP="00743525">
            <w:pPr>
              <w:spacing w:after="0" w:line="240" w:lineRule="auto"/>
              <w:jc w:val="both"/>
              <w:rPr>
                <w:rFonts w:ascii="Verdana" w:hAnsi="Verdana"/>
                <w:sz w:val="16"/>
                <w:szCs w:val="16"/>
                <w:lang w:val="bg-BG"/>
              </w:rPr>
            </w:pPr>
            <w:r w:rsidRPr="007375EB">
              <w:rPr>
                <w:rFonts w:ascii="Verdana" w:eastAsiaTheme="minorHAnsi" w:hAnsi="Verdana" w:cstheme="minorBidi"/>
                <w:sz w:val="16"/>
                <w:szCs w:val="16"/>
                <w:lang w:val="bg-BG"/>
              </w:rPr>
              <w:t>Постигане на ниво за повторна употреба, рециклиране и други операции по оползотворяване на материали от поне 70 % от масата на неопасните отпадъци от дейности по строителство и разрушаване</w:t>
            </w:r>
          </w:p>
        </w:tc>
      </w:tr>
      <w:tr w:rsidR="00743525" w:rsidRPr="007375EB" w14:paraId="208325BA" w14:textId="77777777" w:rsidTr="0002250F">
        <w:tc>
          <w:tcPr>
            <w:tcW w:w="1781" w:type="dxa"/>
          </w:tcPr>
          <w:p w14:paraId="41EAD192" w14:textId="5BB30238" w:rsidR="00743525" w:rsidRPr="007375EB" w:rsidRDefault="00743525" w:rsidP="00743525">
            <w:pPr>
              <w:spacing w:after="0" w:line="240" w:lineRule="auto"/>
              <w:rPr>
                <w:rFonts w:asciiTheme="minorHAnsi" w:hAnsiTheme="minorHAnsi"/>
                <w:b/>
                <w:bCs/>
                <w:sz w:val="16"/>
                <w:szCs w:val="16"/>
                <w:lang w:val="bg-BG"/>
              </w:rPr>
            </w:pPr>
            <w:r w:rsidRPr="007375EB">
              <w:rPr>
                <w:rFonts w:asciiTheme="minorHAnsi" w:hAnsiTheme="minorHAnsi"/>
                <w:b/>
                <w:bCs/>
                <w:color w:val="000000"/>
                <w:sz w:val="16"/>
                <w:szCs w:val="16"/>
                <w:lang w:val="bg-BG"/>
              </w:rPr>
              <w:t>Биологично разнообразие</w:t>
            </w:r>
          </w:p>
        </w:tc>
        <w:tc>
          <w:tcPr>
            <w:tcW w:w="3745" w:type="dxa"/>
          </w:tcPr>
          <w:p w14:paraId="6876AFF8" w14:textId="21A94325" w:rsidR="00743525" w:rsidRPr="007375EB" w:rsidRDefault="0002250F" w:rsidP="00743525">
            <w:pPr>
              <w:pStyle w:val="ListParagraph"/>
              <w:numPr>
                <w:ilvl w:val="0"/>
                <w:numId w:val="56"/>
              </w:numPr>
              <w:tabs>
                <w:tab w:val="left" w:pos="746"/>
              </w:tabs>
              <w:spacing w:after="0" w:line="240" w:lineRule="auto"/>
              <w:ind w:left="604" w:hanging="567"/>
              <w:jc w:val="both"/>
              <w:rPr>
                <w:rFonts w:ascii="Verdana" w:hAnsi="Verdana"/>
                <w:sz w:val="16"/>
                <w:szCs w:val="16"/>
                <w:lang w:val="bg-BG"/>
              </w:rPr>
            </w:pPr>
            <w:r w:rsidRPr="007375EB">
              <w:rPr>
                <w:rFonts w:ascii="Verdana" w:hAnsi="Verdana"/>
                <w:sz w:val="16"/>
                <w:szCs w:val="16"/>
                <w:lang w:val="bg-BG"/>
              </w:rPr>
              <w:t>OM7.</w:t>
            </w:r>
            <w:r w:rsidRPr="007375EB">
              <w:rPr>
                <w:rFonts w:ascii="Verdana" w:hAnsi="Verdana"/>
                <w:sz w:val="16"/>
                <w:szCs w:val="16"/>
                <w:lang w:val="bg-BG"/>
              </w:rPr>
              <w:tab/>
              <w:t>Ограничаване на шумовото замърсяване при източника в зони с чувствителни към шума рецептори. Ограничаване на нивата на вибрации</w:t>
            </w:r>
          </w:p>
        </w:tc>
        <w:tc>
          <w:tcPr>
            <w:tcW w:w="4080" w:type="dxa"/>
          </w:tcPr>
          <w:p w14:paraId="54214520" w14:textId="77777777" w:rsidR="0002250F" w:rsidRPr="007375EB" w:rsidRDefault="0002250F" w:rsidP="0002250F">
            <w:pPr>
              <w:spacing w:line="240" w:lineRule="auto"/>
              <w:jc w:val="both"/>
              <w:rPr>
                <w:rFonts w:asciiTheme="minorHAnsi" w:hAnsiTheme="minorHAnsi"/>
                <w:sz w:val="16"/>
                <w:szCs w:val="16"/>
                <w:lang w:val="bg-BG"/>
              </w:rPr>
            </w:pPr>
            <w:r w:rsidRPr="007375EB">
              <w:rPr>
                <w:rFonts w:ascii="Verdana" w:hAnsi="Verdana"/>
                <w:sz w:val="16"/>
                <w:szCs w:val="16"/>
                <w:lang w:val="bg-BG"/>
              </w:rPr>
              <w:t xml:space="preserve">Спазване на максимално допустимите граници за шум и вибрации, определени с </w:t>
            </w:r>
            <w:r w:rsidRPr="007375EB">
              <w:rPr>
                <w:rFonts w:asciiTheme="minorHAnsi" w:hAnsiTheme="minorHAnsi"/>
                <w:sz w:val="16"/>
                <w:szCs w:val="16"/>
                <w:lang w:val="bg-BG"/>
              </w:rPr>
              <w:t xml:space="preserve">Наредба № 119/2014 г. за хигиенните и здравни норми за опазване на околната среда на населението: </w:t>
            </w:r>
          </w:p>
          <w:p w14:paraId="4E27E937" w14:textId="2A48E700" w:rsidR="0002250F" w:rsidRPr="007375EB" w:rsidRDefault="0002250F">
            <w:pPr>
              <w:pStyle w:val="ListParagraph"/>
              <w:numPr>
                <w:ilvl w:val="0"/>
                <w:numId w:val="177"/>
              </w:numPr>
              <w:spacing w:line="240" w:lineRule="auto"/>
              <w:jc w:val="both"/>
              <w:rPr>
                <w:rFonts w:asciiTheme="minorHAnsi" w:hAnsiTheme="minorHAnsi"/>
                <w:sz w:val="16"/>
                <w:szCs w:val="16"/>
                <w:lang w:val="bg-BG"/>
              </w:rPr>
            </w:pPr>
            <w:r w:rsidRPr="007375EB">
              <w:rPr>
                <w:rFonts w:asciiTheme="minorHAnsi" w:hAnsiTheme="minorHAnsi"/>
                <w:sz w:val="16"/>
                <w:szCs w:val="16"/>
                <w:lang w:val="bg-BG"/>
              </w:rPr>
              <w:t>65 дБ за границата на промишлените помещения;</w:t>
            </w:r>
          </w:p>
          <w:p w14:paraId="170D5FB4" w14:textId="4D3E8CA7" w:rsidR="0002250F" w:rsidRPr="007375EB" w:rsidRDefault="0002250F">
            <w:pPr>
              <w:pStyle w:val="ListParagraph"/>
              <w:numPr>
                <w:ilvl w:val="0"/>
                <w:numId w:val="177"/>
              </w:numPr>
              <w:spacing w:line="240" w:lineRule="auto"/>
              <w:jc w:val="both"/>
              <w:rPr>
                <w:rFonts w:asciiTheme="minorHAnsi" w:hAnsiTheme="minorHAnsi"/>
                <w:sz w:val="16"/>
                <w:szCs w:val="16"/>
                <w:lang w:val="bg-BG"/>
              </w:rPr>
            </w:pPr>
            <w:r w:rsidRPr="007375EB">
              <w:rPr>
                <w:rFonts w:asciiTheme="minorHAnsi" w:hAnsiTheme="minorHAnsi"/>
                <w:sz w:val="16"/>
                <w:szCs w:val="16"/>
                <w:lang w:val="bg-BG"/>
              </w:rPr>
              <w:t>55 дБ извън жилището през деня и 45 дБ през нощта;</w:t>
            </w:r>
          </w:p>
          <w:p w14:paraId="2C49A672" w14:textId="137DFDDA" w:rsidR="00743525" w:rsidRPr="007375EB" w:rsidRDefault="0002250F">
            <w:pPr>
              <w:pStyle w:val="ListParagraph"/>
              <w:numPr>
                <w:ilvl w:val="0"/>
                <w:numId w:val="177"/>
              </w:numPr>
              <w:spacing w:line="240" w:lineRule="auto"/>
              <w:jc w:val="both"/>
              <w:rPr>
                <w:sz w:val="16"/>
                <w:szCs w:val="16"/>
                <w:lang w:val="bg-BG"/>
              </w:rPr>
            </w:pPr>
            <w:r w:rsidRPr="007375EB">
              <w:rPr>
                <w:rFonts w:asciiTheme="minorHAnsi" w:hAnsiTheme="minorHAnsi"/>
                <w:sz w:val="16"/>
                <w:szCs w:val="16"/>
                <w:lang w:val="bg-BG"/>
              </w:rPr>
              <w:t>50 дБ (A) през деня и 40 дБ (A) през нощта в районите, съседни на защитена територия.</w:t>
            </w:r>
          </w:p>
        </w:tc>
      </w:tr>
      <w:tr w:rsidR="00743525" w:rsidRPr="007375EB" w14:paraId="0173E86B" w14:textId="77777777" w:rsidTr="0002250F">
        <w:trPr>
          <w:trHeight w:val="504"/>
        </w:trPr>
        <w:tc>
          <w:tcPr>
            <w:tcW w:w="1781" w:type="dxa"/>
            <w:vMerge w:val="restart"/>
          </w:tcPr>
          <w:p w14:paraId="41D83F10" w14:textId="77777777" w:rsidR="00743525" w:rsidRPr="007375EB" w:rsidRDefault="00743525" w:rsidP="00743525">
            <w:pPr>
              <w:spacing w:after="0" w:line="240" w:lineRule="auto"/>
              <w:rPr>
                <w:rFonts w:asciiTheme="minorHAnsi" w:hAnsiTheme="minorHAnsi"/>
                <w:b/>
                <w:bCs/>
                <w:sz w:val="16"/>
                <w:szCs w:val="16"/>
                <w:lang w:val="bg-BG"/>
              </w:rPr>
            </w:pPr>
            <w:r w:rsidRPr="007375EB">
              <w:rPr>
                <w:rFonts w:asciiTheme="minorHAnsi" w:hAnsiTheme="minorHAnsi"/>
                <w:b/>
                <w:bCs/>
                <w:color w:val="000000"/>
                <w:sz w:val="16"/>
                <w:szCs w:val="16"/>
                <w:lang w:val="bg-BG"/>
              </w:rPr>
              <w:t>Население и човешко здраве</w:t>
            </w:r>
          </w:p>
          <w:p w14:paraId="314CE1D7" w14:textId="1FF81C0F" w:rsidR="00743525" w:rsidRPr="007375EB" w:rsidRDefault="00743525" w:rsidP="00743525">
            <w:pPr>
              <w:spacing w:after="0" w:line="240" w:lineRule="auto"/>
              <w:rPr>
                <w:rFonts w:asciiTheme="minorHAnsi" w:hAnsiTheme="minorHAnsi"/>
                <w:b/>
                <w:bCs/>
                <w:sz w:val="16"/>
                <w:szCs w:val="16"/>
                <w:lang w:val="bg-BG"/>
              </w:rPr>
            </w:pPr>
            <w:r w:rsidRPr="007375EB">
              <w:rPr>
                <w:rFonts w:asciiTheme="minorHAnsi" w:hAnsiTheme="minorHAnsi"/>
                <w:b/>
                <w:bCs/>
                <w:sz w:val="16"/>
                <w:szCs w:val="16"/>
                <w:lang w:val="bg-BG"/>
              </w:rPr>
              <w:t>Ландшафт</w:t>
            </w:r>
          </w:p>
        </w:tc>
        <w:tc>
          <w:tcPr>
            <w:tcW w:w="3745" w:type="dxa"/>
          </w:tcPr>
          <w:p w14:paraId="6D80CDE5" w14:textId="1B67D8AE" w:rsidR="00743525" w:rsidRPr="007375EB" w:rsidRDefault="0002250F" w:rsidP="00743525">
            <w:pPr>
              <w:pStyle w:val="ListParagraph"/>
              <w:numPr>
                <w:ilvl w:val="0"/>
                <w:numId w:val="56"/>
              </w:numPr>
              <w:tabs>
                <w:tab w:val="left" w:pos="746"/>
              </w:tabs>
              <w:spacing w:after="0" w:line="240" w:lineRule="auto"/>
              <w:ind w:left="604" w:hanging="567"/>
              <w:jc w:val="both"/>
              <w:rPr>
                <w:rFonts w:ascii="Verdana" w:hAnsi="Verdana"/>
                <w:sz w:val="16"/>
                <w:szCs w:val="16"/>
                <w:lang w:val="bg-BG"/>
              </w:rPr>
            </w:pPr>
            <w:r w:rsidRPr="007375EB">
              <w:rPr>
                <w:rFonts w:ascii="Verdana" w:hAnsi="Verdana"/>
                <w:sz w:val="16"/>
                <w:szCs w:val="16"/>
                <w:lang w:val="bg-BG"/>
              </w:rPr>
              <w:t>OM8.</w:t>
            </w:r>
            <w:r w:rsidRPr="007375EB">
              <w:rPr>
                <w:rFonts w:ascii="Verdana" w:hAnsi="Verdana"/>
                <w:sz w:val="16"/>
                <w:szCs w:val="16"/>
                <w:lang w:val="bg-BG"/>
              </w:rPr>
              <w:tab/>
              <w:t>Опазване на природни местообитания и растителни и животински видове от значение за Общността</w:t>
            </w:r>
          </w:p>
        </w:tc>
        <w:tc>
          <w:tcPr>
            <w:tcW w:w="4080" w:type="dxa"/>
          </w:tcPr>
          <w:p w14:paraId="0167AD67" w14:textId="068A498F" w:rsidR="00743525" w:rsidRPr="007375EB" w:rsidRDefault="0002250F" w:rsidP="00743525">
            <w:pPr>
              <w:spacing w:after="0" w:line="240" w:lineRule="auto"/>
              <w:jc w:val="both"/>
              <w:rPr>
                <w:rFonts w:ascii="Verdana" w:hAnsi="Verdana"/>
                <w:sz w:val="16"/>
                <w:szCs w:val="16"/>
                <w:lang w:val="bg-BG"/>
              </w:rPr>
            </w:pPr>
            <w:r w:rsidRPr="007375EB">
              <w:rPr>
                <w:rFonts w:ascii="Verdana" w:hAnsi="Verdana"/>
                <w:sz w:val="16"/>
                <w:szCs w:val="16"/>
                <w:lang w:val="bg-BG"/>
              </w:rPr>
              <w:t>Поддържане/подобряване на природозащитното състояние на природни местообитания и растителни и животински видове от значение за Общността</w:t>
            </w:r>
          </w:p>
        </w:tc>
      </w:tr>
      <w:tr w:rsidR="00743525" w:rsidRPr="007375EB" w14:paraId="3D652982" w14:textId="77777777" w:rsidTr="0002250F">
        <w:tc>
          <w:tcPr>
            <w:tcW w:w="1781" w:type="dxa"/>
            <w:vMerge/>
          </w:tcPr>
          <w:p w14:paraId="2D246BA0" w14:textId="77777777" w:rsidR="00743525" w:rsidRPr="007375EB" w:rsidRDefault="00743525" w:rsidP="00743525">
            <w:pPr>
              <w:spacing w:after="0" w:line="240" w:lineRule="auto"/>
              <w:rPr>
                <w:rFonts w:asciiTheme="minorHAnsi" w:hAnsiTheme="minorHAnsi"/>
                <w:b/>
                <w:bCs/>
                <w:sz w:val="16"/>
                <w:szCs w:val="16"/>
                <w:lang w:val="bg-BG"/>
              </w:rPr>
            </w:pPr>
          </w:p>
        </w:tc>
        <w:tc>
          <w:tcPr>
            <w:tcW w:w="3745" w:type="dxa"/>
          </w:tcPr>
          <w:p w14:paraId="6941AAF2" w14:textId="1DC0624D" w:rsidR="00743525" w:rsidRPr="007375EB" w:rsidRDefault="0002250F" w:rsidP="00743525">
            <w:pPr>
              <w:pStyle w:val="ListParagraph"/>
              <w:numPr>
                <w:ilvl w:val="0"/>
                <w:numId w:val="56"/>
              </w:numPr>
              <w:tabs>
                <w:tab w:val="left" w:pos="746"/>
              </w:tabs>
              <w:spacing w:after="0" w:line="240" w:lineRule="auto"/>
              <w:ind w:left="604" w:hanging="567"/>
              <w:jc w:val="both"/>
              <w:rPr>
                <w:rFonts w:ascii="Verdana" w:hAnsi="Verdana"/>
                <w:sz w:val="16"/>
                <w:szCs w:val="16"/>
                <w:lang w:val="bg-BG"/>
              </w:rPr>
            </w:pPr>
            <w:r w:rsidRPr="007375EB">
              <w:rPr>
                <w:rFonts w:ascii="Verdana" w:hAnsi="Verdana"/>
                <w:sz w:val="16"/>
                <w:szCs w:val="16"/>
                <w:lang w:val="bg-BG"/>
              </w:rPr>
              <w:t>OM9.</w:t>
            </w:r>
            <w:r w:rsidRPr="007375EB">
              <w:rPr>
                <w:rFonts w:ascii="Verdana" w:hAnsi="Verdana"/>
                <w:sz w:val="16"/>
                <w:szCs w:val="16"/>
                <w:lang w:val="bg-BG"/>
              </w:rPr>
              <w:tab/>
              <w:t>Поддържане на мрежата от защитени зони Природа</w:t>
            </w:r>
            <w:r w:rsidR="00743525" w:rsidRPr="007375EB">
              <w:rPr>
                <w:rFonts w:ascii="Verdana" w:hAnsi="Verdana"/>
                <w:sz w:val="16"/>
                <w:szCs w:val="16"/>
                <w:lang w:val="bg-BG"/>
              </w:rPr>
              <w:t xml:space="preserve"> 2000.</w:t>
            </w:r>
          </w:p>
        </w:tc>
        <w:tc>
          <w:tcPr>
            <w:tcW w:w="4080" w:type="dxa"/>
          </w:tcPr>
          <w:p w14:paraId="1747ED3E" w14:textId="1C94F2F0" w:rsidR="00743525" w:rsidRPr="007375EB" w:rsidRDefault="0002250F" w:rsidP="00743525">
            <w:pPr>
              <w:spacing w:after="0" w:line="240" w:lineRule="auto"/>
              <w:jc w:val="both"/>
              <w:rPr>
                <w:rFonts w:ascii="Verdana" w:hAnsi="Verdana"/>
                <w:sz w:val="16"/>
                <w:szCs w:val="16"/>
                <w:lang w:val="bg-BG"/>
              </w:rPr>
            </w:pPr>
            <w:r w:rsidRPr="007375EB">
              <w:rPr>
                <w:rFonts w:ascii="Verdana" w:hAnsi="Verdana"/>
                <w:sz w:val="16"/>
                <w:szCs w:val="16"/>
                <w:lang w:val="bg-BG"/>
              </w:rPr>
              <w:t>Избягване/минимизиране на заетите площи</w:t>
            </w:r>
          </w:p>
        </w:tc>
      </w:tr>
      <w:tr w:rsidR="00743525" w:rsidRPr="007375EB" w14:paraId="11B1C614" w14:textId="77777777" w:rsidTr="0002250F">
        <w:trPr>
          <w:trHeight w:val="62"/>
        </w:trPr>
        <w:tc>
          <w:tcPr>
            <w:tcW w:w="1781" w:type="dxa"/>
            <w:vMerge w:val="restart"/>
          </w:tcPr>
          <w:p w14:paraId="118173A8" w14:textId="56A1A69E" w:rsidR="00743525" w:rsidRPr="007375EB" w:rsidRDefault="00743525" w:rsidP="00743525">
            <w:pPr>
              <w:spacing w:after="0" w:line="240" w:lineRule="auto"/>
              <w:rPr>
                <w:rFonts w:asciiTheme="minorHAnsi" w:hAnsiTheme="minorHAnsi"/>
                <w:b/>
                <w:bCs/>
                <w:sz w:val="16"/>
                <w:szCs w:val="16"/>
                <w:lang w:val="bg-BG"/>
              </w:rPr>
            </w:pPr>
            <w:r w:rsidRPr="007375EB">
              <w:rPr>
                <w:rFonts w:asciiTheme="minorHAnsi" w:hAnsiTheme="minorHAnsi"/>
                <w:b/>
                <w:bCs/>
                <w:sz w:val="16"/>
                <w:szCs w:val="16"/>
                <w:lang w:val="bg-BG"/>
              </w:rPr>
              <w:t>Изменение на климата</w:t>
            </w:r>
          </w:p>
        </w:tc>
        <w:tc>
          <w:tcPr>
            <w:tcW w:w="3745" w:type="dxa"/>
          </w:tcPr>
          <w:p w14:paraId="2E3EB67E" w14:textId="67F91208" w:rsidR="00743525" w:rsidRPr="007375EB" w:rsidRDefault="007234FA" w:rsidP="00743525">
            <w:pPr>
              <w:pStyle w:val="ListParagraph"/>
              <w:numPr>
                <w:ilvl w:val="0"/>
                <w:numId w:val="56"/>
              </w:numPr>
              <w:tabs>
                <w:tab w:val="left" w:pos="746"/>
              </w:tabs>
              <w:spacing w:after="0" w:line="240" w:lineRule="auto"/>
              <w:ind w:left="604" w:hanging="567"/>
              <w:jc w:val="both"/>
              <w:rPr>
                <w:rFonts w:ascii="Verdana" w:hAnsi="Verdana"/>
                <w:sz w:val="16"/>
                <w:szCs w:val="16"/>
                <w:lang w:val="bg-BG"/>
              </w:rPr>
            </w:pPr>
            <w:r w:rsidRPr="007375EB">
              <w:rPr>
                <w:rFonts w:ascii="Verdana" w:hAnsi="Verdana"/>
                <w:sz w:val="16"/>
                <w:szCs w:val="16"/>
                <w:lang w:val="bg-BG"/>
              </w:rPr>
              <w:t xml:space="preserve">OM10. Поддържане на качеството на факторите на околната среда в рамките на законовите разпоредби за </w:t>
            </w:r>
            <w:r w:rsidRPr="007375EB">
              <w:rPr>
                <w:rFonts w:ascii="Verdana" w:hAnsi="Verdana"/>
                <w:sz w:val="16"/>
                <w:szCs w:val="16"/>
                <w:lang w:val="bg-BG"/>
              </w:rPr>
              <w:lastRenderedPageBreak/>
              <w:t>опазване на околната среда и общественото здраве</w:t>
            </w:r>
          </w:p>
        </w:tc>
        <w:tc>
          <w:tcPr>
            <w:tcW w:w="4080" w:type="dxa"/>
          </w:tcPr>
          <w:p w14:paraId="0DC8B59B" w14:textId="04AC1D09" w:rsidR="00743525" w:rsidRPr="007375EB" w:rsidRDefault="007234FA" w:rsidP="00743525">
            <w:pPr>
              <w:spacing w:after="0" w:line="240" w:lineRule="auto"/>
              <w:jc w:val="both"/>
              <w:rPr>
                <w:rFonts w:ascii="Verdana" w:hAnsi="Verdana"/>
                <w:sz w:val="16"/>
                <w:szCs w:val="16"/>
                <w:lang w:val="bg-BG"/>
              </w:rPr>
            </w:pPr>
            <w:r w:rsidRPr="007375EB">
              <w:rPr>
                <w:rFonts w:ascii="Verdana" w:hAnsi="Verdana"/>
                <w:sz w:val="16"/>
                <w:szCs w:val="16"/>
                <w:lang w:val="bg-BG"/>
              </w:rPr>
              <w:lastRenderedPageBreak/>
              <w:t xml:space="preserve">Поддържане на нивото на атмосферните замърсители в границите, наложени от Закон 104/2011 относно качеството на въздуха Спазване на максимално допустимите </w:t>
            </w:r>
            <w:r w:rsidRPr="007375EB">
              <w:rPr>
                <w:rFonts w:ascii="Verdana" w:hAnsi="Verdana"/>
                <w:sz w:val="16"/>
                <w:szCs w:val="16"/>
                <w:lang w:val="bg-BG"/>
              </w:rPr>
              <w:lastRenderedPageBreak/>
              <w:t>граници за шум и вибрации, определени с Наредба 119/2014 г. за хигиенните и здравните норми за жизнената среда на населението</w:t>
            </w:r>
            <w:r w:rsidR="00743525" w:rsidRPr="007375EB">
              <w:rPr>
                <w:rFonts w:ascii="Verdana" w:hAnsi="Verdana"/>
                <w:sz w:val="16"/>
                <w:szCs w:val="16"/>
                <w:lang w:val="bg-BG"/>
              </w:rPr>
              <w:t xml:space="preserve">: </w:t>
            </w:r>
          </w:p>
          <w:p w14:paraId="6156C37A" w14:textId="77777777" w:rsidR="007234FA" w:rsidRPr="007375EB" w:rsidRDefault="007234FA" w:rsidP="007234FA">
            <w:pPr>
              <w:pStyle w:val="ListParagraph"/>
              <w:numPr>
                <w:ilvl w:val="0"/>
                <w:numId w:val="75"/>
              </w:numPr>
              <w:spacing w:line="240" w:lineRule="auto"/>
              <w:jc w:val="both"/>
              <w:rPr>
                <w:rFonts w:asciiTheme="minorHAnsi" w:hAnsiTheme="minorHAnsi"/>
                <w:sz w:val="16"/>
                <w:szCs w:val="16"/>
                <w:lang w:val="bg-BG"/>
              </w:rPr>
            </w:pPr>
            <w:r w:rsidRPr="007375EB">
              <w:rPr>
                <w:rFonts w:asciiTheme="minorHAnsi" w:hAnsiTheme="minorHAnsi"/>
                <w:sz w:val="16"/>
                <w:szCs w:val="16"/>
                <w:lang w:val="bg-BG"/>
              </w:rPr>
              <w:t>65 дБ за границата на промишлените помещения;</w:t>
            </w:r>
          </w:p>
          <w:p w14:paraId="5895FEDA" w14:textId="77777777" w:rsidR="007234FA" w:rsidRPr="007375EB" w:rsidRDefault="007234FA" w:rsidP="007234FA">
            <w:pPr>
              <w:pStyle w:val="ListParagraph"/>
              <w:numPr>
                <w:ilvl w:val="0"/>
                <w:numId w:val="75"/>
              </w:numPr>
              <w:spacing w:line="240" w:lineRule="auto"/>
              <w:jc w:val="both"/>
              <w:rPr>
                <w:rFonts w:asciiTheme="minorHAnsi" w:hAnsiTheme="minorHAnsi"/>
                <w:sz w:val="16"/>
                <w:szCs w:val="16"/>
                <w:lang w:val="bg-BG"/>
              </w:rPr>
            </w:pPr>
            <w:r w:rsidRPr="007375EB">
              <w:rPr>
                <w:rFonts w:asciiTheme="minorHAnsi" w:hAnsiTheme="minorHAnsi"/>
                <w:sz w:val="16"/>
                <w:szCs w:val="16"/>
                <w:lang w:val="bg-BG"/>
              </w:rPr>
              <w:t>55 дБ извън жилището през деня и 45 дБ през нощта;</w:t>
            </w:r>
          </w:p>
          <w:p w14:paraId="36EBDE09" w14:textId="0D5EE1BE" w:rsidR="00743525" w:rsidRPr="007375EB" w:rsidRDefault="007234FA" w:rsidP="007234FA">
            <w:pPr>
              <w:pStyle w:val="ListParagraph"/>
              <w:numPr>
                <w:ilvl w:val="0"/>
                <w:numId w:val="75"/>
              </w:numPr>
              <w:spacing w:after="0" w:line="240" w:lineRule="auto"/>
              <w:jc w:val="both"/>
              <w:rPr>
                <w:rFonts w:ascii="Verdana" w:hAnsi="Verdana"/>
                <w:sz w:val="16"/>
                <w:szCs w:val="16"/>
                <w:lang w:val="bg-BG"/>
              </w:rPr>
            </w:pPr>
            <w:r w:rsidRPr="007375EB">
              <w:rPr>
                <w:rFonts w:asciiTheme="minorHAnsi" w:hAnsiTheme="minorHAnsi"/>
                <w:sz w:val="16"/>
                <w:szCs w:val="16"/>
                <w:lang w:val="bg-BG"/>
              </w:rPr>
              <w:t>50 дБ (A) през деня и 40 дБ (A) през нощта в районите, съседни на защитена територия</w:t>
            </w:r>
          </w:p>
        </w:tc>
      </w:tr>
      <w:tr w:rsidR="00743525" w:rsidRPr="007375EB" w14:paraId="6E0EF4D4" w14:textId="77777777" w:rsidTr="0002250F">
        <w:trPr>
          <w:trHeight w:val="62"/>
        </w:trPr>
        <w:tc>
          <w:tcPr>
            <w:tcW w:w="1781" w:type="dxa"/>
            <w:vMerge/>
          </w:tcPr>
          <w:p w14:paraId="564ADC38" w14:textId="77777777" w:rsidR="00743525" w:rsidRPr="007375EB" w:rsidRDefault="00743525" w:rsidP="00743525">
            <w:pPr>
              <w:spacing w:after="0" w:line="240" w:lineRule="auto"/>
              <w:rPr>
                <w:rFonts w:asciiTheme="minorHAnsi" w:hAnsiTheme="minorHAnsi"/>
                <w:sz w:val="16"/>
                <w:szCs w:val="16"/>
                <w:lang w:val="bg-BG"/>
              </w:rPr>
            </w:pPr>
          </w:p>
        </w:tc>
        <w:tc>
          <w:tcPr>
            <w:tcW w:w="3745" w:type="dxa"/>
          </w:tcPr>
          <w:p w14:paraId="10EF3A98" w14:textId="41ADBAB5" w:rsidR="00743525" w:rsidRPr="007375EB" w:rsidRDefault="007234FA" w:rsidP="00743525">
            <w:pPr>
              <w:pStyle w:val="ListParagraph"/>
              <w:numPr>
                <w:ilvl w:val="0"/>
                <w:numId w:val="56"/>
              </w:numPr>
              <w:tabs>
                <w:tab w:val="left" w:pos="746"/>
              </w:tabs>
              <w:spacing w:after="0" w:line="240" w:lineRule="auto"/>
              <w:ind w:left="604" w:hanging="567"/>
              <w:jc w:val="both"/>
              <w:rPr>
                <w:rFonts w:ascii="Verdana" w:hAnsi="Verdana"/>
                <w:sz w:val="16"/>
                <w:szCs w:val="16"/>
                <w:lang w:val="bg-BG"/>
              </w:rPr>
            </w:pPr>
            <w:r w:rsidRPr="007375EB">
              <w:rPr>
                <w:rFonts w:ascii="Verdana" w:hAnsi="Verdana"/>
                <w:sz w:val="16"/>
                <w:szCs w:val="16"/>
                <w:lang w:val="bg-BG"/>
              </w:rPr>
              <w:t>Подобряване на жизнения стандарт и социалните условия на населението</w:t>
            </w:r>
          </w:p>
        </w:tc>
        <w:tc>
          <w:tcPr>
            <w:tcW w:w="4080" w:type="dxa"/>
          </w:tcPr>
          <w:p w14:paraId="44A7A26C" w14:textId="53EEBE2A" w:rsidR="00743525" w:rsidRPr="007375EB" w:rsidRDefault="007234FA" w:rsidP="00743525">
            <w:pPr>
              <w:spacing w:after="0" w:line="240" w:lineRule="auto"/>
              <w:jc w:val="both"/>
              <w:rPr>
                <w:color w:val="FF0000"/>
                <w:sz w:val="16"/>
                <w:szCs w:val="16"/>
                <w:lang w:val="bg-BG"/>
              </w:rPr>
            </w:pPr>
            <w:r w:rsidRPr="007375EB">
              <w:rPr>
                <w:rFonts w:ascii="Verdana" w:hAnsi="Verdana"/>
                <w:sz w:val="16"/>
                <w:szCs w:val="16"/>
                <w:lang w:val="bg-BG"/>
              </w:rPr>
              <w:t>Икономическо развитие на района</w:t>
            </w:r>
          </w:p>
        </w:tc>
      </w:tr>
      <w:tr w:rsidR="00743525" w:rsidRPr="007375EB" w14:paraId="26CDA6FE" w14:textId="77777777" w:rsidTr="0002250F">
        <w:trPr>
          <w:trHeight w:val="62"/>
        </w:trPr>
        <w:tc>
          <w:tcPr>
            <w:tcW w:w="1781" w:type="dxa"/>
          </w:tcPr>
          <w:p w14:paraId="3946448A" w14:textId="18EFC192" w:rsidR="00743525" w:rsidRPr="007375EB" w:rsidRDefault="00743525" w:rsidP="00743525">
            <w:pPr>
              <w:spacing w:after="0" w:line="240" w:lineRule="auto"/>
              <w:rPr>
                <w:rFonts w:asciiTheme="minorHAnsi" w:hAnsiTheme="minorHAnsi"/>
                <w:b/>
                <w:bCs/>
                <w:sz w:val="16"/>
                <w:szCs w:val="16"/>
                <w:lang w:val="bg-BG"/>
              </w:rPr>
            </w:pPr>
            <w:r w:rsidRPr="007375EB">
              <w:rPr>
                <w:rFonts w:asciiTheme="minorHAnsi" w:hAnsiTheme="minorHAnsi"/>
                <w:b/>
                <w:bCs/>
                <w:color w:val="000000"/>
                <w:sz w:val="16"/>
                <w:szCs w:val="16"/>
                <w:lang w:val="bg-BG"/>
              </w:rPr>
              <w:t>Вода</w:t>
            </w:r>
          </w:p>
        </w:tc>
        <w:tc>
          <w:tcPr>
            <w:tcW w:w="3745" w:type="dxa"/>
          </w:tcPr>
          <w:p w14:paraId="57C026FE" w14:textId="1DE10471" w:rsidR="00743525" w:rsidRPr="007375EB" w:rsidRDefault="007234FA" w:rsidP="00743525">
            <w:pPr>
              <w:pStyle w:val="ListParagraph"/>
              <w:numPr>
                <w:ilvl w:val="0"/>
                <w:numId w:val="56"/>
              </w:numPr>
              <w:tabs>
                <w:tab w:val="left" w:pos="746"/>
              </w:tabs>
              <w:spacing w:after="0" w:line="240" w:lineRule="auto"/>
              <w:ind w:left="604" w:hanging="567"/>
              <w:jc w:val="both"/>
              <w:rPr>
                <w:rFonts w:ascii="Verdana" w:hAnsi="Verdana"/>
                <w:sz w:val="16"/>
                <w:szCs w:val="16"/>
                <w:lang w:val="bg-BG"/>
              </w:rPr>
            </w:pPr>
            <w:r w:rsidRPr="007375EB">
              <w:rPr>
                <w:rFonts w:ascii="Verdana" w:hAnsi="Verdana"/>
                <w:sz w:val="16"/>
                <w:szCs w:val="16"/>
                <w:lang w:val="bg-BG"/>
              </w:rPr>
              <w:t>Осигуряване на защита на естествения ландшафт и свеждане до минимум на въздействието върху естествения ландшафт</w:t>
            </w:r>
          </w:p>
        </w:tc>
        <w:tc>
          <w:tcPr>
            <w:tcW w:w="4080" w:type="dxa"/>
          </w:tcPr>
          <w:p w14:paraId="01A4B558" w14:textId="24CDFDF5" w:rsidR="00743525" w:rsidRPr="007375EB" w:rsidRDefault="007234FA" w:rsidP="00743525">
            <w:pPr>
              <w:spacing w:after="0" w:line="240" w:lineRule="auto"/>
              <w:jc w:val="both"/>
              <w:rPr>
                <w:rFonts w:ascii="Verdana" w:hAnsi="Verdana"/>
                <w:sz w:val="16"/>
                <w:szCs w:val="16"/>
                <w:lang w:val="bg-BG"/>
              </w:rPr>
            </w:pPr>
            <w:r w:rsidRPr="007375EB">
              <w:rPr>
                <w:rFonts w:ascii="Verdana" w:hAnsi="Verdana"/>
                <w:sz w:val="16"/>
                <w:szCs w:val="16"/>
                <w:lang w:val="bg-BG"/>
              </w:rPr>
              <w:t>Регулиране на зоните и методите на строителство във връзка с техните функции, за да се осигури най-естетичен ландшафт</w:t>
            </w:r>
          </w:p>
        </w:tc>
      </w:tr>
      <w:tr w:rsidR="00743525" w:rsidRPr="007375EB" w14:paraId="49D4B8B2" w14:textId="77777777" w:rsidTr="0002250F">
        <w:trPr>
          <w:trHeight w:val="62"/>
        </w:trPr>
        <w:tc>
          <w:tcPr>
            <w:tcW w:w="1781" w:type="dxa"/>
            <w:vMerge w:val="restart"/>
          </w:tcPr>
          <w:p w14:paraId="4B75793E" w14:textId="77777777" w:rsidR="00743525" w:rsidRPr="007375EB" w:rsidRDefault="00743525" w:rsidP="00743525">
            <w:pPr>
              <w:spacing w:after="0" w:line="240" w:lineRule="auto"/>
              <w:rPr>
                <w:rFonts w:asciiTheme="minorHAnsi" w:hAnsiTheme="minorHAnsi"/>
                <w:b/>
                <w:bCs/>
                <w:sz w:val="16"/>
                <w:szCs w:val="16"/>
                <w:lang w:val="bg-BG"/>
              </w:rPr>
            </w:pPr>
            <w:r w:rsidRPr="007375EB">
              <w:rPr>
                <w:rFonts w:asciiTheme="minorHAnsi" w:hAnsiTheme="minorHAnsi"/>
                <w:b/>
                <w:bCs/>
                <w:color w:val="000000"/>
                <w:sz w:val="16"/>
                <w:szCs w:val="16"/>
                <w:lang w:val="bg-BG"/>
              </w:rPr>
              <w:t>Въздух</w:t>
            </w:r>
          </w:p>
          <w:p w14:paraId="4A7AA607" w14:textId="74B91E61" w:rsidR="00743525" w:rsidRPr="007375EB" w:rsidRDefault="00743525" w:rsidP="00743525">
            <w:pPr>
              <w:spacing w:after="0" w:line="240" w:lineRule="auto"/>
              <w:rPr>
                <w:rFonts w:asciiTheme="minorHAnsi" w:hAnsiTheme="minorHAnsi"/>
                <w:b/>
                <w:bCs/>
                <w:sz w:val="16"/>
                <w:szCs w:val="16"/>
                <w:lang w:val="bg-BG"/>
              </w:rPr>
            </w:pPr>
            <w:r w:rsidRPr="007375EB">
              <w:rPr>
                <w:rFonts w:asciiTheme="minorHAnsi" w:hAnsiTheme="minorHAnsi"/>
                <w:b/>
                <w:bCs/>
                <w:color w:val="000000"/>
                <w:sz w:val="16"/>
                <w:szCs w:val="16"/>
                <w:lang w:val="bg-BG"/>
              </w:rPr>
              <w:t>Почва/подпочва</w:t>
            </w:r>
          </w:p>
        </w:tc>
        <w:tc>
          <w:tcPr>
            <w:tcW w:w="3745" w:type="dxa"/>
          </w:tcPr>
          <w:p w14:paraId="5E4033C8" w14:textId="353C643E" w:rsidR="00743525" w:rsidRPr="007375EB" w:rsidRDefault="007234FA" w:rsidP="00743525">
            <w:pPr>
              <w:pStyle w:val="ListParagraph"/>
              <w:numPr>
                <w:ilvl w:val="0"/>
                <w:numId w:val="56"/>
              </w:numPr>
              <w:tabs>
                <w:tab w:val="left" w:pos="746"/>
              </w:tabs>
              <w:spacing w:after="0" w:line="240" w:lineRule="auto"/>
              <w:ind w:left="604" w:hanging="567"/>
              <w:jc w:val="both"/>
              <w:rPr>
                <w:rFonts w:ascii="Verdana" w:hAnsi="Verdana"/>
                <w:sz w:val="16"/>
                <w:szCs w:val="16"/>
                <w:lang w:val="bg-BG"/>
              </w:rPr>
            </w:pPr>
            <w:r w:rsidRPr="007375EB">
              <w:rPr>
                <w:rFonts w:ascii="Verdana" w:hAnsi="Verdana"/>
                <w:sz w:val="16"/>
                <w:szCs w:val="16"/>
                <w:lang w:val="bg-BG"/>
              </w:rPr>
              <w:t>Намаляване на емисиите на парникови газове от енергийния сектор</w:t>
            </w:r>
          </w:p>
        </w:tc>
        <w:tc>
          <w:tcPr>
            <w:tcW w:w="4080" w:type="dxa"/>
          </w:tcPr>
          <w:p w14:paraId="600F664E" w14:textId="6F10EB9F" w:rsidR="00743525" w:rsidRPr="007375EB" w:rsidRDefault="007234FA" w:rsidP="00743525">
            <w:pPr>
              <w:spacing w:after="0" w:line="240" w:lineRule="auto"/>
              <w:jc w:val="both"/>
              <w:rPr>
                <w:rFonts w:ascii="Verdana" w:hAnsi="Verdana"/>
                <w:sz w:val="16"/>
                <w:szCs w:val="16"/>
                <w:lang w:val="bg-BG"/>
              </w:rPr>
            </w:pPr>
            <w:r w:rsidRPr="007375EB">
              <w:rPr>
                <w:rFonts w:ascii="Verdana" w:hAnsi="Verdana"/>
                <w:sz w:val="16"/>
                <w:szCs w:val="16"/>
                <w:lang w:val="bg-BG"/>
              </w:rPr>
              <w:t xml:space="preserve">Делът на ВЕИ в брутното крайно потребление на енергия от 86,1 % през 2050 г. и 36,2 % през 2030 г. за сценария „Неутрална </w:t>
            </w:r>
            <w:r w:rsidR="00743525" w:rsidRPr="007375EB">
              <w:rPr>
                <w:rFonts w:ascii="Verdana" w:hAnsi="Verdana"/>
                <w:sz w:val="16"/>
                <w:szCs w:val="16"/>
                <w:lang w:val="bg-BG"/>
              </w:rPr>
              <w:t xml:space="preserve">RO </w:t>
            </w:r>
          </w:p>
        </w:tc>
      </w:tr>
      <w:tr w:rsidR="00743525" w:rsidRPr="007375EB" w14:paraId="36329020" w14:textId="77777777" w:rsidTr="0002250F">
        <w:trPr>
          <w:trHeight w:val="62"/>
        </w:trPr>
        <w:tc>
          <w:tcPr>
            <w:tcW w:w="1781" w:type="dxa"/>
            <w:vMerge/>
          </w:tcPr>
          <w:p w14:paraId="44F8251F" w14:textId="77777777" w:rsidR="00743525" w:rsidRPr="007375EB" w:rsidRDefault="00743525" w:rsidP="00743525">
            <w:pPr>
              <w:tabs>
                <w:tab w:val="left" w:pos="746"/>
              </w:tabs>
              <w:spacing w:after="0" w:line="240" w:lineRule="auto"/>
              <w:jc w:val="both"/>
              <w:rPr>
                <w:rFonts w:asciiTheme="minorHAnsi" w:hAnsiTheme="minorHAnsi"/>
                <w:sz w:val="16"/>
                <w:szCs w:val="16"/>
                <w:lang w:val="bg-BG"/>
              </w:rPr>
            </w:pPr>
          </w:p>
        </w:tc>
        <w:tc>
          <w:tcPr>
            <w:tcW w:w="3745" w:type="dxa"/>
          </w:tcPr>
          <w:p w14:paraId="7EB4E48F" w14:textId="4A683B27" w:rsidR="00743525" w:rsidRPr="007375EB" w:rsidRDefault="007234FA" w:rsidP="00743525">
            <w:pPr>
              <w:pStyle w:val="ListParagraph"/>
              <w:numPr>
                <w:ilvl w:val="0"/>
                <w:numId w:val="56"/>
              </w:numPr>
              <w:tabs>
                <w:tab w:val="left" w:pos="746"/>
              </w:tabs>
              <w:spacing w:after="0" w:line="240" w:lineRule="auto"/>
              <w:ind w:left="604" w:hanging="567"/>
              <w:jc w:val="both"/>
              <w:rPr>
                <w:rFonts w:ascii="Verdana" w:hAnsi="Verdana"/>
                <w:sz w:val="16"/>
                <w:szCs w:val="16"/>
                <w:lang w:val="bg-BG"/>
              </w:rPr>
            </w:pPr>
            <w:r w:rsidRPr="007375EB">
              <w:rPr>
                <w:rFonts w:ascii="Verdana" w:hAnsi="Verdana"/>
                <w:sz w:val="16"/>
                <w:szCs w:val="16"/>
                <w:lang w:val="bg-BG"/>
              </w:rPr>
              <w:t>Минимизиране на рисковете от изменението на климата (адаптация)</w:t>
            </w:r>
          </w:p>
        </w:tc>
        <w:tc>
          <w:tcPr>
            <w:tcW w:w="4080" w:type="dxa"/>
          </w:tcPr>
          <w:p w14:paraId="7CB13B08" w14:textId="4873377E" w:rsidR="00743525" w:rsidRPr="007375EB" w:rsidRDefault="007234FA" w:rsidP="00743525">
            <w:pPr>
              <w:spacing w:after="0" w:line="240" w:lineRule="auto"/>
              <w:jc w:val="both"/>
              <w:rPr>
                <w:rFonts w:ascii="Verdana" w:hAnsi="Verdana"/>
                <w:sz w:val="16"/>
                <w:szCs w:val="16"/>
                <w:lang w:val="bg-BG"/>
              </w:rPr>
            </w:pPr>
            <w:r w:rsidRPr="007375EB">
              <w:rPr>
                <w:rFonts w:ascii="Verdana" w:hAnsi="Verdana"/>
                <w:sz w:val="16"/>
                <w:szCs w:val="16"/>
                <w:lang w:val="bg-BG"/>
              </w:rPr>
              <w:t>Проектиране на устойчива на климата енергийна инфраструктура</w:t>
            </w:r>
          </w:p>
        </w:tc>
      </w:tr>
      <w:tr w:rsidR="00743525" w:rsidRPr="007375EB" w14:paraId="55DDBFBB" w14:textId="77777777" w:rsidTr="0002250F">
        <w:tc>
          <w:tcPr>
            <w:tcW w:w="1781" w:type="dxa"/>
          </w:tcPr>
          <w:p w14:paraId="3E6ADD1C" w14:textId="3CB3D6A5" w:rsidR="00743525" w:rsidRPr="007375EB" w:rsidRDefault="00743525" w:rsidP="00743525">
            <w:pPr>
              <w:spacing w:after="0" w:line="240" w:lineRule="auto"/>
              <w:rPr>
                <w:rFonts w:asciiTheme="minorHAnsi" w:hAnsiTheme="minorHAnsi"/>
                <w:b/>
                <w:bCs/>
                <w:sz w:val="16"/>
                <w:szCs w:val="16"/>
                <w:lang w:val="bg-BG"/>
              </w:rPr>
            </w:pPr>
            <w:r w:rsidRPr="007375EB">
              <w:rPr>
                <w:rFonts w:asciiTheme="minorHAnsi" w:hAnsiTheme="minorHAnsi"/>
                <w:b/>
                <w:bCs/>
                <w:color w:val="000000"/>
                <w:sz w:val="16"/>
                <w:szCs w:val="16"/>
                <w:lang w:val="bg-BG"/>
              </w:rPr>
              <w:t>Използване на природни ресурси</w:t>
            </w:r>
          </w:p>
        </w:tc>
        <w:tc>
          <w:tcPr>
            <w:tcW w:w="3745" w:type="dxa"/>
          </w:tcPr>
          <w:p w14:paraId="24B15769" w14:textId="1112A8A5" w:rsidR="00743525" w:rsidRPr="007375EB" w:rsidRDefault="007234FA" w:rsidP="00743525">
            <w:pPr>
              <w:pStyle w:val="ListParagraph"/>
              <w:numPr>
                <w:ilvl w:val="0"/>
                <w:numId w:val="56"/>
              </w:numPr>
              <w:tabs>
                <w:tab w:val="left" w:pos="746"/>
              </w:tabs>
              <w:spacing w:after="0" w:line="240" w:lineRule="auto"/>
              <w:ind w:left="604" w:hanging="567"/>
              <w:jc w:val="both"/>
              <w:rPr>
                <w:rFonts w:ascii="Verdana" w:hAnsi="Verdana"/>
                <w:sz w:val="16"/>
                <w:szCs w:val="16"/>
                <w:lang w:val="bg-BG"/>
              </w:rPr>
            </w:pPr>
            <w:r w:rsidRPr="007375EB">
              <w:rPr>
                <w:rFonts w:ascii="Verdana" w:hAnsi="Verdana"/>
                <w:sz w:val="16"/>
                <w:szCs w:val="16"/>
                <w:lang w:val="bg-BG"/>
              </w:rPr>
              <w:t>Защита и опазване на културното наследство</w:t>
            </w:r>
          </w:p>
        </w:tc>
        <w:tc>
          <w:tcPr>
            <w:tcW w:w="4080" w:type="dxa"/>
          </w:tcPr>
          <w:p w14:paraId="427321A0" w14:textId="10429384" w:rsidR="00743525" w:rsidRPr="007375EB" w:rsidRDefault="007234FA" w:rsidP="00743525">
            <w:pPr>
              <w:spacing w:after="0" w:line="240" w:lineRule="auto"/>
              <w:jc w:val="both"/>
              <w:rPr>
                <w:rFonts w:ascii="Verdana" w:hAnsi="Verdana"/>
                <w:sz w:val="16"/>
                <w:szCs w:val="16"/>
                <w:lang w:val="bg-BG"/>
              </w:rPr>
            </w:pPr>
            <w:r w:rsidRPr="007375EB">
              <w:rPr>
                <w:rFonts w:ascii="Verdana" w:hAnsi="Verdana"/>
                <w:sz w:val="16"/>
                <w:szCs w:val="16"/>
                <w:lang w:val="bg-BG"/>
              </w:rPr>
              <w:t>Осигуряване на защита и опазване на всички археологически обекти, идентифицирани по време на строителната фаза</w:t>
            </w:r>
          </w:p>
        </w:tc>
      </w:tr>
    </w:tbl>
    <w:p w14:paraId="228F38A6" w14:textId="3EF2C2AE" w:rsidR="006B59ED" w:rsidRPr="007375EB" w:rsidRDefault="0002250F" w:rsidP="00125F99">
      <w:pPr>
        <w:pStyle w:val="ListParagraph"/>
        <w:numPr>
          <w:ilvl w:val="1"/>
          <w:numId w:val="60"/>
        </w:numPr>
        <w:spacing w:after="120" w:line="360" w:lineRule="auto"/>
        <w:outlineLvl w:val="1"/>
        <w:rPr>
          <w:b/>
          <w:i/>
          <w:color w:val="009DF0"/>
          <w:lang w:val="bg-BG" w:eastAsia="ro-RO"/>
        </w:rPr>
      </w:pPr>
      <w:bookmarkStart w:id="32" w:name="_Toc167697414"/>
      <w:bookmarkEnd w:id="31"/>
      <w:r w:rsidRPr="007375EB">
        <w:rPr>
          <w:b/>
          <w:i/>
          <w:color w:val="009DF0"/>
          <w:lang w:val="bg-BG" w:eastAsia="ro-RO"/>
        </w:rPr>
        <w:t xml:space="preserve">По какъв начин тези цели и всички други екологични съображения са били взети предвид при изготвянето на </w:t>
      </w:r>
      <w:r w:rsidR="00347315" w:rsidRPr="007375EB">
        <w:rPr>
          <w:b/>
          <w:i/>
          <w:color w:val="009DF0"/>
          <w:lang w:val="bg-BG" w:eastAsia="ro-RO"/>
        </w:rPr>
        <w:t>PUZ</w:t>
      </w:r>
      <w:bookmarkEnd w:id="32"/>
    </w:p>
    <w:p w14:paraId="6D486EDC" w14:textId="63F447F4" w:rsidR="00BC0BC8" w:rsidRPr="007375EB" w:rsidRDefault="007234FA" w:rsidP="00CF4A42">
      <w:pPr>
        <w:spacing w:after="120" w:line="360" w:lineRule="auto"/>
        <w:jc w:val="both"/>
        <w:rPr>
          <w:lang w:val="bg-BG"/>
        </w:rPr>
      </w:pPr>
      <w:r w:rsidRPr="007375EB">
        <w:rPr>
          <w:lang w:val="bg-BG"/>
        </w:rPr>
        <w:t>През декември 2015 г. за първи път всички страни по света се споразумяха за колективни усилия да задържат глобалното затопляне доста под 2</w:t>
      </w:r>
      <w:r w:rsidRPr="007375EB">
        <w:rPr>
          <w:vertAlign w:val="superscript"/>
          <w:lang w:val="bg-BG"/>
        </w:rPr>
        <w:t>0</w:t>
      </w:r>
      <w:r w:rsidRPr="007375EB">
        <w:rPr>
          <w:lang w:val="bg-BG"/>
        </w:rPr>
        <w:t>C, да се опитат да го ограничат до 1,5</w:t>
      </w:r>
      <w:r w:rsidRPr="007375EB">
        <w:rPr>
          <w:vertAlign w:val="superscript"/>
          <w:lang w:val="bg-BG"/>
        </w:rPr>
        <w:t>0</w:t>
      </w:r>
      <w:r w:rsidRPr="007375EB">
        <w:rPr>
          <w:lang w:val="bg-BG"/>
        </w:rPr>
        <w:t xml:space="preserve">C и да се борят с последиците от изменението на климата </w:t>
      </w:r>
      <w:r w:rsidRPr="007375EB">
        <w:rPr>
          <w:b/>
          <w:bCs/>
          <w:lang w:val="bg-BG"/>
        </w:rPr>
        <w:t>съгласно Парижкото споразумение</w:t>
      </w:r>
      <w:r w:rsidR="00205117" w:rsidRPr="007375EB">
        <w:rPr>
          <w:lang w:val="bg-BG"/>
        </w:rPr>
        <w:t>.</w:t>
      </w:r>
      <w:r w:rsidR="00CF4A42" w:rsidRPr="007375EB">
        <w:rPr>
          <w:lang w:val="bg-BG"/>
        </w:rPr>
        <w:t xml:space="preserve"> </w:t>
      </w:r>
    </w:p>
    <w:p w14:paraId="705DB344" w14:textId="5748FC9A" w:rsidR="00D606B8" w:rsidRPr="007375EB" w:rsidRDefault="0002250F" w:rsidP="00D606B8">
      <w:pPr>
        <w:spacing w:after="120" w:line="360" w:lineRule="auto"/>
        <w:jc w:val="both"/>
        <w:rPr>
          <w:lang w:val="bg-BG"/>
        </w:rPr>
      </w:pPr>
      <w:r w:rsidRPr="007375EB">
        <w:rPr>
          <w:lang w:val="bg-BG"/>
        </w:rPr>
        <w:t>Парижкото споразумение има за цел да засили глобалния отговор на заплахата от изменението на климата в контекста на усилията за устойчиво развитие и изкореняване на бедността, включително чрез</w:t>
      </w:r>
      <w:r w:rsidR="00803126" w:rsidRPr="007375EB">
        <w:rPr>
          <w:lang w:val="bg-BG"/>
        </w:rPr>
        <w:t>:</w:t>
      </w:r>
    </w:p>
    <w:p w14:paraId="1AFDE32B" w14:textId="1FFA605E" w:rsidR="0002250F" w:rsidRPr="007375EB" w:rsidRDefault="0002250F" w:rsidP="0002250F">
      <w:pPr>
        <w:pStyle w:val="ListParagraph"/>
        <w:numPr>
          <w:ilvl w:val="0"/>
          <w:numId w:val="55"/>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 xml:space="preserve">задържане на повишаването на средната глобална температура под 2°C над прединдустриалните нива; </w:t>
      </w:r>
    </w:p>
    <w:p w14:paraId="551EABED" w14:textId="05362DC1" w:rsidR="00D606B8" w:rsidRPr="007375EB" w:rsidRDefault="0002250F" w:rsidP="0002250F">
      <w:pPr>
        <w:pStyle w:val="ListParagraph"/>
        <w:numPr>
          <w:ilvl w:val="0"/>
          <w:numId w:val="55"/>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увеличаване на капацитета за адаптиране към неблагоприятните последици от изменението на климата и насърчаване на устойчивостта към изменението на климата и на развитието с ниски емисии на парникови газове по начин, който не застрашава производството на храни</w:t>
      </w:r>
      <w:r w:rsidR="00D606B8" w:rsidRPr="007375EB">
        <w:rPr>
          <w:rFonts w:eastAsia="Verdana" w:cs="Verdana"/>
          <w:color w:val="000000" w:themeColor="text1"/>
          <w:lang w:val="bg-BG"/>
        </w:rPr>
        <w:t>;</w:t>
      </w:r>
    </w:p>
    <w:p w14:paraId="14B690A5" w14:textId="4FE972AD" w:rsidR="00D606B8" w:rsidRPr="007375EB" w:rsidRDefault="0002250F" w:rsidP="00D606B8">
      <w:pPr>
        <w:pStyle w:val="ListParagraph"/>
        <w:numPr>
          <w:ilvl w:val="0"/>
          <w:numId w:val="55"/>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предприемане на необходимите стъпки, за да се гарантира, че финансовите потоци са в съответствие с преминаването към развитие с ниски емисии на парникови газове и устойчивост на климата.</w:t>
      </w:r>
    </w:p>
    <w:p w14:paraId="12BE0C58" w14:textId="4CB3B5DE" w:rsidR="00CF2333" w:rsidRPr="007375EB" w:rsidRDefault="0002250F" w:rsidP="00CF4A42">
      <w:pPr>
        <w:spacing w:after="120" w:line="360" w:lineRule="auto"/>
        <w:jc w:val="both"/>
        <w:rPr>
          <w:lang w:val="bg-BG"/>
        </w:rPr>
      </w:pPr>
      <w:r w:rsidRPr="007375EB">
        <w:rPr>
          <w:lang w:val="bg-BG"/>
        </w:rPr>
        <w:t xml:space="preserve">На европейско ниво през 2019 г. беше приет </w:t>
      </w:r>
      <w:r w:rsidRPr="007375EB">
        <w:rPr>
          <w:b/>
          <w:bCs/>
          <w:lang w:val="bg-BG"/>
        </w:rPr>
        <w:t>Европейският зелен пакт</w:t>
      </w:r>
      <w:r w:rsidRPr="007375EB">
        <w:rPr>
          <w:lang w:val="bg-BG"/>
        </w:rPr>
        <w:t>, амбициозна инициатива под формата на пакет от мерки, която насърчава и стимулира всички заинтересовани страни да бъдат неразделна част от процеса на преход към зелена икономика, която подкрепя постигането на на целта за климатична неутралност</w:t>
      </w:r>
      <w:r w:rsidR="00CF4A42" w:rsidRPr="007375EB">
        <w:rPr>
          <w:lang w:val="bg-BG"/>
        </w:rPr>
        <w:t xml:space="preserve">. </w:t>
      </w:r>
    </w:p>
    <w:p w14:paraId="5C832CBB" w14:textId="653255D6" w:rsidR="00CF4A42" w:rsidRPr="007375EB" w:rsidRDefault="00FF495F" w:rsidP="00CF4A42">
      <w:pPr>
        <w:spacing w:after="120" w:line="360" w:lineRule="auto"/>
        <w:jc w:val="both"/>
        <w:rPr>
          <w:lang w:val="bg-BG"/>
        </w:rPr>
      </w:pPr>
      <w:r w:rsidRPr="007375EB">
        <w:rPr>
          <w:lang w:val="bg-BG"/>
        </w:rPr>
        <w:lastRenderedPageBreak/>
        <w:t>В него се излага нова стратегия за растеж, която има за цел да превърне ЕС в справедливо и проспериращо общество с модерна, конкурентоспособна и ресурсно ефективна икономика, без нетни емисии на парникови газове през 2050 г. и с икономически растеж, необвързан с използването на ресурсите. За тази цел финансирането на прехода към справедлива и приобщаваща зелена икономика ще бъде осигурено чрез</w:t>
      </w:r>
      <w:r w:rsidR="00713DE4" w:rsidRPr="007375EB">
        <w:rPr>
          <w:lang w:val="bg-BG"/>
        </w:rPr>
        <w:t>:</w:t>
      </w:r>
    </w:p>
    <w:p w14:paraId="3C8BFEAB" w14:textId="041BA2E6" w:rsidR="004D07DF" w:rsidRPr="007375EB" w:rsidRDefault="00FF495F" w:rsidP="004D07DF">
      <w:pPr>
        <w:pStyle w:val="ListParagraph"/>
        <w:numPr>
          <w:ilvl w:val="0"/>
          <w:numId w:val="55"/>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екологизиране на националните бюджети на ЕС, т.е. по-добро интегриране на аспектите на околната среда в системата за финансово отчитане, с позоваване на приходите и разходите за опазване на околната среда, програми за данъчна реформа за премахване на субсидиите за изкопаеми горива, насърчаване на приоритетите и инициативите за държавна помощ в областта на околната среда и енергетиката</w:t>
      </w:r>
      <w:r w:rsidR="004D07DF" w:rsidRPr="007375EB">
        <w:rPr>
          <w:rFonts w:eastAsia="Verdana" w:cs="Verdana"/>
          <w:color w:val="000000" w:themeColor="text1"/>
          <w:lang w:val="bg-BG"/>
        </w:rPr>
        <w:t xml:space="preserve">; </w:t>
      </w:r>
    </w:p>
    <w:p w14:paraId="44597C12" w14:textId="77777777" w:rsidR="00FF495F" w:rsidRPr="007375EB" w:rsidRDefault="00FF495F" w:rsidP="004D07DF">
      <w:pPr>
        <w:pStyle w:val="ListParagraph"/>
        <w:numPr>
          <w:ilvl w:val="0"/>
          <w:numId w:val="55"/>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 xml:space="preserve">инвестиране в модернизиране и усъвършенстване на оборудването; </w:t>
      </w:r>
    </w:p>
    <w:p w14:paraId="15E822A7" w14:textId="37F99EF9" w:rsidR="004D07DF" w:rsidRPr="007375EB" w:rsidRDefault="00FF495F" w:rsidP="004D07DF">
      <w:pPr>
        <w:pStyle w:val="ListParagraph"/>
        <w:numPr>
          <w:ilvl w:val="0"/>
          <w:numId w:val="55"/>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подпомагане на научните изследвания и иновациите</w:t>
      </w:r>
      <w:r w:rsidR="004D07DF" w:rsidRPr="007375EB">
        <w:rPr>
          <w:rFonts w:eastAsia="Verdana" w:cs="Verdana"/>
          <w:color w:val="000000" w:themeColor="text1"/>
          <w:lang w:val="bg-BG"/>
        </w:rPr>
        <w:t xml:space="preserve">; </w:t>
      </w:r>
    </w:p>
    <w:p w14:paraId="05861C04" w14:textId="22CBEABD" w:rsidR="004D07DF" w:rsidRPr="007375EB" w:rsidRDefault="00FF495F" w:rsidP="004D07DF">
      <w:pPr>
        <w:pStyle w:val="ListParagraph"/>
        <w:numPr>
          <w:ilvl w:val="0"/>
          <w:numId w:val="55"/>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насърчаване на гражданите на Европейския съюз да използват частната и публичната инфраструктура в хигиенични, достъпни и здравословни условия</w:t>
      </w:r>
      <w:r w:rsidR="004D07DF" w:rsidRPr="007375EB">
        <w:rPr>
          <w:rFonts w:eastAsia="Verdana" w:cs="Verdana"/>
          <w:color w:val="000000" w:themeColor="text1"/>
          <w:lang w:val="bg-BG"/>
        </w:rPr>
        <w:t xml:space="preserve">; </w:t>
      </w:r>
    </w:p>
    <w:p w14:paraId="04ED738A" w14:textId="748AA6FD" w:rsidR="004D07DF" w:rsidRPr="007375EB" w:rsidRDefault="00FF495F" w:rsidP="004D07DF">
      <w:pPr>
        <w:pStyle w:val="ListParagraph"/>
        <w:numPr>
          <w:ilvl w:val="0"/>
          <w:numId w:val="55"/>
        </w:numPr>
        <w:spacing w:after="120" w:line="360" w:lineRule="auto"/>
        <w:jc w:val="both"/>
        <w:rPr>
          <w:rFonts w:eastAsia="Verdana" w:cs="Verdana"/>
          <w:color w:val="000000" w:themeColor="text1"/>
          <w:lang w:val="bg-BG"/>
        </w:rPr>
      </w:pPr>
      <w:r w:rsidRPr="007375EB">
        <w:rPr>
          <w:rFonts w:eastAsia="Verdana" w:cs="Verdana"/>
          <w:b/>
          <w:bCs/>
          <w:color w:val="000000" w:themeColor="text1"/>
          <w:lang w:val="bg-BG"/>
        </w:rPr>
        <w:t>декарбонизиране на енергийния сектор</w:t>
      </w:r>
      <w:r w:rsidR="004D07DF" w:rsidRPr="007375EB">
        <w:rPr>
          <w:rFonts w:eastAsia="Verdana" w:cs="Verdana"/>
          <w:color w:val="000000" w:themeColor="text1"/>
          <w:lang w:val="bg-BG"/>
        </w:rPr>
        <w:t xml:space="preserve">; </w:t>
      </w:r>
    </w:p>
    <w:p w14:paraId="7AF7D658" w14:textId="77777777" w:rsidR="00FF495F" w:rsidRPr="007375EB" w:rsidRDefault="00FF495F" w:rsidP="004D07DF">
      <w:pPr>
        <w:pStyle w:val="ListParagraph"/>
        <w:numPr>
          <w:ilvl w:val="0"/>
          <w:numId w:val="55"/>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 xml:space="preserve">подобряване и повишаване на енергийната ефективност на сградите; </w:t>
      </w:r>
    </w:p>
    <w:p w14:paraId="3CE33432" w14:textId="72BA9520" w:rsidR="00CF4A42" w:rsidRPr="007375EB" w:rsidRDefault="00FF495F" w:rsidP="004D07DF">
      <w:pPr>
        <w:pStyle w:val="ListParagraph"/>
        <w:numPr>
          <w:ilvl w:val="0"/>
          <w:numId w:val="55"/>
        </w:numPr>
        <w:spacing w:after="120" w:line="360" w:lineRule="auto"/>
        <w:jc w:val="both"/>
        <w:rPr>
          <w:rFonts w:eastAsia="Verdana" w:cs="Verdana"/>
          <w:color w:val="000000" w:themeColor="text1"/>
          <w:lang w:val="bg-BG"/>
        </w:rPr>
      </w:pPr>
      <w:r w:rsidRPr="007375EB">
        <w:rPr>
          <w:rFonts w:eastAsia="Verdana" w:cs="Verdana"/>
          <w:color w:val="000000" w:themeColor="text1"/>
          <w:lang w:val="bg-BG"/>
        </w:rPr>
        <w:t>обмен на най-добри практики и международно сътрудничество в областта на изменението на климата</w:t>
      </w:r>
      <w:r w:rsidR="004D07DF" w:rsidRPr="007375EB">
        <w:rPr>
          <w:rFonts w:eastAsia="Verdana" w:cs="Verdana"/>
          <w:color w:val="000000" w:themeColor="text1"/>
          <w:lang w:val="bg-BG"/>
        </w:rPr>
        <w:t>.</w:t>
      </w:r>
    </w:p>
    <w:p w14:paraId="103FBC73" w14:textId="4345A021" w:rsidR="00DC60EF" w:rsidRPr="007375EB" w:rsidRDefault="00FF495F" w:rsidP="0070705A">
      <w:pPr>
        <w:spacing w:after="120" w:line="360" w:lineRule="auto"/>
        <w:jc w:val="both"/>
        <w:rPr>
          <w:lang w:val="bg-BG"/>
        </w:rPr>
      </w:pPr>
      <w:r w:rsidRPr="007375EB">
        <w:rPr>
          <w:lang w:val="bg-BG"/>
        </w:rPr>
        <w:t>Трансформирането на икономиката на ЕС за устойчиво бъдеще изисква дълбоко трансформиращ набор от политики за снабдяване с чиста енергия във всички икономически и промишлени сектори, по цялата верига на производство и потребление, за мащабни инфраструктурни проекти, транспорт, храни и селско стопанство, строителство, данъчно облагане и социални помощи.</w:t>
      </w:r>
    </w:p>
    <w:p w14:paraId="64102FC8" w14:textId="04BE69EC" w:rsidR="00FF495F" w:rsidRPr="007375EB" w:rsidRDefault="00FF495F" w:rsidP="0070705A">
      <w:pPr>
        <w:spacing w:after="120" w:line="360" w:lineRule="auto"/>
        <w:jc w:val="both"/>
        <w:rPr>
          <w:lang w:val="bg-BG"/>
        </w:rPr>
      </w:pPr>
      <w:r w:rsidRPr="007375EB">
        <w:rPr>
          <w:lang w:val="bg-BG"/>
        </w:rPr>
        <w:t xml:space="preserve">По този начин Зеленат пкат насърчава ЕС да поеме по-амбициозна цел за отговорно </w:t>
      </w:r>
      <w:r w:rsidRPr="007375EB">
        <w:rPr>
          <w:b/>
          <w:bCs/>
          <w:lang w:val="bg-BG"/>
        </w:rPr>
        <w:t>намаляване</w:t>
      </w:r>
      <w:r w:rsidRPr="007375EB">
        <w:rPr>
          <w:lang w:val="bg-BG"/>
        </w:rPr>
        <w:t xml:space="preserve"> на </w:t>
      </w:r>
      <w:r w:rsidRPr="007375EB">
        <w:rPr>
          <w:b/>
          <w:bCs/>
          <w:lang w:val="bg-BG"/>
        </w:rPr>
        <w:t>своите емисии на парникови газове</w:t>
      </w:r>
      <w:r w:rsidRPr="007375EB">
        <w:rPr>
          <w:lang w:val="bg-BG"/>
        </w:rPr>
        <w:t xml:space="preserve">, т.е. намаление </w:t>
      </w:r>
      <w:r w:rsidRPr="007375EB">
        <w:rPr>
          <w:b/>
          <w:bCs/>
          <w:lang w:val="bg-BG"/>
        </w:rPr>
        <w:t>от най-малко 50%</w:t>
      </w:r>
      <w:r w:rsidRPr="007375EB">
        <w:rPr>
          <w:lang w:val="bg-BG"/>
        </w:rPr>
        <w:t xml:space="preserve"> </w:t>
      </w:r>
      <w:r w:rsidRPr="007375EB">
        <w:rPr>
          <w:b/>
          <w:bCs/>
          <w:lang w:val="bg-BG"/>
        </w:rPr>
        <w:t>през 2030</w:t>
      </w:r>
      <w:r w:rsidRPr="007375EB">
        <w:rPr>
          <w:lang w:val="bg-BG"/>
        </w:rPr>
        <w:t xml:space="preserve"> г. в сравнение с нивата от 1990 г. и </w:t>
      </w:r>
      <w:r w:rsidRPr="007375EB">
        <w:rPr>
          <w:b/>
          <w:bCs/>
          <w:lang w:val="bg-BG"/>
        </w:rPr>
        <w:t>което клони към 55%.</w:t>
      </w:r>
    </w:p>
    <w:p w14:paraId="52830FE5" w14:textId="018C4283" w:rsidR="00786042" w:rsidRPr="007375EB" w:rsidRDefault="00FF495F" w:rsidP="0070705A">
      <w:pPr>
        <w:spacing w:after="120" w:line="360" w:lineRule="auto"/>
        <w:jc w:val="both"/>
        <w:rPr>
          <w:lang w:val="bg-BG"/>
        </w:rPr>
      </w:pPr>
      <w:r w:rsidRPr="007375EB">
        <w:rPr>
          <w:lang w:val="bg-BG"/>
        </w:rPr>
        <w:t xml:space="preserve">Осигуряването на чиста, сигурна и достъпна енергия чрез </w:t>
      </w:r>
      <w:r w:rsidRPr="007375EB">
        <w:rPr>
          <w:b/>
          <w:bCs/>
          <w:lang w:val="bg-BG"/>
        </w:rPr>
        <w:t>устойчива декарбонизация на енергийната система</w:t>
      </w:r>
      <w:r w:rsidRPr="007375EB">
        <w:rPr>
          <w:lang w:val="bg-BG"/>
        </w:rPr>
        <w:t xml:space="preserve"> - ключова мярка за постигане на целите за климата през 2030 г. и 2050 г. - е свързано с основната цел на </w:t>
      </w:r>
      <w:r w:rsidR="0078389B" w:rsidRPr="007375EB">
        <w:rPr>
          <w:lang w:val="bg-BG"/>
        </w:rPr>
        <w:t>PUZ</w:t>
      </w:r>
      <w:r w:rsidRPr="007375EB">
        <w:rPr>
          <w:lang w:val="bg-BG"/>
        </w:rPr>
        <w:t>: създаването на възобновяем източник за производство на електроенергия. По този начин ще се развие електроенергиен сектор, който ще разчита в голяма степен на възобновяеми енергийни източници, които ще бъдат допълнени от бързото спиране на използването на въглища и декарбонизацията на газа</w:t>
      </w:r>
      <w:r w:rsidR="00497566" w:rsidRPr="007375EB">
        <w:rPr>
          <w:lang w:val="bg-BG"/>
        </w:rPr>
        <w:t xml:space="preserve">. </w:t>
      </w:r>
    </w:p>
    <w:p w14:paraId="67E9D28D" w14:textId="77777777" w:rsidR="00FF495F" w:rsidRPr="007375EB" w:rsidRDefault="00FF495F" w:rsidP="0070705A">
      <w:pPr>
        <w:spacing w:after="120" w:line="360" w:lineRule="auto"/>
        <w:jc w:val="both"/>
        <w:rPr>
          <w:b/>
          <w:bCs/>
          <w:lang w:val="bg-BG"/>
        </w:rPr>
      </w:pPr>
      <w:r w:rsidRPr="007375EB">
        <w:rPr>
          <w:b/>
          <w:bCs/>
          <w:lang w:val="bg-BG"/>
        </w:rPr>
        <w:t xml:space="preserve">Възобновяемите енергийни източници ще играят ключова роля в прехода към чиста енергия. </w:t>
      </w:r>
      <w:r w:rsidRPr="007375EB">
        <w:rPr>
          <w:lang w:val="bg-BG"/>
        </w:rPr>
        <w:t>Интелигентното интегриране на възобновяемите енергийни източници, енергийната ефективност и други устойчиви решения във всички сектори ще спомогне за постигане на декарбонизация при възможно най-ниски разходи.</w:t>
      </w:r>
      <w:r w:rsidRPr="007375EB">
        <w:rPr>
          <w:b/>
          <w:bCs/>
          <w:lang w:val="bg-BG"/>
        </w:rPr>
        <w:t xml:space="preserve"> </w:t>
      </w:r>
    </w:p>
    <w:p w14:paraId="275A5FE2" w14:textId="45712CA6" w:rsidR="00FF495F" w:rsidRPr="007375EB" w:rsidRDefault="00FF495F" w:rsidP="0070705A">
      <w:pPr>
        <w:spacing w:after="120" w:line="360" w:lineRule="auto"/>
        <w:jc w:val="both"/>
        <w:rPr>
          <w:lang w:val="bg-BG"/>
        </w:rPr>
      </w:pPr>
      <w:r w:rsidRPr="007375EB">
        <w:rPr>
          <w:b/>
          <w:bCs/>
          <w:lang w:val="bg-BG"/>
        </w:rPr>
        <w:t xml:space="preserve">Рамка „Климат и енергетика 2030“ </w:t>
      </w:r>
      <w:r w:rsidRPr="007375EB">
        <w:rPr>
          <w:lang w:val="bg-BG"/>
        </w:rPr>
        <w:t xml:space="preserve">– </w:t>
      </w:r>
      <w:r w:rsidRPr="007375EB">
        <w:rPr>
          <w:i/>
          <w:iCs/>
          <w:lang w:val="bg-BG"/>
        </w:rPr>
        <w:t>Определяне на по-амбициозна цел за климата в Европа до 2030 г. Инвестирането в неутрално по отношение на климата бъдеще в интерес на гражданите</w:t>
      </w:r>
      <w:r w:rsidRPr="007375EB">
        <w:rPr>
          <w:lang w:val="bg-BG"/>
        </w:rPr>
        <w:t xml:space="preserve"> има за цел да промени траекторията на намаляване на емисиите, за да се постигне неутралност по отношение на климата до 2050 г.</w:t>
      </w:r>
    </w:p>
    <w:p w14:paraId="15A0FC8F" w14:textId="7BFC08E9" w:rsidR="002D28E7" w:rsidRPr="007375EB" w:rsidRDefault="00FF495F" w:rsidP="0070705A">
      <w:pPr>
        <w:spacing w:after="120" w:line="360" w:lineRule="auto"/>
        <w:jc w:val="both"/>
        <w:rPr>
          <w:lang w:val="bg-BG"/>
        </w:rPr>
      </w:pPr>
      <w:r w:rsidRPr="007375EB">
        <w:rPr>
          <w:lang w:val="bg-BG"/>
        </w:rPr>
        <w:lastRenderedPageBreak/>
        <w:t>Той включва цели и задачи на политиката за периода 2021-2030 г. в широк спектър от сектори (производство на енергия, промишленост, транспорт, сгради, селско стопанство, отпадъци, земеползване и др.</w:t>
      </w:r>
      <w:r w:rsidR="002D28E7" w:rsidRPr="007375EB">
        <w:rPr>
          <w:lang w:val="bg-BG"/>
        </w:rPr>
        <w:t>)</w:t>
      </w:r>
    </w:p>
    <w:p w14:paraId="461A6A38" w14:textId="77777777" w:rsidR="00FF495F" w:rsidRPr="007375EB" w:rsidRDefault="00FF495F" w:rsidP="0070705A">
      <w:pPr>
        <w:spacing w:after="120" w:line="360" w:lineRule="auto"/>
        <w:jc w:val="both"/>
        <w:rPr>
          <w:lang w:val="bg-BG"/>
        </w:rPr>
      </w:pPr>
      <w:r w:rsidRPr="007375EB">
        <w:rPr>
          <w:lang w:val="bg-BG"/>
        </w:rPr>
        <w:t xml:space="preserve">Декарбонизацията както на енергийното предлагане, така и на търсенето е от съществено значение за постигане на неутралност по отношение на климата. Постигането на целта за намаляване на емисиите на парникови газове с 55 % ще доведе до нов и по-екологичен енергиен микс. До 2030 г. потреблението на въглища ще намалее с повече от 70 % в сравнение с 2015 г., на нефт - с повече от 30 %, а на газ - с повече от 25 %, докато </w:t>
      </w:r>
      <w:r w:rsidRPr="007375EB">
        <w:rPr>
          <w:b/>
          <w:bCs/>
          <w:lang w:val="bg-BG"/>
        </w:rPr>
        <w:t>делът на енергията от възобновяеми източници ще се увеличи</w:t>
      </w:r>
      <w:r w:rsidRPr="007375EB">
        <w:rPr>
          <w:lang w:val="bg-BG"/>
        </w:rPr>
        <w:t xml:space="preserve">. До 2030 г. той ще </w:t>
      </w:r>
      <w:r w:rsidRPr="007375EB">
        <w:rPr>
          <w:b/>
          <w:bCs/>
          <w:lang w:val="bg-BG"/>
        </w:rPr>
        <w:t>достигне 38-40 % от брутното крайно потребление</w:t>
      </w:r>
      <w:r w:rsidRPr="007375EB">
        <w:rPr>
          <w:lang w:val="bg-BG"/>
        </w:rPr>
        <w:t>. Като цяло това ще доведе до балансирана траектория към неутралност по отношение на климата до 2050 г.</w:t>
      </w:r>
    </w:p>
    <w:p w14:paraId="7BBB4F79" w14:textId="3D2CA9E4" w:rsidR="0073599C" w:rsidRPr="007375EB" w:rsidRDefault="00FF495F" w:rsidP="0070705A">
      <w:pPr>
        <w:spacing w:after="120" w:line="360" w:lineRule="auto"/>
        <w:jc w:val="both"/>
        <w:rPr>
          <w:lang w:val="bg-BG"/>
        </w:rPr>
      </w:pPr>
      <w:r w:rsidRPr="007375EB">
        <w:rPr>
          <w:b/>
          <w:bCs/>
          <w:lang w:val="bg-BG"/>
        </w:rPr>
        <w:t xml:space="preserve">Законодателният пакет „Готови за 55“ </w:t>
      </w:r>
      <w:r w:rsidRPr="007375EB">
        <w:rPr>
          <w:lang w:val="bg-BG"/>
        </w:rPr>
        <w:t>включва преразглеждане на 13 взаимосвързани законодателни акта и 6 нови законодателни предложения в областта на климата и енергетиката. В него се разглеждат енергийните аспекти на прехода на ЕС към климата чрез две законодателни предложения, насочени към</w:t>
      </w:r>
      <w:r w:rsidR="0073599C" w:rsidRPr="007375EB">
        <w:rPr>
          <w:lang w:val="bg-BG"/>
        </w:rPr>
        <w:t>:</w:t>
      </w:r>
    </w:p>
    <w:p w14:paraId="59E4E88E" w14:textId="77777777" w:rsidR="00FF495F" w:rsidRPr="007375EB" w:rsidRDefault="00FF495F" w:rsidP="0070705A">
      <w:pPr>
        <w:pStyle w:val="ListParagraph"/>
        <w:numPr>
          <w:ilvl w:val="0"/>
          <w:numId w:val="55"/>
        </w:numPr>
        <w:spacing w:after="120" w:line="360" w:lineRule="auto"/>
        <w:contextualSpacing w:val="0"/>
        <w:jc w:val="both"/>
        <w:rPr>
          <w:rFonts w:eastAsia="Verdana" w:cs="Verdana"/>
          <w:color w:val="000000" w:themeColor="text1"/>
          <w:lang w:val="bg-BG"/>
        </w:rPr>
      </w:pPr>
      <w:r w:rsidRPr="007375EB">
        <w:rPr>
          <w:rFonts w:eastAsia="Verdana" w:cs="Verdana"/>
          <w:b/>
          <w:bCs/>
          <w:color w:val="000000" w:themeColor="text1"/>
          <w:lang w:val="bg-BG"/>
        </w:rPr>
        <w:t xml:space="preserve">Директива за енергията от възобновяеми източници и </w:t>
      </w:r>
    </w:p>
    <w:p w14:paraId="764806D3" w14:textId="55328819" w:rsidR="0073599C" w:rsidRPr="007375EB" w:rsidRDefault="00FF495F" w:rsidP="0070705A">
      <w:pPr>
        <w:pStyle w:val="ListParagraph"/>
        <w:numPr>
          <w:ilvl w:val="0"/>
          <w:numId w:val="55"/>
        </w:numPr>
        <w:spacing w:after="120" w:line="360" w:lineRule="auto"/>
        <w:contextualSpacing w:val="0"/>
        <w:jc w:val="both"/>
        <w:rPr>
          <w:rFonts w:eastAsia="Verdana" w:cs="Verdana"/>
          <w:color w:val="000000" w:themeColor="text1"/>
          <w:lang w:val="bg-BG"/>
        </w:rPr>
      </w:pPr>
      <w:r w:rsidRPr="007375EB">
        <w:rPr>
          <w:rFonts w:eastAsia="Verdana" w:cs="Verdana"/>
          <w:color w:val="000000" w:themeColor="text1"/>
          <w:lang w:val="bg-BG"/>
        </w:rPr>
        <w:t>Директива за енергийната ефективност</w:t>
      </w:r>
      <w:r w:rsidR="0073599C" w:rsidRPr="007375EB">
        <w:rPr>
          <w:rFonts w:eastAsia="Verdana" w:cs="Verdana"/>
          <w:color w:val="000000" w:themeColor="text1"/>
          <w:lang w:val="bg-BG"/>
        </w:rPr>
        <w:t>.</w:t>
      </w:r>
    </w:p>
    <w:p w14:paraId="4F925214" w14:textId="77777777" w:rsidR="00FF495F" w:rsidRPr="007375EB" w:rsidRDefault="00FF495F" w:rsidP="0070705A">
      <w:pPr>
        <w:spacing w:after="120" w:line="360" w:lineRule="auto"/>
        <w:jc w:val="both"/>
        <w:rPr>
          <w:lang w:val="bg-BG"/>
        </w:rPr>
      </w:pPr>
      <w:r w:rsidRPr="007375EB">
        <w:rPr>
          <w:lang w:val="bg-BG"/>
        </w:rPr>
        <w:t xml:space="preserve">Новата обвързваща цел за целия ЕС - </w:t>
      </w:r>
      <w:r w:rsidRPr="007375EB">
        <w:rPr>
          <w:b/>
          <w:bCs/>
          <w:lang w:val="bg-BG"/>
        </w:rPr>
        <w:t>42,5% дял на възобновяемите енергийни източници в общия енергиен микс до 2030 г.,</w:t>
      </w:r>
      <w:r w:rsidRPr="007375EB">
        <w:rPr>
          <w:lang w:val="bg-BG"/>
        </w:rPr>
        <w:t xml:space="preserve"> в сравнение с досегашните поне 32%. </w:t>
      </w:r>
    </w:p>
    <w:p w14:paraId="1FFF91A7" w14:textId="7898BF9A" w:rsidR="0073599C" w:rsidRPr="007375EB" w:rsidRDefault="00F66DCC" w:rsidP="0070705A">
      <w:pPr>
        <w:spacing w:after="120" w:line="360" w:lineRule="auto"/>
        <w:jc w:val="both"/>
        <w:rPr>
          <w:lang w:val="bg-BG"/>
        </w:rPr>
      </w:pPr>
      <w:r w:rsidRPr="007375EB">
        <w:rPr>
          <w:lang w:val="bg-BG"/>
        </w:rPr>
        <w:t xml:space="preserve">Съветът определи следните индикативни цели, свързани с предложения </w:t>
      </w:r>
      <w:r w:rsidR="0073599C" w:rsidRPr="007375EB">
        <w:rPr>
          <w:lang w:val="bg-BG"/>
        </w:rPr>
        <w:t>PUZ:</w:t>
      </w:r>
    </w:p>
    <w:p w14:paraId="2A838258" w14:textId="2C75B2B5" w:rsidR="0073599C" w:rsidRPr="007375EB" w:rsidRDefault="00F66DCC" w:rsidP="0041531F">
      <w:pPr>
        <w:pStyle w:val="ListParagraph"/>
        <w:numPr>
          <w:ilvl w:val="0"/>
          <w:numId w:val="76"/>
        </w:numPr>
        <w:spacing w:after="120" w:line="360" w:lineRule="auto"/>
        <w:contextualSpacing w:val="0"/>
        <w:jc w:val="both"/>
        <w:rPr>
          <w:b/>
          <w:bCs/>
          <w:lang w:val="bg-BG"/>
        </w:rPr>
      </w:pPr>
      <w:r w:rsidRPr="007375EB">
        <w:rPr>
          <w:b/>
          <w:bCs/>
          <w:lang w:val="bg-BG"/>
        </w:rPr>
        <w:t>Средно годишно увеличение на използването на възобновяема енергия в промишлеността с 1,1%</w:t>
      </w:r>
      <w:r w:rsidR="0073599C" w:rsidRPr="007375EB">
        <w:rPr>
          <w:b/>
          <w:bCs/>
          <w:lang w:val="bg-BG"/>
        </w:rPr>
        <w:t>.</w:t>
      </w:r>
    </w:p>
    <w:p w14:paraId="122C392C" w14:textId="225C2A67" w:rsidR="0073599C" w:rsidRPr="007375EB" w:rsidRDefault="00F66DCC" w:rsidP="0041531F">
      <w:pPr>
        <w:pStyle w:val="ListParagraph"/>
        <w:numPr>
          <w:ilvl w:val="0"/>
          <w:numId w:val="76"/>
        </w:numPr>
        <w:spacing w:after="120" w:line="360" w:lineRule="auto"/>
        <w:contextualSpacing w:val="0"/>
        <w:jc w:val="both"/>
        <w:rPr>
          <w:lang w:val="bg-BG"/>
        </w:rPr>
      </w:pPr>
      <w:r w:rsidRPr="007375EB">
        <w:rPr>
          <w:b/>
          <w:bCs/>
          <w:lang w:val="bg-BG"/>
        </w:rPr>
        <w:t>най-малко 49% дял на енергията от възобновяеми източници в сградите през 2030 г.</w:t>
      </w:r>
    </w:p>
    <w:p w14:paraId="4CEA73EF" w14:textId="734BCB76" w:rsidR="00D4317B" w:rsidRPr="007375EB" w:rsidRDefault="00F66DCC" w:rsidP="0070705A">
      <w:pPr>
        <w:spacing w:after="120" w:line="360" w:lineRule="auto"/>
        <w:jc w:val="both"/>
        <w:rPr>
          <w:lang w:val="bg-BG"/>
        </w:rPr>
      </w:pPr>
      <w:r w:rsidRPr="007375EB">
        <w:rPr>
          <w:lang w:val="bg-BG"/>
        </w:rPr>
        <w:t xml:space="preserve">Съветът включи ускорени процедури за разрешаване на проекти за възобновяема енергия в съответствие с приоритетите на плана </w:t>
      </w:r>
      <w:r w:rsidR="0073599C" w:rsidRPr="007375EB">
        <w:rPr>
          <w:lang w:val="bg-BG"/>
        </w:rPr>
        <w:t>RePowerEU.</w:t>
      </w:r>
    </w:p>
    <w:p w14:paraId="6943B787" w14:textId="35CD1A9C" w:rsidR="009B575B" w:rsidRPr="007375EB" w:rsidRDefault="00F66DCC" w:rsidP="0070705A">
      <w:pPr>
        <w:spacing w:after="120" w:line="360" w:lineRule="auto"/>
        <w:jc w:val="both"/>
        <w:rPr>
          <w:lang w:val="bg-BG"/>
        </w:rPr>
      </w:pPr>
      <w:r w:rsidRPr="007375EB">
        <w:rPr>
          <w:lang w:val="bg-BG"/>
        </w:rPr>
        <w:t>Планът REPowerEU има за цел бързо да намали зависимостта на Европа от изкопаемите горива от Русия, като ускори прехода към чиста енергия и работи съвместно за изграждането на по-устойчива енергийна система и истински енергиен съюз. Той въвежда допълнителен набор от действия за</w:t>
      </w:r>
      <w:r w:rsidR="009B575B" w:rsidRPr="007375EB">
        <w:rPr>
          <w:lang w:val="bg-BG"/>
        </w:rPr>
        <w:t>:</w:t>
      </w:r>
    </w:p>
    <w:p w14:paraId="65E49832" w14:textId="326A1CF0" w:rsidR="009B575B" w:rsidRPr="007375EB" w:rsidRDefault="00F66DCC" w:rsidP="0070705A">
      <w:pPr>
        <w:pStyle w:val="ListParagraph"/>
        <w:numPr>
          <w:ilvl w:val="0"/>
          <w:numId w:val="55"/>
        </w:numPr>
        <w:spacing w:after="120" w:line="360" w:lineRule="auto"/>
        <w:contextualSpacing w:val="0"/>
        <w:jc w:val="both"/>
        <w:rPr>
          <w:rFonts w:eastAsia="Verdana" w:cs="Verdana"/>
          <w:color w:val="000000" w:themeColor="text1"/>
          <w:lang w:val="bg-BG"/>
        </w:rPr>
      </w:pPr>
      <w:r w:rsidRPr="007375EB">
        <w:rPr>
          <w:rFonts w:eastAsia="Verdana" w:cs="Verdana"/>
          <w:color w:val="000000" w:themeColor="text1"/>
          <w:lang w:val="bg-BG"/>
        </w:rPr>
        <w:t>пестене на енергия</w:t>
      </w:r>
      <w:r w:rsidR="009B575B" w:rsidRPr="007375EB">
        <w:rPr>
          <w:rFonts w:eastAsia="Verdana" w:cs="Verdana"/>
          <w:color w:val="000000" w:themeColor="text1"/>
          <w:lang w:val="bg-BG"/>
        </w:rPr>
        <w:t>;</w:t>
      </w:r>
    </w:p>
    <w:p w14:paraId="6EE8118F" w14:textId="77777777" w:rsidR="00B61C18" w:rsidRPr="007375EB" w:rsidRDefault="00B61C18" w:rsidP="0070705A">
      <w:pPr>
        <w:pStyle w:val="ListParagraph"/>
        <w:numPr>
          <w:ilvl w:val="0"/>
          <w:numId w:val="55"/>
        </w:numPr>
        <w:spacing w:after="120" w:line="360" w:lineRule="auto"/>
        <w:contextualSpacing w:val="0"/>
        <w:jc w:val="both"/>
        <w:rPr>
          <w:rFonts w:eastAsia="Verdana" w:cs="Verdana"/>
          <w:color w:val="000000" w:themeColor="text1"/>
          <w:lang w:val="bg-BG"/>
        </w:rPr>
      </w:pPr>
      <w:r w:rsidRPr="007375EB">
        <w:rPr>
          <w:rFonts w:eastAsia="Verdana" w:cs="Verdana"/>
          <w:color w:val="000000" w:themeColor="text1"/>
          <w:lang w:val="bg-BG"/>
        </w:rPr>
        <w:t xml:space="preserve">разнообразяване на доставките; </w:t>
      </w:r>
    </w:p>
    <w:p w14:paraId="3AD7B449" w14:textId="77777777" w:rsidR="00B61C18" w:rsidRPr="007375EB" w:rsidRDefault="00B61C18" w:rsidP="0070705A">
      <w:pPr>
        <w:pStyle w:val="ListParagraph"/>
        <w:numPr>
          <w:ilvl w:val="0"/>
          <w:numId w:val="55"/>
        </w:numPr>
        <w:spacing w:after="120" w:line="360" w:lineRule="auto"/>
        <w:contextualSpacing w:val="0"/>
        <w:jc w:val="both"/>
        <w:rPr>
          <w:rFonts w:eastAsia="Verdana" w:cs="Verdana"/>
          <w:color w:val="000000" w:themeColor="text1"/>
          <w:lang w:val="bg-BG"/>
        </w:rPr>
      </w:pPr>
      <w:r w:rsidRPr="007375EB">
        <w:rPr>
          <w:rFonts w:eastAsia="Verdana" w:cs="Verdana"/>
          <w:color w:val="000000" w:themeColor="text1"/>
          <w:lang w:val="bg-BG"/>
        </w:rPr>
        <w:t xml:space="preserve">бързо заместване на изкопаемите горива чрез ускоряване на прехода на Европа към чиста енергия; </w:t>
      </w:r>
    </w:p>
    <w:p w14:paraId="01696187" w14:textId="09AC8785" w:rsidR="009B575B" w:rsidRPr="007375EB" w:rsidRDefault="00B61C18" w:rsidP="0070705A">
      <w:pPr>
        <w:pStyle w:val="ListParagraph"/>
        <w:numPr>
          <w:ilvl w:val="0"/>
          <w:numId w:val="55"/>
        </w:numPr>
        <w:spacing w:after="120" w:line="360" w:lineRule="auto"/>
        <w:contextualSpacing w:val="0"/>
        <w:jc w:val="both"/>
        <w:rPr>
          <w:rFonts w:eastAsia="Verdana" w:cs="Verdana"/>
          <w:color w:val="000000" w:themeColor="text1"/>
          <w:lang w:val="bg-BG"/>
        </w:rPr>
      </w:pPr>
      <w:r w:rsidRPr="007375EB">
        <w:rPr>
          <w:rFonts w:eastAsia="Verdana" w:cs="Verdana"/>
          <w:color w:val="000000" w:themeColor="text1"/>
          <w:lang w:val="bg-BG"/>
        </w:rPr>
        <w:t>съчетаване на интелигентни инвестиции и реформи</w:t>
      </w:r>
      <w:r w:rsidR="009B575B" w:rsidRPr="007375EB">
        <w:rPr>
          <w:rFonts w:eastAsia="Verdana" w:cs="Verdana"/>
          <w:color w:val="000000" w:themeColor="text1"/>
          <w:lang w:val="bg-BG"/>
        </w:rPr>
        <w:t>.</w:t>
      </w:r>
    </w:p>
    <w:p w14:paraId="12C2BC67" w14:textId="28CA0E6A" w:rsidR="000B650D" w:rsidRPr="007375EB" w:rsidRDefault="00B61C18" w:rsidP="0070705A">
      <w:pPr>
        <w:spacing w:after="120" w:line="360" w:lineRule="auto"/>
        <w:jc w:val="both"/>
        <w:rPr>
          <w:lang w:val="bg-BG"/>
        </w:rPr>
      </w:pPr>
      <w:r w:rsidRPr="007375EB">
        <w:rPr>
          <w:lang w:val="bg-BG"/>
        </w:rPr>
        <w:t xml:space="preserve">В плана се предлага </w:t>
      </w:r>
      <w:r w:rsidRPr="007375EB">
        <w:rPr>
          <w:b/>
          <w:bCs/>
          <w:lang w:val="bg-BG"/>
        </w:rPr>
        <w:t>целта на Директивата за енергията от възобновяеми източници за 2030 г. да се увеличи до 45%.</w:t>
      </w:r>
    </w:p>
    <w:p w14:paraId="0387FA51" w14:textId="77777777" w:rsidR="00B61C18" w:rsidRPr="007375EB" w:rsidRDefault="00B61C18" w:rsidP="0019394E">
      <w:pPr>
        <w:spacing w:after="120" w:line="360" w:lineRule="auto"/>
        <w:jc w:val="both"/>
        <w:rPr>
          <w:lang w:val="bg-BG"/>
        </w:rPr>
      </w:pPr>
      <w:r w:rsidRPr="007375EB">
        <w:rPr>
          <w:lang w:val="bg-BG"/>
        </w:rPr>
        <w:lastRenderedPageBreak/>
        <w:t xml:space="preserve">Като член на Европейския съюз Румъния се присъединява към общите усилия за неутралност по отношение на климата, като интегрира целите, определени на европейско равнище, в националното законодателство. </w:t>
      </w:r>
    </w:p>
    <w:p w14:paraId="615E0E20" w14:textId="05B81EF3" w:rsidR="0019394E" w:rsidRPr="007375EB" w:rsidRDefault="00B61C18" w:rsidP="0019394E">
      <w:pPr>
        <w:spacing w:after="120" w:line="360" w:lineRule="auto"/>
        <w:jc w:val="both"/>
        <w:rPr>
          <w:lang w:val="bg-BG"/>
        </w:rPr>
      </w:pPr>
      <w:r w:rsidRPr="007375EB">
        <w:rPr>
          <w:lang w:val="bg-BG"/>
        </w:rPr>
        <w:t xml:space="preserve">Първите стъпки бяха предприети чрез </w:t>
      </w:r>
      <w:r w:rsidRPr="007375EB">
        <w:rPr>
          <w:b/>
          <w:bCs/>
          <w:lang w:val="bg-BG"/>
        </w:rPr>
        <w:t>Енергийната стратегия на Румъния за периода 2007-2020</w:t>
      </w:r>
      <w:r w:rsidRPr="007375EB">
        <w:rPr>
          <w:lang w:val="bg-BG"/>
        </w:rPr>
        <w:t xml:space="preserve"> г., чиято обща цел е задоволяване на енергийните нужди, както сега, така и в средносрочен и дългосрочен план, на възможно най-ниска цена, подходяща за модерна пазарна икономика и цивилизован стандарт на живот, при условия на качество, сигурност на доставките и в съответствие с принципите на устойчивото развитие</w:t>
      </w:r>
      <w:r w:rsidR="0019394E" w:rsidRPr="007375EB">
        <w:rPr>
          <w:lang w:val="bg-BG"/>
        </w:rPr>
        <w:t>.</w:t>
      </w:r>
    </w:p>
    <w:p w14:paraId="0419A3A1" w14:textId="77777777" w:rsidR="00B61C18" w:rsidRPr="007375EB" w:rsidRDefault="00B61C18" w:rsidP="0019394E">
      <w:pPr>
        <w:spacing w:after="120" w:line="360" w:lineRule="auto"/>
        <w:jc w:val="both"/>
        <w:rPr>
          <w:lang w:val="bg-BG"/>
        </w:rPr>
      </w:pPr>
      <w:r w:rsidRPr="007375EB">
        <w:rPr>
          <w:lang w:val="bg-BG"/>
        </w:rPr>
        <w:t>Стратегическата цел „</w:t>
      </w:r>
      <w:r w:rsidRPr="007375EB">
        <w:rPr>
          <w:i/>
          <w:iCs/>
          <w:lang w:val="bg-BG"/>
        </w:rPr>
        <w:t>Енергийна сигурност</w:t>
      </w:r>
      <w:r w:rsidRPr="007375EB">
        <w:rPr>
          <w:lang w:val="bg-BG"/>
        </w:rPr>
        <w:t>“ е да се повиши енергийната сигурност чрез осигуряване на нуждите от енергийни ресурси и ограничаване на зависимостта от вносни енергийни ресурси, а стратегическата цел „</w:t>
      </w:r>
      <w:r w:rsidRPr="007375EB">
        <w:rPr>
          <w:i/>
          <w:iCs/>
          <w:lang w:val="bg-BG"/>
        </w:rPr>
        <w:t>Устойчиво развитие</w:t>
      </w:r>
      <w:r w:rsidRPr="007375EB">
        <w:rPr>
          <w:lang w:val="bg-BG"/>
        </w:rPr>
        <w:t xml:space="preserve">“ е да се </w:t>
      </w:r>
      <w:r w:rsidRPr="007375EB">
        <w:rPr>
          <w:b/>
          <w:bCs/>
          <w:lang w:val="bg-BG"/>
        </w:rPr>
        <w:t>насърчи производството на енергия от възобновяеми източници</w:t>
      </w:r>
      <w:r w:rsidRPr="007375EB">
        <w:rPr>
          <w:lang w:val="bg-BG"/>
        </w:rPr>
        <w:t>.</w:t>
      </w:r>
    </w:p>
    <w:p w14:paraId="40A04802" w14:textId="510E91AF" w:rsidR="00FA4D6C" w:rsidRPr="007375EB" w:rsidRDefault="00B61C18" w:rsidP="006E5B3F">
      <w:pPr>
        <w:spacing w:after="120" w:line="360" w:lineRule="auto"/>
        <w:jc w:val="both"/>
        <w:rPr>
          <w:lang w:val="bg-BG"/>
        </w:rPr>
      </w:pPr>
      <w:r w:rsidRPr="007375EB">
        <w:rPr>
          <w:lang w:val="bg-BG"/>
        </w:rPr>
        <w:t xml:space="preserve">Според проучванията, на които се основава стратегията, теоретичният годишен потенциал на Румъния за вятърна енергия се оценява на 1,2 ТВтч, а районът на </w:t>
      </w:r>
      <w:r w:rsidRPr="007375EB">
        <w:rPr>
          <w:b/>
          <w:bCs/>
          <w:lang w:val="bg-BG"/>
        </w:rPr>
        <w:t>Добруджа е категоризиран като притежаващ потенциал за слънчева и вятърна енергия</w:t>
      </w:r>
      <w:r w:rsidRPr="007375EB">
        <w:rPr>
          <w:lang w:val="bg-BG"/>
        </w:rPr>
        <w:t>.</w:t>
      </w:r>
    </w:p>
    <w:p w14:paraId="051FEDA9" w14:textId="77777777" w:rsidR="00B61C18" w:rsidRPr="007375EB" w:rsidRDefault="00B61C18" w:rsidP="00D721C7">
      <w:pPr>
        <w:spacing w:after="120" w:line="360" w:lineRule="auto"/>
        <w:jc w:val="both"/>
        <w:rPr>
          <w:lang w:val="bg-BG"/>
        </w:rPr>
      </w:pPr>
      <w:r w:rsidRPr="007375EB">
        <w:rPr>
          <w:b/>
          <w:bCs/>
          <w:lang w:val="bg-BG"/>
        </w:rPr>
        <w:t xml:space="preserve">Енергийната стратегия на Румъния за периода 2022-2030 г., с перспектива до 2050 г., </w:t>
      </w:r>
      <w:r w:rsidRPr="007375EB">
        <w:rPr>
          <w:lang w:val="bg-BG"/>
        </w:rPr>
        <w:t>е в процес на приемане и има осем основни стратегически цели, които структурират целия подход за анализ и планиране за периода 2022-2030 г. и времевия хоризонт до 2050 г.</w:t>
      </w:r>
    </w:p>
    <w:p w14:paraId="4CFE8C32" w14:textId="0E8D9594" w:rsidR="00D721C7" w:rsidRPr="007375EB" w:rsidRDefault="00B61C18" w:rsidP="00D721C7">
      <w:pPr>
        <w:spacing w:after="120" w:line="360" w:lineRule="auto"/>
        <w:jc w:val="both"/>
        <w:rPr>
          <w:lang w:val="bg-BG"/>
        </w:rPr>
      </w:pPr>
      <w:r w:rsidRPr="007375EB">
        <w:rPr>
          <w:lang w:val="bg-BG"/>
        </w:rPr>
        <w:t>Целите на стратегията са в подкрепа на реализирането на националните цели за 2030 г.</w:t>
      </w:r>
      <w:r w:rsidR="00D721C7" w:rsidRPr="007375EB">
        <w:rPr>
          <w:lang w:val="bg-BG"/>
        </w:rPr>
        <w:t>:</w:t>
      </w:r>
    </w:p>
    <w:p w14:paraId="5C5548E9" w14:textId="121E04A2" w:rsidR="00D721C7" w:rsidRPr="007375EB" w:rsidRDefault="00D721C7" w:rsidP="005A3AC3">
      <w:pPr>
        <w:pStyle w:val="ListParagraph"/>
        <w:numPr>
          <w:ilvl w:val="0"/>
          <w:numId w:val="55"/>
        </w:numPr>
        <w:spacing w:after="120" w:line="360" w:lineRule="auto"/>
        <w:contextualSpacing w:val="0"/>
        <w:jc w:val="both"/>
        <w:rPr>
          <w:rFonts w:eastAsia="Verdana" w:cs="Verdana"/>
          <w:color w:val="000000" w:themeColor="text1"/>
          <w:lang w:val="bg-BG"/>
        </w:rPr>
      </w:pPr>
      <w:r w:rsidRPr="007375EB">
        <w:rPr>
          <w:rFonts w:eastAsia="Verdana" w:cs="Verdana"/>
          <w:color w:val="000000" w:themeColor="text1"/>
          <w:lang w:val="bg-BG"/>
        </w:rPr>
        <w:t xml:space="preserve">43,9% </w:t>
      </w:r>
      <w:r w:rsidR="00B61C18" w:rsidRPr="007375EB">
        <w:rPr>
          <w:rFonts w:eastAsia="Verdana" w:cs="Verdana"/>
          <w:color w:val="000000" w:themeColor="text1"/>
          <w:lang w:val="bg-BG"/>
        </w:rPr>
        <w:t>намаление на емисиите от секторите, обхванати от СТЕ, в сравнение с 2005 г. и 2 % намаление на емисиите от секторите, които не са обхванати от СТЕ, в сравнение с 2005 г.</w:t>
      </w:r>
      <w:r w:rsidRPr="007375EB">
        <w:rPr>
          <w:rFonts w:eastAsia="Verdana" w:cs="Verdana"/>
          <w:color w:val="000000" w:themeColor="text1"/>
          <w:lang w:val="bg-BG"/>
        </w:rPr>
        <w:t>;</w:t>
      </w:r>
    </w:p>
    <w:p w14:paraId="4EDAEEF5" w14:textId="3EDC90FF" w:rsidR="00D721C7" w:rsidRPr="007375EB" w:rsidRDefault="00D721C7" w:rsidP="005A3AC3">
      <w:pPr>
        <w:pStyle w:val="ListParagraph"/>
        <w:numPr>
          <w:ilvl w:val="0"/>
          <w:numId w:val="55"/>
        </w:numPr>
        <w:spacing w:after="120" w:line="360" w:lineRule="auto"/>
        <w:contextualSpacing w:val="0"/>
        <w:jc w:val="both"/>
        <w:rPr>
          <w:rFonts w:eastAsia="Verdana" w:cs="Verdana"/>
          <w:color w:val="000000" w:themeColor="text1"/>
          <w:lang w:val="bg-BG"/>
        </w:rPr>
      </w:pPr>
      <w:r w:rsidRPr="007375EB">
        <w:rPr>
          <w:rFonts w:eastAsia="Verdana" w:cs="Verdana"/>
          <w:b/>
          <w:bCs/>
          <w:color w:val="000000" w:themeColor="text1"/>
          <w:lang w:val="bg-BG"/>
        </w:rPr>
        <w:t xml:space="preserve">30,7 % </w:t>
      </w:r>
      <w:r w:rsidR="00B61C18" w:rsidRPr="007375EB">
        <w:rPr>
          <w:rFonts w:eastAsia="Verdana" w:cs="Verdana"/>
          <w:b/>
          <w:bCs/>
          <w:color w:val="000000" w:themeColor="text1"/>
          <w:lang w:val="bg-BG"/>
        </w:rPr>
        <w:t>дял на енергията от възобновяеми източници в брутното крайно потребление на енергия</w:t>
      </w:r>
      <w:r w:rsidRPr="007375EB">
        <w:rPr>
          <w:rFonts w:eastAsia="Verdana" w:cs="Verdana"/>
          <w:color w:val="000000" w:themeColor="text1"/>
          <w:lang w:val="bg-BG"/>
        </w:rPr>
        <w:t>;</w:t>
      </w:r>
    </w:p>
    <w:p w14:paraId="288DCDF8" w14:textId="302F0E10" w:rsidR="00CC7CE1" w:rsidRPr="007375EB" w:rsidRDefault="00D721C7" w:rsidP="005A3AC3">
      <w:pPr>
        <w:pStyle w:val="ListParagraph"/>
        <w:numPr>
          <w:ilvl w:val="0"/>
          <w:numId w:val="55"/>
        </w:numPr>
        <w:spacing w:after="120" w:line="360" w:lineRule="auto"/>
        <w:contextualSpacing w:val="0"/>
        <w:jc w:val="both"/>
        <w:rPr>
          <w:rFonts w:eastAsia="Verdana" w:cs="Verdana"/>
          <w:color w:val="000000" w:themeColor="text1"/>
          <w:lang w:val="bg-BG"/>
        </w:rPr>
      </w:pPr>
      <w:r w:rsidRPr="007375EB">
        <w:rPr>
          <w:rFonts w:eastAsia="Verdana" w:cs="Verdana"/>
          <w:color w:val="000000" w:themeColor="text1"/>
          <w:lang w:val="bg-BG"/>
        </w:rPr>
        <w:t xml:space="preserve">40,4% </w:t>
      </w:r>
      <w:r w:rsidR="00B61C18" w:rsidRPr="007375EB">
        <w:rPr>
          <w:rFonts w:eastAsia="Verdana" w:cs="Verdana"/>
          <w:color w:val="000000" w:themeColor="text1"/>
          <w:lang w:val="bg-BG"/>
        </w:rPr>
        <w:t>намаляване на крайното потребление на енергия в сравнение с прогнозата на PRIMES 2007</w:t>
      </w:r>
      <w:r w:rsidRPr="007375EB">
        <w:rPr>
          <w:rFonts w:eastAsia="Verdana" w:cs="Verdana"/>
          <w:color w:val="000000" w:themeColor="text1"/>
          <w:lang w:val="bg-BG"/>
        </w:rPr>
        <w:t>.</w:t>
      </w:r>
    </w:p>
    <w:p w14:paraId="65AC424E" w14:textId="7F6E8CE0" w:rsidR="004522AF" w:rsidRPr="007375EB" w:rsidRDefault="00B61C18" w:rsidP="006E5B3F">
      <w:pPr>
        <w:spacing w:after="120" w:line="360" w:lineRule="auto"/>
        <w:jc w:val="both"/>
        <w:rPr>
          <w:lang w:val="bg-BG"/>
        </w:rPr>
      </w:pPr>
      <w:r w:rsidRPr="007375EB">
        <w:rPr>
          <w:lang w:val="bg-BG"/>
        </w:rPr>
        <w:t xml:space="preserve">Като задължение на Стратегията за енергиен съюз, през 2021 г. Румъния прие </w:t>
      </w:r>
      <w:r w:rsidRPr="007375EB">
        <w:rPr>
          <w:b/>
          <w:bCs/>
          <w:lang w:val="bg-BG"/>
        </w:rPr>
        <w:t>Националния интегриран план в областта на енергетиката и изменението на климата за периода 2021-2030 г.,</w:t>
      </w:r>
      <w:r w:rsidRPr="007375EB">
        <w:rPr>
          <w:lang w:val="bg-BG"/>
        </w:rPr>
        <w:t xml:space="preserve"> в който се определят националните цели и приносът към осъществяването на целите на ЕС в областта на изменението на климата</w:t>
      </w:r>
      <w:r w:rsidR="004203D2" w:rsidRPr="007375EB">
        <w:rPr>
          <w:lang w:val="bg-BG"/>
        </w:rPr>
        <w:t xml:space="preserve">. </w:t>
      </w:r>
    </w:p>
    <w:p w14:paraId="70C0E6FB" w14:textId="10E37003" w:rsidR="006553A4" w:rsidRPr="007375EB" w:rsidRDefault="00B61C18" w:rsidP="006553A4">
      <w:pPr>
        <w:spacing w:after="120" w:line="360" w:lineRule="auto"/>
        <w:jc w:val="both"/>
        <w:rPr>
          <w:lang w:val="bg-BG"/>
        </w:rPr>
      </w:pPr>
      <w:r w:rsidRPr="007375EB">
        <w:rPr>
          <w:lang w:val="bg-BG"/>
        </w:rPr>
        <w:t>По този начин нивото на амбиция за дял на енергията от възобновяеми източници е 30,7% през 2030 г., което предполага допълнителни ВЕИ мощности от около 6,9 GW в сравнение с 2015 г. и са предвидени мерки за развитие на нови ВЕИ мощности и интеграция с други пазари в региона</w:t>
      </w:r>
      <w:r w:rsidR="006553A4" w:rsidRPr="007375EB">
        <w:rPr>
          <w:lang w:val="bg-BG"/>
        </w:rPr>
        <w:t xml:space="preserve">. </w:t>
      </w:r>
    </w:p>
    <w:p w14:paraId="336A1CC7" w14:textId="42C04A61" w:rsidR="006553A4" w:rsidRPr="007375EB" w:rsidRDefault="00045108" w:rsidP="006553A4">
      <w:pPr>
        <w:spacing w:after="120" w:line="360" w:lineRule="auto"/>
        <w:jc w:val="both"/>
        <w:rPr>
          <w:lang w:val="bg-BG"/>
        </w:rPr>
      </w:pPr>
      <w:r w:rsidRPr="007375EB">
        <w:rPr>
          <w:lang w:val="bg-BG"/>
        </w:rPr>
        <w:t>Декарбонизация на енергийния сектор чрез постигане на цели за възобновяема енергия в брутното крайно потребление на електроенергия, както следва</w:t>
      </w:r>
      <w:r w:rsidR="006553A4" w:rsidRPr="007375EB">
        <w:rPr>
          <w:lang w:val="bg-BG"/>
        </w:rPr>
        <w:t>:</w:t>
      </w:r>
    </w:p>
    <w:p w14:paraId="08DEBFDC" w14:textId="0FD7D4AA" w:rsidR="006553A4" w:rsidRPr="007375EB" w:rsidRDefault="006553A4" w:rsidP="00240A0E">
      <w:pPr>
        <w:pStyle w:val="ListParagraph"/>
        <w:numPr>
          <w:ilvl w:val="0"/>
          <w:numId w:val="55"/>
        </w:numPr>
        <w:spacing w:after="120" w:line="360" w:lineRule="auto"/>
        <w:contextualSpacing w:val="0"/>
        <w:jc w:val="both"/>
        <w:rPr>
          <w:rFonts w:eastAsia="Verdana" w:cs="Verdana"/>
          <w:color w:val="000000" w:themeColor="text1"/>
          <w:lang w:val="bg-BG"/>
        </w:rPr>
      </w:pPr>
      <w:r w:rsidRPr="007375EB">
        <w:rPr>
          <w:rFonts w:eastAsia="Verdana" w:cs="Verdana"/>
          <w:color w:val="000000" w:themeColor="text1"/>
          <w:lang w:val="bg-BG"/>
        </w:rPr>
        <w:t xml:space="preserve">564,6 ktep </w:t>
      </w:r>
      <w:r w:rsidR="00045108" w:rsidRPr="007375EB">
        <w:rPr>
          <w:rFonts w:eastAsia="Verdana" w:cs="Verdana"/>
          <w:color w:val="000000" w:themeColor="text1"/>
          <w:lang w:val="bg-BG"/>
        </w:rPr>
        <w:t>през</w:t>
      </w:r>
      <w:r w:rsidRPr="007375EB">
        <w:rPr>
          <w:rFonts w:eastAsia="Verdana" w:cs="Verdana"/>
          <w:color w:val="000000" w:themeColor="text1"/>
          <w:lang w:val="bg-BG"/>
        </w:rPr>
        <w:t xml:space="preserve"> 2020</w:t>
      </w:r>
      <w:r w:rsidR="00045108" w:rsidRPr="007375EB">
        <w:rPr>
          <w:rFonts w:eastAsia="Verdana" w:cs="Verdana"/>
          <w:color w:val="000000" w:themeColor="text1"/>
          <w:lang w:val="bg-BG"/>
        </w:rPr>
        <w:t xml:space="preserve"> г.</w:t>
      </w:r>
      <w:r w:rsidRPr="007375EB">
        <w:rPr>
          <w:rFonts w:eastAsia="Verdana" w:cs="Verdana"/>
          <w:color w:val="000000" w:themeColor="text1"/>
          <w:lang w:val="bg-BG"/>
        </w:rPr>
        <w:t>;</w:t>
      </w:r>
    </w:p>
    <w:p w14:paraId="64730BEC" w14:textId="5230DACE" w:rsidR="006553A4" w:rsidRPr="007375EB" w:rsidRDefault="006553A4" w:rsidP="00240A0E">
      <w:pPr>
        <w:pStyle w:val="ListParagraph"/>
        <w:numPr>
          <w:ilvl w:val="0"/>
          <w:numId w:val="55"/>
        </w:numPr>
        <w:spacing w:after="120" w:line="360" w:lineRule="auto"/>
        <w:contextualSpacing w:val="0"/>
        <w:jc w:val="both"/>
        <w:rPr>
          <w:rFonts w:eastAsia="Verdana" w:cs="Verdana"/>
          <w:color w:val="000000" w:themeColor="text1"/>
          <w:lang w:val="bg-BG"/>
        </w:rPr>
      </w:pPr>
      <w:r w:rsidRPr="007375EB">
        <w:rPr>
          <w:rFonts w:eastAsia="Verdana" w:cs="Verdana"/>
          <w:color w:val="000000" w:themeColor="text1"/>
          <w:lang w:val="bg-BG"/>
        </w:rPr>
        <w:t xml:space="preserve">828,8 ktep </w:t>
      </w:r>
      <w:r w:rsidR="00045108" w:rsidRPr="007375EB">
        <w:rPr>
          <w:rFonts w:eastAsia="Verdana" w:cs="Verdana"/>
          <w:color w:val="000000" w:themeColor="text1"/>
          <w:lang w:val="bg-BG"/>
        </w:rPr>
        <w:t>през</w:t>
      </w:r>
      <w:r w:rsidRPr="007375EB">
        <w:rPr>
          <w:rFonts w:eastAsia="Verdana" w:cs="Verdana"/>
          <w:color w:val="000000" w:themeColor="text1"/>
          <w:lang w:val="bg-BG"/>
        </w:rPr>
        <w:t xml:space="preserve"> 2025</w:t>
      </w:r>
      <w:r w:rsidR="00045108" w:rsidRPr="007375EB">
        <w:rPr>
          <w:rFonts w:eastAsia="Verdana" w:cs="Verdana"/>
          <w:color w:val="000000" w:themeColor="text1"/>
          <w:lang w:val="bg-BG"/>
        </w:rPr>
        <w:t xml:space="preserve"> г.</w:t>
      </w:r>
      <w:r w:rsidRPr="007375EB">
        <w:rPr>
          <w:rFonts w:eastAsia="Verdana" w:cs="Verdana"/>
          <w:color w:val="000000" w:themeColor="text1"/>
          <w:lang w:val="bg-BG"/>
        </w:rPr>
        <w:t>;</w:t>
      </w:r>
    </w:p>
    <w:p w14:paraId="2C9D54FF" w14:textId="24E54DE0" w:rsidR="006553A4" w:rsidRPr="007375EB" w:rsidRDefault="006553A4" w:rsidP="00240A0E">
      <w:pPr>
        <w:pStyle w:val="ListParagraph"/>
        <w:numPr>
          <w:ilvl w:val="0"/>
          <w:numId w:val="55"/>
        </w:numPr>
        <w:spacing w:after="120" w:line="360" w:lineRule="auto"/>
        <w:contextualSpacing w:val="0"/>
        <w:jc w:val="both"/>
        <w:rPr>
          <w:rFonts w:eastAsia="Verdana" w:cs="Verdana"/>
          <w:color w:val="000000" w:themeColor="text1"/>
          <w:lang w:val="bg-BG"/>
        </w:rPr>
      </w:pPr>
      <w:r w:rsidRPr="007375EB">
        <w:rPr>
          <w:rFonts w:eastAsia="Verdana" w:cs="Verdana"/>
          <w:color w:val="000000" w:themeColor="text1"/>
          <w:lang w:val="bg-BG"/>
        </w:rPr>
        <w:lastRenderedPageBreak/>
        <w:t xml:space="preserve">1004,9 ktep </w:t>
      </w:r>
      <w:r w:rsidR="00045108" w:rsidRPr="007375EB">
        <w:rPr>
          <w:rFonts w:eastAsia="Verdana" w:cs="Verdana"/>
          <w:color w:val="000000" w:themeColor="text1"/>
          <w:lang w:val="bg-BG"/>
        </w:rPr>
        <w:t>през</w:t>
      </w:r>
      <w:r w:rsidRPr="007375EB">
        <w:rPr>
          <w:rFonts w:eastAsia="Verdana" w:cs="Verdana"/>
          <w:color w:val="000000" w:themeColor="text1"/>
          <w:lang w:val="bg-BG"/>
        </w:rPr>
        <w:t xml:space="preserve"> 2030</w:t>
      </w:r>
      <w:r w:rsidR="00045108" w:rsidRPr="007375EB">
        <w:rPr>
          <w:rFonts w:eastAsia="Verdana" w:cs="Verdana"/>
          <w:color w:val="000000" w:themeColor="text1"/>
          <w:lang w:val="bg-BG"/>
        </w:rPr>
        <w:t xml:space="preserve"> г</w:t>
      </w:r>
      <w:r w:rsidRPr="007375EB">
        <w:rPr>
          <w:rFonts w:eastAsia="Verdana" w:cs="Verdana"/>
          <w:color w:val="000000" w:themeColor="text1"/>
          <w:lang w:val="bg-BG"/>
        </w:rPr>
        <w:t>.</w:t>
      </w:r>
    </w:p>
    <w:p w14:paraId="68E7DCE6" w14:textId="5FD835AA" w:rsidR="006553A4" w:rsidRPr="007375EB" w:rsidRDefault="00045108" w:rsidP="006553A4">
      <w:pPr>
        <w:spacing w:after="120" w:line="360" w:lineRule="auto"/>
        <w:jc w:val="both"/>
        <w:rPr>
          <w:lang w:val="bg-BG"/>
        </w:rPr>
      </w:pPr>
      <w:r w:rsidRPr="007375EB">
        <w:rPr>
          <w:lang w:val="bg-BG"/>
        </w:rPr>
        <w:t>Прогнозите за 2030 г. предвиждат увеличаване на капацитета на вятърните електроцентрали до 5 255 МВт. Нетните мощности за производство на енергия от ВЕИ, които ще бъдат установени, са</w:t>
      </w:r>
      <w:r w:rsidR="006553A4" w:rsidRPr="007375EB">
        <w:rPr>
          <w:lang w:val="bg-BG"/>
        </w:rPr>
        <w:t>:</w:t>
      </w:r>
    </w:p>
    <w:p w14:paraId="221256CC" w14:textId="2A10D5FF" w:rsidR="006553A4" w:rsidRPr="007375EB" w:rsidRDefault="006553A4" w:rsidP="00343AD0">
      <w:pPr>
        <w:pStyle w:val="ListParagraph"/>
        <w:numPr>
          <w:ilvl w:val="0"/>
          <w:numId w:val="55"/>
        </w:numPr>
        <w:spacing w:after="120" w:line="360" w:lineRule="auto"/>
        <w:contextualSpacing w:val="0"/>
        <w:jc w:val="both"/>
        <w:rPr>
          <w:rFonts w:eastAsia="Verdana" w:cs="Verdana"/>
          <w:color w:val="000000" w:themeColor="text1"/>
          <w:lang w:val="bg-BG"/>
        </w:rPr>
      </w:pPr>
      <w:r w:rsidRPr="007375EB">
        <w:rPr>
          <w:rFonts w:eastAsia="Verdana" w:cs="Verdana"/>
          <w:color w:val="000000" w:themeColor="text1"/>
          <w:lang w:val="bg-BG"/>
        </w:rPr>
        <w:t xml:space="preserve">+ 822 </w:t>
      </w:r>
      <w:r w:rsidR="00045108" w:rsidRPr="007375EB">
        <w:rPr>
          <w:lang w:val="bg-BG"/>
        </w:rPr>
        <w:t>МВт</w:t>
      </w:r>
      <w:r w:rsidR="00045108" w:rsidRPr="007375EB">
        <w:rPr>
          <w:rFonts w:eastAsia="Verdana" w:cs="Verdana"/>
          <w:color w:val="000000" w:themeColor="text1"/>
          <w:lang w:val="bg-BG"/>
        </w:rPr>
        <w:t xml:space="preserve"> допълнителен установен капацитет през 2022 г. в сравнение с 2020 г.</w:t>
      </w:r>
      <w:r w:rsidRPr="007375EB">
        <w:rPr>
          <w:rFonts w:eastAsia="Verdana" w:cs="Verdana"/>
          <w:color w:val="000000" w:themeColor="text1"/>
          <w:lang w:val="bg-BG"/>
        </w:rPr>
        <w:t>;</w:t>
      </w:r>
    </w:p>
    <w:p w14:paraId="34989186" w14:textId="68517C03" w:rsidR="006553A4" w:rsidRPr="007375EB" w:rsidRDefault="006553A4" w:rsidP="00343AD0">
      <w:pPr>
        <w:pStyle w:val="ListParagraph"/>
        <w:numPr>
          <w:ilvl w:val="0"/>
          <w:numId w:val="55"/>
        </w:numPr>
        <w:spacing w:after="120" w:line="360" w:lineRule="auto"/>
        <w:contextualSpacing w:val="0"/>
        <w:jc w:val="both"/>
        <w:rPr>
          <w:rFonts w:eastAsia="Verdana" w:cs="Verdana"/>
          <w:color w:val="000000" w:themeColor="text1"/>
          <w:lang w:val="bg-BG"/>
        </w:rPr>
      </w:pPr>
      <w:r w:rsidRPr="007375EB">
        <w:rPr>
          <w:rFonts w:eastAsia="Verdana" w:cs="Verdana"/>
          <w:color w:val="000000" w:themeColor="text1"/>
          <w:lang w:val="bg-BG"/>
        </w:rPr>
        <w:t xml:space="preserve">+ 559 </w:t>
      </w:r>
      <w:r w:rsidR="00045108" w:rsidRPr="007375EB">
        <w:rPr>
          <w:lang w:val="bg-BG"/>
        </w:rPr>
        <w:t>МВт</w:t>
      </w:r>
      <w:r w:rsidR="00045108" w:rsidRPr="007375EB">
        <w:rPr>
          <w:rFonts w:eastAsia="Verdana" w:cs="Verdana"/>
          <w:color w:val="000000" w:themeColor="text1"/>
          <w:lang w:val="bg-BG"/>
        </w:rPr>
        <w:t xml:space="preserve"> допълнителен установен капацитет през 2025 г. в сравнение с 2022 г.</w:t>
      </w:r>
      <w:r w:rsidRPr="007375EB">
        <w:rPr>
          <w:rFonts w:eastAsia="Verdana" w:cs="Verdana"/>
          <w:color w:val="000000" w:themeColor="text1"/>
          <w:lang w:val="bg-BG"/>
        </w:rPr>
        <w:t>;</w:t>
      </w:r>
    </w:p>
    <w:p w14:paraId="5C138B1C" w14:textId="40999F81" w:rsidR="006553A4" w:rsidRPr="007375EB" w:rsidRDefault="006553A4" w:rsidP="00343AD0">
      <w:pPr>
        <w:pStyle w:val="ListParagraph"/>
        <w:numPr>
          <w:ilvl w:val="0"/>
          <w:numId w:val="55"/>
        </w:numPr>
        <w:spacing w:after="120" w:line="360" w:lineRule="auto"/>
        <w:contextualSpacing w:val="0"/>
        <w:jc w:val="both"/>
        <w:rPr>
          <w:rFonts w:eastAsia="Verdana" w:cs="Verdana"/>
          <w:color w:val="000000" w:themeColor="text1"/>
          <w:lang w:val="bg-BG"/>
        </w:rPr>
      </w:pPr>
      <w:r w:rsidRPr="007375EB">
        <w:rPr>
          <w:rFonts w:eastAsia="Verdana" w:cs="Verdana"/>
          <w:color w:val="000000" w:themeColor="text1"/>
          <w:lang w:val="bg-BG"/>
        </w:rPr>
        <w:t xml:space="preserve">+ 556 </w:t>
      </w:r>
      <w:r w:rsidR="00045108" w:rsidRPr="007375EB">
        <w:rPr>
          <w:lang w:val="bg-BG"/>
        </w:rPr>
        <w:t>МВт</w:t>
      </w:r>
      <w:r w:rsidR="00045108" w:rsidRPr="007375EB">
        <w:rPr>
          <w:rFonts w:eastAsia="Verdana" w:cs="Verdana"/>
          <w:color w:val="000000" w:themeColor="text1"/>
          <w:lang w:val="bg-BG"/>
        </w:rPr>
        <w:t xml:space="preserve"> допълнителен установен капацитет през 2027 г. в сравнение с 2025 г.</w:t>
      </w:r>
      <w:r w:rsidRPr="007375EB">
        <w:rPr>
          <w:rFonts w:eastAsia="Verdana" w:cs="Verdana"/>
          <w:color w:val="000000" w:themeColor="text1"/>
          <w:lang w:val="bg-BG"/>
        </w:rPr>
        <w:t>;</w:t>
      </w:r>
    </w:p>
    <w:p w14:paraId="04975B2D" w14:textId="2802B661" w:rsidR="004203D2" w:rsidRPr="007375EB" w:rsidRDefault="006553A4" w:rsidP="00343AD0">
      <w:pPr>
        <w:pStyle w:val="ListParagraph"/>
        <w:numPr>
          <w:ilvl w:val="0"/>
          <w:numId w:val="55"/>
        </w:numPr>
        <w:spacing w:after="120" w:line="360" w:lineRule="auto"/>
        <w:contextualSpacing w:val="0"/>
        <w:jc w:val="both"/>
        <w:rPr>
          <w:rFonts w:eastAsia="Verdana" w:cs="Verdana"/>
          <w:color w:val="000000" w:themeColor="text1"/>
          <w:lang w:val="bg-BG"/>
        </w:rPr>
      </w:pPr>
      <w:r w:rsidRPr="007375EB">
        <w:rPr>
          <w:rFonts w:eastAsia="Verdana" w:cs="Verdana"/>
          <w:color w:val="000000" w:themeColor="text1"/>
          <w:lang w:val="bg-BG"/>
        </w:rPr>
        <w:t xml:space="preserve">+ 365 </w:t>
      </w:r>
      <w:r w:rsidR="00045108" w:rsidRPr="007375EB">
        <w:rPr>
          <w:lang w:val="bg-BG"/>
        </w:rPr>
        <w:t>МВт</w:t>
      </w:r>
      <w:r w:rsidR="00045108" w:rsidRPr="007375EB">
        <w:rPr>
          <w:rFonts w:eastAsia="Verdana" w:cs="Verdana"/>
          <w:color w:val="000000" w:themeColor="text1"/>
          <w:lang w:val="bg-BG"/>
        </w:rPr>
        <w:t xml:space="preserve"> допълнителен установен капацитет през 2030 г. в сравнение с 2027 г</w:t>
      </w:r>
      <w:r w:rsidRPr="007375EB">
        <w:rPr>
          <w:rFonts w:eastAsia="Verdana" w:cs="Verdana"/>
          <w:color w:val="000000" w:themeColor="text1"/>
          <w:lang w:val="bg-BG"/>
        </w:rPr>
        <w:t>.</w:t>
      </w:r>
      <w:r w:rsidR="004203D2" w:rsidRPr="007375EB">
        <w:rPr>
          <w:rFonts w:eastAsia="Verdana" w:cs="Verdana"/>
          <w:color w:val="000000" w:themeColor="text1"/>
          <w:lang w:val="bg-BG"/>
        </w:rPr>
        <w:t xml:space="preserve"> </w:t>
      </w:r>
    </w:p>
    <w:p w14:paraId="58EEC770" w14:textId="2FF646F7" w:rsidR="004522AF" w:rsidRPr="007375EB" w:rsidRDefault="00E01371" w:rsidP="006E5B3F">
      <w:pPr>
        <w:spacing w:after="120" w:line="360" w:lineRule="auto"/>
        <w:jc w:val="both"/>
        <w:rPr>
          <w:lang w:val="bg-BG"/>
        </w:rPr>
      </w:pPr>
      <w:r w:rsidRPr="007375EB">
        <w:rPr>
          <w:lang w:val="bg-BG"/>
        </w:rPr>
        <w:t xml:space="preserve">În </w:t>
      </w:r>
      <w:r w:rsidR="00045108" w:rsidRPr="007375EB">
        <w:rPr>
          <w:lang w:val="bg-BG"/>
        </w:rPr>
        <w:t xml:space="preserve">В момента планът </w:t>
      </w:r>
      <w:r w:rsidR="00045108" w:rsidRPr="007375EB">
        <w:rPr>
          <w:b/>
          <w:bCs/>
          <w:lang w:val="bg-BG"/>
        </w:rPr>
        <w:t>се актуализира</w:t>
      </w:r>
      <w:r w:rsidR="00045108" w:rsidRPr="007375EB">
        <w:rPr>
          <w:lang w:val="bg-BG"/>
        </w:rPr>
        <w:t xml:space="preserve">. Целта на Румъния за дял на енергията от ВЕИ в брутното крайно потребление на енергия през 2030 г. е 36,2 %, което е повече от препоръчаната от Европейската комисия цел от 34 %. </w:t>
      </w:r>
      <w:r w:rsidR="00045108" w:rsidRPr="007375EB">
        <w:rPr>
          <w:b/>
          <w:bCs/>
          <w:lang w:val="bg-BG"/>
        </w:rPr>
        <w:t>Делът на енергията от ВЕИ в електроенергийния сектор ще се увеличи до 55,8 % през 2030 г</w:t>
      </w:r>
      <w:r w:rsidR="00045108" w:rsidRPr="007375EB">
        <w:rPr>
          <w:lang w:val="bg-BG"/>
        </w:rPr>
        <w:t>. в резултат на изграждането и пускането в експлоатация на нови мощности за производство на електроенергия от ВЕИ (основно вятърна и слънчева енергия). От друга страна, поради намаляването на използването на биомаса, особено в селските райони, която ще бъде заменена от по-чисти технологии, делът на ВЕИ в сектора на отоплението и охлаждането ще се увеличи леко до края на десетилетието, достигайки 36,3 % през 2030 г.</w:t>
      </w:r>
    </w:p>
    <w:p w14:paraId="71C3354A" w14:textId="2D748501" w:rsidR="004522AF" w:rsidRPr="007375EB" w:rsidRDefault="00045108" w:rsidP="006E5B3F">
      <w:pPr>
        <w:spacing w:after="120" w:line="360" w:lineRule="auto"/>
        <w:jc w:val="both"/>
        <w:rPr>
          <w:lang w:val="bg-BG"/>
        </w:rPr>
      </w:pPr>
      <w:r w:rsidRPr="007375EB">
        <w:rPr>
          <w:lang w:val="bg-BG"/>
        </w:rPr>
        <w:t>Вятърната енергия ще има най-голям дял - около 37%, следвана от слънчевата с около 24% от брутното крайно потребление на енергия. Тези цели ще бъдат постигнати чрез изграждане и въвеждане в експлоатация до 2050 г. на обща инсталирана мощност на слънчеви електроцентрали от около 30,5 ГВт (наземни и покривни) и обща инсталирана мощност на вятърни електроцентрали от около 16 ГВт</w:t>
      </w:r>
      <w:r w:rsidR="00DC4E3D" w:rsidRPr="007375EB">
        <w:rPr>
          <w:lang w:val="bg-BG"/>
        </w:rPr>
        <w:t>.</w:t>
      </w:r>
    </w:p>
    <w:p w14:paraId="77D3F556" w14:textId="31BF69E2" w:rsidR="00083DAD" w:rsidRPr="007375EB" w:rsidRDefault="00045108" w:rsidP="00083DAD">
      <w:pPr>
        <w:spacing w:after="120" w:line="360" w:lineRule="auto"/>
        <w:jc w:val="both"/>
        <w:rPr>
          <w:lang w:val="bg-BG"/>
        </w:rPr>
      </w:pPr>
      <w:r w:rsidRPr="007375EB">
        <w:rPr>
          <w:b/>
          <w:bCs/>
          <w:lang w:val="bg-BG"/>
        </w:rPr>
        <w:t xml:space="preserve">Националната стратегия по изменение на климата и нисковъглероден растеж за периода 2016-2020 г. и Националният план за действие </w:t>
      </w:r>
      <w:r w:rsidRPr="007375EB">
        <w:rPr>
          <w:lang w:val="bg-BG"/>
        </w:rPr>
        <w:t>имат за основна цел да намалят емисиите на парникови газове от икономически дейности в съответствие с целите на ЕС и да се адаптират към настоящите и бъдещите въздействия на изменението на климата</w:t>
      </w:r>
      <w:r w:rsidR="00083DAD" w:rsidRPr="007375EB">
        <w:rPr>
          <w:lang w:val="bg-BG"/>
        </w:rPr>
        <w:t>.</w:t>
      </w:r>
    </w:p>
    <w:p w14:paraId="6BF7C6BC" w14:textId="263995F0" w:rsidR="000775ED" w:rsidRPr="007375EB" w:rsidRDefault="00045108" w:rsidP="00083DAD">
      <w:pPr>
        <w:spacing w:after="120" w:line="360" w:lineRule="auto"/>
        <w:jc w:val="both"/>
        <w:rPr>
          <w:lang w:val="bg-BG"/>
        </w:rPr>
      </w:pPr>
      <w:r w:rsidRPr="007375EB">
        <w:rPr>
          <w:lang w:val="bg-BG"/>
        </w:rPr>
        <w:t>Стратегията за устойчиво развитие приема количествено измерими цели в съответствие със стремежите на ЕС до 2030 г., включително намаляване на общите емисии на парникови газове с 40% в сравнение с нивата от 1990 г. Мерките за адаптиране на енергийния сектор, които са от значение за предложената PUZ, включват диверсификация на производството на енергия и по-специално чрез включване на възобновяеми източници</w:t>
      </w:r>
      <w:r w:rsidR="00261F27" w:rsidRPr="007375EB">
        <w:rPr>
          <w:lang w:val="bg-BG"/>
        </w:rPr>
        <w:t>.</w:t>
      </w:r>
    </w:p>
    <w:p w14:paraId="2E7E6CAE" w14:textId="77777777" w:rsidR="00045108" w:rsidRPr="007375EB" w:rsidRDefault="00045108" w:rsidP="00045108">
      <w:pPr>
        <w:spacing w:after="120" w:line="360" w:lineRule="auto"/>
        <w:jc w:val="both"/>
        <w:rPr>
          <w:lang w:val="bg-BG"/>
        </w:rPr>
      </w:pPr>
      <w:r w:rsidRPr="007375EB">
        <w:rPr>
          <w:b/>
          <w:bCs/>
          <w:lang w:val="bg-BG"/>
        </w:rPr>
        <w:t xml:space="preserve">Дългосрочната стратегия на Румъния за намаляване на емисиите на парникови газове Неутрална Румъния през 2050 г. </w:t>
      </w:r>
      <w:r w:rsidRPr="007375EB">
        <w:rPr>
          <w:lang w:val="bg-BG"/>
        </w:rPr>
        <w:t>има за цел да намали нетните емисии на парникови газове с 99% до 2050 г. в сравнение с нивата от 1990 г.</w:t>
      </w:r>
    </w:p>
    <w:p w14:paraId="39CE098A" w14:textId="431C13FF" w:rsidR="006037D9" w:rsidRPr="007375EB" w:rsidRDefault="00045108" w:rsidP="00045108">
      <w:pPr>
        <w:spacing w:after="120" w:line="360" w:lineRule="auto"/>
        <w:jc w:val="both"/>
        <w:rPr>
          <w:lang w:val="bg-BG" w:eastAsia="ro-RO"/>
        </w:rPr>
      </w:pPr>
      <w:r w:rsidRPr="007375EB">
        <w:rPr>
          <w:lang w:val="bg-BG"/>
        </w:rPr>
        <w:t>Изследваната територия се намира в благоприятен район за развитие на производството на електроенергия чрез използване на вятърна енергия, както по отношение на вятърния потенциал, топографията и инфраструктурата - електрически мрежи, така и по отношение на наличието на местна общност и инвеститори</w:t>
      </w:r>
      <w:r w:rsidR="006037D9" w:rsidRPr="007375EB">
        <w:rPr>
          <w:lang w:val="bg-BG" w:eastAsia="ro-RO"/>
        </w:rPr>
        <w:t>.</w:t>
      </w:r>
    </w:p>
    <w:p w14:paraId="3B2F5C78" w14:textId="622510E9" w:rsidR="007033CE" w:rsidRPr="007375EB" w:rsidRDefault="00045108" w:rsidP="007033CE">
      <w:pPr>
        <w:spacing w:after="120" w:line="360" w:lineRule="auto"/>
        <w:jc w:val="both"/>
        <w:rPr>
          <w:rFonts w:eastAsia="Verdana" w:cs="Verdana"/>
          <w:lang w:val="bg-BG"/>
        </w:rPr>
      </w:pPr>
      <w:r w:rsidRPr="007375EB">
        <w:rPr>
          <w:rFonts w:eastAsia="Verdana" w:cs="Verdana"/>
          <w:lang w:val="bg-BG"/>
        </w:rPr>
        <w:t>Секторните цели за намаляване на нетните емисии на парникови газове до 2050 г. в рамките на сценария „Неутрална Румъния“ включват:</w:t>
      </w:r>
    </w:p>
    <w:p w14:paraId="3F18BFA0" w14:textId="7FCBA174" w:rsidR="00045108" w:rsidRPr="007375EB" w:rsidRDefault="00045108" w:rsidP="00C806B7">
      <w:pPr>
        <w:pStyle w:val="ListParagraph"/>
        <w:numPr>
          <w:ilvl w:val="0"/>
          <w:numId w:val="55"/>
        </w:numPr>
        <w:spacing w:after="120" w:line="360" w:lineRule="auto"/>
        <w:contextualSpacing w:val="0"/>
        <w:jc w:val="both"/>
        <w:rPr>
          <w:lang w:val="bg-BG"/>
        </w:rPr>
      </w:pPr>
      <w:r w:rsidRPr="007375EB">
        <w:rPr>
          <w:b/>
          <w:bCs/>
          <w:lang w:val="bg-BG"/>
        </w:rPr>
        <w:lastRenderedPageBreak/>
        <w:t>Енергиен сектор</w:t>
      </w:r>
      <w:r w:rsidR="007033CE" w:rsidRPr="007375EB">
        <w:rPr>
          <w:lang w:val="bg-BG"/>
        </w:rPr>
        <w:t xml:space="preserve">: </w:t>
      </w:r>
      <w:r w:rsidRPr="007375EB">
        <w:rPr>
          <w:lang w:val="bg-BG"/>
        </w:rPr>
        <w:t>Според сценария „Неутрална Румъния“ Румъния трябва да намали нетните си емисии със 78 % през 2030 г. и емисиите си, които не са свързани със земеползването (LULUCF), с 67 % в сравнение с 1990 г., за да бъде на път да постигне неутралност по отношение на климата през 2050 г. Според сценария REF нетните емисии ще бъдат намалени с 85 % през 2050 г. в сравнение с 1990 г. През 2019 г. вече са постигнати 69 % от целта за намаляване на емисиите до 2050 г. До 2035 г. ще бъдат постигнати 98 % от целта.</w:t>
      </w:r>
    </w:p>
    <w:p w14:paraId="1BED524B" w14:textId="612242DA" w:rsidR="007033CE" w:rsidRPr="007375EB" w:rsidRDefault="00045108" w:rsidP="00C806B7">
      <w:pPr>
        <w:pStyle w:val="ListParagraph"/>
        <w:numPr>
          <w:ilvl w:val="0"/>
          <w:numId w:val="55"/>
        </w:numPr>
        <w:spacing w:after="120" w:line="360" w:lineRule="auto"/>
        <w:contextualSpacing w:val="0"/>
        <w:jc w:val="both"/>
        <w:rPr>
          <w:lang w:val="bg-BG"/>
        </w:rPr>
      </w:pPr>
      <w:r w:rsidRPr="007375EB">
        <w:rPr>
          <w:b/>
          <w:bCs/>
          <w:lang w:val="bg-BG"/>
        </w:rPr>
        <w:t xml:space="preserve">Транспорт: </w:t>
      </w:r>
      <w:r w:rsidRPr="007375EB">
        <w:rPr>
          <w:lang w:val="bg-BG"/>
        </w:rPr>
        <w:t>Намаляване на секторните емисии с 82% през 2050 г. в сравнение с нивата от 1990 г;</w:t>
      </w:r>
    </w:p>
    <w:p w14:paraId="163952F9" w14:textId="5D9241E3" w:rsidR="00045108" w:rsidRPr="007375EB" w:rsidRDefault="00045108" w:rsidP="00C806B7">
      <w:pPr>
        <w:pStyle w:val="ListParagraph"/>
        <w:numPr>
          <w:ilvl w:val="0"/>
          <w:numId w:val="55"/>
        </w:numPr>
        <w:spacing w:after="120" w:line="360" w:lineRule="auto"/>
        <w:contextualSpacing w:val="0"/>
        <w:jc w:val="both"/>
        <w:rPr>
          <w:lang w:val="bg-BG"/>
        </w:rPr>
      </w:pPr>
      <w:r w:rsidRPr="007375EB">
        <w:rPr>
          <w:b/>
          <w:bCs/>
          <w:lang w:val="bg-BG"/>
        </w:rPr>
        <w:t xml:space="preserve">Сграден сектор: </w:t>
      </w:r>
      <w:r w:rsidRPr="007375EB">
        <w:rPr>
          <w:lang w:val="bg-BG"/>
        </w:rPr>
        <w:t>Емисии през 2050 г. 78% под нивата от 1990 г.</w:t>
      </w:r>
    </w:p>
    <w:p w14:paraId="51B618BD" w14:textId="749B566D" w:rsidR="007033CE" w:rsidRPr="007375EB" w:rsidRDefault="00045108" w:rsidP="00C806B7">
      <w:pPr>
        <w:pStyle w:val="ListParagraph"/>
        <w:numPr>
          <w:ilvl w:val="0"/>
          <w:numId w:val="55"/>
        </w:numPr>
        <w:spacing w:after="120" w:line="360" w:lineRule="auto"/>
        <w:contextualSpacing w:val="0"/>
        <w:jc w:val="both"/>
        <w:rPr>
          <w:lang w:val="bg-BG"/>
        </w:rPr>
      </w:pPr>
      <w:r w:rsidRPr="007375EB">
        <w:rPr>
          <w:b/>
          <w:bCs/>
          <w:lang w:val="bg-BG"/>
        </w:rPr>
        <w:t>Промишлен сектор</w:t>
      </w:r>
      <w:r w:rsidR="007033CE" w:rsidRPr="007375EB">
        <w:rPr>
          <w:b/>
          <w:bCs/>
          <w:lang w:val="bg-BG"/>
        </w:rPr>
        <w:t>:</w:t>
      </w:r>
      <w:r w:rsidR="007033CE" w:rsidRPr="007375EB">
        <w:rPr>
          <w:lang w:val="bg-BG"/>
        </w:rPr>
        <w:t xml:space="preserve"> </w:t>
      </w:r>
      <w:r w:rsidRPr="007375EB">
        <w:rPr>
          <w:lang w:val="bg-BG"/>
        </w:rPr>
        <w:t>Емисии през 2050 г. - 89% под нивата от 1990 г.</w:t>
      </w:r>
      <w:r w:rsidR="007033CE" w:rsidRPr="007375EB">
        <w:rPr>
          <w:lang w:val="bg-BG"/>
        </w:rPr>
        <w:t>;</w:t>
      </w:r>
    </w:p>
    <w:p w14:paraId="51DFF9C7" w14:textId="096F1562" w:rsidR="007033CE" w:rsidRPr="007375EB" w:rsidRDefault="00045108" w:rsidP="00C806B7">
      <w:pPr>
        <w:pStyle w:val="ListParagraph"/>
        <w:numPr>
          <w:ilvl w:val="0"/>
          <w:numId w:val="55"/>
        </w:numPr>
        <w:spacing w:after="120" w:line="360" w:lineRule="auto"/>
        <w:contextualSpacing w:val="0"/>
        <w:jc w:val="both"/>
        <w:rPr>
          <w:lang w:val="bg-BG"/>
        </w:rPr>
      </w:pPr>
      <w:r w:rsidRPr="007375EB">
        <w:rPr>
          <w:b/>
          <w:bCs/>
          <w:lang w:val="bg-BG"/>
        </w:rPr>
        <w:t>Сектор Селско стопанство</w:t>
      </w:r>
      <w:r w:rsidR="007033CE" w:rsidRPr="007375EB">
        <w:rPr>
          <w:b/>
          <w:bCs/>
          <w:lang w:val="bg-BG"/>
        </w:rPr>
        <w:t>:</w:t>
      </w:r>
      <w:r w:rsidR="007033CE" w:rsidRPr="007375EB">
        <w:rPr>
          <w:lang w:val="bg-BG"/>
        </w:rPr>
        <w:t xml:space="preserve"> </w:t>
      </w:r>
      <w:r w:rsidRPr="007375EB">
        <w:rPr>
          <w:lang w:val="bg-BG"/>
        </w:rPr>
        <w:t>Емисии пред 2050 г. - 49% под нивата от 1990 г.</w:t>
      </w:r>
      <w:r w:rsidR="007033CE" w:rsidRPr="007375EB">
        <w:rPr>
          <w:lang w:val="bg-BG"/>
        </w:rPr>
        <w:t>;</w:t>
      </w:r>
    </w:p>
    <w:p w14:paraId="187E2F72" w14:textId="34584A51" w:rsidR="007033CE" w:rsidRPr="007375EB" w:rsidRDefault="00045108" w:rsidP="00C806B7">
      <w:pPr>
        <w:pStyle w:val="ListParagraph"/>
        <w:numPr>
          <w:ilvl w:val="0"/>
          <w:numId w:val="55"/>
        </w:numPr>
        <w:spacing w:after="120" w:line="360" w:lineRule="auto"/>
        <w:contextualSpacing w:val="0"/>
        <w:jc w:val="both"/>
        <w:rPr>
          <w:lang w:val="bg-BG"/>
        </w:rPr>
      </w:pPr>
      <w:r w:rsidRPr="007375EB">
        <w:rPr>
          <w:b/>
          <w:bCs/>
          <w:lang w:val="bg-BG"/>
        </w:rPr>
        <w:t>Сектор</w:t>
      </w:r>
      <w:r w:rsidR="007033CE" w:rsidRPr="007375EB">
        <w:rPr>
          <w:b/>
          <w:bCs/>
          <w:lang w:val="bg-BG"/>
        </w:rPr>
        <w:t xml:space="preserve"> LULUCF:</w:t>
      </w:r>
      <w:r w:rsidR="007033CE" w:rsidRPr="007375EB">
        <w:rPr>
          <w:lang w:val="bg-BG"/>
        </w:rPr>
        <w:t xml:space="preserve"> </w:t>
      </w:r>
      <w:r w:rsidRPr="007375EB">
        <w:rPr>
          <w:lang w:val="bg-BG"/>
        </w:rPr>
        <w:t>14% увеличение на абсорбцията през 2050 г. в сравнение с 1990 г., подобно на нивото, достигнато през 2005 г.</w:t>
      </w:r>
      <w:r w:rsidR="007033CE" w:rsidRPr="007375EB">
        <w:rPr>
          <w:lang w:val="bg-BG"/>
        </w:rPr>
        <w:t>;</w:t>
      </w:r>
    </w:p>
    <w:p w14:paraId="3BEEEE53" w14:textId="0D937B4A" w:rsidR="007033CE" w:rsidRPr="007375EB" w:rsidRDefault="00045108" w:rsidP="00C806B7">
      <w:pPr>
        <w:pStyle w:val="ListParagraph"/>
        <w:numPr>
          <w:ilvl w:val="0"/>
          <w:numId w:val="55"/>
        </w:numPr>
        <w:spacing w:after="120" w:line="360" w:lineRule="auto"/>
        <w:contextualSpacing w:val="0"/>
        <w:jc w:val="both"/>
        <w:rPr>
          <w:lang w:val="bg-BG"/>
        </w:rPr>
      </w:pPr>
      <w:r w:rsidRPr="007375EB">
        <w:rPr>
          <w:b/>
          <w:bCs/>
          <w:lang w:val="bg-BG"/>
        </w:rPr>
        <w:t>Сектор Отпадъци</w:t>
      </w:r>
      <w:r w:rsidR="007033CE" w:rsidRPr="007375EB">
        <w:rPr>
          <w:b/>
          <w:bCs/>
          <w:lang w:val="bg-BG"/>
        </w:rPr>
        <w:t>:</w:t>
      </w:r>
      <w:r w:rsidR="007033CE" w:rsidRPr="007375EB">
        <w:rPr>
          <w:lang w:val="bg-BG"/>
        </w:rPr>
        <w:t xml:space="preserve"> </w:t>
      </w:r>
      <w:r w:rsidRPr="007375EB">
        <w:rPr>
          <w:lang w:val="bg-BG"/>
        </w:rPr>
        <w:t>Емисии през 2050 г. - 73% под нивата от 1990 г.</w:t>
      </w:r>
      <w:r w:rsidR="007033CE" w:rsidRPr="007375EB">
        <w:rPr>
          <w:lang w:val="bg-BG"/>
        </w:rPr>
        <w:t>;</w:t>
      </w:r>
    </w:p>
    <w:p w14:paraId="5E045A65" w14:textId="77777777" w:rsidR="00045108" w:rsidRPr="007375EB" w:rsidRDefault="00045108" w:rsidP="00045108">
      <w:pPr>
        <w:spacing w:after="120" w:line="360" w:lineRule="auto"/>
        <w:jc w:val="both"/>
        <w:rPr>
          <w:rFonts w:eastAsia="Verdana" w:cs="Verdana"/>
          <w:lang w:val="bg-BG"/>
        </w:rPr>
      </w:pPr>
      <w:r w:rsidRPr="007375EB">
        <w:rPr>
          <w:rFonts w:eastAsia="Verdana" w:cs="Verdana"/>
          <w:lang w:val="bg-BG"/>
        </w:rPr>
        <w:t xml:space="preserve">При сценария „Неутрална Румъния“ делът на ВЕИ в брутното крайно потребление на енергия ще бъде 86,1 % през 2050 г. и 36,2 % през 2030 г. </w:t>
      </w:r>
    </w:p>
    <w:p w14:paraId="3050C196" w14:textId="371233B4" w:rsidR="006037D9" w:rsidRPr="007375EB" w:rsidRDefault="00045108" w:rsidP="00045108">
      <w:pPr>
        <w:spacing w:after="120" w:line="360" w:lineRule="auto"/>
        <w:jc w:val="both"/>
        <w:rPr>
          <w:lang w:val="bg-BG" w:eastAsia="ro-RO"/>
        </w:rPr>
      </w:pPr>
      <w:r w:rsidRPr="007375EB">
        <w:rPr>
          <w:rFonts w:eastAsia="Verdana" w:cs="Verdana"/>
          <w:lang w:val="bg-BG"/>
        </w:rPr>
        <w:t>За зоната на развитие на PUZ потенциалът за развитие със значително икономическо въздействие е почти постоянното присъствие на вятъра. Наред с този потенциал районът може да се използва за земеделие</w:t>
      </w:r>
      <w:r w:rsidR="006037D9" w:rsidRPr="007375EB">
        <w:rPr>
          <w:lang w:val="bg-BG" w:eastAsia="ro-RO"/>
        </w:rPr>
        <w:t>.</w:t>
      </w:r>
    </w:p>
    <w:p w14:paraId="251F51CA" w14:textId="792B3D3E" w:rsidR="006037D9" w:rsidRPr="007375EB" w:rsidRDefault="00045108" w:rsidP="006037D9">
      <w:pPr>
        <w:spacing w:after="120" w:line="360" w:lineRule="auto"/>
        <w:jc w:val="both"/>
        <w:rPr>
          <w:lang w:val="bg-BG" w:eastAsia="ro-RO"/>
        </w:rPr>
      </w:pPr>
      <w:r w:rsidRPr="007375EB">
        <w:rPr>
          <w:lang w:val="bg-BG" w:eastAsia="ro-RO"/>
        </w:rPr>
        <w:t>Съгласно РП 1535/2003 за одобряване на Стратегията за оползотворяване на възобновяемите енергийни източници в Румъния са определени пет отделни зони за вятърна енергия в зависимост от съществуващия енергиен потенциал, екологичните и топографските условия. В рамките на тези зони благоприятните места за разполагане на вятърни турбини са тези, които имат за цел „да използват енергията от ефекта на потока над върха на хълма или от насочващия ефект на въздушните течения</w:t>
      </w:r>
      <w:r w:rsidR="006037D9" w:rsidRPr="007375EB">
        <w:rPr>
          <w:lang w:val="bg-BG" w:eastAsia="ro-RO"/>
        </w:rPr>
        <w:t xml:space="preserve">”. </w:t>
      </w:r>
    </w:p>
    <w:p w14:paraId="3D9171FF" w14:textId="044E913A" w:rsidR="006037D9" w:rsidRPr="007375EB" w:rsidRDefault="00045108" w:rsidP="006037D9">
      <w:pPr>
        <w:spacing w:after="120" w:line="360" w:lineRule="auto"/>
        <w:jc w:val="both"/>
        <w:rPr>
          <w:lang w:val="bg-BG" w:eastAsia="ro-RO"/>
        </w:rPr>
      </w:pPr>
      <w:r w:rsidRPr="007375EB">
        <w:rPr>
          <w:lang w:val="bg-BG" w:eastAsia="ro-RO"/>
        </w:rPr>
        <w:t>Добруджанското плато, което се радва на „мек“ климат, е част от един от районите за вятърна енергия с висок енергиен потенциал</w:t>
      </w:r>
      <w:r w:rsidR="006037D9" w:rsidRPr="007375EB">
        <w:rPr>
          <w:lang w:val="bg-BG" w:eastAsia="ro-RO"/>
        </w:rPr>
        <w:t>.</w:t>
      </w:r>
    </w:p>
    <w:p w14:paraId="068A9C1D" w14:textId="5B0E1EBC" w:rsidR="006037D9" w:rsidRPr="007375EB" w:rsidRDefault="00045108" w:rsidP="006037D9">
      <w:pPr>
        <w:spacing w:after="120" w:line="360" w:lineRule="auto"/>
        <w:jc w:val="both"/>
        <w:rPr>
          <w:lang w:val="bg-BG" w:eastAsia="ro-RO"/>
        </w:rPr>
      </w:pPr>
      <w:r w:rsidRPr="007375EB">
        <w:rPr>
          <w:lang w:val="bg-BG" w:eastAsia="ro-RO"/>
        </w:rPr>
        <w:t>Предложеният план за оползотворяване на природния потенциал на района е възможност, към която трябва да се подходи с максимална професионална взискателност, с критична проницателност, така че настоящите последици от подобна цел да не доведат до градски дисфункции, непоправимо влошаване на условията на околната среда, промени в екосистемите в района.</w:t>
      </w:r>
    </w:p>
    <w:p w14:paraId="2D764C13" w14:textId="43BB1231" w:rsidR="006B59ED" w:rsidRPr="007375EB" w:rsidRDefault="00045108" w:rsidP="00FF74D1">
      <w:pPr>
        <w:pStyle w:val="Heading1"/>
        <w:numPr>
          <w:ilvl w:val="0"/>
          <w:numId w:val="16"/>
        </w:numPr>
        <w:suppressAutoHyphens w:val="0"/>
        <w:spacing w:before="0" w:after="240" w:line="360" w:lineRule="auto"/>
        <w:ind w:left="567" w:hanging="567"/>
        <w:contextualSpacing w:val="0"/>
        <w:jc w:val="both"/>
        <w:rPr>
          <w:b/>
          <w:bCs w:val="0"/>
          <w:sz w:val="20"/>
          <w:szCs w:val="20"/>
          <w:lang w:val="bg-BG" w:eastAsia="ro-RO"/>
        </w:rPr>
      </w:pPr>
      <w:r w:rsidRPr="007375EB">
        <w:rPr>
          <w:b/>
          <w:bCs w:val="0"/>
          <w:sz w:val="20"/>
          <w:szCs w:val="20"/>
          <w:lang w:val="bg-BG" w:eastAsia="ro-RO"/>
        </w:rPr>
        <w:lastRenderedPageBreak/>
        <w:t>Съществуващи екологични проблеми, които са от значение за PUZ, включително по-специално тези, свързани с територии с особено значение за околната среда, като например специални защитени зони за птиците или специални защитени зони</w:t>
      </w:r>
    </w:p>
    <w:p w14:paraId="3B4E84E6" w14:textId="5EA80D16" w:rsidR="00C45A60" w:rsidRPr="007375EB" w:rsidRDefault="00045108" w:rsidP="00C45A60">
      <w:pPr>
        <w:spacing w:after="120" w:line="360" w:lineRule="auto"/>
        <w:ind w:left="38" w:right="-20" w:hanging="10"/>
        <w:jc w:val="both"/>
        <w:rPr>
          <w:lang w:val="bg-BG"/>
        </w:rPr>
      </w:pPr>
      <w:r w:rsidRPr="007375EB">
        <w:rPr>
          <w:rFonts w:eastAsia="Verdana" w:cs="Verdana"/>
          <w:color w:val="000000" w:themeColor="text1"/>
          <w:lang w:val="bg-BG"/>
        </w:rPr>
        <w:t xml:space="preserve">Въз основа на анализа на наличните данни за текущото състояние на околната среда (представени в глава 2 от Доклада за околната среда) бяха идентифицирани следните екологични проблеми, свързани с </w:t>
      </w:r>
      <w:r w:rsidR="00C45A60" w:rsidRPr="007375EB">
        <w:rPr>
          <w:rFonts w:eastAsia="Verdana" w:cs="Verdana"/>
          <w:lang w:val="bg-BG"/>
        </w:rPr>
        <w:t>PUZ:</w:t>
      </w:r>
    </w:p>
    <w:tbl>
      <w:tblPr>
        <w:tblW w:w="9606" w:type="dxa"/>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Look w:val="04A0" w:firstRow="1" w:lastRow="0" w:firstColumn="1" w:lastColumn="0" w:noHBand="0" w:noVBand="1"/>
      </w:tblPr>
      <w:tblGrid>
        <w:gridCol w:w="1781"/>
        <w:gridCol w:w="2346"/>
        <w:gridCol w:w="5479"/>
      </w:tblGrid>
      <w:tr w:rsidR="00DB42D8" w:rsidRPr="007375EB" w14:paraId="17B8E7F6" w14:textId="77777777" w:rsidTr="009D77FA">
        <w:trPr>
          <w:trHeight w:val="133"/>
          <w:tblHeader/>
        </w:trPr>
        <w:tc>
          <w:tcPr>
            <w:tcW w:w="1781"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shd w:val="clear" w:color="auto" w:fill="00B0F0"/>
            <w:hideMark/>
          </w:tcPr>
          <w:p w14:paraId="2A538B87" w14:textId="05C46B7B" w:rsidR="00DB42D8" w:rsidRPr="007375EB" w:rsidRDefault="00045108" w:rsidP="00D95C1F">
            <w:pPr>
              <w:spacing w:line="240" w:lineRule="auto"/>
              <w:jc w:val="both"/>
              <w:rPr>
                <w:rFonts w:asciiTheme="minorHAnsi" w:eastAsia="Calibri" w:hAnsiTheme="minorHAnsi"/>
                <w:b/>
                <w:color w:val="FFFFFF"/>
                <w:sz w:val="16"/>
                <w:szCs w:val="16"/>
                <w:lang w:val="bg-BG"/>
              </w:rPr>
            </w:pPr>
            <w:r w:rsidRPr="007375EB">
              <w:rPr>
                <w:b/>
                <w:bCs/>
                <w:color w:val="FFFFFF" w:themeColor="background1"/>
                <w:sz w:val="16"/>
                <w:szCs w:val="16"/>
                <w:lang w:val="bg-BG"/>
              </w:rPr>
              <w:t>Съответни екологични аспекти</w:t>
            </w:r>
          </w:p>
        </w:tc>
        <w:tc>
          <w:tcPr>
            <w:tcW w:w="234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shd w:val="clear" w:color="auto" w:fill="00B0F0"/>
            <w:hideMark/>
          </w:tcPr>
          <w:p w14:paraId="621C8D40" w14:textId="426D35B4" w:rsidR="00DB42D8" w:rsidRPr="007375EB" w:rsidRDefault="00045108" w:rsidP="00D95C1F">
            <w:pPr>
              <w:spacing w:line="240" w:lineRule="auto"/>
              <w:jc w:val="both"/>
              <w:rPr>
                <w:rFonts w:asciiTheme="minorHAnsi" w:eastAsia="Calibri" w:hAnsiTheme="minorHAnsi"/>
                <w:b/>
                <w:color w:val="FFFFFF"/>
                <w:sz w:val="16"/>
                <w:szCs w:val="16"/>
                <w:lang w:val="bg-BG"/>
              </w:rPr>
            </w:pPr>
            <w:r w:rsidRPr="007375EB">
              <w:rPr>
                <w:rFonts w:asciiTheme="minorHAnsi" w:eastAsia="Calibri" w:hAnsiTheme="minorHAnsi"/>
                <w:b/>
                <w:color w:val="FFFFFF" w:themeColor="background1"/>
                <w:sz w:val="16"/>
                <w:szCs w:val="16"/>
                <w:lang w:val="bg-BG"/>
              </w:rPr>
              <w:t>Идентифицирани екологични проблеми</w:t>
            </w:r>
          </w:p>
        </w:tc>
        <w:tc>
          <w:tcPr>
            <w:tcW w:w="5479"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shd w:val="clear" w:color="auto" w:fill="00B0F0"/>
            <w:hideMark/>
          </w:tcPr>
          <w:p w14:paraId="7C63B237" w14:textId="3246F00C" w:rsidR="00DB42D8" w:rsidRPr="007375EB" w:rsidRDefault="001F5454" w:rsidP="00D95C1F">
            <w:pPr>
              <w:spacing w:line="240" w:lineRule="auto"/>
              <w:jc w:val="both"/>
              <w:rPr>
                <w:rFonts w:asciiTheme="minorHAnsi" w:eastAsia="Calibri" w:hAnsiTheme="minorHAnsi"/>
                <w:b/>
                <w:color w:val="FFFFFF"/>
                <w:sz w:val="16"/>
                <w:szCs w:val="16"/>
                <w:lang w:val="bg-BG"/>
              </w:rPr>
            </w:pPr>
            <w:r w:rsidRPr="007375EB">
              <w:rPr>
                <w:rFonts w:asciiTheme="minorHAnsi" w:eastAsia="Calibri" w:hAnsiTheme="minorHAnsi"/>
                <w:b/>
                <w:color w:val="FFFFFF" w:themeColor="background1"/>
                <w:sz w:val="16"/>
                <w:szCs w:val="16"/>
                <w:lang w:val="bg-BG"/>
              </w:rPr>
              <w:t>Свързани причини</w:t>
            </w:r>
          </w:p>
        </w:tc>
      </w:tr>
      <w:tr w:rsidR="00D722AD" w:rsidRPr="007375EB" w14:paraId="1912B37F" w14:textId="77777777" w:rsidTr="009D77FA">
        <w:trPr>
          <w:trHeight w:val="1871"/>
        </w:trPr>
        <w:tc>
          <w:tcPr>
            <w:tcW w:w="1781"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2BA78523" w14:textId="67FEEBAC" w:rsidR="00D722AD" w:rsidRPr="007375EB" w:rsidRDefault="001F5454" w:rsidP="00D95C1F">
            <w:pPr>
              <w:spacing w:line="240" w:lineRule="auto"/>
              <w:jc w:val="both"/>
              <w:rPr>
                <w:rFonts w:asciiTheme="minorHAnsi" w:eastAsia="Calibri" w:hAnsiTheme="minorHAnsi"/>
                <w:b/>
                <w:sz w:val="16"/>
                <w:szCs w:val="16"/>
                <w:lang w:val="bg-BG"/>
              </w:rPr>
            </w:pPr>
            <w:r w:rsidRPr="007375EB">
              <w:rPr>
                <w:rFonts w:asciiTheme="minorHAnsi" w:eastAsia="Calibri" w:hAnsiTheme="minorHAnsi"/>
                <w:b/>
                <w:bCs/>
                <w:sz w:val="16"/>
                <w:szCs w:val="16"/>
                <w:lang w:val="bg-BG"/>
              </w:rPr>
              <w:t>Вода</w:t>
            </w:r>
          </w:p>
        </w:tc>
        <w:tc>
          <w:tcPr>
            <w:tcW w:w="234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54AB4F1A" w14:textId="1DE138CA" w:rsidR="00D722AD" w:rsidRPr="007375EB" w:rsidRDefault="003C42D3" w:rsidP="00D95C1F">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Риск от въздействие върху качеството на подпочвените и повърхностните води</w:t>
            </w:r>
          </w:p>
        </w:tc>
        <w:tc>
          <w:tcPr>
            <w:tcW w:w="5479"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00EA54DE" w14:textId="19D878A9" w:rsidR="003C42D3" w:rsidRPr="007375EB" w:rsidRDefault="003C42D3" w:rsidP="003C42D3">
            <w:pPr>
              <w:spacing w:line="240" w:lineRule="auto"/>
              <w:jc w:val="both"/>
              <w:rPr>
                <w:sz w:val="16"/>
                <w:szCs w:val="16"/>
                <w:lang w:val="bg-BG"/>
              </w:rPr>
            </w:pPr>
            <w:r w:rsidRPr="007375EB">
              <w:rPr>
                <w:sz w:val="16"/>
                <w:szCs w:val="16"/>
                <w:lang w:val="bg-BG"/>
              </w:rPr>
              <w:t xml:space="preserve">Повърхностните водни тела ROCT02_B2 Ефорие Норд – Вама Веке и ROCT01CAPM Мангалия, разположени в района на изпълнение на PUZ, са с лошо екологично състояние, а подземните водни тела RODL10 Южна Добруджа и RODL04 Кобадин – Мангалия са с лошо химично състояние. </w:t>
            </w:r>
          </w:p>
          <w:p w14:paraId="5CB4A45F" w14:textId="20A5132E" w:rsidR="00D722AD" w:rsidRPr="007375EB" w:rsidRDefault="003C42D3" w:rsidP="00D95C1F">
            <w:pPr>
              <w:spacing w:line="240" w:lineRule="auto"/>
              <w:jc w:val="both"/>
              <w:rPr>
                <w:sz w:val="16"/>
                <w:szCs w:val="16"/>
                <w:lang w:val="bg-BG"/>
              </w:rPr>
            </w:pPr>
            <w:r w:rsidRPr="007375EB">
              <w:rPr>
                <w:sz w:val="16"/>
                <w:szCs w:val="16"/>
                <w:lang w:val="bg-BG"/>
              </w:rPr>
              <w:t>В община Черкезу водният оператор RAJA S.A. Constanța осигурява водоснабдяването, но общината не разполага с централизирана канализационна система, което оказва влияние върху нивото на подпочвените води и допринася за замърсяването на почвата и подземните води.</w:t>
            </w:r>
          </w:p>
        </w:tc>
      </w:tr>
      <w:tr w:rsidR="003C42D3" w:rsidRPr="007375EB" w14:paraId="66B3FA28" w14:textId="77777777" w:rsidTr="009D77FA">
        <w:tc>
          <w:tcPr>
            <w:tcW w:w="1781"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54BEC862" w14:textId="0DEF6740" w:rsidR="003C42D3" w:rsidRPr="007375EB" w:rsidRDefault="003C42D3" w:rsidP="003C42D3">
            <w:pPr>
              <w:spacing w:line="240" w:lineRule="auto"/>
              <w:jc w:val="both"/>
              <w:rPr>
                <w:rFonts w:asciiTheme="minorHAnsi" w:eastAsia="Calibri" w:hAnsiTheme="minorHAnsi"/>
                <w:b/>
                <w:sz w:val="16"/>
                <w:szCs w:val="16"/>
                <w:lang w:val="bg-BG"/>
              </w:rPr>
            </w:pPr>
            <w:r w:rsidRPr="007375EB">
              <w:rPr>
                <w:b/>
                <w:bCs/>
                <w:color w:val="000000"/>
                <w:sz w:val="16"/>
                <w:szCs w:val="16"/>
                <w:lang w:val="bg-BG"/>
              </w:rPr>
              <w:t>Въздух</w:t>
            </w:r>
          </w:p>
        </w:tc>
        <w:tc>
          <w:tcPr>
            <w:tcW w:w="234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361A2CF2" w14:textId="328A4690" w:rsidR="003C42D3" w:rsidRPr="007375EB" w:rsidRDefault="003C42D3" w:rsidP="003C42D3">
            <w:pPr>
              <w:spacing w:line="240" w:lineRule="auto"/>
              <w:jc w:val="both"/>
              <w:rPr>
                <w:rFonts w:asciiTheme="minorHAnsi" w:eastAsia="Calibri" w:hAnsiTheme="minorHAnsi"/>
                <w:sz w:val="16"/>
                <w:szCs w:val="16"/>
                <w:lang w:val="bg-BG"/>
              </w:rPr>
            </w:pPr>
            <w:r w:rsidRPr="007375EB">
              <w:rPr>
                <w:rFonts w:eastAsia="Calibri"/>
                <w:sz w:val="16"/>
                <w:szCs w:val="16"/>
                <w:lang w:val="bg-BG"/>
              </w:rPr>
              <w:t>Риск от местно превишаване на пределно допустимите стойности за определени замърсители, изпускани във въздуха (NO</w:t>
            </w:r>
            <w:r w:rsidRPr="007375EB">
              <w:rPr>
                <w:rFonts w:eastAsia="Calibri"/>
                <w:sz w:val="16"/>
                <w:szCs w:val="16"/>
                <w:vertAlign w:val="subscript"/>
                <w:lang w:val="bg-BG"/>
              </w:rPr>
              <w:t>x</w:t>
            </w:r>
            <w:r w:rsidRPr="007375EB">
              <w:rPr>
                <w:rFonts w:eastAsia="Calibri"/>
                <w:sz w:val="16"/>
                <w:szCs w:val="16"/>
                <w:lang w:val="bg-BG"/>
              </w:rPr>
              <w:t>, SO</w:t>
            </w:r>
            <w:r w:rsidRPr="007375EB">
              <w:rPr>
                <w:rFonts w:eastAsia="Calibri"/>
                <w:sz w:val="16"/>
                <w:szCs w:val="16"/>
                <w:vertAlign w:val="subscript"/>
                <w:lang w:val="bg-BG"/>
              </w:rPr>
              <w:t>x</w:t>
            </w:r>
            <w:r w:rsidRPr="007375EB">
              <w:rPr>
                <w:rFonts w:eastAsia="Calibri"/>
                <w:sz w:val="16"/>
                <w:szCs w:val="16"/>
                <w:lang w:val="bg-BG"/>
              </w:rPr>
              <w:t>, PM</w:t>
            </w:r>
            <w:r w:rsidRPr="007375EB">
              <w:rPr>
                <w:rFonts w:eastAsia="Calibri"/>
                <w:sz w:val="16"/>
                <w:szCs w:val="16"/>
                <w:vertAlign w:val="subscript"/>
                <w:lang w:val="bg-BG"/>
              </w:rPr>
              <w:t>10</w:t>
            </w:r>
            <w:r w:rsidRPr="007375EB">
              <w:rPr>
                <w:rFonts w:eastAsia="Calibri"/>
                <w:sz w:val="16"/>
                <w:szCs w:val="16"/>
                <w:lang w:val="bg-BG"/>
              </w:rPr>
              <w:t>, PM</w:t>
            </w:r>
            <w:r w:rsidRPr="007375EB">
              <w:rPr>
                <w:rFonts w:eastAsia="Calibri"/>
                <w:sz w:val="16"/>
                <w:szCs w:val="16"/>
                <w:vertAlign w:val="subscript"/>
                <w:lang w:val="bg-BG"/>
              </w:rPr>
              <w:t>2,5</w:t>
            </w:r>
            <w:r w:rsidRPr="007375EB">
              <w:rPr>
                <w:rFonts w:eastAsia="Calibri"/>
                <w:sz w:val="16"/>
                <w:szCs w:val="16"/>
                <w:lang w:val="bg-BG"/>
              </w:rPr>
              <w:t>, CO</w:t>
            </w:r>
            <w:r w:rsidRPr="007375EB">
              <w:rPr>
                <w:rFonts w:eastAsia="Calibri"/>
                <w:sz w:val="16"/>
                <w:szCs w:val="16"/>
                <w:vertAlign w:val="subscript"/>
                <w:lang w:val="bg-BG"/>
              </w:rPr>
              <w:t>x</w:t>
            </w:r>
            <w:r w:rsidRPr="007375EB">
              <w:rPr>
                <w:rFonts w:eastAsia="Calibri"/>
                <w:sz w:val="16"/>
                <w:szCs w:val="16"/>
                <w:lang w:val="bg-BG"/>
              </w:rPr>
              <w:t xml:space="preserve"> NMCOV)</w:t>
            </w:r>
          </w:p>
        </w:tc>
        <w:tc>
          <w:tcPr>
            <w:tcW w:w="5479"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178A9323" w14:textId="77777777" w:rsidR="003C42D3" w:rsidRPr="007375EB" w:rsidRDefault="003C42D3" w:rsidP="003C42D3">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От анализа на данните на регионално и местно равнище става ясно, че основните източници на замърсяване на въздуха са транспортът, строителните работи, които се извършват в ТПЗ, и машините, които участват в тях, както и селскостопанските дейности.</w:t>
            </w:r>
          </w:p>
          <w:p w14:paraId="03B56D5F" w14:textId="1DBBECFA" w:rsidR="003C42D3" w:rsidRPr="007375EB" w:rsidRDefault="003C42D3" w:rsidP="003C42D3">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Липсата на данни за качеството на въздуха на местно PM</w:t>
            </w:r>
            <w:r w:rsidRPr="007375EB">
              <w:rPr>
                <w:rFonts w:asciiTheme="minorHAnsi" w:eastAsia="Calibri" w:hAnsiTheme="minorHAnsi"/>
                <w:sz w:val="16"/>
                <w:szCs w:val="16"/>
                <w:vertAlign w:val="subscript"/>
                <w:lang w:val="bg-BG"/>
              </w:rPr>
              <w:t>10</w:t>
            </w:r>
            <w:r w:rsidRPr="007375EB">
              <w:rPr>
                <w:rFonts w:asciiTheme="minorHAnsi" w:eastAsia="Calibri" w:hAnsiTheme="minorHAnsi"/>
                <w:sz w:val="16"/>
                <w:szCs w:val="16"/>
                <w:lang w:val="bg-BG"/>
              </w:rPr>
              <w:t xml:space="preserve"> ниво и наличните данни на европейско ниво позволяват приблизителна оценка на състоянието на качеството на въздуха в анализирания район. </w:t>
            </w:r>
          </w:p>
          <w:p w14:paraId="648C2431" w14:textId="17F9C76C" w:rsidR="003C42D3" w:rsidRPr="007375EB" w:rsidRDefault="003C42D3" w:rsidP="003C42D3">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Следователно стойността на концентрацията на емисиите на PM</w:t>
            </w:r>
            <w:r w:rsidRPr="007375EB">
              <w:rPr>
                <w:rFonts w:asciiTheme="minorHAnsi" w:eastAsia="Calibri" w:hAnsiTheme="minorHAnsi"/>
                <w:sz w:val="16"/>
                <w:szCs w:val="16"/>
                <w:vertAlign w:val="subscript"/>
                <w:lang w:val="bg-BG"/>
              </w:rPr>
              <w:t>10</w:t>
            </w:r>
            <w:r w:rsidRPr="007375EB">
              <w:rPr>
                <w:rFonts w:asciiTheme="minorHAnsi" w:eastAsia="Calibri" w:hAnsiTheme="minorHAnsi"/>
                <w:sz w:val="16"/>
                <w:szCs w:val="16"/>
                <w:lang w:val="bg-BG"/>
              </w:rPr>
              <w:t xml:space="preserve"> е под годишната пределно допустима стойност и горния оценъчен праг, но над долния оценъчен праг. Емисиите на PM2,5 са под годишните пределно допустими стойности и горния праг за оценка, но над долния праг за оценка.</w:t>
            </w:r>
          </w:p>
          <w:p w14:paraId="253B157C" w14:textId="7A408E81" w:rsidR="003C42D3" w:rsidRPr="007375EB" w:rsidRDefault="003C42D3" w:rsidP="003C42D3">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Емисиите на NO</w:t>
            </w:r>
            <w:r w:rsidRPr="007375EB">
              <w:rPr>
                <w:rFonts w:asciiTheme="minorHAnsi" w:eastAsia="Calibri" w:hAnsiTheme="minorHAnsi"/>
                <w:sz w:val="16"/>
                <w:szCs w:val="16"/>
                <w:vertAlign w:val="subscript"/>
                <w:lang w:val="bg-BG"/>
              </w:rPr>
              <w:t xml:space="preserve">2 </w:t>
            </w:r>
            <w:r w:rsidRPr="007375EB">
              <w:rPr>
                <w:rFonts w:asciiTheme="minorHAnsi" w:eastAsia="Calibri" w:hAnsiTheme="minorHAnsi"/>
                <w:sz w:val="16"/>
                <w:szCs w:val="16"/>
                <w:lang w:val="bg-BG"/>
              </w:rPr>
              <w:t>и NO</w:t>
            </w:r>
            <w:r w:rsidRPr="007375EB">
              <w:rPr>
                <w:rFonts w:asciiTheme="minorHAnsi" w:eastAsia="Calibri" w:hAnsiTheme="minorHAnsi"/>
                <w:sz w:val="16"/>
                <w:szCs w:val="16"/>
                <w:vertAlign w:val="subscript"/>
                <w:lang w:val="bg-BG"/>
              </w:rPr>
              <w:t>x</w:t>
            </w:r>
            <w:r w:rsidRPr="007375EB">
              <w:rPr>
                <w:rFonts w:asciiTheme="minorHAnsi" w:eastAsia="Calibri" w:hAnsiTheme="minorHAnsi"/>
                <w:sz w:val="16"/>
                <w:szCs w:val="16"/>
                <w:lang w:val="bg-BG"/>
              </w:rPr>
              <w:t xml:space="preserve"> са под годишната пределно допустима стойност, критичното ниво за опазване на растителността и съответно под горния и долния праг за оценка </w:t>
            </w:r>
          </w:p>
        </w:tc>
      </w:tr>
      <w:tr w:rsidR="003C42D3" w:rsidRPr="007375EB" w14:paraId="1F1FE923" w14:textId="77777777" w:rsidTr="009D77FA">
        <w:tc>
          <w:tcPr>
            <w:tcW w:w="1781"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51A1F919" w14:textId="49745B6D" w:rsidR="003C42D3" w:rsidRPr="007375EB" w:rsidRDefault="003C42D3" w:rsidP="003C42D3">
            <w:pPr>
              <w:spacing w:line="240" w:lineRule="auto"/>
              <w:jc w:val="both"/>
              <w:rPr>
                <w:rFonts w:asciiTheme="minorHAnsi" w:eastAsia="Calibri" w:hAnsiTheme="minorHAnsi"/>
                <w:b/>
                <w:bCs/>
                <w:sz w:val="16"/>
                <w:szCs w:val="16"/>
                <w:lang w:val="bg-BG"/>
              </w:rPr>
            </w:pPr>
            <w:r w:rsidRPr="007375EB">
              <w:rPr>
                <w:b/>
                <w:bCs/>
                <w:color w:val="000000"/>
                <w:sz w:val="16"/>
                <w:szCs w:val="16"/>
                <w:lang w:val="bg-BG"/>
              </w:rPr>
              <w:t>Почва/подпочва</w:t>
            </w:r>
          </w:p>
        </w:tc>
        <w:tc>
          <w:tcPr>
            <w:tcW w:w="234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4DDE23E0" w14:textId="31BC72F5" w:rsidR="003C42D3" w:rsidRPr="007375EB" w:rsidRDefault="009D77FA" w:rsidP="003C42D3">
            <w:pPr>
              <w:spacing w:line="240" w:lineRule="auto"/>
              <w:jc w:val="both"/>
              <w:rPr>
                <w:rFonts w:asciiTheme="minorHAnsi" w:eastAsia="Calibri" w:hAnsiTheme="minorHAnsi"/>
                <w:color w:val="FF0000"/>
                <w:sz w:val="16"/>
                <w:szCs w:val="16"/>
                <w:lang w:val="bg-BG"/>
              </w:rPr>
            </w:pPr>
            <w:r w:rsidRPr="007375EB">
              <w:rPr>
                <w:rFonts w:eastAsia="Calibri"/>
                <w:sz w:val="16"/>
                <w:szCs w:val="16"/>
                <w:lang w:val="bg-BG"/>
              </w:rPr>
              <w:t>Влошаване на характеристиките и функциите на почвата, т.е. промени в нейния биопродуктивен потенциал</w:t>
            </w:r>
          </w:p>
        </w:tc>
        <w:tc>
          <w:tcPr>
            <w:tcW w:w="5479"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43DC931C" w14:textId="2DCB8063" w:rsidR="009D77FA" w:rsidRPr="007375EB" w:rsidRDefault="009D77FA" w:rsidP="009D77FA">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На административната територия на община Черкезу качеството на почвата не е засегнато от промишлени дейности. Районите с потенциален риск от замърсяване на почвата са представени от селскостопанските дейности, т.е. неправилната употреба на торове, която може да доведе до прекомерна поява на нитрати и фосфати, с въздействие върху почвената микрофлора и натрупването им в растителността.</w:t>
            </w:r>
          </w:p>
          <w:p w14:paraId="000468AD" w14:textId="77A0EB6D" w:rsidR="009D77FA" w:rsidRPr="007375EB" w:rsidRDefault="009D77FA" w:rsidP="009D77FA">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На административната територия на Черкезу няма нито исторически замърсени, нито потенциално замърсени места.</w:t>
            </w:r>
          </w:p>
          <w:p w14:paraId="44305D9C" w14:textId="77777777" w:rsidR="009D77FA" w:rsidRPr="007375EB" w:rsidRDefault="009D77FA" w:rsidP="009D77FA">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На административната територия не са идентифицирани зони, засегнати от явления на изтощаване или вкисляване.</w:t>
            </w:r>
          </w:p>
          <w:p w14:paraId="5E132283" w14:textId="0E83FC53" w:rsidR="003C42D3" w:rsidRPr="007375EB" w:rsidRDefault="009D77FA" w:rsidP="009D77FA">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Неконтролирано или неправилно изхвърляне на отпадъци</w:t>
            </w:r>
            <w:r w:rsidR="003C42D3" w:rsidRPr="007375EB">
              <w:rPr>
                <w:rFonts w:eastAsia="Calibri"/>
                <w:sz w:val="16"/>
                <w:szCs w:val="16"/>
                <w:lang w:val="bg-BG"/>
              </w:rPr>
              <w:t>.</w:t>
            </w:r>
          </w:p>
        </w:tc>
      </w:tr>
      <w:tr w:rsidR="003C42D3" w:rsidRPr="007375EB" w14:paraId="7FEBFC52" w14:textId="77777777" w:rsidTr="009D77FA">
        <w:tc>
          <w:tcPr>
            <w:tcW w:w="1781"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4DD66B0A" w14:textId="4005D9D6" w:rsidR="003C42D3" w:rsidRPr="007375EB" w:rsidRDefault="003C42D3" w:rsidP="003C42D3">
            <w:pPr>
              <w:spacing w:line="240" w:lineRule="auto"/>
              <w:jc w:val="both"/>
              <w:rPr>
                <w:rFonts w:asciiTheme="minorHAnsi" w:eastAsia="Calibri" w:hAnsiTheme="minorHAnsi"/>
                <w:b/>
                <w:bCs/>
                <w:sz w:val="16"/>
                <w:szCs w:val="16"/>
                <w:lang w:val="bg-BG"/>
              </w:rPr>
            </w:pPr>
            <w:r w:rsidRPr="007375EB">
              <w:rPr>
                <w:b/>
                <w:bCs/>
                <w:color w:val="000000"/>
                <w:sz w:val="16"/>
                <w:szCs w:val="16"/>
                <w:lang w:val="bg-BG"/>
              </w:rPr>
              <w:t>Използване на природни ресурси</w:t>
            </w:r>
          </w:p>
        </w:tc>
        <w:tc>
          <w:tcPr>
            <w:tcW w:w="234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35D5468F" w14:textId="5A783F1F" w:rsidR="003C42D3" w:rsidRPr="007375EB" w:rsidRDefault="009D77FA" w:rsidP="003C42D3">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Потребление на природни ресурси</w:t>
            </w:r>
          </w:p>
        </w:tc>
        <w:tc>
          <w:tcPr>
            <w:tcW w:w="5479"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25A461B1" w14:textId="77F74BBB" w:rsidR="009D77FA" w:rsidRPr="007375EB" w:rsidRDefault="009D77FA" w:rsidP="009D77FA">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 xml:space="preserve">Използването на възобновяемите ресурси в Черкезу е слабо. </w:t>
            </w:r>
          </w:p>
          <w:p w14:paraId="5200B351" w14:textId="4A273553" w:rsidR="003C42D3" w:rsidRPr="007375EB" w:rsidRDefault="009D77FA" w:rsidP="009D77FA">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 xml:space="preserve">Изграждането на вятърния парк ще улесни използването на вятъра - възобновяем ресурс, характерен за района на развитие на </w:t>
            </w:r>
            <w:r w:rsidR="003C42D3" w:rsidRPr="007375EB">
              <w:rPr>
                <w:rFonts w:asciiTheme="minorHAnsi" w:eastAsia="Calibri" w:hAnsiTheme="minorHAnsi"/>
                <w:sz w:val="16"/>
                <w:szCs w:val="16"/>
                <w:lang w:val="bg-BG"/>
              </w:rPr>
              <w:t>PUZ.</w:t>
            </w:r>
          </w:p>
        </w:tc>
      </w:tr>
      <w:tr w:rsidR="009D77FA" w:rsidRPr="007375EB" w14:paraId="0BBD50D8" w14:textId="77777777" w:rsidTr="009D77FA">
        <w:tc>
          <w:tcPr>
            <w:tcW w:w="1781"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0B024A07" w14:textId="23003BD8" w:rsidR="009D77FA" w:rsidRPr="007375EB" w:rsidRDefault="009D77FA" w:rsidP="009D77FA">
            <w:pPr>
              <w:spacing w:line="240" w:lineRule="auto"/>
              <w:jc w:val="both"/>
              <w:rPr>
                <w:rFonts w:asciiTheme="minorHAnsi" w:eastAsia="Calibri" w:hAnsiTheme="minorHAnsi"/>
                <w:b/>
                <w:bCs/>
                <w:sz w:val="16"/>
                <w:szCs w:val="16"/>
                <w:lang w:val="bg-BG"/>
              </w:rPr>
            </w:pPr>
            <w:r w:rsidRPr="007375EB">
              <w:rPr>
                <w:b/>
                <w:bCs/>
                <w:color w:val="000000"/>
                <w:sz w:val="16"/>
                <w:szCs w:val="16"/>
                <w:lang w:val="bg-BG"/>
              </w:rPr>
              <w:t>Управление на отпадъците</w:t>
            </w:r>
          </w:p>
        </w:tc>
        <w:tc>
          <w:tcPr>
            <w:tcW w:w="234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71DEB1C0" w14:textId="7FD2096F" w:rsidR="009D77FA" w:rsidRPr="007375EB" w:rsidRDefault="009D77FA" w:rsidP="009D77FA">
            <w:pPr>
              <w:spacing w:line="240" w:lineRule="auto"/>
              <w:jc w:val="both"/>
              <w:rPr>
                <w:rFonts w:asciiTheme="minorHAnsi" w:eastAsia="Calibri" w:hAnsiTheme="minorHAnsi"/>
                <w:color w:val="FF0000"/>
                <w:sz w:val="16"/>
                <w:szCs w:val="16"/>
                <w:lang w:val="bg-BG"/>
              </w:rPr>
            </w:pPr>
            <w:r w:rsidRPr="007375EB">
              <w:rPr>
                <w:sz w:val="16"/>
                <w:szCs w:val="16"/>
                <w:lang w:val="bg-BG"/>
              </w:rPr>
              <w:t>Замърсяване на околната среда поради неправилно управление на отпадъците.</w:t>
            </w:r>
          </w:p>
        </w:tc>
        <w:tc>
          <w:tcPr>
            <w:tcW w:w="5479"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37F4037A" w14:textId="1C3538EB" w:rsidR="009D77FA" w:rsidRPr="007375EB" w:rsidRDefault="009D77FA" w:rsidP="009D77FA">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В община Черкезу санитарната дейност се осигурява от Iridex Grup Salubrizare S.R.L., която събира и транспортира разделно битови и подобни отпадъци, отпадъци от къщи от вътрешно/външно обновяване/реновиране/реставрация от всички генератори. Освен това събира и транспортира за връщане за оползотворяване всички видове рециклируеми промишлени отпадъци (картон и хартия, пластмаса, стъкло и др.).</w:t>
            </w:r>
          </w:p>
          <w:p w14:paraId="07561055" w14:textId="27363591" w:rsidR="009D77FA" w:rsidRPr="007375EB" w:rsidRDefault="009D77FA" w:rsidP="009D77FA">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Строителството и поддръжката на вятърния парк генерират отпадъци. Неправилното управление на тези отпадъци може да доведе до замърсяване на околната среда.</w:t>
            </w:r>
          </w:p>
        </w:tc>
      </w:tr>
      <w:tr w:rsidR="009D77FA" w:rsidRPr="007375EB" w14:paraId="0B5F78DB" w14:textId="77777777" w:rsidTr="009D77FA">
        <w:tc>
          <w:tcPr>
            <w:tcW w:w="1781"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0DB1AC87" w14:textId="1BE53E04" w:rsidR="009D77FA" w:rsidRPr="007375EB" w:rsidRDefault="009D77FA" w:rsidP="009D77FA">
            <w:pPr>
              <w:spacing w:line="240" w:lineRule="auto"/>
              <w:jc w:val="both"/>
              <w:rPr>
                <w:rFonts w:asciiTheme="minorHAnsi" w:eastAsia="Calibri" w:hAnsiTheme="minorHAnsi"/>
                <w:b/>
                <w:bCs/>
                <w:sz w:val="16"/>
                <w:szCs w:val="16"/>
                <w:lang w:val="bg-BG"/>
              </w:rPr>
            </w:pPr>
            <w:r w:rsidRPr="007375EB">
              <w:rPr>
                <w:b/>
                <w:bCs/>
                <w:color w:val="000000"/>
                <w:sz w:val="16"/>
                <w:szCs w:val="16"/>
                <w:lang w:val="bg-BG"/>
              </w:rPr>
              <w:lastRenderedPageBreak/>
              <w:t>Шум и вибрации</w:t>
            </w:r>
          </w:p>
        </w:tc>
        <w:tc>
          <w:tcPr>
            <w:tcW w:w="234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74345DDA" w14:textId="25D531E1" w:rsidR="009D77FA" w:rsidRPr="007375EB" w:rsidRDefault="009D77FA" w:rsidP="009D77FA">
            <w:pPr>
              <w:spacing w:line="240" w:lineRule="auto"/>
              <w:jc w:val="both"/>
              <w:rPr>
                <w:rFonts w:asciiTheme="minorHAnsi" w:eastAsia="Calibri" w:hAnsiTheme="minorHAnsi"/>
                <w:color w:val="FF0000"/>
                <w:sz w:val="16"/>
                <w:szCs w:val="16"/>
                <w:lang w:val="bg-BG"/>
              </w:rPr>
            </w:pPr>
            <w:r w:rsidRPr="007375EB">
              <w:rPr>
                <w:sz w:val="16"/>
                <w:szCs w:val="16"/>
                <w:lang w:val="bg-BG"/>
              </w:rPr>
              <w:t>Шумово замърсяване и вибрации, засягащи местната фауна и жителите.</w:t>
            </w:r>
          </w:p>
        </w:tc>
        <w:tc>
          <w:tcPr>
            <w:tcW w:w="5479"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60289ED2" w14:textId="1BE810C4" w:rsidR="009D77FA" w:rsidRPr="007375EB" w:rsidRDefault="009D77FA" w:rsidP="009D77FA">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В община Черкезу пътният трафик се осъществява по окръжен път DJ391 и по общински пътища DC13, DC16, DC17, DC18 и DC19, както и дейностите по строителство/разрушаване чрез експлоатация на машини, използвани при извършване на дейности по озеленяване/изграждане/изливане на бетон, превозни средства, превозващи материали.</w:t>
            </w:r>
          </w:p>
          <w:p w14:paraId="1161C71E" w14:textId="3C31C8BB" w:rsidR="009D77FA" w:rsidRPr="007375EB" w:rsidRDefault="009D77FA" w:rsidP="009D77FA">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Тъй като това е открит селски район, незасегнат от градски постройки, без промишлени дейности и без интензивен трафик по вътрешните пътища и свързващите пътища с други населени места, нивото на шума в община Черкезу е ниско.</w:t>
            </w:r>
          </w:p>
          <w:p w14:paraId="180177D9" w14:textId="4D2035EB" w:rsidR="009D77FA" w:rsidRPr="007375EB" w:rsidRDefault="009D77FA" w:rsidP="009D77FA">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Вятърните турбини генерират шум и вибрации, които могат да окажат неблагоприятно въздействие върху местната фауна и комфорта на съседните жители.</w:t>
            </w:r>
          </w:p>
        </w:tc>
      </w:tr>
      <w:tr w:rsidR="003C42D3" w:rsidRPr="007375EB" w14:paraId="2E0FD2ED" w14:textId="77777777" w:rsidTr="009D77FA">
        <w:tc>
          <w:tcPr>
            <w:tcW w:w="1781"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699F0B14" w14:textId="7BDDCABD" w:rsidR="003C42D3" w:rsidRPr="007375EB" w:rsidRDefault="003C42D3" w:rsidP="003C42D3">
            <w:pPr>
              <w:spacing w:line="240" w:lineRule="auto"/>
              <w:jc w:val="both"/>
              <w:rPr>
                <w:rFonts w:asciiTheme="minorHAnsi" w:eastAsia="Calibri" w:hAnsiTheme="minorHAnsi"/>
                <w:b/>
                <w:bCs/>
                <w:sz w:val="16"/>
                <w:szCs w:val="16"/>
                <w:lang w:val="bg-BG"/>
              </w:rPr>
            </w:pPr>
            <w:r w:rsidRPr="007375EB">
              <w:rPr>
                <w:b/>
                <w:bCs/>
                <w:color w:val="000000"/>
                <w:sz w:val="16"/>
                <w:szCs w:val="16"/>
                <w:lang w:val="bg-BG"/>
              </w:rPr>
              <w:t>Биологично разнообразие</w:t>
            </w:r>
          </w:p>
        </w:tc>
        <w:tc>
          <w:tcPr>
            <w:tcW w:w="234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1578E48C" w14:textId="7EC6F5C7" w:rsidR="003C42D3" w:rsidRPr="007375EB" w:rsidRDefault="009D77FA" w:rsidP="003C42D3">
            <w:pPr>
              <w:spacing w:line="240" w:lineRule="auto"/>
              <w:jc w:val="both"/>
              <w:rPr>
                <w:rFonts w:asciiTheme="minorHAnsi" w:eastAsia="Calibri" w:hAnsiTheme="minorHAnsi"/>
                <w:color w:val="FF0000"/>
                <w:sz w:val="16"/>
                <w:szCs w:val="16"/>
                <w:lang w:val="bg-BG"/>
              </w:rPr>
            </w:pPr>
            <w:r w:rsidRPr="007375EB">
              <w:rPr>
                <w:rFonts w:asciiTheme="minorHAnsi" w:eastAsia="Calibri" w:hAnsiTheme="minorHAnsi"/>
                <w:sz w:val="16"/>
                <w:szCs w:val="16"/>
                <w:lang w:val="bg-BG"/>
              </w:rPr>
              <w:t>Нарушаване на естествените местообитания и местните видове.</w:t>
            </w:r>
          </w:p>
        </w:tc>
        <w:tc>
          <w:tcPr>
            <w:tcW w:w="5479"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4E2365F6" w14:textId="64AE4E12" w:rsidR="009D77FA" w:rsidRPr="007375EB" w:rsidRDefault="009D77FA" w:rsidP="009D77FA">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 xml:space="preserve">Земята в рамките на периметъра, изследван от PUZ, попада в категорията на земите, частично заети от селското стопанство, със значителни площи естествена растителност, обработваеми земи, ливади, водни течения, напоителни канали. </w:t>
            </w:r>
          </w:p>
          <w:p w14:paraId="29AAA95E" w14:textId="446E940A" w:rsidR="009D77FA" w:rsidRPr="007375EB" w:rsidRDefault="009D77FA" w:rsidP="009D77FA">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 xml:space="preserve">В съседство с PUZ, на разстояние по-малко от 5 </w:t>
            </w:r>
            <w:r w:rsidR="0034375E" w:rsidRPr="007375EB">
              <w:rPr>
                <w:rFonts w:asciiTheme="minorHAnsi" w:eastAsia="Calibri" w:hAnsiTheme="minorHAnsi"/>
                <w:sz w:val="16"/>
                <w:szCs w:val="16"/>
                <w:lang w:val="bg-BG"/>
              </w:rPr>
              <w:t>км</w:t>
            </w:r>
            <w:r w:rsidRPr="007375EB">
              <w:rPr>
                <w:rFonts w:asciiTheme="minorHAnsi" w:eastAsia="Calibri" w:hAnsiTheme="minorHAnsi"/>
                <w:sz w:val="16"/>
                <w:szCs w:val="16"/>
                <w:lang w:val="bg-BG"/>
              </w:rPr>
              <w:t>, са идентифицирани три природни зони от интерес за Общността (една на територията на Румъния и две на територията на България).</w:t>
            </w:r>
          </w:p>
          <w:p w14:paraId="6E5532D7" w14:textId="77777777" w:rsidR="009D77FA" w:rsidRPr="007375EB" w:rsidRDefault="009D77FA" w:rsidP="009D77FA">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Прилагането на плана може да доведе до отрицателни въздействия върху биологичното разнообразие, както върху потенциалните (хранене/гнездене/размножаване), така и върху фаунистичните местообитания.</w:t>
            </w:r>
          </w:p>
          <w:p w14:paraId="59E48003" w14:textId="51DA19F5" w:rsidR="003C42D3" w:rsidRPr="007375EB" w:rsidRDefault="009D77FA" w:rsidP="009D77FA">
            <w:pPr>
              <w:spacing w:line="240" w:lineRule="auto"/>
              <w:jc w:val="both"/>
              <w:rPr>
                <w:rFonts w:asciiTheme="minorHAnsi" w:eastAsia="Calibri" w:hAnsiTheme="minorHAnsi"/>
                <w:sz w:val="16"/>
                <w:szCs w:val="16"/>
                <w:highlight w:val="yellow"/>
                <w:lang w:val="bg-BG"/>
              </w:rPr>
            </w:pPr>
            <w:r w:rsidRPr="007375EB">
              <w:rPr>
                <w:rFonts w:asciiTheme="minorHAnsi" w:eastAsia="Calibri" w:hAnsiTheme="minorHAnsi"/>
                <w:sz w:val="16"/>
                <w:szCs w:val="16"/>
                <w:lang w:val="bg-BG"/>
              </w:rPr>
              <w:t>Изграждането и експлоатацията на ветроенергийния парк крие рискове за някои бозайници, идентифицирани в района на изпълнение, но също така и за орнитофауната поради сблъсъци с турбините и за хироптерите (прилепите) поради баротравма (внезапна промяна на налягането в обсега на лопатките на турбината).</w:t>
            </w:r>
          </w:p>
        </w:tc>
      </w:tr>
      <w:tr w:rsidR="003C42D3" w:rsidRPr="007375EB" w14:paraId="05B0AE98" w14:textId="77777777" w:rsidTr="009D77FA">
        <w:tc>
          <w:tcPr>
            <w:tcW w:w="1781"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0F217E75" w14:textId="504EF7DB" w:rsidR="003C42D3" w:rsidRPr="007375EB" w:rsidRDefault="003C42D3" w:rsidP="003C42D3">
            <w:pPr>
              <w:spacing w:line="240" w:lineRule="auto"/>
              <w:jc w:val="both"/>
              <w:rPr>
                <w:rFonts w:asciiTheme="minorHAnsi" w:eastAsia="Calibri" w:hAnsiTheme="minorHAnsi"/>
                <w:b/>
                <w:bCs/>
                <w:sz w:val="16"/>
                <w:szCs w:val="16"/>
                <w:lang w:val="bg-BG"/>
              </w:rPr>
            </w:pPr>
            <w:r w:rsidRPr="007375EB">
              <w:rPr>
                <w:b/>
                <w:bCs/>
                <w:color w:val="000000"/>
                <w:sz w:val="16"/>
                <w:szCs w:val="16"/>
                <w:lang w:val="bg-BG"/>
              </w:rPr>
              <w:t>Население и човешко здраве</w:t>
            </w:r>
          </w:p>
        </w:tc>
        <w:tc>
          <w:tcPr>
            <w:tcW w:w="234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12FD05A7" w14:textId="6FC7A4DB" w:rsidR="003C42D3" w:rsidRPr="007375EB" w:rsidRDefault="009D77FA" w:rsidP="003C42D3">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 xml:space="preserve">Дискомфорт поради шум и ефектът на трептящата сянка </w:t>
            </w:r>
          </w:p>
        </w:tc>
        <w:tc>
          <w:tcPr>
            <w:tcW w:w="5479"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0F3393BC" w14:textId="77777777" w:rsidR="009D77FA" w:rsidRPr="007375EB" w:rsidRDefault="009D77FA" w:rsidP="009D77FA">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Проучванията на възприемането на шума и вибрациите, генерирани от вятърни турбини, показват, че нивото на дискомфорт или дразнене може да варира в зависимост от индивидуалните нагласи и чувствителност на хората. Като цяло съвременните вятърни турбини са оптимизирани така, че да намалят шума и вибрациите и да сведат до минимум въздействието върху обществото.</w:t>
            </w:r>
          </w:p>
          <w:p w14:paraId="0FCEA586" w14:textId="383481D9" w:rsidR="003C42D3" w:rsidRPr="007375EB" w:rsidRDefault="009D77FA" w:rsidP="009D77FA">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Ефектът на засенчване от движещите се ротори на турбините може да повлияе на осветлението и визуалния комфорт на хората в съседните райони.</w:t>
            </w:r>
          </w:p>
        </w:tc>
      </w:tr>
      <w:tr w:rsidR="003C42D3" w:rsidRPr="007375EB" w14:paraId="7BF1C81C" w14:textId="77777777" w:rsidTr="009D77FA">
        <w:tc>
          <w:tcPr>
            <w:tcW w:w="1781"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7FD3206F" w14:textId="681F29D1" w:rsidR="003C42D3" w:rsidRPr="007375EB" w:rsidRDefault="003C42D3" w:rsidP="003C42D3">
            <w:pPr>
              <w:spacing w:line="240" w:lineRule="auto"/>
              <w:jc w:val="both"/>
              <w:rPr>
                <w:rFonts w:asciiTheme="minorHAnsi" w:eastAsia="Calibri" w:hAnsiTheme="minorHAnsi"/>
                <w:b/>
                <w:bCs/>
                <w:sz w:val="16"/>
                <w:szCs w:val="16"/>
                <w:lang w:val="bg-BG"/>
              </w:rPr>
            </w:pPr>
            <w:r w:rsidRPr="007375EB">
              <w:rPr>
                <w:b/>
                <w:bCs/>
                <w:sz w:val="16"/>
                <w:szCs w:val="16"/>
                <w:lang w:val="bg-BG"/>
              </w:rPr>
              <w:t>Ландшафт</w:t>
            </w:r>
          </w:p>
        </w:tc>
        <w:tc>
          <w:tcPr>
            <w:tcW w:w="234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61903F87" w14:textId="2E8C093C" w:rsidR="003C42D3" w:rsidRPr="007375EB" w:rsidRDefault="009D77FA" w:rsidP="003C42D3">
            <w:pPr>
              <w:spacing w:line="240" w:lineRule="auto"/>
              <w:jc w:val="both"/>
              <w:rPr>
                <w:rFonts w:asciiTheme="minorHAnsi" w:eastAsia="Calibri" w:hAnsiTheme="minorHAnsi"/>
                <w:sz w:val="16"/>
                <w:szCs w:val="16"/>
                <w:lang w:val="bg-BG"/>
              </w:rPr>
            </w:pPr>
            <w:r w:rsidRPr="007375EB">
              <w:rPr>
                <w:rFonts w:eastAsia="Calibri"/>
                <w:sz w:val="16"/>
                <w:szCs w:val="16"/>
                <w:lang w:val="bg-BG"/>
              </w:rPr>
              <w:t>Пренебрегване на разстояния от природната среда</w:t>
            </w:r>
          </w:p>
        </w:tc>
        <w:tc>
          <w:tcPr>
            <w:tcW w:w="5479"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75E20BF6" w14:textId="7EF9FC48" w:rsidR="003C42D3" w:rsidRPr="007375EB" w:rsidRDefault="009D77FA" w:rsidP="003C42D3">
            <w:pPr>
              <w:spacing w:line="240" w:lineRule="auto"/>
              <w:jc w:val="both"/>
              <w:rPr>
                <w:rFonts w:asciiTheme="minorHAnsi" w:eastAsia="Calibri" w:hAnsiTheme="minorHAnsi"/>
                <w:sz w:val="16"/>
                <w:szCs w:val="16"/>
                <w:lang w:val="bg-BG"/>
              </w:rPr>
            </w:pPr>
            <w:r w:rsidRPr="007375EB">
              <w:rPr>
                <w:rFonts w:asciiTheme="minorHAnsi" w:eastAsia="Calibri" w:hAnsiTheme="minorHAnsi"/>
                <w:sz w:val="16"/>
                <w:szCs w:val="16"/>
                <w:lang w:val="bg-BG"/>
              </w:rPr>
              <w:t>Естетическото интегриране на вятърния парк в естествения ландшафт на района трябва да бъде внимателно проектирано, за да се запазят красотата и природните характеристики на района.Разкопки и строежи, които не зачитат обектите на културното наследство.</w:t>
            </w:r>
          </w:p>
        </w:tc>
      </w:tr>
      <w:tr w:rsidR="003C42D3" w:rsidRPr="007375EB" w14:paraId="2C051B10" w14:textId="77777777" w:rsidTr="009D77FA">
        <w:tc>
          <w:tcPr>
            <w:tcW w:w="1781" w:type="dxa"/>
            <w:tcBorders>
              <w:top w:val="single" w:sz="6" w:space="0" w:color="D9D9D9" w:themeColor="background1" w:themeShade="D9"/>
              <w:left w:val="single" w:sz="6" w:space="0" w:color="D9D9D9" w:themeColor="background1" w:themeShade="D9"/>
              <w:right w:val="single" w:sz="6" w:space="0" w:color="D9D9D9" w:themeColor="background1" w:themeShade="D9"/>
            </w:tcBorders>
          </w:tcPr>
          <w:p w14:paraId="7D7CC096" w14:textId="6322D784" w:rsidR="003C42D3" w:rsidRPr="007375EB" w:rsidRDefault="003C42D3" w:rsidP="003C42D3">
            <w:pPr>
              <w:spacing w:line="240" w:lineRule="auto"/>
              <w:jc w:val="both"/>
              <w:rPr>
                <w:rFonts w:asciiTheme="minorHAnsi" w:eastAsia="Calibri" w:hAnsiTheme="minorHAnsi"/>
                <w:b/>
                <w:bCs/>
                <w:sz w:val="16"/>
                <w:szCs w:val="16"/>
                <w:lang w:val="bg-BG"/>
              </w:rPr>
            </w:pPr>
            <w:r w:rsidRPr="007375EB">
              <w:rPr>
                <w:b/>
                <w:bCs/>
                <w:sz w:val="16"/>
                <w:szCs w:val="16"/>
                <w:lang w:val="bg-BG"/>
              </w:rPr>
              <w:t>Изменение на климата</w:t>
            </w:r>
          </w:p>
        </w:tc>
        <w:tc>
          <w:tcPr>
            <w:tcW w:w="234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shd w:val="clear" w:color="auto" w:fill="auto"/>
          </w:tcPr>
          <w:p w14:paraId="35F53633" w14:textId="3AB1CF8C" w:rsidR="003C42D3" w:rsidRPr="007375EB" w:rsidRDefault="009D77FA" w:rsidP="003C42D3">
            <w:pPr>
              <w:spacing w:line="240" w:lineRule="auto"/>
              <w:jc w:val="both"/>
              <w:rPr>
                <w:rFonts w:eastAsia="Calibri"/>
                <w:sz w:val="16"/>
                <w:szCs w:val="16"/>
                <w:lang w:val="bg-BG"/>
              </w:rPr>
            </w:pPr>
            <w:r w:rsidRPr="007375EB">
              <w:rPr>
                <w:rFonts w:eastAsia="Calibri"/>
                <w:sz w:val="16"/>
                <w:szCs w:val="16"/>
                <w:lang w:val="bg-BG"/>
              </w:rPr>
              <w:t>Източници на емисии на парникови газове, допринасящи за изменението на климата</w:t>
            </w:r>
            <w:r w:rsidR="003C42D3" w:rsidRPr="007375EB">
              <w:rPr>
                <w:rFonts w:eastAsia="Calibri"/>
                <w:sz w:val="16"/>
                <w:szCs w:val="16"/>
                <w:lang w:val="bg-BG"/>
              </w:rPr>
              <w:t>.</w:t>
            </w:r>
          </w:p>
        </w:tc>
        <w:tc>
          <w:tcPr>
            <w:tcW w:w="5479"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shd w:val="clear" w:color="auto" w:fill="auto"/>
          </w:tcPr>
          <w:p w14:paraId="1FE853A7" w14:textId="18E2122B" w:rsidR="009D77FA" w:rsidRPr="007375EB" w:rsidRDefault="009D77FA" w:rsidP="009D77FA">
            <w:pPr>
              <w:spacing w:line="240" w:lineRule="auto"/>
              <w:jc w:val="both"/>
              <w:rPr>
                <w:rFonts w:eastAsia="Calibri"/>
                <w:sz w:val="16"/>
                <w:szCs w:val="16"/>
                <w:lang w:val="bg-BG"/>
              </w:rPr>
            </w:pPr>
            <w:r w:rsidRPr="007375EB">
              <w:rPr>
                <w:rFonts w:eastAsia="Calibri"/>
                <w:sz w:val="16"/>
                <w:szCs w:val="16"/>
                <w:lang w:val="bg-BG"/>
              </w:rPr>
              <w:t>В община Черкезу, селски район без развита промишленост, емисиите на парникови газове са незначителни и се дължат на отоплението на жилищата и транспорта.</w:t>
            </w:r>
          </w:p>
          <w:p w14:paraId="2EDDF9A6" w14:textId="77777777" w:rsidR="009D77FA" w:rsidRPr="007375EB" w:rsidRDefault="009D77FA" w:rsidP="009D77FA">
            <w:pPr>
              <w:spacing w:line="240" w:lineRule="auto"/>
              <w:jc w:val="both"/>
              <w:rPr>
                <w:rFonts w:eastAsia="Calibri"/>
                <w:sz w:val="16"/>
                <w:szCs w:val="16"/>
                <w:lang w:val="bg-BG"/>
              </w:rPr>
            </w:pPr>
            <w:r w:rsidRPr="007375EB">
              <w:rPr>
                <w:rFonts w:eastAsia="Calibri"/>
                <w:sz w:val="16"/>
                <w:szCs w:val="16"/>
                <w:lang w:val="bg-BG"/>
              </w:rPr>
              <w:t>Реализацията на инвестициите, предвидени от PUZ, може да допринесе за увеличаване на емисиите на парникови газове, свързани с производството, транспортирането и инсталирането на турбините, но приносът е незначителен и за ограничен период от време (срока на действие на вятърния парк).</w:t>
            </w:r>
          </w:p>
          <w:p w14:paraId="1B2D182C" w14:textId="1C53B672" w:rsidR="003C42D3" w:rsidRPr="007375EB" w:rsidRDefault="009D77FA" w:rsidP="009D77FA">
            <w:pPr>
              <w:spacing w:line="240" w:lineRule="auto"/>
              <w:jc w:val="both"/>
              <w:rPr>
                <w:rFonts w:asciiTheme="minorHAnsi" w:eastAsia="Calibri" w:hAnsiTheme="minorHAnsi"/>
                <w:color w:val="FF0000"/>
                <w:sz w:val="16"/>
                <w:szCs w:val="16"/>
                <w:lang w:val="bg-BG"/>
              </w:rPr>
            </w:pPr>
            <w:r w:rsidRPr="007375EB">
              <w:rPr>
                <w:rFonts w:eastAsia="Calibri"/>
                <w:sz w:val="16"/>
                <w:szCs w:val="16"/>
                <w:lang w:val="bg-BG"/>
              </w:rPr>
              <w:t>Реализацията на инвестициите, предвидени от PUZ, допринася за намаляване на емисиите на СО</w:t>
            </w:r>
            <w:r w:rsidRPr="007375EB">
              <w:rPr>
                <w:rFonts w:eastAsia="Calibri"/>
                <w:sz w:val="16"/>
                <w:szCs w:val="16"/>
                <w:vertAlign w:val="subscript"/>
                <w:lang w:val="bg-BG"/>
              </w:rPr>
              <w:t>2</w:t>
            </w:r>
            <w:r w:rsidRPr="007375EB">
              <w:rPr>
                <w:rFonts w:eastAsia="Calibri"/>
                <w:sz w:val="16"/>
                <w:szCs w:val="16"/>
                <w:lang w:val="bg-BG"/>
              </w:rPr>
              <w:t xml:space="preserve"> чрез заместване на определено количество електроенергия, произведена в отсъствието на вятърния парк, от изкопаеми горива</w:t>
            </w:r>
            <w:r w:rsidR="003C42D3" w:rsidRPr="007375EB">
              <w:rPr>
                <w:rFonts w:eastAsia="Calibri"/>
                <w:sz w:val="16"/>
                <w:szCs w:val="16"/>
                <w:lang w:val="bg-BG"/>
              </w:rPr>
              <w:t xml:space="preserve">. </w:t>
            </w:r>
          </w:p>
        </w:tc>
      </w:tr>
      <w:tr w:rsidR="003C42D3" w:rsidRPr="007375EB" w14:paraId="3DFF4599" w14:textId="77777777" w:rsidTr="009D77FA">
        <w:tc>
          <w:tcPr>
            <w:tcW w:w="1781"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4DF1FF53" w14:textId="48CA6958" w:rsidR="003C42D3" w:rsidRPr="007375EB" w:rsidRDefault="003C42D3" w:rsidP="003C42D3">
            <w:pPr>
              <w:spacing w:line="240" w:lineRule="auto"/>
              <w:jc w:val="both"/>
              <w:rPr>
                <w:rFonts w:asciiTheme="minorHAnsi" w:eastAsia="Calibri" w:hAnsiTheme="minorHAnsi"/>
                <w:b/>
                <w:sz w:val="16"/>
                <w:szCs w:val="16"/>
                <w:lang w:val="bg-BG"/>
              </w:rPr>
            </w:pPr>
            <w:r w:rsidRPr="007375EB">
              <w:rPr>
                <w:b/>
                <w:bCs/>
                <w:sz w:val="16"/>
                <w:szCs w:val="16"/>
                <w:lang w:val="bg-BG"/>
              </w:rPr>
              <w:t>Културно наследство</w:t>
            </w:r>
          </w:p>
        </w:tc>
        <w:tc>
          <w:tcPr>
            <w:tcW w:w="234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57DCF468" w14:textId="41EBFC94" w:rsidR="003C42D3" w:rsidRPr="007375EB" w:rsidRDefault="009D77FA" w:rsidP="003C42D3">
            <w:pPr>
              <w:spacing w:line="240" w:lineRule="auto"/>
              <w:ind w:left="38" w:right="-20" w:hanging="10"/>
              <w:jc w:val="both"/>
              <w:rPr>
                <w:rFonts w:asciiTheme="minorHAnsi" w:eastAsia="Verdana" w:hAnsiTheme="minorHAnsi" w:cs="Verdana"/>
                <w:sz w:val="16"/>
                <w:szCs w:val="16"/>
                <w:lang w:val="bg-BG"/>
              </w:rPr>
            </w:pPr>
            <w:r w:rsidRPr="007375EB">
              <w:rPr>
                <w:rFonts w:asciiTheme="minorHAnsi" w:eastAsia="Verdana" w:hAnsiTheme="minorHAnsi" w:cs="Verdana"/>
                <w:sz w:val="16"/>
                <w:szCs w:val="16"/>
                <w:lang w:val="bg-BG"/>
              </w:rPr>
              <w:t>Потенциално увреждане на археологически обекти или други елементи на културното наследство</w:t>
            </w:r>
            <w:r w:rsidR="003C42D3" w:rsidRPr="007375EB">
              <w:rPr>
                <w:rFonts w:asciiTheme="minorHAnsi" w:eastAsia="Verdana" w:hAnsiTheme="minorHAnsi" w:cs="Verdana"/>
                <w:sz w:val="16"/>
                <w:szCs w:val="16"/>
                <w:lang w:val="bg-BG"/>
              </w:rPr>
              <w:t xml:space="preserve">. </w:t>
            </w:r>
          </w:p>
        </w:tc>
        <w:tc>
          <w:tcPr>
            <w:tcW w:w="5479"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2A8150A3" w14:textId="51926A2D" w:rsidR="003C42D3" w:rsidRPr="007375EB" w:rsidRDefault="00082873" w:rsidP="003C42D3">
            <w:pPr>
              <w:spacing w:line="240" w:lineRule="auto"/>
              <w:jc w:val="both"/>
              <w:rPr>
                <w:rFonts w:asciiTheme="minorHAnsi" w:hAnsiTheme="minorHAnsi"/>
                <w:sz w:val="16"/>
                <w:szCs w:val="16"/>
                <w:lang w:val="bg-BG"/>
              </w:rPr>
            </w:pPr>
            <w:r w:rsidRPr="007375EB">
              <w:rPr>
                <w:rFonts w:asciiTheme="minorHAnsi" w:hAnsiTheme="minorHAnsi"/>
                <w:sz w:val="16"/>
                <w:szCs w:val="16"/>
                <w:lang w:val="bg-BG"/>
              </w:rPr>
              <w:t>Разкопки и строежи, които не зачитат обектите на културното наследство. Съгласно становището, издадено от Окръжна дирекция за култура Констанца, обектът се намира в зона от археологически интерес, като преди одобряването на документацията във фаза DTAC е необходимо да се извърши археологическа диагностика със специализирана институция</w:t>
            </w:r>
            <w:r w:rsidR="003C42D3" w:rsidRPr="007375EB">
              <w:rPr>
                <w:rFonts w:asciiTheme="minorHAnsi" w:hAnsiTheme="minorHAnsi"/>
                <w:sz w:val="16"/>
                <w:szCs w:val="16"/>
                <w:lang w:val="bg-BG"/>
              </w:rPr>
              <w:t>.</w:t>
            </w:r>
          </w:p>
        </w:tc>
      </w:tr>
    </w:tbl>
    <w:p w14:paraId="6460F411" w14:textId="77777777" w:rsidR="00DD2847" w:rsidRPr="007375EB" w:rsidRDefault="00DD2847" w:rsidP="00DD2847">
      <w:pPr>
        <w:spacing w:after="120" w:line="360" w:lineRule="auto"/>
        <w:jc w:val="both"/>
        <w:rPr>
          <w:lang w:val="bg-BG" w:eastAsia="ro-RO"/>
        </w:rPr>
      </w:pPr>
    </w:p>
    <w:p w14:paraId="7FAB67AD" w14:textId="1C95F462" w:rsidR="006B59ED" w:rsidRPr="007375EB" w:rsidRDefault="00082873" w:rsidP="00FF74D1">
      <w:pPr>
        <w:pStyle w:val="Heading1"/>
        <w:numPr>
          <w:ilvl w:val="0"/>
          <w:numId w:val="16"/>
        </w:numPr>
        <w:suppressAutoHyphens w:val="0"/>
        <w:spacing w:before="0" w:after="240" w:line="360" w:lineRule="auto"/>
        <w:ind w:left="567" w:hanging="567"/>
        <w:contextualSpacing w:val="0"/>
        <w:jc w:val="both"/>
        <w:rPr>
          <w:b/>
          <w:bCs w:val="0"/>
          <w:sz w:val="20"/>
          <w:szCs w:val="20"/>
          <w:lang w:val="bg-BG" w:eastAsia="ro-RO"/>
        </w:rPr>
      </w:pPr>
      <w:r w:rsidRPr="007375EB">
        <w:rPr>
          <w:b/>
          <w:bCs w:val="0"/>
          <w:sz w:val="20"/>
          <w:szCs w:val="20"/>
          <w:lang w:val="bg-BG" w:eastAsia="ro-RO"/>
        </w:rPr>
        <w:lastRenderedPageBreak/>
        <w:t>Потенциални значителни екологични ефекти</w:t>
      </w:r>
    </w:p>
    <w:p w14:paraId="769FB463" w14:textId="36F3BEE7" w:rsidR="00F82089" w:rsidRPr="007375EB" w:rsidRDefault="00082873" w:rsidP="0041531F">
      <w:pPr>
        <w:pStyle w:val="ListParagraph"/>
        <w:numPr>
          <w:ilvl w:val="1"/>
          <w:numId w:val="77"/>
        </w:numPr>
        <w:spacing w:after="120" w:line="360" w:lineRule="auto"/>
        <w:outlineLvl w:val="1"/>
        <w:rPr>
          <w:b/>
          <w:i/>
          <w:color w:val="009DF0"/>
          <w:lang w:val="bg-BG" w:eastAsia="ro-RO"/>
        </w:rPr>
      </w:pPr>
      <w:r w:rsidRPr="007375EB">
        <w:rPr>
          <w:b/>
          <w:i/>
          <w:color w:val="009DF0"/>
          <w:lang w:val="bg-BG" w:eastAsia="ro-RO"/>
        </w:rPr>
        <w:t>Методология за оценка</w:t>
      </w:r>
    </w:p>
    <w:p w14:paraId="1277103D" w14:textId="7B5DDA50" w:rsidR="00082873" w:rsidRPr="007375EB" w:rsidRDefault="00082873" w:rsidP="00082873">
      <w:pPr>
        <w:pStyle w:val="BodyText"/>
        <w:spacing w:line="360" w:lineRule="auto"/>
        <w:jc w:val="both"/>
        <w:rPr>
          <w:rFonts w:eastAsia="EuroRoman"/>
          <w:lang w:val="bg-BG"/>
        </w:rPr>
      </w:pPr>
      <w:r w:rsidRPr="007375EB">
        <w:rPr>
          <w:rFonts w:eastAsia="EuroRoman"/>
          <w:lang w:val="bg-BG"/>
        </w:rPr>
        <w:t>Финализирането на зоналния градоустройствен план, определянето на обхвата и степента на подробност на информацията, която трябва да бъде включена в доклада за околната среда, както и анализът на значителните въздействия на плана върху околната среда бяха извършени в рамките на работните групи съгласно член 14 от РП 1076/2004 за установяване на процедура за извършване на екологична оценка на планове и програми.</w:t>
      </w:r>
    </w:p>
    <w:p w14:paraId="0BF77BE3" w14:textId="2567231F" w:rsidR="00082873" w:rsidRPr="007375EB" w:rsidRDefault="00082873" w:rsidP="00082873">
      <w:pPr>
        <w:pStyle w:val="BodyText"/>
        <w:spacing w:line="360" w:lineRule="auto"/>
        <w:jc w:val="both"/>
        <w:rPr>
          <w:rFonts w:eastAsia="EuroRoman"/>
          <w:lang w:val="bg-BG"/>
        </w:rPr>
      </w:pPr>
      <w:r w:rsidRPr="007375EB">
        <w:rPr>
          <w:rFonts w:eastAsia="EuroRoman"/>
          <w:lang w:val="bg-BG"/>
        </w:rPr>
        <w:t>При определянето на потенциалните значителни въздействия върху околната среда за PUZ бяха взети предвид критериите, посочени в Приложение № 1 на РП 1076/2004, както и дали предложенията за плана осигуряват рамка за изпълнение на съответните екологични цели, определени за всеки екологичен фактор (представени в предходния раздел на доклада).</w:t>
      </w:r>
    </w:p>
    <w:p w14:paraId="5BB9DCE2" w14:textId="578B4140" w:rsidR="000D13A3" w:rsidRPr="007375EB" w:rsidRDefault="00C77A4F" w:rsidP="00487D94">
      <w:pPr>
        <w:pStyle w:val="BodyText"/>
        <w:spacing w:line="360" w:lineRule="auto"/>
        <w:jc w:val="both"/>
        <w:rPr>
          <w:rFonts w:eastAsia="EuroRoman"/>
          <w:lang w:val="bg-BG"/>
        </w:rPr>
      </w:pPr>
      <w:r w:rsidRPr="007375EB">
        <w:rPr>
          <w:rFonts w:eastAsia="EuroRoman"/>
          <w:lang w:val="bg-BG"/>
        </w:rPr>
        <w:t>Количествената оценка на въздействието на предложенията в PUZ (избрана оптимална алтернатива) е извършена с помощта на матрица за оценка, основана на цифрова система за оценка и система за цветно кодиране - представена в следната таблица</w:t>
      </w:r>
      <w:r w:rsidR="00487D94" w:rsidRPr="007375EB">
        <w:rPr>
          <w:rFonts w:eastAsia="EuroRoman"/>
          <w:lang w:val="bg-BG"/>
        </w:rPr>
        <w:t>.</w:t>
      </w:r>
    </w:p>
    <w:p w14:paraId="3A17F5F6" w14:textId="18DF0769" w:rsidR="00487D94" w:rsidRPr="007375EB" w:rsidRDefault="00C77A4F" w:rsidP="00487D94">
      <w:pPr>
        <w:pStyle w:val="BodyText"/>
        <w:spacing w:after="0" w:line="360" w:lineRule="auto"/>
        <w:jc w:val="both"/>
        <w:rPr>
          <w:rFonts w:eastAsia="EuroRoman"/>
          <w:lang w:val="bg-BG"/>
        </w:rPr>
      </w:pPr>
      <w:r w:rsidRPr="007375EB">
        <w:rPr>
          <w:rFonts w:eastAsia="EuroRoman"/>
          <w:lang w:val="bg-BG"/>
        </w:rPr>
        <w:t>При определянето на мащаба на потенциалните въздействия бяха взети предвид следните елементи</w:t>
      </w:r>
      <w:r w:rsidR="00487D94" w:rsidRPr="007375EB">
        <w:rPr>
          <w:rFonts w:eastAsia="EuroRoman"/>
          <w:lang w:val="bg-BG"/>
        </w:rPr>
        <w:t>:</w:t>
      </w:r>
    </w:p>
    <w:p w14:paraId="4443BAAE" w14:textId="43542E42" w:rsidR="00487D94" w:rsidRPr="007375EB" w:rsidRDefault="00C77A4F" w:rsidP="00125F99">
      <w:pPr>
        <w:pStyle w:val="ListBullet"/>
        <w:numPr>
          <w:ilvl w:val="0"/>
          <w:numId w:val="64"/>
        </w:numPr>
        <w:spacing w:after="120" w:line="360" w:lineRule="auto"/>
        <w:jc w:val="both"/>
        <w:rPr>
          <w:lang w:val="bg-BG"/>
        </w:rPr>
      </w:pPr>
      <w:r w:rsidRPr="007375EB">
        <w:rPr>
          <w:lang w:val="bg-BG"/>
        </w:rPr>
        <w:t>Видове интервенции, произтичащи от реализацията на инвестициите, предложени в плана</w:t>
      </w:r>
    </w:p>
    <w:p w14:paraId="755D76A8" w14:textId="7EEAA25F" w:rsidR="00487D94" w:rsidRPr="007375EB" w:rsidRDefault="00C77A4F" w:rsidP="005D7D53">
      <w:pPr>
        <w:pStyle w:val="ListParagraph"/>
        <w:numPr>
          <w:ilvl w:val="0"/>
          <w:numId w:val="17"/>
        </w:numPr>
        <w:spacing w:after="120" w:line="360" w:lineRule="auto"/>
        <w:jc w:val="both"/>
        <w:rPr>
          <w:lang w:val="bg-BG" w:eastAsia="ro-RO"/>
        </w:rPr>
      </w:pPr>
      <w:r w:rsidRPr="007375EB">
        <w:rPr>
          <w:lang w:val="bg-BG"/>
        </w:rPr>
        <w:t>Мащаб на промените, предизвикани от инвестицията, предложена от PUZ - „Парк за вятърна енергия 48 (46) вятърни електроцентрали Приблизително 316,8 МВт (303,6 МВт), трансформаторни станции, мрежи за електрическа връзка, изграждане и модернизация на комуникации и пътища за достъп“ (период на изграждане, период на експлоатация и период на извеждане от експлоатация</w:t>
      </w:r>
      <w:r w:rsidR="00487D94" w:rsidRPr="007375EB">
        <w:rPr>
          <w:lang w:val="bg-BG"/>
        </w:rPr>
        <w:t>)</w:t>
      </w:r>
    </w:p>
    <w:p w14:paraId="1D9DF5E2" w14:textId="1870A963" w:rsidR="00487D94" w:rsidRPr="007375EB" w:rsidRDefault="00C77A4F" w:rsidP="00125F99">
      <w:pPr>
        <w:pStyle w:val="ListBullet"/>
        <w:numPr>
          <w:ilvl w:val="0"/>
          <w:numId w:val="64"/>
        </w:numPr>
        <w:spacing w:after="120" w:line="360" w:lineRule="auto"/>
        <w:jc w:val="both"/>
        <w:rPr>
          <w:lang w:val="bg-BG"/>
        </w:rPr>
      </w:pPr>
      <w:r w:rsidRPr="007375EB">
        <w:rPr>
          <w:lang w:val="bg-BG"/>
        </w:rPr>
        <w:t xml:space="preserve">Оценка на въздействието върху околната среда (количествени и качествени промени, предизвикани от инвестицията, предложена от </w:t>
      </w:r>
      <w:r w:rsidR="00D23680" w:rsidRPr="007375EB">
        <w:rPr>
          <w:lang w:val="bg-BG"/>
        </w:rPr>
        <w:t>PUZ</w:t>
      </w:r>
      <w:r w:rsidR="00487D94" w:rsidRPr="007375EB">
        <w:rPr>
          <w:lang w:val="bg-BG"/>
        </w:rPr>
        <w:t>)</w:t>
      </w:r>
    </w:p>
    <w:p w14:paraId="4FEE937A" w14:textId="445D20C6" w:rsidR="00487D94" w:rsidRPr="007375EB" w:rsidRDefault="00C77A4F" w:rsidP="00487D94">
      <w:pPr>
        <w:pStyle w:val="ListBullet"/>
        <w:numPr>
          <w:ilvl w:val="0"/>
          <w:numId w:val="0"/>
        </w:numPr>
        <w:jc w:val="both"/>
        <w:rPr>
          <w:lang w:val="bg-BG"/>
        </w:rPr>
      </w:pPr>
      <w:r w:rsidRPr="007375EB">
        <w:rPr>
          <w:rFonts w:eastAsia="EuroRoman"/>
          <w:lang w:val="bg-BG"/>
        </w:rPr>
        <w:t>Количествената оценка на въздействието на предложенията в PUZ (избрана оптимална алтернатива) е извършена с помощта на матрица за оценка, основана на цифрова система за оценка и система за цветно кодиране - представена в следната таблица</w:t>
      </w:r>
      <w:r w:rsidR="00487D94" w:rsidRPr="007375EB">
        <w:rPr>
          <w:rFonts w:eastAsia="EuroRoman"/>
          <w:lang w:val="bg-BG"/>
        </w:rPr>
        <w:t xml:space="preserve">. </w:t>
      </w:r>
    </w:p>
    <w:p w14:paraId="0E9C87E4" w14:textId="0BF366CA" w:rsidR="00487D94" w:rsidRPr="007375EB" w:rsidRDefault="00C77A4F" w:rsidP="00C77A4F">
      <w:pPr>
        <w:pStyle w:val="Caption"/>
        <w:jc w:val="both"/>
        <w:rPr>
          <w:rFonts w:eastAsia="EuroRoman"/>
          <w:color w:val="00B0F0"/>
          <w:sz w:val="16"/>
          <w:szCs w:val="16"/>
          <w:lang w:val="bg-BG"/>
        </w:rPr>
      </w:pPr>
      <w:r w:rsidRPr="007375EB">
        <w:rPr>
          <w:sz w:val="16"/>
          <w:szCs w:val="16"/>
          <w:lang w:val="bg-BG"/>
        </w:rPr>
        <w:t>Таблица</w:t>
      </w:r>
      <w:r w:rsidR="00487D94" w:rsidRPr="007375EB">
        <w:rPr>
          <w:sz w:val="16"/>
          <w:szCs w:val="16"/>
          <w:lang w:val="bg-BG"/>
        </w:rPr>
        <w:t xml:space="preserve">  </w:t>
      </w:r>
      <w:r w:rsidR="00487D94" w:rsidRPr="007375EB">
        <w:rPr>
          <w:sz w:val="16"/>
          <w:szCs w:val="16"/>
          <w:lang w:val="bg-BG"/>
        </w:rPr>
        <w:fldChar w:fldCharType="begin"/>
      </w:r>
      <w:r w:rsidR="00487D94" w:rsidRPr="007375EB">
        <w:rPr>
          <w:sz w:val="16"/>
          <w:szCs w:val="16"/>
          <w:lang w:val="bg-BG"/>
        </w:rPr>
        <w:instrText xml:space="preserve"> STYLEREF 1 \s </w:instrText>
      </w:r>
      <w:r w:rsidR="00487D94" w:rsidRPr="007375EB">
        <w:rPr>
          <w:sz w:val="16"/>
          <w:szCs w:val="16"/>
          <w:lang w:val="bg-BG"/>
        </w:rPr>
        <w:fldChar w:fldCharType="separate"/>
      </w:r>
      <w:r w:rsidR="00487D94" w:rsidRPr="007375EB">
        <w:rPr>
          <w:noProof/>
          <w:sz w:val="16"/>
          <w:szCs w:val="16"/>
          <w:lang w:val="bg-BG"/>
        </w:rPr>
        <w:t>6</w:t>
      </w:r>
      <w:r w:rsidR="00487D94" w:rsidRPr="007375EB">
        <w:rPr>
          <w:sz w:val="16"/>
          <w:szCs w:val="16"/>
          <w:lang w:val="bg-BG"/>
        </w:rPr>
        <w:fldChar w:fldCharType="end"/>
      </w:r>
      <w:r w:rsidR="00487D94" w:rsidRPr="007375EB">
        <w:rPr>
          <w:sz w:val="16"/>
          <w:szCs w:val="16"/>
          <w:lang w:val="bg-BG"/>
        </w:rPr>
        <w:noBreakHyphen/>
      </w:r>
      <w:r w:rsidR="00487D94" w:rsidRPr="007375EB">
        <w:rPr>
          <w:sz w:val="16"/>
          <w:szCs w:val="16"/>
          <w:lang w:val="bg-BG"/>
        </w:rPr>
        <w:fldChar w:fldCharType="begin"/>
      </w:r>
      <w:r w:rsidR="00487D94" w:rsidRPr="007375EB">
        <w:rPr>
          <w:sz w:val="16"/>
          <w:szCs w:val="16"/>
          <w:lang w:val="bg-BG"/>
        </w:rPr>
        <w:instrText xml:space="preserve"> SEQ Tabel_ \* ARABIC \s 1 </w:instrText>
      </w:r>
      <w:r w:rsidR="00487D94" w:rsidRPr="007375EB">
        <w:rPr>
          <w:sz w:val="16"/>
          <w:szCs w:val="16"/>
          <w:lang w:val="bg-BG"/>
        </w:rPr>
        <w:fldChar w:fldCharType="separate"/>
      </w:r>
      <w:r w:rsidR="00487D94" w:rsidRPr="007375EB">
        <w:rPr>
          <w:noProof/>
          <w:sz w:val="16"/>
          <w:szCs w:val="16"/>
          <w:lang w:val="bg-BG"/>
        </w:rPr>
        <w:t>1</w:t>
      </w:r>
      <w:r w:rsidR="00487D94" w:rsidRPr="007375EB">
        <w:rPr>
          <w:sz w:val="16"/>
          <w:szCs w:val="16"/>
          <w:lang w:val="bg-BG"/>
        </w:rPr>
        <w:fldChar w:fldCharType="end"/>
      </w:r>
      <w:r w:rsidR="00487D94" w:rsidRPr="007375EB">
        <w:rPr>
          <w:sz w:val="16"/>
          <w:szCs w:val="16"/>
          <w:lang w:val="bg-BG"/>
        </w:rPr>
        <w:t xml:space="preserve"> </w:t>
      </w:r>
      <w:r w:rsidRPr="007375EB">
        <w:rPr>
          <w:rFonts w:eastAsia="EuroRoman"/>
          <w:color w:val="00B0F0"/>
          <w:sz w:val="16"/>
          <w:szCs w:val="16"/>
          <w:lang w:val="bg-BG"/>
        </w:rPr>
        <w:t>Предложена точкова система за оценка на потенциалните въздействия върху околната среда</w:t>
      </w:r>
    </w:p>
    <w:tbl>
      <w:tblPr>
        <w:tblpPr w:leftFromText="180" w:rightFromText="180" w:vertAnchor="text" w:horzAnchor="margin" w:tblpY="56"/>
        <w:tblW w:w="5000" w:type="pct"/>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CellMar>
          <w:left w:w="0" w:type="dxa"/>
          <w:right w:w="0" w:type="dxa"/>
        </w:tblCellMar>
        <w:tblLook w:val="04A0" w:firstRow="1" w:lastRow="0" w:firstColumn="1" w:lastColumn="0" w:noHBand="0" w:noVBand="1"/>
      </w:tblPr>
      <w:tblGrid>
        <w:gridCol w:w="3167"/>
        <w:gridCol w:w="1949"/>
        <w:gridCol w:w="4173"/>
      </w:tblGrid>
      <w:tr w:rsidR="00487D94" w:rsidRPr="007375EB" w14:paraId="2D149A8E" w14:textId="77777777" w:rsidTr="00E77A61">
        <w:trPr>
          <w:trHeight w:val="255"/>
        </w:trPr>
        <w:tc>
          <w:tcPr>
            <w:tcW w:w="899" w:type="pct"/>
            <w:shd w:val="clear" w:color="auto" w:fill="00B0F0"/>
            <w:noWrap/>
            <w:vAlign w:val="center"/>
          </w:tcPr>
          <w:p w14:paraId="2FE97AED" w14:textId="3F3C5C0D" w:rsidR="00487D94" w:rsidRPr="007375EB" w:rsidRDefault="00C77A4F" w:rsidP="00D42779">
            <w:pPr>
              <w:keepNext/>
              <w:spacing w:line="240" w:lineRule="auto"/>
              <w:ind w:left="289" w:right="289"/>
              <w:jc w:val="center"/>
              <w:rPr>
                <w:b/>
                <w:color w:val="FFFFFF"/>
                <w:sz w:val="16"/>
                <w:szCs w:val="16"/>
                <w:lang w:val="bg-BG"/>
              </w:rPr>
            </w:pPr>
            <w:r w:rsidRPr="007375EB">
              <w:rPr>
                <w:b/>
                <w:color w:val="FFFFFF"/>
                <w:sz w:val="16"/>
                <w:szCs w:val="16"/>
                <w:lang w:val="bg-BG"/>
              </w:rPr>
              <w:t>Обозначение / цветови код</w:t>
            </w:r>
          </w:p>
        </w:tc>
        <w:tc>
          <w:tcPr>
            <w:tcW w:w="592" w:type="pct"/>
            <w:shd w:val="clear" w:color="auto" w:fill="00B0F0"/>
            <w:vAlign w:val="center"/>
          </w:tcPr>
          <w:p w14:paraId="2B1D9DF5" w14:textId="05BE2B11" w:rsidR="00487D94" w:rsidRPr="007375EB" w:rsidRDefault="00C77A4F" w:rsidP="00D42779">
            <w:pPr>
              <w:keepNext/>
              <w:spacing w:line="240" w:lineRule="auto"/>
              <w:ind w:left="289" w:right="289"/>
              <w:jc w:val="center"/>
              <w:rPr>
                <w:b/>
                <w:color w:val="FFFFFF"/>
                <w:sz w:val="16"/>
                <w:szCs w:val="16"/>
                <w:lang w:val="bg-BG"/>
              </w:rPr>
            </w:pPr>
            <w:r w:rsidRPr="007375EB">
              <w:rPr>
                <w:b/>
                <w:color w:val="FFFFFF"/>
                <w:sz w:val="16"/>
                <w:szCs w:val="16"/>
                <w:lang w:val="bg-BG"/>
              </w:rPr>
              <w:t>Мащабът на въздействието</w:t>
            </w:r>
          </w:p>
        </w:tc>
        <w:tc>
          <w:tcPr>
            <w:tcW w:w="3509" w:type="pct"/>
            <w:shd w:val="clear" w:color="auto" w:fill="00B0F0"/>
            <w:vAlign w:val="center"/>
          </w:tcPr>
          <w:p w14:paraId="2A417AE6" w14:textId="30B2535F" w:rsidR="00487D94" w:rsidRPr="007375EB" w:rsidRDefault="00C77A4F" w:rsidP="00D42779">
            <w:pPr>
              <w:keepNext/>
              <w:spacing w:line="240" w:lineRule="auto"/>
              <w:ind w:left="289" w:right="289"/>
              <w:jc w:val="center"/>
              <w:rPr>
                <w:b/>
                <w:color w:val="FFFFFF"/>
                <w:sz w:val="16"/>
                <w:szCs w:val="16"/>
                <w:lang w:val="bg-BG"/>
              </w:rPr>
            </w:pPr>
            <w:r w:rsidRPr="007375EB">
              <w:rPr>
                <w:b/>
                <w:color w:val="FFFFFF"/>
                <w:sz w:val="16"/>
                <w:szCs w:val="16"/>
                <w:lang w:val="bg-BG"/>
              </w:rPr>
              <w:t>Описание</w:t>
            </w:r>
          </w:p>
        </w:tc>
      </w:tr>
      <w:tr w:rsidR="00487D94" w:rsidRPr="007375EB" w14:paraId="44E8119D" w14:textId="77777777" w:rsidTr="00E77A61">
        <w:trPr>
          <w:trHeight w:val="585"/>
        </w:trPr>
        <w:tc>
          <w:tcPr>
            <w:tcW w:w="899" w:type="pct"/>
            <w:shd w:val="clear" w:color="auto" w:fill="00B050"/>
            <w:noWrap/>
            <w:vAlign w:val="center"/>
          </w:tcPr>
          <w:p w14:paraId="0A79FAA1" w14:textId="77777777" w:rsidR="00487D94" w:rsidRPr="007375EB" w:rsidRDefault="00487D94" w:rsidP="00D42779">
            <w:pPr>
              <w:keepNext/>
              <w:spacing w:line="240" w:lineRule="auto"/>
              <w:jc w:val="center"/>
              <w:rPr>
                <w:sz w:val="16"/>
                <w:szCs w:val="16"/>
                <w:lang w:val="bg-BG"/>
              </w:rPr>
            </w:pPr>
            <w:r w:rsidRPr="007375EB">
              <w:rPr>
                <w:sz w:val="16"/>
                <w:szCs w:val="16"/>
                <w:lang w:val="bg-BG"/>
              </w:rPr>
              <w:t>+2</w:t>
            </w:r>
          </w:p>
        </w:tc>
        <w:tc>
          <w:tcPr>
            <w:tcW w:w="592" w:type="pct"/>
            <w:vAlign w:val="center"/>
          </w:tcPr>
          <w:p w14:paraId="04909915" w14:textId="0088627B" w:rsidR="00487D94" w:rsidRPr="007375EB" w:rsidRDefault="00C77A4F" w:rsidP="00D42779">
            <w:pPr>
              <w:keepNext/>
              <w:spacing w:line="240" w:lineRule="auto"/>
              <w:ind w:left="144" w:right="144"/>
              <w:jc w:val="center"/>
              <w:rPr>
                <w:sz w:val="16"/>
                <w:szCs w:val="16"/>
                <w:lang w:val="bg-BG"/>
              </w:rPr>
            </w:pPr>
            <w:r w:rsidRPr="007375EB">
              <w:rPr>
                <w:sz w:val="16"/>
                <w:szCs w:val="16"/>
                <w:lang w:val="bg-BG"/>
              </w:rPr>
              <w:t>Значително положително въздействие</w:t>
            </w:r>
          </w:p>
        </w:tc>
        <w:tc>
          <w:tcPr>
            <w:tcW w:w="3509" w:type="pct"/>
            <w:shd w:val="clear" w:color="auto" w:fill="auto"/>
          </w:tcPr>
          <w:p w14:paraId="3A4D5CA6" w14:textId="4B3F7E60" w:rsidR="00487D94" w:rsidRPr="007375EB" w:rsidRDefault="00C77A4F" w:rsidP="00D42779">
            <w:pPr>
              <w:keepNext/>
              <w:spacing w:line="240" w:lineRule="auto"/>
              <w:ind w:left="144" w:right="144"/>
              <w:jc w:val="both"/>
              <w:rPr>
                <w:sz w:val="16"/>
                <w:szCs w:val="16"/>
                <w:lang w:val="bg-BG"/>
              </w:rPr>
            </w:pPr>
            <w:r w:rsidRPr="007375EB">
              <w:rPr>
                <w:sz w:val="16"/>
                <w:szCs w:val="16"/>
                <w:lang w:val="bg-BG"/>
              </w:rPr>
              <w:t>Той се отнася до основните (значими) въздействия, които имат положителен, дългосрочен или постоянен характер, имат широк обхват и допринасят за изпълнението на поставената екологична цел.</w:t>
            </w:r>
          </w:p>
        </w:tc>
      </w:tr>
      <w:tr w:rsidR="00487D94" w:rsidRPr="007375EB" w14:paraId="002DD2F4" w14:textId="77777777" w:rsidTr="00E77A61">
        <w:trPr>
          <w:trHeight w:val="507"/>
        </w:trPr>
        <w:tc>
          <w:tcPr>
            <w:tcW w:w="899" w:type="pct"/>
            <w:shd w:val="clear" w:color="auto" w:fill="D3EECA"/>
            <w:noWrap/>
            <w:vAlign w:val="center"/>
          </w:tcPr>
          <w:p w14:paraId="15F88E8D" w14:textId="77777777" w:rsidR="00487D94" w:rsidRPr="007375EB" w:rsidRDefault="00487D94" w:rsidP="00D42779">
            <w:pPr>
              <w:keepNext/>
              <w:spacing w:line="240" w:lineRule="auto"/>
              <w:jc w:val="center"/>
              <w:rPr>
                <w:sz w:val="16"/>
                <w:szCs w:val="16"/>
                <w:lang w:val="bg-BG"/>
              </w:rPr>
            </w:pPr>
            <w:r w:rsidRPr="007375EB">
              <w:rPr>
                <w:sz w:val="16"/>
                <w:szCs w:val="16"/>
                <w:lang w:val="bg-BG"/>
              </w:rPr>
              <w:t>+1</w:t>
            </w:r>
          </w:p>
        </w:tc>
        <w:tc>
          <w:tcPr>
            <w:tcW w:w="592" w:type="pct"/>
            <w:shd w:val="clear" w:color="auto" w:fill="auto"/>
            <w:vAlign w:val="center"/>
          </w:tcPr>
          <w:p w14:paraId="7B817AE1" w14:textId="75116BB8" w:rsidR="00487D94" w:rsidRPr="007375EB" w:rsidRDefault="00C77A4F" w:rsidP="00D42779">
            <w:pPr>
              <w:keepNext/>
              <w:spacing w:line="240" w:lineRule="auto"/>
              <w:ind w:left="144" w:right="144"/>
              <w:jc w:val="center"/>
              <w:rPr>
                <w:sz w:val="16"/>
                <w:szCs w:val="16"/>
                <w:lang w:val="bg-BG"/>
              </w:rPr>
            </w:pPr>
            <w:r w:rsidRPr="007375EB">
              <w:rPr>
                <w:sz w:val="16"/>
                <w:szCs w:val="16"/>
                <w:lang w:val="bg-BG"/>
              </w:rPr>
              <w:t>Незначително положително въздействие</w:t>
            </w:r>
          </w:p>
        </w:tc>
        <w:tc>
          <w:tcPr>
            <w:tcW w:w="3509" w:type="pct"/>
            <w:shd w:val="clear" w:color="auto" w:fill="auto"/>
          </w:tcPr>
          <w:p w14:paraId="31540AC4" w14:textId="4C76BDF9" w:rsidR="00487D94" w:rsidRPr="007375EB" w:rsidRDefault="00C77A4F" w:rsidP="00D42779">
            <w:pPr>
              <w:keepNext/>
              <w:spacing w:line="240" w:lineRule="auto"/>
              <w:ind w:left="144" w:right="144"/>
              <w:jc w:val="both"/>
              <w:rPr>
                <w:sz w:val="16"/>
                <w:szCs w:val="16"/>
                <w:lang w:val="bg-BG"/>
              </w:rPr>
            </w:pPr>
            <w:r w:rsidRPr="007375EB">
              <w:rPr>
                <w:sz w:val="16"/>
                <w:szCs w:val="16"/>
                <w:lang w:val="bg-BG"/>
              </w:rPr>
              <w:t xml:space="preserve">Той се отнася до незначителни (малки) ефекти с пряк или непряк положителен характер, които се усещат на местно ниво и които могат частично да допринесат за изпълнението на поставената екологична цел. </w:t>
            </w:r>
          </w:p>
        </w:tc>
      </w:tr>
      <w:tr w:rsidR="00487D94" w:rsidRPr="007375EB" w14:paraId="5E157AF1" w14:textId="77777777" w:rsidTr="00E77A61">
        <w:trPr>
          <w:trHeight w:val="532"/>
        </w:trPr>
        <w:tc>
          <w:tcPr>
            <w:tcW w:w="899" w:type="pct"/>
            <w:shd w:val="clear" w:color="auto" w:fill="FFFF00"/>
            <w:noWrap/>
            <w:vAlign w:val="center"/>
          </w:tcPr>
          <w:p w14:paraId="790294A2" w14:textId="77777777" w:rsidR="00487D94" w:rsidRPr="007375EB" w:rsidRDefault="00487D94" w:rsidP="00D42779">
            <w:pPr>
              <w:keepNext/>
              <w:spacing w:line="240" w:lineRule="auto"/>
              <w:jc w:val="center"/>
              <w:rPr>
                <w:sz w:val="16"/>
                <w:szCs w:val="16"/>
                <w:lang w:val="bg-BG"/>
              </w:rPr>
            </w:pPr>
            <w:r w:rsidRPr="007375EB">
              <w:rPr>
                <w:sz w:val="16"/>
                <w:szCs w:val="16"/>
                <w:lang w:val="bg-BG"/>
              </w:rPr>
              <w:t>0</w:t>
            </w:r>
          </w:p>
        </w:tc>
        <w:tc>
          <w:tcPr>
            <w:tcW w:w="592" w:type="pct"/>
            <w:shd w:val="clear" w:color="auto" w:fill="FFFFFF" w:themeFill="background1"/>
            <w:vAlign w:val="center"/>
          </w:tcPr>
          <w:p w14:paraId="730CFB51" w14:textId="6D10E67F" w:rsidR="00487D94" w:rsidRPr="007375EB" w:rsidRDefault="00C77A4F" w:rsidP="00D42779">
            <w:pPr>
              <w:keepNext/>
              <w:spacing w:line="240" w:lineRule="auto"/>
              <w:ind w:left="144" w:right="144"/>
              <w:jc w:val="center"/>
              <w:rPr>
                <w:sz w:val="16"/>
                <w:szCs w:val="16"/>
                <w:lang w:val="bg-BG"/>
              </w:rPr>
            </w:pPr>
            <w:r w:rsidRPr="007375EB">
              <w:rPr>
                <w:sz w:val="16"/>
                <w:szCs w:val="16"/>
                <w:lang w:val="bg-BG"/>
              </w:rPr>
              <w:t>Няма ефект/ефектът не може да бъде определен</w:t>
            </w:r>
          </w:p>
        </w:tc>
        <w:tc>
          <w:tcPr>
            <w:tcW w:w="3509" w:type="pct"/>
            <w:shd w:val="clear" w:color="auto" w:fill="auto"/>
          </w:tcPr>
          <w:p w14:paraId="54125360" w14:textId="04E93C9A" w:rsidR="00487D94" w:rsidRPr="007375EB" w:rsidRDefault="00C77A4F" w:rsidP="00D42779">
            <w:pPr>
              <w:keepNext/>
              <w:spacing w:line="240" w:lineRule="auto"/>
              <w:ind w:left="144" w:right="144"/>
              <w:jc w:val="both"/>
              <w:rPr>
                <w:sz w:val="16"/>
                <w:szCs w:val="16"/>
                <w:lang w:val="bg-BG"/>
              </w:rPr>
            </w:pPr>
            <w:r w:rsidRPr="007375EB">
              <w:rPr>
                <w:sz w:val="16"/>
                <w:szCs w:val="16"/>
                <w:lang w:val="bg-BG"/>
              </w:rPr>
              <w:t xml:space="preserve">Липса на последици, изключително слаби последици или последици, за които не могат да се направят точни прогнози, необходими са допълнителни данни от областта относно характеристиките на предложените проекти и техния размер. </w:t>
            </w:r>
          </w:p>
        </w:tc>
      </w:tr>
      <w:tr w:rsidR="00487D94" w:rsidRPr="007375EB" w14:paraId="0C11045D" w14:textId="77777777" w:rsidTr="00E77A61">
        <w:trPr>
          <w:trHeight w:val="255"/>
        </w:trPr>
        <w:tc>
          <w:tcPr>
            <w:tcW w:w="899" w:type="pct"/>
            <w:shd w:val="clear" w:color="auto" w:fill="FBD4B4"/>
            <w:noWrap/>
            <w:vAlign w:val="center"/>
          </w:tcPr>
          <w:p w14:paraId="791A4D0F" w14:textId="77777777" w:rsidR="00487D94" w:rsidRPr="007375EB" w:rsidRDefault="00487D94" w:rsidP="00D42779">
            <w:pPr>
              <w:keepNext/>
              <w:spacing w:line="240" w:lineRule="auto"/>
              <w:jc w:val="center"/>
              <w:rPr>
                <w:sz w:val="16"/>
                <w:szCs w:val="16"/>
                <w:lang w:val="bg-BG"/>
              </w:rPr>
            </w:pPr>
            <w:r w:rsidRPr="007375EB">
              <w:rPr>
                <w:sz w:val="16"/>
                <w:szCs w:val="16"/>
                <w:lang w:val="bg-BG"/>
              </w:rPr>
              <w:lastRenderedPageBreak/>
              <w:t>-1</w:t>
            </w:r>
          </w:p>
        </w:tc>
        <w:tc>
          <w:tcPr>
            <w:tcW w:w="592" w:type="pct"/>
            <w:vAlign w:val="center"/>
          </w:tcPr>
          <w:p w14:paraId="010B2CAB" w14:textId="1BA5FBD4" w:rsidR="00487D94" w:rsidRPr="007375EB" w:rsidRDefault="00C77A4F" w:rsidP="00D42779">
            <w:pPr>
              <w:keepNext/>
              <w:spacing w:line="240" w:lineRule="auto"/>
              <w:ind w:left="144" w:right="144"/>
              <w:jc w:val="center"/>
              <w:rPr>
                <w:sz w:val="16"/>
                <w:szCs w:val="16"/>
                <w:lang w:val="bg-BG"/>
              </w:rPr>
            </w:pPr>
            <w:r w:rsidRPr="007375EB">
              <w:rPr>
                <w:sz w:val="16"/>
                <w:szCs w:val="16"/>
                <w:lang w:val="bg-BG"/>
              </w:rPr>
              <w:t>Незначително отрицателно въздействие</w:t>
            </w:r>
          </w:p>
        </w:tc>
        <w:tc>
          <w:tcPr>
            <w:tcW w:w="3509" w:type="pct"/>
            <w:shd w:val="clear" w:color="auto" w:fill="auto"/>
          </w:tcPr>
          <w:p w14:paraId="24BD451C" w14:textId="7D6032C3" w:rsidR="00487D94" w:rsidRPr="007375EB" w:rsidRDefault="00C77A4F" w:rsidP="00D42779">
            <w:pPr>
              <w:keepNext/>
              <w:spacing w:line="240" w:lineRule="auto"/>
              <w:ind w:left="144" w:right="144"/>
              <w:jc w:val="both"/>
              <w:rPr>
                <w:sz w:val="16"/>
                <w:szCs w:val="16"/>
                <w:lang w:val="bg-BG"/>
              </w:rPr>
            </w:pPr>
            <w:r w:rsidRPr="007375EB">
              <w:rPr>
                <w:sz w:val="16"/>
                <w:szCs w:val="16"/>
                <w:lang w:val="bg-BG"/>
              </w:rPr>
              <w:t>Отнася се до незначителни (ниски) преки или косвени отрицателни въздействия с пряк или косвен отрицателен характер, които се усещат на местно ниво и затрудняват постигането на поставената екологична цел.</w:t>
            </w:r>
          </w:p>
        </w:tc>
      </w:tr>
      <w:tr w:rsidR="00487D94" w:rsidRPr="007375EB" w14:paraId="7C6681FB" w14:textId="77777777" w:rsidTr="00E77A61">
        <w:trPr>
          <w:trHeight w:val="255"/>
        </w:trPr>
        <w:tc>
          <w:tcPr>
            <w:tcW w:w="899" w:type="pct"/>
            <w:shd w:val="clear" w:color="auto" w:fill="FF0000"/>
            <w:noWrap/>
            <w:vAlign w:val="center"/>
          </w:tcPr>
          <w:p w14:paraId="03E123D1" w14:textId="77777777" w:rsidR="00487D94" w:rsidRPr="007375EB" w:rsidRDefault="00487D94" w:rsidP="00D42779">
            <w:pPr>
              <w:keepNext/>
              <w:spacing w:line="240" w:lineRule="auto"/>
              <w:jc w:val="center"/>
              <w:rPr>
                <w:sz w:val="16"/>
                <w:szCs w:val="16"/>
                <w:lang w:val="bg-BG"/>
              </w:rPr>
            </w:pPr>
            <w:r w:rsidRPr="007375EB">
              <w:rPr>
                <w:sz w:val="16"/>
                <w:szCs w:val="16"/>
                <w:lang w:val="bg-BG"/>
              </w:rPr>
              <w:t>-2</w:t>
            </w:r>
          </w:p>
        </w:tc>
        <w:tc>
          <w:tcPr>
            <w:tcW w:w="592" w:type="pct"/>
            <w:shd w:val="clear" w:color="auto" w:fill="FFFFFF" w:themeFill="background1"/>
            <w:vAlign w:val="center"/>
          </w:tcPr>
          <w:p w14:paraId="6F27B159" w14:textId="7E953830" w:rsidR="00487D94" w:rsidRPr="007375EB" w:rsidRDefault="00C77A4F" w:rsidP="00D42779">
            <w:pPr>
              <w:keepNext/>
              <w:spacing w:line="240" w:lineRule="auto"/>
              <w:ind w:left="144" w:right="144"/>
              <w:jc w:val="center"/>
              <w:rPr>
                <w:sz w:val="16"/>
                <w:szCs w:val="16"/>
                <w:lang w:val="bg-BG"/>
              </w:rPr>
            </w:pPr>
            <w:r w:rsidRPr="007375EB">
              <w:rPr>
                <w:sz w:val="16"/>
                <w:szCs w:val="16"/>
                <w:lang w:val="bg-BG"/>
              </w:rPr>
              <w:t>Значително отрицателно въздействие</w:t>
            </w:r>
          </w:p>
        </w:tc>
        <w:tc>
          <w:tcPr>
            <w:tcW w:w="3509" w:type="pct"/>
            <w:shd w:val="clear" w:color="auto" w:fill="auto"/>
          </w:tcPr>
          <w:p w14:paraId="60CB902A" w14:textId="147E81DD" w:rsidR="00487D94" w:rsidRPr="007375EB" w:rsidRDefault="00C77A4F" w:rsidP="00D42779">
            <w:pPr>
              <w:keepNext/>
              <w:spacing w:line="240" w:lineRule="auto"/>
              <w:ind w:left="144" w:right="144"/>
              <w:jc w:val="both"/>
              <w:rPr>
                <w:sz w:val="16"/>
                <w:szCs w:val="16"/>
                <w:lang w:val="bg-BG"/>
              </w:rPr>
            </w:pPr>
            <w:r w:rsidRPr="007375EB">
              <w:rPr>
                <w:sz w:val="16"/>
                <w:szCs w:val="16"/>
                <w:lang w:val="bg-BG"/>
              </w:rPr>
              <w:t xml:space="preserve">Отнася се за големи (значителни) неблагоприятни последици, които са с дългосрочен или постоянен характер, имат широк обхват и не водят до постигане на поставената екологична цел. </w:t>
            </w:r>
          </w:p>
        </w:tc>
      </w:tr>
    </w:tbl>
    <w:p w14:paraId="03957B84" w14:textId="77777777" w:rsidR="00487D94" w:rsidRPr="007375EB" w:rsidRDefault="00487D94" w:rsidP="00487D94">
      <w:pPr>
        <w:pStyle w:val="BodyText"/>
        <w:spacing w:after="0" w:line="360" w:lineRule="auto"/>
        <w:jc w:val="both"/>
        <w:rPr>
          <w:rStyle w:val="Heading2Char1"/>
          <w:b w:val="0"/>
          <w:i w:val="0"/>
          <w:lang w:val="bg-BG"/>
        </w:rPr>
      </w:pPr>
    </w:p>
    <w:p w14:paraId="2E853723" w14:textId="77777777" w:rsidR="00C77A4F" w:rsidRPr="007375EB" w:rsidRDefault="00C77A4F" w:rsidP="00C77A4F">
      <w:pPr>
        <w:pStyle w:val="BodyText"/>
        <w:spacing w:line="360" w:lineRule="auto"/>
        <w:jc w:val="both"/>
        <w:rPr>
          <w:rFonts w:eastAsia="EuroRoman"/>
          <w:lang w:val="bg-BG"/>
        </w:rPr>
      </w:pPr>
      <w:r w:rsidRPr="007375EB">
        <w:rPr>
          <w:rFonts w:eastAsia="EuroRoman"/>
          <w:lang w:val="bg-BG"/>
        </w:rPr>
        <w:t>За да се определи количествено въздействието за всеки екологичен аспект, оценките са придружени от обосновки.</w:t>
      </w:r>
    </w:p>
    <w:p w14:paraId="368FAFB5" w14:textId="48BEBBB8" w:rsidR="00487D94" w:rsidRPr="007375EB" w:rsidRDefault="00C77A4F" w:rsidP="00C77A4F">
      <w:pPr>
        <w:pStyle w:val="BodyText"/>
        <w:spacing w:line="360" w:lineRule="auto"/>
        <w:jc w:val="both"/>
        <w:rPr>
          <w:lang w:val="bg-BG"/>
        </w:rPr>
      </w:pPr>
      <w:r w:rsidRPr="007375EB">
        <w:rPr>
          <w:rFonts w:eastAsia="EuroRoman"/>
          <w:lang w:val="bg-BG"/>
        </w:rPr>
        <w:t xml:space="preserve">По-специално, при присъждането на точките са взети предвид средносрочните и дългосрочните ефекти на алтернативите на </w:t>
      </w:r>
      <w:r w:rsidRPr="007375EB">
        <w:rPr>
          <w:lang w:val="bg-BG"/>
        </w:rPr>
        <w:t>PUZ</w:t>
      </w:r>
      <w:r w:rsidRPr="007375EB">
        <w:rPr>
          <w:rFonts w:eastAsia="EuroRoman"/>
          <w:lang w:val="bg-BG"/>
        </w:rPr>
        <w:t xml:space="preserve"> върху съответните екологични цели. В същото време за индивидуалната оценка на всяка разпоредба на плана, както и за кумулативната оценка, бяха взети предвид ситуациите, в които би имало възможност за взаимодействие между два или повече екологични фактора в резултат на прилагането на разпоредбите на </w:t>
      </w:r>
      <w:r w:rsidR="00F3038C" w:rsidRPr="007375EB">
        <w:rPr>
          <w:lang w:val="bg-BG"/>
        </w:rPr>
        <w:t>PUZ</w:t>
      </w:r>
      <w:r w:rsidR="00487D94" w:rsidRPr="007375EB">
        <w:rPr>
          <w:lang w:val="bg-BG"/>
        </w:rPr>
        <w:t>:</w:t>
      </w:r>
    </w:p>
    <w:p w14:paraId="3BD8C22A" w14:textId="16182172" w:rsidR="00C77A4F" w:rsidRPr="007375EB" w:rsidRDefault="00C77A4F" w:rsidP="00C77A4F">
      <w:pPr>
        <w:pStyle w:val="ListParagraph"/>
        <w:numPr>
          <w:ilvl w:val="0"/>
          <w:numId w:val="63"/>
        </w:numPr>
        <w:spacing w:after="120" w:line="360" w:lineRule="auto"/>
        <w:ind w:right="-20"/>
        <w:jc w:val="both"/>
        <w:rPr>
          <w:lang w:val="bg-BG"/>
        </w:rPr>
      </w:pPr>
      <w:r w:rsidRPr="007375EB">
        <w:rPr>
          <w:lang w:val="bg-BG"/>
        </w:rPr>
        <w:t>Въздух-биоразнообразие;</w:t>
      </w:r>
    </w:p>
    <w:p w14:paraId="059D9A9B" w14:textId="2A69BD35" w:rsidR="00C77A4F" w:rsidRPr="007375EB" w:rsidRDefault="00C77A4F" w:rsidP="00C77A4F">
      <w:pPr>
        <w:pStyle w:val="ListParagraph"/>
        <w:numPr>
          <w:ilvl w:val="0"/>
          <w:numId w:val="63"/>
        </w:numPr>
        <w:spacing w:after="120" w:line="360" w:lineRule="auto"/>
        <w:ind w:right="-20"/>
        <w:jc w:val="both"/>
        <w:rPr>
          <w:lang w:val="bg-BG"/>
        </w:rPr>
      </w:pPr>
      <w:r w:rsidRPr="007375EB">
        <w:rPr>
          <w:lang w:val="bg-BG"/>
        </w:rPr>
        <w:t>Въздух-население и човешко здраве;</w:t>
      </w:r>
    </w:p>
    <w:p w14:paraId="0A40DB84" w14:textId="6529B29A" w:rsidR="00C77A4F" w:rsidRPr="007375EB" w:rsidRDefault="00C77A4F" w:rsidP="00C77A4F">
      <w:pPr>
        <w:pStyle w:val="ListParagraph"/>
        <w:numPr>
          <w:ilvl w:val="0"/>
          <w:numId w:val="63"/>
        </w:numPr>
        <w:spacing w:after="120" w:line="360" w:lineRule="auto"/>
        <w:ind w:right="-20"/>
        <w:jc w:val="both"/>
        <w:rPr>
          <w:lang w:val="bg-BG"/>
        </w:rPr>
      </w:pPr>
      <w:r w:rsidRPr="007375EB">
        <w:rPr>
          <w:lang w:val="bg-BG"/>
        </w:rPr>
        <w:t>Изменение на климата - биологично разнообразие;</w:t>
      </w:r>
    </w:p>
    <w:p w14:paraId="75321B0F" w14:textId="50EE874B" w:rsidR="00C77A4F" w:rsidRPr="007375EB" w:rsidRDefault="00C77A4F" w:rsidP="00C77A4F">
      <w:pPr>
        <w:pStyle w:val="ListParagraph"/>
        <w:numPr>
          <w:ilvl w:val="0"/>
          <w:numId w:val="63"/>
        </w:numPr>
        <w:spacing w:after="120" w:line="360" w:lineRule="auto"/>
        <w:ind w:right="-20"/>
        <w:jc w:val="both"/>
        <w:rPr>
          <w:lang w:val="bg-BG"/>
        </w:rPr>
      </w:pPr>
      <w:r w:rsidRPr="007375EB">
        <w:rPr>
          <w:lang w:val="bg-BG"/>
        </w:rPr>
        <w:t>Изменение на климата - население и човешко здраве;</w:t>
      </w:r>
    </w:p>
    <w:p w14:paraId="1E4512ED" w14:textId="661BE16B" w:rsidR="00C77A4F" w:rsidRPr="007375EB" w:rsidRDefault="00C77A4F" w:rsidP="00C77A4F">
      <w:pPr>
        <w:pStyle w:val="ListParagraph"/>
        <w:numPr>
          <w:ilvl w:val="0"/>
          <w:numId w:val="63"/>
        </w:numPr>
        <w:spacing w:after="120" w:line="360" w:lineRule="auto"/>
        <w:ind w:right="-20"/>
        <w:jc w:val="both"/>
        <w:rPr>
          <w:lang w:val="bg-BG"/>
        </w:rPr>
      </w:pPr>
      <w:r w:rsidRPr="007375EB">
        <w:rPr>
          <w:lang w:val="bg-BG"/>
        </w:rPr>
        <w:t>Управление на отпадъците - почва-вода;</w:t>
      </w:r>
    </w:p>
    <w:p w14:paraId="5AF3C6F8" w14:textId="6123F8E7" w:rsidR="00C77A4F" w:rsidRPr="007375EB" w:rsidRDefault="00C77A4F" w:rsidP="00C77A4F">
      <w:pPr>
        <w:pStyle w:val="ListParagraph"/>
        <w:numPr>
          <w:ilvl w:val="0"/>
          <w:numId w:val="63"/>
        </w:numPr>
        <w:spacing w:after="120" w:line="360" w:lineRule="auto"/>
        <w:ind w:right="-20"/>
        <w:jc w:val="both"/>
        <w:rPr>
          <w:lang w:val="bg-BG"/>
        </w:rPr>
      </w:pPr>
      <w:r w:rsidRPr="007375EB">
        <w:rPr>
          <w:lang w:val="bg-BG"/>
        </w:rPr>
        <w:t>Управление на отпадъците - биоразнообразие;</w:t>
      </w:r>
    </w:p>
    <w:p w14:paraId="10E1A5BF" w14:textId="42F6A618" w:rsidR="00487D94" w:rsidRPr="007375EB" w:rsidRDefault="00C77A4F" w:rsidP="00C77A4F">
      <w:pPr>
        <w:pStyle w:val="ListParagraph"/>
        <w:numPr>
          <w:ilvl w:val="0"/>
          <w:numId w:val="63"/>
        </w:numPr>
        <w:spacing w:after="120" w:line="360" w:lineRule="auto"/>
        <w:ind w:right="-20"/>
        <w:jc w:val="both"/>
        <w:rPr>
          <w:lang w:val="bg-BG"/>
        </w:rPr>
      </w:pPr>
      <w:r w:rsidRPr="007375EB">
        <w:rPr>
          <w:lang w:val="bg-BG"/>
        </w:rPr>
        <w:t>Управление на отпадъците - население и човешко здраве</w:t>
      </w:r>
      <w:r w:rsidR="00487D94" w:rsidRPr="007375EB">
        <w:rPr>
          <w:lang w:val="bg-BG"/>
        </w:rPr>
        <w:t>;</w:t>
      </w:r>
    </w:p>
    <w:p w14:paraId="1157F5D3" w14:textId="0D837092" w:rsidR="00C77A4F" w:rsidRPr="007375EB" w:rsidRDefault="00C77A4F" w:rsidP="00C77A4F">
      <w:pPr>
        <w:pStyle w:val="ListParagraph"/>
        <w:numPr>
          <w:ilvl w:val="0"/>
          <w:numId w:val="63"/>
        </w:numPr>
        <w:spacing w:after="120" w:line="360" w:lineRule="auto"/>
        <w:ind w:right="-20"/>
        <w:jc w:val="both"/>
        <w:rPr>
          <w:lang w:val="bg-BG"/>
        </w:rPr>
      </w:pPr>
      <w:r w:rsidRPr="007375EB">
        <w:rPr>
          <w:lang w:val="bg-BG"/>
        </w:rPr>
        <w:t>Въздух - почва - вода;</w:t>
      </w:r>
    </w:p>
    <w:p w14:paraId="767E6D5A" w14:textId="50E9D256" w:rsidR="00C77A4F" w:rsidRPr="007375EB" w:rsidRDefault="00C77A4F" w:rsidP="00C77A4F">
      <w:pPr>
        <w:pStyle w:val="ListParagraph"/>
        <w:numPr>
          <w:ilvl w:val="0"/>
          <w:numId w:val="63"/>
        </w:numPr>
        <w:spacing w:after="120" w:line="360" w:lineRule="auto"/>
        <w:ind w:right="-20"/>
        <w:jc w:val="both"/>
        <w:rPr>
          <w:lang w:val="bg-BG"/>
        </w:rPr>
      </w:pPr>
      <w:r w:rsidRPr="007375EB">
        <w:rPr>
          <w:lang w:val="bg-BG"/>
        </w:rPr>
        <w:t>почва - вода - биоразнообразие;</w:t>
      </w:r>
    </w:p>
    <w:p w14:paraId="6B35FD65" w14:textId="1CF1CCF7" w:rsidR="00C77A4F" w:rsidRPr="007375EB" w:rsidRDefault="00C77A4F" w:rsidP="00C77A4F">
      <w:pPr>
        <w:pStyle w:val="ListParagraph"/>
        <w:numPr>
          <w:ilvl w:val="0"/>
          <w:numId w:val="63"/>
        </w:numPr>
        <w:spacing w:after="120" w:line="360" w:lineRule="auto"/>
        <w:ind w:right="-20"/>
        <w:jc w:val="both"/>
        <w:rPr>
          <w:lang w:val="bg-BG"/>
        </w:rPr>
      </w:pPr>
      <w:r w:rsidRPr="007375EB">
        <w:rPr>
          <w:lang w:val="bg-BG"/>
        </w:rPr>
        <w:t>почва - вода - население и човешко здраве;</w:t>
      </w:r>
    </w:p>
    <w:p w14:paraId="1146F485" w14:textId="50477877" w:rsidR="00C77A4F" w:rsidRPr="007375EB" w:rsidRDefault="00C77A4F" w:rsidP="00C77A4F">
      <w:pPr>
        <w:pStyle w:val="ListParagraph"/>
        <w:numPr>
          <w:ilvl w:val="0"/>
          <w:numId w:val="63"/>
        </w:numPr>
        <w:spacing w:after="120" w:line="360" w:lineRule="auto"/>
        <w:ind w:right="-20"/>
        <w:jc w:val="both"/>
        <w:rPr>
          <w:lang w:val="bg-BG"/>
        </w:rPr>
      </w:pPr>
      <w:r w:rsidRPr="007375EB">
        <w:rPr>
          <w:lang w:val="bg-BG"/>
        </w:rPr>
        <w:t>Шум - биоразнообразие - население и човешко здраве;</w:t>
      </w:r>
    </w:p>
    <w:p w14:paraId="6A1F4A49" w14:textId="59B02603" w:rsidR="00C77A4F" w:rsidRPr="007375EB" w:rsidRDefault="00C77A4F" w:rsidP="00C77A4F">
      <w:pPr>
        <w:pStyle w:val="ListParagraph"/>
        <w:numPr>
          <w:ilvl w:val="0"/>
          <w:numId w:val="63"/>
        </w:numPr>
        <w:spacing w:after="120" w:line="360" w:lineRule="auto"/>
        <w:ind w:right="-20"/>
        <w:jc w:val="both"/>
        <w:rPr>
          <w:lang w:val="bg-BG"/>
        </w:rPr>
      </w:pPr>
      <w:r w:rsidRPr="007375EB">
        <w:rPr>
          <w:lang w:val="bg-BG"/>
        </w:rPr>
        <w:t>Шум - биоразнообразие;</w:t>
      </w:r>
    </w:p>
    <w:p w14:paraId="4D71C6A8" w14:textId="39AEADE0" w:rsidR="00C77A4F" w:rsidRPr="007375EB" w:rsidRDefault="00C77A4F" w:rsidP="00C77A4F">
      <w:pPr>
        <w:pStyle w:val="ListParagraph"/>
        <w:numPr>
          <w:ilvl w:val="0"/>
          <w:numId w:val="63"/>
        </w:numPr>
        <w:spacing w:after="120" w:line="360" w:lineRule="auto"/>
        <w:ind w:right="-20"/>
        <w:jc w:val="both"/>
        <w:rPr>
          <w:lang w:val="bg-BG"/>
        </w:rPr>
      </w:pPr>
      <w:r w:rsidRPr="007375EB">
        <w:rPr>
          <w:lang w:val="bg-BG"/>
        </w:rPr>
        <w:t>Шум - културно наследство и исторически паметници;</w:t>
      </w:r>
    </w:p>
    <w:p w14:paraId="558DC7FE" w14:textId="306552A8" w:rsidR="00487D94" w:rsidRPr="007375EB" w:rsidRDefault="00C77A4F" w:rsidP="00C77A4F">
      <w:pPr>
        <w:pStyle w:val="ListParagraph"/>
        <w:numPr>
          <w:ilvl w:val="0"/>
          <w:numId w:val="63"/>
        </w:numPr>
        <w:spacing w:after="120" w:line="360" w:lineRule="auto"/>
        <w:ind w:right="-20"/>
        <w:jc w:val="both"/>
        <w:rPr>
          <w:lang w:val="bg-BG"/>
        </w:rPr>
      </w:pPr>
      <w:r w:rsidRPr="007375EB">
        <w:rPr>
          <w:lang w:val="bg-BG"/>
        </w:rPr>
        <w:t>Въздух - културно наследство и исторически паметници</w:t>
      </w:r>
      <w:r w:rsidR="00487D94" w:rsidRPr="007375EB">
        <w:rPr>
          <w:lang w:val="bg-BG"/>
        </w:rPr>
        <w:t>;</w:t>
      </w:r>
    </w:p>
    <w:p w14:paraId="72E3794E" w14:textId="276F9DC3" w:rsidR="005E3F8E" w:rsidRPr="007375EB" w:rsidRDefault="00C77A4F" w:rsidP="005E3F8E">
      <w:pPr>
        <w:spacing w:after="120" w:line="360" w:lineRule="auto"/>
        <w:jc w:val="both"/>
        <w:rPr>
          <w:lang w:val="bg-BG"/>
        </w:rPr>
      </w:pPr>
      <w:r w:rsidRPr="007375EB">
        <w:rPr>
          <w:lang w:val="bg-BG"/>
        </w:rPr>
        <w:t>Тази методология за оценка позволява, от една страна, бързо визуализиране на въздействието върху целите на околната среда и създава възможност за разбиране на вида, естеството и продължителността на въздействието, а от друга страна, позволява бързо идентифициране на целите на околната среда, които няма да бъдат постигнати без подходящи мерки за минимизиране/намаляване на отрицателните въздействия.</w:t>
      </w:r>
    </w:p>
    <w:p w14:paraId="166418E6" w14:textId="087D1768" w:rsidR="005E3F8E" w:rsidRPr="007375EB" w:rsidRDefault="00C77A4F" w:rsidP="005E3F8E">
      <w:pPr>
        <w:spacing w:after="120" w:line="360" w:lineRule="auto"/>
        <w:jc w:val="both"/>
        <w:rPr>
          <w:lang w:val="bg-BG"/>
        </w:rPr>
      </w:pPr>
      <w:r w:rsidRPr="007375EB">
        <w:rPr>
          <w:lang w:val="bg-BG"/>
        </w:rPr>
        <w:t>Освен това, като се вземат предвид разпоредбите на „Общото ръководство за екологична оценка на планове и програми“, беше извършена и оценка на съвместимостта на целите/предвижданията на PUZ със съответните екологични цели.</w:t>
      </w:r>
    </w:p>
    <w:p w14:paraId="3B3E4FF0" w14:textId="0C8589AC" w:rsidR="00487D94" w:rsidRPr="007375EB" w:rsidRDefault="00FE1FFD" w:rsidP="00487D94">
      <w:pPr>
        <w:spacing w:after="120" w:line="360" w:lineRule="auto"/>
        <w:jc w:val="both"/>
        <w:rPr>
          <w:lang w:val="bg-BG"/>
        </w:rPr>
      </w:pPr>
      <w:r w:rsidRPr="007375EB">
        <w:rPr>
          <w:lang w:val="bg-BG"/>
        </w:rPr>
        <w:t>В процеса на изпълнение на PUZ бяха проучени 4 алтернативи</w:t>
      </w:r>
      <w:r w:rsidR="00487D94" w:rsidRPr="007375EB">
        <w:rPr>
          <w:lang w:val="bg-BG"/>
        </w:rPr>
        <w:t>:</w:t>
      </w:r>
    </w:p>
    <w:p w14:paraId="1BC76729" w14:textId="09D18B6A" w:rsidR="00FE1FFD" w:rsidRPr="007375EB" w:rsidRDefault="00FE1FFD" w:rsidP="00FE1FFD">
      <w:pPr>
        <w:pStyle w:val="ListParagraph"/>
        <w:numPr>
          <w:ilvl w:val="0"/>
          <w:numId w:val="65"/>
        </w:numPr>
        <w:spacing w:after="120" w:line="360" w:lineRule="auto"/>
        <w:jc w:val="both"/>
        <w:rPr>
          <w:lang w:val="bg-BG"/>
        </w:rPr>
      </w:pPr>
      <w:r w:rsidRPr="007375EB">
        <w:rPr>
          <w:lang w:val="bg-BG"/>
        </w:rPr>
        <w:t>Алтернатива без внедряване на PUZ (нулева алтернатива)</w:t>
      </w:r>
    </w:p>
    <w:p w14:paraId="4BCD51C2" w14:textId="13CEEC22" w:rsidR="00FE1FFD" w:rsidRPr="007375EB" w:rsidRDefault="00FE1FFD" w:rsidP="00FE1FFD">
      <w:pPr>
        <w:pStyle w:val="ListParagraph"/>
        <w:numPr>
          <w:ilvl w:val="0"/>
          <w:numId w:val="65"/>
        </w:numPr>
        <w:spacing w:after="120" w:line="360" w:lineRule="auto"/>
        <w:jc w:val="both"/>
        <w:rPr>
          <w:lang w:val="bg-BG"/>
        </w:rPr>
      </w:pPr>
      <w:r w:rsidRPr="007375EB">
        <w:rPr>
          <w:lang w:val="bg-BG"/>
        </w:rPr>
        <w:lastRenderedPageBreak/>
        <w:t xml:space="preserve">Алтернатива с изпълнение на инвестициите в PUZ, започнати през 2011 г. (съставена от 3 вятърни парка) - 117 вятърни електроцентрали с обща установена мощност 351 МВт (Алтернатива „I“) </w:t>
      </w:r>
    </w:p>
    <w:p w14:paraId="225AEB64" w14:textId="3C579F61" w:rsidR="00FE1FFD" w:rsidRPr="007375EB" w:rsidRDefault="00FE1FFD" w:rsidP="00FE1FFD">
      <w:pPr>
        <w:pStyle w:val="ListParagraph"/>
        <w:numPr>
          <w:ilvl w:val="0"/>
          <w:numId w:val="65"/>
        </w:numPr>
        <w:spacing w:after="120" w:line="360" w:lineRule="auto"/>
        <w:jc w:val="both"/>
        <w:rPr>
          <w:lang w:val="bg-BG"/>
        </w:rPr>
      </w:pPr>
      <w:r w:rsidRPr="007375EB">
        <w:rPr>
          <w:lang w:val="bg-BG"/>
        </w:rPr>
        <w:t>Алтернатива с внедряване на инвестиции в PUZ, започнати през 2022 г. - 48 вятърни електроцентрали с обща установена мощност 316,8 МВт (Алтернатива „II“)</w:t>
      </w:r>
    </w:p>
    <w:p w14:paraId="646FF4FE" w14:textId="63DC2E73" w:rsidR="00033B59" w:rsidRPr="007375EB" w:rsidRDefault="00FE1FFD" w:rsidP="006B1084">
      <w:pPr>
        <w:pStyle w:val="ListParagraph"/>
        <w:numPr>
          <w:ilvl w:val="0"/>
          <w:numId w:val="65"/>
        </w:numPr>
        <w:spacing w:after="120" w:line="360" w:lineRule="auto"/>
        <w:jc w:val="both"/>
        <w:rPr>
          <w:lang w:val="bg-BG"/>
        </w:rPr>
      </w:pPr>
      <w:r w:rsidRPr="007375EB">
        <w:rPr>
          <w:lang w:val="bg-BG"/>
        </w:rPr>
        <w:t xml:space="preserve">Алтернатива с </w:t>
      </w:r>
      <w:r w:rsidR="006B1084" w:rsidRPr="007375EB">
        <w:rPr>
          <w:lang w:val="bg-BG"/>
        </w:rPr>
        <w:t xml:space="preserve">внедряване на инвестиции </w:t>
      </w:r>
      <w:r w:rsidRPr="007375EB">
        <w:rPr>
          <w:lang w:val="bg-BG"/>
        </w:rPr>
        <w:t xml:space="preserve">в </w:t>
      </w:r>
      <w:r w:rsidR="006B1084" w:rsidRPr="007375EB">
        <w:rPr>
          <w:lang w:val="bg-BG"/>
        </w:rPr>
        <w:t xml:space="preserve">PUZ </w:t>
      </w:r>
      <w:r w:rsidRPr="007375EB">
        <w:rPr>
          <w:lang w:val="bg-BG"/>
        </w:rPr>
        <w:t xml:space="preserve">след получаване на одобрение № 34618/948/10.05.2023 г. на TRANSGAZ SA, след което 2 централи Т17 и Т23 са изоставени, като по този начин новият вятърен парк ще включва 46 вятърни електроцентрали с обща </w:t>
      </w:r>
      <w:r w:rsidR="006B1084" w:rsidRPr="007375EB">
        <w:rPr>
          <w:lang w:val="bg-BG"/>
        </w:rPr>
        <w:t xml:space="preserve">установена </w:t>
      </w:r>
      <w:r w:rsidRPr="007375EB">
        <w:rPr>
          <w:lang w:val="bg-BG"/>
        </w:rPr>
        <w:t xml:space="preserve">мощност 303,6 </w:t>
      </w:r>
      <w:r w:rsidR="006B1084" w:rsidRPr="007375EB">
        <w:rPr>
          <w:lang w:val="bg-BG"/>
        </w:rPr>
        <w:t>МВт</w:t>
      </w:r>
      <w:r w:rsidRPr="007375EB">
        <w:rPr>
          <w:lang w:val="bg-BG"/>
        </w:rPr>
        <w:t xml:space="preserve"> - (Алтернатива </w:t>
      </w:r>
      <w:r w:rsidR="004F14D8" w:rsidRPr="007375EB">
        <w:rPr>
          <w:rFonts w:eastAsia="Verdana" w:cs="Verdana"/>
          <w:lang w:val="bg-BG"/>
        </w:rPr>
        <w:t>”III”)</w:t>
      </w:r>
    </w:p>
    <w:p w14:paraId="76893CAF" w14:textId="5DBC8B67" w:rsidR="00E77561" w:rsidRPr="007375EB" w:rsidRDefault="00C77A4F" w:rsidP="00E77561">
      <w:pPr>
        <w:pStyle w:val="Caption"/>
        <w:rPr>
          <w:rFonts w:eastAsia="EuroRoman"/>
          <w:color w:val="00B0F0"/>
          <w:sz w:val="16"/>
          <w:szCs w:val="16"/>
          <w:lang w:val="bg-BG"/>
        </w:rPr>
      </w:pPr>
      <w:r w:rsidRPr="007375EB">
        <w:rPr>
          <w:sz w:val="16"/>
          <w:szCs w:val="16"/>
          <w:lang w:val="bg-BG"/>
        </w:rPr>
        <w:t>Таблица</w:t>
      </w:r>
      <w:r w:rsidR="00E77561" w:rsidRPr="007375EB">
        <w:rPr>
          <w:sz w:val="16"/>
          <w:szCs w:val="16"/>
          <w:lang w:val="bg-BG"/>
        </w:rPr>
        <w:t xml:space="preserve">  </w:t>
      </w:r>
      <w:r w:rsidR="00E77561" w:rsidRPr="007375EB">
        <w:rPr>
          <w:sz w:val="16"/>
          <w:szCs w:val="16"/>
          <w:lang w:val="bg-BG"/>
        </w:rPr>
        <w:fldChar w:fldCharType="begin"/>
      </w:r>
      <w:r w:rsidR="00E77561" w:rsidRPr="007375EB">
        <w:rPr>
          <w:sz w:val="16"/>
          <w:szCs w:val="16"/>
          <w:lang w:val="bg-BG"/>
        </w:rPr>
        <w:instrText xml:space="preserve"> STYLEREF 1 \s </w:instrText>
      </w:r>
      <w:r w:rsidR="00E77561" w:rsidRPr="007375EB">
        <w:rPr>
          <w:sz w:val="16"/>
          <w:szCs w:val="16"/>
          <w:lang w:val="bg-BG"/>
        </w:rPr>
        <w:fldChar w:fldCharType="separate"/>
      </w:r>
      <w:r w:rsidR="00E77561" w:rsidRPr="007375EB">
        <w:rPr>
          <w:noProof/>
          <w:sz w:val="16"/>
          <w:szCs w:val="16"/>
          <w:lang w:val="bg-BG"/>
        </w:rPr>
        <w:t>6</w:t>
      </w:r>
      <w:r w:rsidR="00E77561" w:rsidRPr="007375EB">
        <w:rPr>
          <w:sz w:val="16"/>
          <w:szCs w:val="16"/>
          <w:lang w:val="bg-BG"/>
        </w:rPr>
        <w:fldChar w:fldCharType="end"/>
      </w:r>
      <w:r w:rsidR="00E77561" w:rsidRPr="007375EB">
        <w:rPr>
          <w:sz w:val="16"/>
          <w:szCs w:val="16"/>
          <w:lang w:val="bg-BG"/>
        </w:rPr>
        <w:noBreakHyphen/>
      </w:r>
      <w:r w:rsidR="00E77561" w:rsidRPr="007375EB">
        <w:rPr>
          <w:sz w:val="16"/>
          <w:szCs w:val="16"/>
          <w:lang w:val="bg-BG"/>
        </w:rPr>
        <w:fldChar w:fldCharType="begin"/>
      </w:r>
      <w:r w:rsidR="00E77561" w:rsidRPr="007375EB">
        <w:rPr>
          <w:sz w:val="16"/>
          <w:szCs w:val="16"/>
          <w:lang w:val="bg-BG"/>
        </w:rPr>
        <w:instrText xml:space="preserve"> SEQ Tabel_ \* ARABIC \s 1 </w:instrText>
      </w:r>
      <w:r w:rsidR="00E77561" w:rsidRPr="007375EB">
        <w:rPr>
          <w:sz w:val="16"/>
          <w:szCs w:val="16"/>
          <w:lang w:val="bg-BG"/>
        </w:rPr>
        <w:fldChar w:fldCharType="separate"/>
      </w:r>
      <w:r w:rsidR="00E77561" w:rsidRPr="007375EB">
        <w:rPr>
          <w:noProof/>
          <w:sz w:val="16"/>
          <w:szCs w:val="16"/>
          <w:lang w:val="bg-BG"/>
        </w:rPr>
        <w:t>2</w:t>
      </w:r>
      <w:r w:rsidR="00E77561" w:rsidRPr="007375EB">
        <w:rPr>
          <w:sz w:val="16"/>
          <w:szCs w:val="16"/>
          <w:lang w:val="bg-BG"/>
        </w:rPr>
        <w:fldChar w:fldCharType="end"/>
      </w:r>
      <w:r w:rsidR="00E77561" w:rsidRPr="007375EB">
        <w:rPr>
          <w:sz w:val="16"/>
          <w:szCs w:val="16"/>
          <w:lang w:val="bg-BG"/>
        </w:rPr>
        <w:t xml:space="preserve"> </w:t>
      </w:r>
      <w:r w:rsidR="00FE1FFD" w:rsidRPr="007375EB">
        <w:rPr>
          <w:rFonts w:eastAsia="EuroRoman"/>
          <w:color w:val="00B0F0"/>
          <w:sz w:val="16"/>
          <w:szCs w:val="16"/>
          <w:lang w:val="bg-BG"/>
        </w:rPr>
        <w:t>Характерни елементи на PUZ в трите алтернативи на проекта</w:t>
      </w:r>
    </w:p>
    <w:tbl>
      <w:tblPr>
        <w:tblStyle w:val="TableGrid"/>
        <w:tblW w:w="9634"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709"/>
        <w:gridCol w:w="2263"/>
        <w:gridCol w:w="2126"/>
        <w:gridCol w:w="2268"/>
        <w:gridCol w:w="2268"/>
      </w:tblGrid>
      <w:tr w:rsidR="00E60695" w:rsidRPr="007375EB" w14:paraId="3A3714FC" w14:textId="77777777" w:rsidTr="007B3CBC">
        <w:trPr>
          <w:tblHeader/>
        </w:trPr>
        <w:tc>
          <w:tcPr>
            <w:tcW w:w="709" w:type="dxa"/>
            <w:shd w:val="clear" w:color="auto" w:fill="00B0F0"/>
          </w:tcPr>
          <w:p w14:paraId="3E0E614A" w14:textId="29D826C2" w:rsidR="00ED1333" w:rsidRPr="007375EB" w:rsidRDefault="00FE1FFD">
            <w:pPr>
              <w:spacing w:line="240" w:lineRule="auto"/>
              <w:jc w:val="both"/>
              <w:rPr>
                <w:b/>
                <w:bCs/>
                <w:color w:val="FFFFFF" w:themeColor="background1"/>
                <w:sz w:val="16"/>
                <w:szCs w:val="16"/>
                <w:lang w:val="bg-BG"/>
              </w:rPr>
            </w:pPr>
            <w:r w:rsidRPr="007375EB">
              <w:rPr>
                <w:b/>
                <w:bCs/>
                <w:color w:val="FFFFFF" w:themeColor="background1"/>
                <w:sz w:val="16"/>
                <w:szCs w:val="16"/>
                <w:lang w:val="bg-BG"/>
              </w:rPr>
              <w:t>№</w:t>
            </w:r>
          </w:p>
        </w:tc>
        <w:tc>
          <w:tcPr>
            <w:tcW w:w="2263" w:type="dxa"/>
            <w:shd w:val="clear" w:color="auto" w:fill="00B0F0"/>
          </w:tcPr>
          <w:p w14:paraId="48B71E23" w14:textId="428F8836" w:rsidR="00ED1333" w:rsidRPr="007375EB" w:rsidRDefault="00FE1FFD">
            <w:pPr>
              <w:spacing w:line="240" w:lineRule="auto"/>
              <w:jc w:val="both"/>
              <w:rPr>
                <w:b/>
                <w:bCs/>
                <w:color w:val="FFFFFF" w:themeColor="background1"/>
                <w:sz w:val="16"/>
                <w:szCs w:val="16"/>
                <w:lang w:val="bg-BG"/>
              </w:rPr>
            </w:pPr>
            <w:r w:rsidRPr="007375EB">
              <w:rPr>
                <w:b/>
                <w:bCs/>
                <w:color w:val="FFFFFF" w:themeColor="background1"/>
                <w:sz w:val="16"/>
                <w:szCs w:val="16"/>
                <w:lang w:val="bg-BG"/>
              </w:rPr>
              <w:t>Характеристики на PUZ</w:t>
            </w:r>
          </w:p>
        </w:tc>
        <w:tc>
          <w:tcPr>
            <w:tcW w:w="2126" w:type="dxa"/>
            <w:shd w:val="clear" w:color="auto" w:fill="00B0F0"/>
          </w:tcPr>
          <w:p w14:paraId="340BFEC8" w14:textId="162FAAF4" w:rsidR="00ED1333" w:rsidRPr="007375EB" w:rsidRDefault="00FE1FFD">
            <w:pPr>
              <w:spacing w:line="240" w:lineRule="auto"/>
              <w:jc w:val="both"/>
              <w:rPr>
                <w:b/>
                <w:bCs/>
                <w:color w:val="FFFFFF" w:themeColor="background1"/>
                <w:sz w:val="16"/>
                <w:szCs w:val="16"/>
                <w:lang w:val="bg-BG"/>
              </w:rPr>
            </w:pPr>
            <w:r w:rsidRPr="007375EB">
              <w:rPr>
                <w:b/>
                <w:bCs/>
                <w:color w:val="FFFFFF" w:themeColor="background1"/>
                <w:sz w:val="16"/>
                <w:szCs w:val="16"/>
                <w:lang w:val="bg-BG"/>
              </w:rPr>
              <w:t>Алтернатива</w:t>
            </w:r>
            <w:r w:rsidR="00ED1333" w:rsidRPr="007375EB">
              <w:rPr>
                <w:b/>
                <w:bCs/>
                <w:color w:val="FFFFFF" w:themeColor="background1"/>
                <w:sz w:val="16"/>
                <w:szCs w:val="16"/>
                <w:lang w:val="bg-BG"/>
              </w:rPr>
              <w:t xml:space="preserve"> I (2011)</w:t>
            </w:r>
          </w:p>
        </w:tc>
        <w:tc>
          <w:tcPr>
            <w:tcW w:w="2268" w:type="dxa"/>
            <w:shd w:val="clear" w:color="auto" w:fill="00B0F0"/>
          </w:tcPr>
          <w:p w14:paraId="4B39FEDF" w14:textId="77668972" w:rsidR="00ED1333" w:rsidRPr="007375EB" w:rsidRDefault="00FE1FFD">
            <w:pPr>
              <w:spacing w:line="240" w:lineRule="auto"/>
              <w:jc w:val="both"/>
              <w:rPr>
                <w:b/>
                <w:bCs/>
                <w:color w:val="FFFFFF" w:themeColor="background1"/>
                <w:sz w:val="16"/>
                <w:szCs w:val="16"/>
                <w:lang w:val="bg-BG"/>
              </w:rPr>
            </w:pPr>
            <w:r w:rsidRPr="007375EB">
              <w:rPr>
                <w:b/>
                <w:bCs/>
                <w:color w:val="FFFFFF" w:themeColor="background1"/>
                <w:sz w:val="16"/>
                <w:szCs w:val="16"/>
                <w:lang w:val="bg-BG"/>
              </w:rPr>
              <w:t xml:space="preserve">Алтернатива </w:t>
            </w:r>
            <w:r w:rsidR="00ED1333" w:rsidRPr="007375EB">
              <w:rPr>
                <w:b/>
                <w:bCs/>
                <w:color w:val="FFFFFF" w:themeColor="background1"/>
                <w:sz w:val="16"/>
                <w:szCs w:val="16"/>
                <w:lang w:val="bg-BG"/>
              </w:rPr>
              <w:t xml:space="preserve">II (2022) </w:t>
            </w:r>
          </w:p>
        </w:tc>
        <w:tc>
          <w:tcPr>
            <w:tcW w:w="2268" w:type="dxa"/>
            <w:shd w:val="clear" w:color="auto" w:fill="00B0F0"/>
          </w:tcPr>
          <w:p w14:paraId="0AF37E0B" w14:textId="15CB31AA" w:rsidR="00ED1333" w:rsidRPr="007375EB" w:rsidRDefault="00FE1FFD">
            <w:pPr>
              <w:spacing w:line="240" w:lineRule="auto"/>
              <w:jc w:val="both"/>
              <w:rPr>
                <w:b/>
                <w:bCs/>
                <w:color w:val="FFFFFF" w:themeColor="background1"/>
                <w:sz w:val="16"/>
                <w:szCs w:val="16"/>
                <w:lang w:val="bg-BG"/>
              </w:rPr>
            </w:pPr>
            <w:r w:rsidRPr="007375EB">
              <w:rPr>
                <w:b/>
                <w:bCs/>
                <w:color w:val="FFFFFF" w:themeColor="background1"/>
                <w:sz w:val="16"/>
                <w:szCs w:val="16"/>
                <w:lang w:val="bg-BG"/>
              </w:rPr>
              <w:t xml:space="preserve">Алтернатива </w:t>
            </w:r>
            <w:r w:rsidR="00ED1333" w:rsidRPr="007375EB">
              <w:rPr>
                <w:b/>
                <w:bCs/>
                <w:color w:val="FFFFFF" w:themeColor="background1"/>
                <w:sz w:val="16"/>
                <w:szCs w:val="16"/>
                <w:lang w:val="bg-BG"/>
              </w:rPr>
              <w:t>III (2023)</w:t>
            </w:r>
          </w:p>
        </w:tc>
      </w:tr>
      <w:tr w:rsidR="006B1084" w:rsidRPr="007375EB" w14:paraId="1AED3EBC" w14:textId="77777777" w:rsidTr="007B3CBC">
        <w:tc>
          <w:tcPr>
            <w:tcW w:w="709" w:type="dxa"/>
          </w:tcPr>
          <w:p w14:paraId="6E2CC8BB" w14:textId="77777777" w:rsidR="006B1084" w:rsidRPr="007375EB" w:rsidRDefault="006B1084" w:rsidP="006B1084">
            <w:pPr>
              <w:spacing w:line="240" w:lineRule="auto"/>
              <w:jc w:val="both"/>
              <w:rPr>
                <w:sz w:val="16"/>
                <w:szCs w:val="16"/>
                <w:lang w:val="bg-BG"/>
              </w:rPr>
            </w:pPr>
            <w:r w:rsidRPr="007375EB">
              <w:rPr>
                <w:sz w:val="16"/>
                <w:szCs w:val="16"/>
                <w:lang w:val="bg-BG"/>
              </w:rPr>
              <w:t>1.</w:t>
            </w:r>
          </w:p>
        </w:tc>
        <w:tc>
          <w:tcPr>
            <w:tcW w:w="2263" w:type="dxa"/>
          </w:tcPr>
          <w:p w14:paraId="38ABC7B2" w14:textId="66B83894" w:rsidR="006B1084" w:rsidRPr="007375EB" w:rsidRDefault="006B1084" w:rsidP="006B1084">
            <w:pPr>
              <w:spacing w:line="240" w:lineRule="auto"/>
              <w:jc w:val="both"/>
              <w:rPr>
                <w:sz w:val="16"/>
                <w:szCs w:val="16"/>
                <w:lang w:val="bg-BG"/>
              </w:rPr>
            </w:pPr>
            <w:r w:rsidRPr="007375EB">
              <w:rPr>
                <w:sz w:val="16"/>
                <w:szCs w:val="16"/>
                <w:lang w:val="bg-BG"/>
              </w:rPr>
              <w:t>Изследвана площ (ха)</w:t>
            </w:r>
          </w:p>
        </w:tc>
        <w:tc>
          <w:tcPr>
            <w:tcW w:w="2126" w:type="dxa"/>
          </w:tcPr>
          <w:p w14:paraId="3118C704" w14:textId="3B8FFDEC" w:rsidR="006B1084" w:rsidRPr="007375EB" w:rsidRDefault="006B1084" w:rsidP="006B1084">
            <w:pPr>
              <w:spacing w:line="240" w:lineRule="auto"/>
              <w:jc w:val="both"/>
              <w:rPr>
                <w:sz w:val="16"/>
                <w:szCs w:val="16"/>
                <w:lang w:val="bg-BG"/>
              </w:rPr>
            </w:pPr>
            <w:r w:rsidRPr="007375EB">
              <w:rPr>
                <w:sz w:val="16"/>
                <w:szCs w:val="16"/>
                <w:lang w:val="bg-BG"/>
              </w:rPr>
              <w:t>476,99 ха</w:t>
            </w:r>
          </w:p>
        </w:tc>
        <w:tc>
          <w:tcPr>
            <w:tcW w:w="2268" w:type="dxa"/>
          </w:tcPr>
          <w:p w14:paraId="1E97A5A5" w14:textId="5DC5008A" w:rsidR="006B1084" w:rsidRPr="007375EB" w:rsidRDefault="006B1084" w:rsidP="006B1084">
            <w:pPr>
              <w:spacing w:line="240" w:lineRule="auto"/>
              <w:jc w:val="both"/>
              <w:rPr>
                <w:sz w:val="16"/>
                <w:szCs w:val="16"/>
                <w:lang w:val="bg-BG"/>
              </w:rPr>
            </w:pPr>
            <w:r w:rsidRPr="007375EB">
              <w:rPr>
                <w:sz w:val="16"/>
                <w:szCs w:val="16"/>
                <w:lang w:val="bg-BG"/>
              </w:rPr>
              <w:t>3027,77</w:t>
            </w:r>
          </w:p>
        </w:tc>
        <w:tc>
          <w:tcPr>
            <w:tcW w:w="2268" w:type="dxa"/>
          </w:tcPr>
          <w:p w14:paraId="3ABA5F77" w14:textId="3B588220" w:rsidR="006B1084" w:rsidRPr="007375EB" w:rsidRDefault="006B1084" w:rsidP="006B1084">
            <w:pPr>
              <w:spacing w:line="240" w:lineRule="auto"/>
              <w:jc w:val="both"/>
              <w:rPr>
                <w:sz w:val="16"/>
                <w:szCs w:val="16"/>
                <w:lang w:val="bg-BG"/>
              </w:rPr>
            </w:pPr>
            <w:r w:rsidRPr="007375EB">
              <w:rPr>
                <w:sz w:val="16"/>
                <w:szCs w:val="16"/>
                <w:lang w:val="bg-BG"/>
              </w:rPr>
              <w:t>3027,77</w:t>
            </w:r>
          </w:p>
        </w:tc>
      </w:tr>
      <w:tr w:rsidR="006B1084" w:rsidRPr="007375EB" w14:paraId="21B8661C" w14:textId="77777777" w:rsidTr="007B3CBC">
        <w:tc>
          <w:tcPr>
            <w:tcW w:w="709" w:type="dxa"/>
          </w:tcPr>
          <w:p w14:paraId="1A8C785C" w14:textId="77777777" w:rsidR="006B1084" w:rsidRPr="007375EB" w:rsidRDefault="006B1084" w:rsidP="006B1084">
            <w:pPr>
              <w:spacing w:line="240" w:lineRule="auto"/>
              <w:jc w:val="both"/>
              <w:rPr>
                <w:sz w:val="16"/>
                <w:szCs w:val="16"/>
                <w:lang w:val="bg-BG"/>
              </w:rPr>
            </w:pPr>
            <w:r w:rsidRPr="007375EB">
              <w:rPr>
                <w:sz w:val="16"/>
                <w:szCs w:val="16"/>
                <w:lang w:val="bg-BG"/>
              </w:rPr>
              <w:t>2.</w:t>
            </w:r>
          </w:p>
        </w:tc>
        <w:tc>
          <w:tcPr>
            <w:tcW w:w="2263" w:type="dxa"/>
          </w:tcPr>
          <w:p w14:paraId="19F20E88" w14:textId="589881EE" w:rsidR="006B1084" w:rsidRPr="007375EB" w:rsidRDefault="006B1084" w:rsidP="006B1084">
            <w:pPr>
              <w:spacing w:line="240" w:lineRule="auto"/>
              <w:jc w:val="both"/>
              <w:rPr>
                <w:sz w:val="16"/>
                <w:szCs w:val="16"/>
                <w:lang w:val="bg-BG"/>
              </w:rPr>
            </w:pPr>
            <w:r w:rsidRPr="007375EB">
              <w:rPr>
                <w:sz w:val="16"/>
                <w:szCs w:val="16"/>
                <w:lang w:val="bg-BG"/>
              </w:rPr>
              <w:t>Брой вятърни турбини</w:t>
            </w:r>
          </w:p>
        </w:tc>
        <w:tc>
          <w:tcPr>
            <w:tcW w:w="2126" w:type="dxa"/>
          </w:tcPr>
          <w:p w14:paraId="76243837" w14:textId="77777777" w:rsidR="006B1084" w:rsidRPr="007375EB" w:rsidRDefault="006B1084" w:rsidP="006B1084">
            <w:pPr>
              <w:spacing w:line="240" w:lineRule="auto"/>
              <w:jc w:val="both"/>
              <w:rPr>
                <w:sz w:val="16"/>
                <w:szCs w:val="16"/>
                <w:lang w:val="bg-BG"/>
              </w:rPr>
            </w:pPr>
            <w:r w:rsidRPr="007375EB">
              <w:rPr>
                <w:sz w:val="16"/>
                <w:szCs w:val="16"/>
                <w:lang w:val="bg-BG"/>
              </w:rPr>
              <w:t>117</w:t>
            </w:r>
          </w:p>
        </w:tc>
        <w:tc>
          <w:tcPr>
            <w:tcW w:w="2268" w:type="dxa"/>
          </w:tcPr>
          <w:p w14:paraId="668D9AC0" w14:textId="77777777" w:rsidR="006B1084" w:rsidRPr="007375EB" w:rsidRDefault="006B1084" w:rsidP="006B1084">
            <w:pPr>
              <w:spacing w:line="240" w:lineRule="auto"/>
              <w:jc w:val="both"/>
              <w:rPr>
                <w:sz w:val="16"/>
                <w:szCs w:val="16"/>
                <w:lang w:val="bg-BG"/>
              </w:rPr>
            </w:pPr>
            <w:r w:rsidRPr="007375EB">
              <w:rPr>
                <w:sz w:val="16"/>
                <w:szCs w:val="16"/>
                <w:lang w:val="bg-BG"/>
              </w:rPr>
              <w:t>48</w:t>
            </w:r>
          </w:p>
        </w:tc>
        <w:tc>
          <w:tcPr>
            <w:tcW w:w="2268" w:type="dxa"/>
          </w:tcPr>
          <w:p w14:paraId="6176B2DB" w14:textId="77777777" w:rsidR="006B1084" w:rsidRPr="007375EB" w:rsidRDefault="006B1084" w:rsidP="006B1084">
            <w:pPr>
              <w:spacing w:line="240" w:lineRule="auto"/>
              <w:jc w:val="both"/>
              <w:rPr>
                <w:sz w:val="16"/>
                <w:szCs w:val="16"/>
                <w:lang w:val="bg-BG"/>
              </w:rPr>
            </w:pPr>
            <w:r w:rsidRPr="007375EB">
              <w:rPr>
                <w:sz w:val="16"/>
                <w:szCs w:val="16"/>
                <w:lang w:val="bg-BG"/>
              </w:rPr>
              <w:t>46</w:t>
            </w:r>
          </w:p>
        </w:tc>
      </w:tr>
      <w:tr w:rsidR="00E60695" w:rsidRPr="007375EB" w14:paraId="6E9E6BDB" w14:textId="77777777" w:rsidTr="007B3CBC">
        <w:tc>
          <w:tcPr>
            <w:tcW w:w="709" w:type="dxa"/>
          </w:tcPr>
          <w:p w14:paraId="3A31FEE3" w14:textId="77777777" w:rsidR="00ED1333" w:rsidRPr="007375EB" w:rsidRDefault="00ED1333">
            <w:pPr>
              <w:spacing w:line="240" w:lineRule="auto"/>
              <w:jc w:val="both"/>
              <w:rPr>
                <w:sz w:val="16"/>
                <w:szCs w:val="16"/>
                <w:lang w:val="bg-BG"/>
              </w:rPr>
            </w:pPr>
            <w:r w:rsidRPr="007375EB">
              <w:rPr>
                <w:sz w:val="16"/>
                <w:szCs w:val="16"/>
                <w:lang w:val="bg-BG"/>
              </w:rPr>
              <w:t>3.</w:t>
            </w:r>
          </w:p>
        </w:tc>
        <w:tc>
          <w:tcPr>
            <w:tcW w:w="2263" w:type="dxa"/>
          </w:tcPr>
          <w:p w14:paraId="714F70DB" w14:textId="77777777" w:rsidR="006B1084" w:rsidRPr="007375EB" w:rsidRDefault="006B1084" w:rsidP="006B1084">
            <w:pPr>
              <w:spacing w:line="240" w:lineRule="auto"/>
              <w:jc w:val="both"/>
              <w:rPr>
                <w:sz w:val="16"/>
                <w:szCs w:val="16"/>
                <w:lang w:val="bg-BG"/>
              </w:rPr>
            </w:pPr>
            <w:r w:rsidRPr="007375EB">
              <w:rPr>
                <w:sz w:val="16"/>
                <w:szCs w:val="16"/>
                <w:lang w:val="bg-BG"/>
              </w:rPr>
              <w:t>Характеристики на турбината</w:t>
            </w:r>
          </w:p>
          <w:p w14:paraId="696A7609" w14:textId="77777777" w:rsidR="006B1084" w:rsidRPr="007375EB" w:rsidRDefault="006B1084" w:rsidP="006B1084">
            <w:pPr>
              <w:spacing w:line="240" w:lineRule="auto"/>
              <w:jc w:val="both"/>
              <w:rPr>
                <w:sz w:val="16"/>
                <w:szCs w:val="16"/>
                <w:lang w:val="bg-BG"/>
              </w:rPr>
            </w:pPr>
            <w:r w:rsidRPr="007375EB">
              <w:rPr>
                <w:sz w:val="16"/>
                <w:szCs w:val="16"/>
                <w:lang w:val="bg-BG"/>
              </w:rPr>
              <w:t>- Височина на стълба</w:t>
            </w:r>
            <w:r w:rsidR="00ED1333" w:rsidRPr="007375EB">
              <w:rPr>
                <w:sz w:val="16"/>
                <w:szCs w:val="16"/>
                <w:lang w:val="bg-BG"/>
              </w:rPr>
              <w:t>:</w:t>
            </w:r>
          </w:p>
          <w:p w14:paraId="5F191BA1" w14:textId="77777777" w:rsidR="006B1084" w:rsidRPr="007375EB" w:rsidRDefault="006B1084" w:rsidP="006B1084">
            <w:pPr>
              <w:spacing w:line="240" w:lineRule="auto"/>
              <w:jc w:val="both"/>
              <w:rPr>
                <w:sz w:val="16"/>
                <w:szCs w:val="16"/>
                <w:lang w:val="bg-BG"/>
              </w:rPr>
            </w:pPr>
            <w:r w:rsidRPr="007375EB">
              <w:rPr>
                <w:sz w:val="16"/>
                <w:szCs w:val="16"/>
                <w:lang w:val="bg-BG"/>
              </w:rPr>
              <w:t>- Диаметър на лопатката</w:t>
            </w:r>
            <w:r w:rsidR="00ED1333" w:rsidRPr="007375EB">
              <w:rPr>
                <w:sz w:val="16"/>
                <w:szCs w:val="16"/>
                <w:lang w:val="bg-BG"/>
              </w:rPr>
              <w:t>:</w:t>
            </w:r>
          </w:p>
          <w:p w14:paraId="0E43DC24" w14:textId="77777777" w:rsidR="006B1084" w:rsidRPr="007375EB" w:rsidRDefault="006B1084" w:rsidP="006B1084">
            <w:pPr>
              <w:spacing w:line="240" w:lineRule="auto"/>
              <w:jc w:val="both"/>
              <w:rPr>
                <w:sz w:val="16"/>
                <w:szCs w:val="16"/>
                <w:lang w:val="bg-BG"/>
              </w:rPr>
            </w:pPr>
            <w:r w:rsidRPr="007375EB">
              <w:rPr>
                <w:sz w:val="16"/>
                <w:szCs w:val="16"/>
                <w:lang w:val="bg-BG"/>
              </w:rPr>
              <w:t>- Обща височина;</w:t>
            </w:r>
          </w:p>
          <w:p w14:paraId="1947A1A7" w14:textId="12431E63" w:rsidR="00ED1333" w:rsidRPr="007375EB" w:rsidRDefault="006B1084" w:rsidP="006B1084">
            <w:pPr>
              <w:spacing w:line="240" w:lineRule="auto"/>
              <w:jc w:val="both"/>
              <w:rPr>
                <w:sz w:val="16"/>
                <w:szCs w:val="16"/>
                <w:lang w:val="bg-BG"/>
              </w:rPr>
            </w:pPr>
            <w:r w:rsidRPr="007375EB">
              <w:rPr>
                <w:sz w:val="16"/>
                <w:szCs w:val="16"/>
                <w:lang w:val="bg-BG"/>
              </w:rPr>
              <w:t>- Мощност</w:t>
            </w:r>
          </w:p>
        </w:tc>
        <w:tc>
          <w:tcPr>
            <w:tcW w:w="2126" w:type="dxa"/>
          </w:tcPr>
          <w:p w14:paraId="128ED3DE" w14:textId="77777777" w:rsidR="00ED1333" w:rsidRPr="007375EB" w:rsidRDefault="00ED1333">
            <w:pPr>
              <w:spacing w:line="240" w:lineRule="auto"/>
              <w:jc w:val="both"/>
              <w:rPr>
                <w:sz w:val="16"/>
                <w:szCs w:val="16"/>
                <w:lang w:val="bg-BG"/>
              </w:rPr>
            </w:pPr>
          </w:p>
          <w:p w14:paraId="61BC72E8" w14:textId="54CB19C4" w:rsidR="00817503" w:rsidRPr="007375EB" w:rsidRDefault="004762D2">
            <w:pPr>
              <w:spacing w:line="240" w:lineRule="auto"/>
              <w:jc w:val="both"/>
              <w:rPr>
                <w:sz w:val="16"/>
                <w:szCs w:val="16"/>
                <w:lang w:val="bg-BG"/>
              </w:rPr>
            </w:pPr>
            <w:r w:rsidRPr="007375EB">
              <w:rPr>
                <w:sz w:val="16"/>
                <w:szCs w:val="16"/>
                <w:lang w:val="bg-BG"/>
              </w:rPr>
              <w:t>1</w:t>
            </w:r>
            <w:r w:rsidR="00797E30" w:rsidRPr="007375EB">
              <w:rPr>
                <w:sz w:val="16"/>
                <w:szCs w:val="16"/>
                <w:lang w:val="bg-BG"/>
              </w:rPr>
              <w:t>19</w:t>
            </w:r>
            <w:r w:rsidRPr="007375EB">
              <w:rPr>
                <w:sz w:val="16"/>
                <w:szCs w:val="16"/>
                <w:lang w:val="bg-BG"/>
              </w:rPr>
              <w:t xml:space="preserve"> </w:t>
            </w:r>
            <w:r w:rsidR="00FE1FFD" w:rsidRPr="007375EB">
              <w:rPr>
                <w:sz w:val="16"/>
                <w:szCs w:val="16"/>
                <w:lang w:val="bg-BG"/>
              </w:rPr>
              <w:t>м</w:t>
            </w:r>
          </w:p>
          <w:p w14:paraId="4B5FED84" w14:textId="03FDEAD5" w:rsidR="004762D2" w:rsidRPr="007375EB" w:rsidRDefault="00942A60">
            <w:pPr>
              <w:spacing w:line="240" w:lineRule="auto"/>
              <w:jc w:val="both"/>
              <w:rPr>
                <w:sz w:val="16"/>
                <w:szCs w:val="16"/>
                <w:lang w:val="bg-BG"/>
              </w:rPr>
            </w:pPr>
            <w:r w:rsidRPr="007375EB">
              <w:rPr>
                <w:sz w:val="16"/>
                <w:szCs w:val="16"/>
                <w:lang w:val="bg-BG"/>
              </w:rPr>
              <w:t>5</w:t>
            </w:r>
            <w:r w:rsidR="001A50F9" w:rsidRPr="007375EB">
              <w:rPr>
                <w:sz w:val="16"/>
                <w:szCs w:val="16"/>
                <w:lang w:val="bg-BG"/>
              </w:rPr>
              <w:t>6</w:t>
            </w:r>
            <w:r w:rsidR="00146849" w:rsidRPr="007375EB">
              <w:rPr>
                <w:sz w:val="16"/>
                <w:szCs w:val="16"/>
                <w:lang w:val="bg-BG"/>
              </w:rPr>
              <w:t xml:space="preserve"> </w:t>
            </w:r>
            <w:r w:rsidR="00FE1FFD" w:rsidRPr="007375EB">
              <w:rPr>
                <w:sz w:val="16"/>
                <w:szCs w:val="16"/>
                <w:lang w:val="bg-BG"/>
              </w:rPr>
              <w:t>м</w:t>
            </w:r>
          </w:p>
          <w:p w14:paraId="11407F96" w14:textId="48F597B8" w:rsidR="00082456" w:rsidRPr="007375EB" w:rsidRDefault="00942A60">
            <w:pPr>
              <w:spacing w:line="240" w:lineRule="auto"/>
              <w:jc w:val="both"/>
              <w:rPr>
                <w:sz w:val="16"/>
                <w:szCs w:val="16"/>
                <w:lang w:val="bg-BG"/>
              </w:rPr>
            </w:pPr>
            <w:r w:rsidRPr="007375EB">
              <w:rPr>
                <w:sz w:val="16"/>
                <w:szCs w:val="16"/>
                <w:lang w:val="bg-BG"/>
              </w:rPr>
              <w:t>1</w:t>
            </w:r>
            <w:r w:rsidR="001A50F9" w:rsidRPr="007375EB">
              <w:rPr>
                <w:sz w:val="16"/>
                <w:szCs w:val="16"/>
                <w:lang w:val="bg-BG"/>
              </w:rPr>
              <w:t>75</w:t>
            </w:r>
            <w:r w:rsidR="006A50D2" w:rsidRPr="007375EB">
              <w:rPr>
                <w:sz w:val="16"/>
                <w:szCs w:val="16"/>
                <w:lang w:val="bg-BG"/>
              </w:rPr>
              <w:t xml:space="preserve"> </w:t>
            </w:r>
            <w:r w:rsidR="00FE1FFD" w:rsidRPr="007375EB">
              <w:rPr>
                <w:sz w:val="16"/>
                <w:szCs w:val="16"/>
                <w:lang w:val="bg-BG"/>
              </w:rPr>
              <w:t>м</w:t>
            </w:r>
          </w:p>
          <w:p w14:paraId="6C114A9F" w14:textId="3078D13B" w:rsidR="006A50D2" w:rsidRPr="007375EB" w:rsidRDefault="008444D6">
            <w:pPr>
              <w:spacing w:line="240" w:lineRule="auto"/>
              <w:jc w:val="both"/>
              <w:rPr>
                <w:sz w:val="16"/>
                <w:szCs w:val="16"/>
                <w:lang w:val="bg-BG"/>
              </w:rPr>
            </w:pPr>
            <w:r w:rsidRPr="007375EB">
              <w:rPr>
                <w:sz w:val="16"/>
                <w:szCs w:val="16"/>
                <w:lang w:val="bg-BG"/>
              </w:rPr>
              <w:t>3,0</w:t>
            </w:r>
            <w:r w:rsidR="00F51463" w:rsidRPr="007375EB">
              <w:rPr>
                <w:sz w:val="16"/>
                <w:szCs w:val="16"/>
                <w:lang w:val="bg-BG"/>
              </w:rPr>
              <w:t xml:space="preserve"> </w:t>
            </w:r>
            <w:r w:rsidR="00FE1FFD" w:rsidRPr="007375EB">
              <w:rPr>
                <w:sz w:val="16"/>
                <w:szCs w:val="16"/>
                <w:lang w:val="bg-BG"/>
              </w:rPr>
              <w:t>МВт</w:t>
            </w:r>
          </w:p>
        </w:tc>
        <w:tc>
          <w:tcPr>
            <w:tcW w:w="2268" w:type="dxa"/>
          </w:tcPr>
          <w:p w14:paraId="0C29BC12" w14:textId="77777777" w:rsidR="00ED1333" w:rsidRPr="007375EB" w:rsidRDefault="00ED1333">
            <w:pPr>
              <w:spacing w:line="240" w:lineRule="auto"/>
              <w:jc w:val="both"/>
              <w:rPr>
                <w:sz w:val="16"/>
                <w:szCs w:val="16"/>
                <w:lang w:val="bg-BG"/>
              </w:rPr>
            </w:pPr>
          </w:p>
          <w:p w14:paraId="3820B95C" w14:textId="7740293D" w:rsidR="00F51463" w:rsidRPr="007375EB" w:rsidRDefault="00F51463" w:rsidP="00F51463">
            <w:pPr>
              <w:spacing w:line="240" w:lineRule="auto"/>
              <w:jc w:val="both"/>
              <w:rPr>
                <w:sz w:val="16"/>
                <w:szCs w:val="16"/>
                <w:lang w:val="bg-BG"/>
              </w:rPr>
            </w:pPr>
            <w:r w:rsidRPr="007375EB">
              <w:rPr>
                <w:sz w:val="16"/>
                <w:szCs w:val="16"/>
                <w:lang w:val="bg-BG"/>
              </w:rPr>
              <w:t xml:space="preserve">155 </w:t>
            </w:r>
            <w:r w:rsidR="00FE1FFD" w:rsidRPr="007375EB">
              <w:rPr>
                <w:sz w:val="16"/>
                <w:szCs w:val="16"/>
                <w:lang w:val="bg-BG"/>
              </w:rPr>
              <w:t>м</w:t>
            </w:r>
          </w:p>
          <w:p w14:paraId="5A73C873" w14:textId="4EC78D20" w:rsidR="00F51463" w:rsidRPr="007375EB" w:rsidRDefault="00F51463" w:rsidP="00F51463">
            <w:pPr>
              <w:spacing w:line="240" w:lineRule="auto"/>
              <w:jc w:val="both"/>
              <w:rPr>
                <w:sz w:val="16"/>
                <w:szCs w:val="16"/>
                <w:lang w:val="bg-BG"/>
              </w:rPr>
            </w:pPr>
            <w:r w:rsidRPr="007375EB">
              <w:rPr>
                <w:sz w:val="16"/>
                <w:szCs w:val="16"/>
                <w:lang w:val="bg-BG"/>
              </w:rPr>
              <w:t xml:space="preserve">170 </w:t>
            </w:r>
            <w:r w:rsidR="00FE1FFD" w:rsidRPr="007375EB">
              <w:rPr>
                <w:sz w:val="16"/>
                <w:szCs w:val="16"/>
                <w:lang w:val="bg-BG"/>
              </w:rPr>
              <w:t>м</w:t>
            </w:r>
          </w:p>
          <w:p w14:paraId="26DDCF4D" w14:textId="706D45A8" w:rsidR="00F51463" w:rsidRPr="007375EB" w:rsidRDefault="00F51463" w:rsidP="00F51463">
            <w:pPr>
              <w:spacing w:line="240" w:lineRule="auto"/>
              <w:jc w:val="both"/>
              <w:rPr>
                <w:sz w:val="16"/>
                <w:szCs w:val="16"/>
                <w:lang w:val="bg-BG"/>
              </w:rPr>
            </w:pPr>
            <w:r w:rsidRPr="007375EB">
              <w:rPr>
                <w:sz w:val="16"/>
                <w:szCs w:val="16"/>
                <w:lang w:val="bg-BG"/>
              </w:rPr>
              <w:t xml:space="preserve">240 </w:t>
            </w:r>
            <w:r w:rsidR="00FE1FFD" w:rsidRPr="007375EB">
              <w:rPr>
                <w:sz w:val="16"/>
                <w:szCs w:val="16"/>
                <w:lang w:val="bg-BG"/>
              </w:rPr>
              <w:t>м</w:t>
            </w:r>
          </w:p>
          <w:p w14:paraId="6E68B67C" w14:textId="69C959D2" w:rsidR="00F51463" w:rsidRPr="007375EB" w:rsidRDefault="00F51463" w:rsidP="00F51463">
            <w:pPr>
              <w:spacing w:line="240" w:lineRule="auto"/>
              <w:jc w:val="both"/>
              <w:rPr>
                <w:sz w:val="16"/>
                <w:szCs w:val="16"/>
                <w:lang w:val="bg-BG"/>
              </w:rPr>
            </w:pPr>
            <w:r w:rsidRPr="007375EB">
              <w:rPr>
                <w:sz w:val="16"/>
                <w:szCs w:val="16"/>
                <w:lang w:val="bg-BG"/>
              </w:rPr>
              <w:t xml:space="preserve">6.6 </w:t>
            </w:r>
            <w:r w:rsidR="00FE1FFD" w:rsidRPr="007375EB">
              <w:rPr>
                <w:sz w:val="16"/>
                <w:szCs w:val="16"/>
                <w:lang w:val="bg-BG"/>
              </w:rPr>
              <w:t>МВт</w:t>
            </w:r>
          </w:p>
        </w:tc>
        <w:tc>
          <w:tcPr>
            <w:tcW w:w="2268" w:type="dxa"/>
          </w:tcPr>
          <w:p w14:paraId="28553775" w14:textId="77777777" w:rsidR="00ED1333" w:rsidRPr="007375EB" w:rsidRDefault="00ED1333">
            <w:pPr>
              <w:spacing w:line="240" w:lineRule="auto"/>
              <w:jc w:val="both"/>
              <w:rPr>
                <w:sz w:val="16"/>
                <w:szCs w:val="16"/>
                <w:lang w:val="bg-BG"/>
              </w:rPr>
            </w:pPr>
          </w:p>
          <w:p w14:paraId="683D466A" w14:textId="5A33F76E" w:rsidR="00F51463" w:rsidRPr="007375EB" w:rsidRDefault="00F51463" w:rsidP="00F51463">
            <w:pPr>
              <w:spacing w:line="240" w:lineRule="auto"/>
              <w:jc w:val="both"/>
              <w:rPr>
                <w:sz w:val="16"/>
                <w:szCs w:val="16"/>
                <w:lang w:val="bg-BG"/>
              </w:rPr>
            </w:pPr>
            <w:r w:rsidRPr="007375EB">
              <w:rPr>
                <w:sz w:val="16"/>
                <w:szCs w:val="16"/>
                <w:lang w:val="bg-BG"/>
              </w:rPr>
              <w:t xml:space="preserve">155 </w:t>
            </w:r>
            <w:r w:rsidR="00FE1FFD" w:rsidRPr="007375EB">
              <w:rPr>
                <w:sz w:val="16"/>
                <w:szCs w:val="16"/>
                <w:lang w:val="bg-BG"/>
              </w:rPr>
              <w:t>м</w:t>
            </w:r>
          </w:p>
          <w:p w14:paraId="11C33238" w14:textId="48265F51" w:rsidR="00F51463" w:rsidRPr="007375EB" w:rsidRDefault="00F51463" w:rsidP="00F51463">
            <w:pPr>
              <w:spacing w:line="240" w:lineRule="auto"/>
              <w:jc w:val="both"/>
              <w:rPr>
                <w:sz w:val="16"/>
                <w:szCs w:val="16"/>
                <w:lang w:val="bg-BG"/>
              </w:rPr>
            </w:pPr>
            <w:r w:rsidRPr="007375EB">
              <w:rPr>
                <w:sz w:val="16"/>
                <w:szCs w:val="16"/>
                <w:lang w:val="bg-BG"/>
              </w:rPr>
              <w:t xml:space="preserve">170 </w:t>
            </w:r>
            <w:r w:rsidR="00FE1FFD" w:rsidRPr="007375EB">
              <w:rPr>
                <w:sz w:val="16"/>
                <w:szCs w:val="16"/>
                <w:lang w:val="bg-BG"/>
              </w:rPr>
              <w:t>м</w:t>
            </w:r>
          </w:p>
          <w:p w14:paraId="086A3C6E" w14:textId="05A02F7F" w:rsidR="00F51463" w:rsidRPr="007375EB" w:rsidRDefault="00F51463" w:rsidP="00F51463">
            <w:pPr>
              <w:spacing w:line="240" w:lineRule="auto"/>
              <w:jc w:val="both"/>
              <w:rPr>
                <w:sz w:val="16"/>
                <w:szCs w:val="16"/>
                <w:lang w:val="bg-BG"/>
              </w:rPr>
            </w:pPr>
            <w:r w:rsidRPr="007375EB">
              <w:rPr>
                <w:sz w:val="16"/>
                <w:szCs w:val="16"/>
                <w:lang w:val="bg-BG"/>
              </w:rPr>
              <w:t xml:space="preserve">240 </w:t>
            </w:r>
            <w:r w:rsidR="00FE1FFD" w:rsidRPr="007375EB">
              <w:rPr>
                <w:sz w:val="16"/>
                <w:szCs w:val="16"/>
                <w:lang w:val="bg-BG"/>
              </w:rPr>
              <w:t>м</w:t>
            </w:r>
          </w:p>
          <w:p w14:paraId="422DB5A6" w14:textId="40B4EBB7" w:rsidR="00F51463" w:rsidRPr="007375EB" w:rsidRDefault="00F51463" w:rsidP="00F51463">
            <w:pPr>
              <w:spacing w:line="240" w:lineRule="auto"/>
              <w:jc w:val="both"/>
              <w:rPr>
                <w:sz w:val="16"/>
                <w:szCs w:val="16"/>
                <w:lang w:val="bg-BG"/>
              </w:rPr>
            </w:pPr>
            <w:r w:rsidRPr="007375EB">
              <w:rPr>
                <w:sz w:val="16"/>
                <w:szCs w:val="16"/>
                <w:lang w:val="bg-BG"/>
              </w:rPr>
              <w:t xml:space="preserve">6.6 </w:t>
            </w:r>
            <w:r w:rsidR="00FE1FFD" w:rsidRPr="007375EB">
              <w:rPr>
                <w:sz w:val="16"/>
                <w:szCs w:val="16"/>
                <w:lang w:val="bg-BG"/>
              </w:rPr>
              <w:t>МВт</w:t>
            </w:r>
          </w:p>
        </w:tc>
      </w:tr>
      <w:tr w:rsidR="00E60695" w:rsidRPr="007375EB" w14:paraId="2C4CAE17" w14:textId="77777777" w:rsidTr="007B3CBC">
        <w:tc>
          <w:tcPr>
            <w:tcW w:w="709" w:type="dxa"/>
          </w:tcPr>
          <w:p w14:paraId="4E9CA67F" w14:textId="77777777" w:rsidR="00ED1333" w:rsidRPr="007375EB" w:rsidRDefault="00ED1333">
            <w:pPr>
              <w:spacing w:line="240" w:lineRule="auto"/>
              <w:jc w:val="both"/>
              <w:rPr>
                <w:sz w:val="16"/>
                <w:szCs w:val="16"/>
                <w:lang w:val="bg-BG"/>
              </w:rPr>
            </w:pPr>
            <w:r w:rsidRPr="007375EB">
              <w:rPr>
                <w:sz w:val="16"/>
                <w:szCs w:val="16"/>
                <w:lang w:val="bg-BG"/>
              </w:rPr>
              <w:t>4.</w:t>
            </w:r>
          </w:p>
        </w:tc>
        <w:tc>
          <w:tcPr>
            <w:tcW w:w="2263" w:type="dxa"/>
          </w:tcPr>
          <w:p w14:paraId="6AAC2C60" w14:textId="0DBA422F" w:rsidR="00ED1333" w:rsidRPr="007375EB" w:rsidRDefault="006B1084">
            <w:pPr>
              <w:spacing w:line="240" w:lineRule="auto"/>
              <w:jc w:val="both"/>
              <w:rPr>
                <w:sz w:val="16"/>
                <w:szCs w:val="16"/>
                <w:lang w:val="bg-BG"/>
              </w:rPr>
            </w:pPr>
            <w:r w:rsidRPr="007375EB">
              <w:rPr>
                <w:sz w:val="16"/>
                <w:szCs w:val="16"/>
                <w:lang w:val="bg-BG"/>
              </w:rPr>
              <w:t>Установена мощност МВт</w:t>
            </w:r>
          </w:p>
        </w:tc>
        <w:tc>
          <w:tcPr>
            <w:tcW w:w="2126" w:type="dxa"/>
          </w:tcPr>
          <w:p w14:paraId="6A2F61B3" w14:textId="4DBE3CAD" w:rsidR="00ED1333" w:rsidRPr="007375EB" w:rsidRDefault="00ED1333">
            <w:pPr>
              <w:spacing w:line="240" w:lineRule="auto"/>
              <w:jc w:val="both"/>
              <w:rPr>
                <w:sz w:val="16"/>
                <w:szCs w:val="16"/>
                <w:lang w:val="bg-BG"/>
              </w:rPr>
            </w:pPr>
            <w:r w:rsidRPr="007375EB">
              <w:rPr>
                <w:rFonts w:eastAsia="Verdana" w:cs="Verdana"/>
                <w:sz w:val="16"/>
                <w:szCs w:val="16"/>
                <w:lang w:val="bg-BG"/>
              </w:rPr>
              <w:t xml:space="preserve">351 </w:t>
            </w:r>
            <w:r w:rsidR="00FE1FFD" w:rsidRPr="007375EB">
              <w:rPr>
                <w:sz w:val="16"/>
                <w:szCs w:val="16"/>
                <w:lang w:val="bg-BG"/>
              </w:rPr>
              <w:t>МВт</w:t>
            </w:r>
          </w:p>
        </w:tc>
        <w:tc>
          <w:tcPr>
            <w:tcW w:w="2268" w:type="dxa"/>
          </w:tcPr>
          <w:p w14:paraId="36C3EF69" w14:textId="7F271A02" w:rsidR="00ED1333" w:rsidRPr="007375EB" w:rsidRDefault="00ED1333">
            <w:pPr>
              <w:spacing w:line="240" w:lineRule="auto"/>
              <w:jc w:val="both"/>
              <w:rPr>
                <w:sz w:val="16"/>
                <w:szCs w:val="16"/>
                <w:lang w:val="bg-BG"/>
              </w:rPr>
            </w:pPr>
            <w:r w:rsidRPr="007375EB">
              <w:rPr>
                <w:rFonts w:eastAsia="Verdana" w:cs="Verdana"/>
                <w:sz w:val="16"/>
                <w:szCs w:val="16"/>
                <w:lang w:val="bg-BG"/>
              </w:rPr>
              <w:t xml:space="preserve">316,8 </w:t>
            </w:r>
            <w:r w:rsidR="00FE1FFD" w:rsidRPr="007375EB">
              <w:rPr>
                <w:rFonts w:eastAsia="Verdana" w:cs="Verdana"/>
                <w:sz w:val="16"/>
                <w:szCs w:val="16"/>
                <w:lang w:val="bg-BG"/>
              </w:rPr>
              <w:t>МВт</w:t>
            </w:r>
          </w:p>
        </w:tc>
        <w:tc>
          <w:tcPr>
            <w:tcW w:w="2268" w:type="dxa"/>
          </w:tcPr>
          <w:p w14:paraId="15C471C1" w14:textId="78E17BCD" w:rsidR="00ED1333" w:rsidRPr="007375EB" w:rsidRDefault="00ED1333">
            <w:pPr>
              <w:spacing w:line="240" w:lineRule="auto"/>
              <w:jc w:val="both"/>
              <w:rPr>
                <w:sz w:val="16"/>
                <w:szCs w:val="16"/>
                <w:lang w:val="bg-BG"/>
              </w:rPr>
            </w:pPr>
            <w:r w:rsidRPr="007375EB">
              <w:rPr>
                <w:rFonts w:eastAsia="Verdana" w:cs="Verdana"/>
                <w:sz w:val="16"/>
                <w:szCs w:val="16"/>
                <w:lang w:val="bg-BG"/>
              </w:rPr>
              <w:t xml:space="preserve">303,6 </w:t>
            </w:r>
            <w:r w:rsidR="00FE1FFD" w:rsidRPr="007375EB">
              <w:rPr>
                <w:sz w:val="16"/>
                <w:szCs w:val="16"/>
                <w:lang w:val="bg-BG"/>
              </w:rPr>
              <w:t>МВт</w:t>
            </w:r>
          </w:p>
        </w:tc>
      </w:tr>
    </w:tbl>
    <w:p w14:paraId="3C186FCE" w14:textId="588A0D9B" w:rsidR="005F2AD5" w:rsidRPr="007375EB" w:rsidRDefault="005F2AD5" w:rsidP="00E77561">
      <w:pPr>
        <w:spacing w:after="120" w:line="360" w:lineRule="auto"/>
        <w:jc w:val="both"/>
        <w:rPr>
          <w:lang w:val="bg-BG"/>
        </w:rPr>
      </w:pPr>
    </w:p>
    <w:p w14:paraId="76227D9B" w14:textId="41DEEC86" w:rsidR="001F5DEA" w:rsidRPr="007375EB" w:rsidRDefault="00FE1FFD" w:rsidP="0041531F">
      <w:pPr>
        <w:pStyle w:val="ListParagraph"/>
        <w:numPr>
          <w:ilvl w:val="2"/>
          <w:numId w:val="77"/>
        </w:numPr>
        <w:spacing w:after="120" w:line="360" w:lineRule="auto"/>
        <w:jc w:val="both"/>
        <w:outlineLvl w:val="3"/>
        <w:rPr>
          <w:b/>
          <w:bCs/>
          <w:color w:val="00B0F0"/>
          <w:lang w:val="bg-BG" w:eastAsia="ro-RO"/>
        </w:rPr>
      </w:pPr>
      <w:r w:rsidRPr="007375EB">
        <w:rPr>
          <w:b/>
          <w:bCs/>
          <w:color w:val="00B0F0"/>
          <w:lang w:val="bg-BG" w:eastAsia="ro-RO"/>
        </w:rPr>
        <w:t xml:space="preserve">Оценка на целите на </w:t>
      </w:r>
      <w:r w:rsidR="0078389B" w:rsidRPr="007375EB">
        <w:rPr>
          <w:b/>
          <w:bCs/>
          <w:color w:val="00B0F0"/>
          <w:lang w:val="bg-BG" w:eastAsia="ro-RO"/>
        </w:rPr>
        <w:t>PUZ</w:t>
      </w:r>
      <w:r w:rsidRPr="007375EB">
        <w:rPr>
          <w:b/>
          <w:bCs/>
          <w:color w:val="00B0F0"/>
          <w:lang w:val="bg-BG" w:eastAsia="ro-RO"/>
        </w:rPr>
        <w:t xml:space="preserve"> </w:t>
      </w:r>
      <w:r w:rsidR="00971084" w:rsidRPr="007375EB">
        <w:rPr>
          <w:b/>
          <w:bCs/>
          <w:color w:val="00B0F0"/>
          <w:lang w:val="bg-BG" w:eastAsia="ro-RO"/>
        </w:rPr>
        <w:t>PUZ</w:t>
      </w:r>
    </w:p>
    <w:p w14:paraId="2B491D39" w14:textId="0F426CDD" w:rsidR="00FE1FFD" w:rsidRPr="007375EB" w:rsidRDefault="00FE1FFD" w:rsidP="00FE1FFD">
      <w:pPr>
        <w:spacing w:after="120" w:line="360" w:lineRule="auto"/>
        <w:jc w:val="both"/>
        <w:rPr>
          <w:lang w:val="bg-BG"/>
        </w:rPr>
      </w:pPr>
      <w:r w:rsidRPr="007375EB">
        <w:rPr>
          <w:lang w:val="bg-BG"/>
        </w:rPr>
        <w:t>Целта на тази оценка е да се определят синергиите между двата вида цели (целите на PUZ и съответните екологични цели), както и възможните несъвместимости между тях.</w:t>
      </w:r>
    </w:p>
    <w:p w14:paraId="4E5A5757" w14:textId="609DE4AD" w:rsidR="001F5DEA" w:rsidRPr="007375EB" w:rsidRDefault="00FE1FFD" w:rsidP="00FE1FFD">
      <w:pPr>
        <w:spacing w:after="120" w:line="360" w:lineRule="auto"/>
        <w:jc w:val="both"/>
        <w:rPr>
          <w:lang w:val="bg-BG"/>
        </w:rPr>
      </w:pPr>
      <w:r w:rsidRPr="007375EB">
        <w:rPr>
          <w:lang w:val="bg-BG"/>
        </w:rPr>
        <w:t>Както е представено и в глава 1.1.2. от настоящия доклад за околната среда, PUZ включва следните цели</w:t>
      </w:r>
      <w:r w:rsidR="004652F3" w:rsidRPr="007375EB">
        <w:rPr>
          <w:lang w:val="bg-BG"/>
        </w:rPr>
        <w:t>:</w:t>
      </w:r>
    </w:p>
    <w:p w14:paraId="709FDDCC" w14:textId="6D3BED15" w:rsidR="00074B68" w:rsidRPr="007375EB" w:rsidRDefault="00074B68" w:rsidP="00C63FF8">
      <w:pPr>
        <w:pStyle w:val="ListParagraph"/>
        <w:numPr>
          <w:ilvl w:val="0"/>
          <w:numId w:val="17"/>
        </w:numPr>
        <w:spacing w:after="120" w:line="360" w:lineRule="auto"/>
        <w:jc w:val="both"/>
        <w:rPr>
          <w:lang w:val="bg-BG" w:eastAsia="ro-RO"/>
        </w:rPr>
      </w:pPr>
      <w:r w:rsidRPr="007375EB">
        <w:rPr>
          <w:lang w:val="bg-BG" w:eastAsia="ro-RO"/>
        </w:rPr>
        <w:t xml:space="preserve">OP1 </w:t>
      </w:r>
      <w:r w:rsidR="00FE1FFD" w:rsidRPr="007375EB">
        <w:rPr>
          <w:lang w:val="bg-BG" w:eastAsia="ro-RO"/>
        </w:rPr>
        <w:t>изследване на района и насърчаване на алтернативно използване на определени площи земя в ТАЕ Черкезу за изграждане на вятърен парк</w:t>
      </w:r>
      <w:r w:rsidRPr="007375EB">
        <w:rPr>
          <w:lang w:val="bg-BG" w:eastAsia="ro-RO"/>
        </w:rPr>
        <w:t>;</w:t>
      </w:r>
    </w:p>
    <w:p w14:paraId="706B5C8C" w14:textId="7393755A" w:rsidR="00C63FF8" w:rsidRPr="007375EB" w:rsidRDefault="00C63FF8" w:rsidP="00C63FF8">
      <w:pPr>
        <w:pStyle w:val="ListParagraph"/>
        <w:numPr>
          <w:ilvl w:val="0"/>
          <w:numId w:val="17"/>
        </w:numPr>
        <w:spacing w:after="120" w:line="360" w:lineRule="auto"/>
        <w:jc w:val="both"/>
        <w:rPr>
          <w:lang w:val="bg-BG" w:eastAsia="ro-RO"/>
        </w:rPr>
      </w:pPr>
      <w:r w:rsidRPr="007375EB">
        <w:rPr>
          <w:lang w:val="bg-BG" w:eastAsia="ro-RO"/>
        </w:rPr>
        <w:t xml:space="preserve">OP2 </w:t>
      </w:r>
      <w:r w:rsidR="00FE1FFD" w:rsidRPr="007375EB">
        <w:rPr>
          <w:lang w:val="bg-BG" w:eastAsia="ro-RO"/>
        </w:rPr>
        <w:t>Намаляване на емисиите на парникови газове от енергийния сектор</w:t>
      </w:r>
      <w:r w:rsidRPr="007375EB">
        <w:rPr>
          <w:lang w:val="bg-BG" w:eastAsia="ro-RO"/>
        </w:rPr>
        <w:t>;</w:t>
      </w:r>
    </w:p>
    <w:p w14:paraId="61CA487D" w14:textId="27A64B19" w:rsidR="00C63FF8" w:rsidRPr="007375EB" w:rsidRDefault="00C63FF8" w:rsidP="00C63FF8">
      <w:pPr>
        <w:pStyle w:val="ListParagraph"/>
        <w:numPr>
          <w:ilvl w:val="0"/>
          <w:numId w:val="17"/>
        </w:numPr>
        <w:spacing w:after="120" w:line="360" w:lineRule="auto"/>
        <w:jc w:val="both"/>
        <w:rPr>
          <w:lang w:val="bg-BG" w:eastAsia="ro-RO"/>
        </w:rPr>
      </w:pPr>
      <w:r w:rsidRPr="007375EB">
        <w:rPr>
          <w:lang w:val="bg-BG" w:eastAsia="ro-RO"/>
        </w:rPr>
        <w:t xml:space="preserve">OP3 </w:t>
      </w:r>
      <w:r w:rsidR="00FE1FFD" w:rsidRPr="007375EB">
        <w:rPr>
          <w:lang w:val="bg-BG" w:eastAsia="ro-RO"/>
        </w:rPr>
        <w:t>Насърчаване на прехода към кръгова и ресурсно ефективна икономика</w:t>
      </w:r>
      <w:r w:rsidRPr="007375EB">
        <w:rPr>
          <w:lang w:val="bg-BG" w:eastAsia="ro-RO"/>
        </w:rPr>
        <w:t>;</w:t>
      </w:r>
    </w:p>
    <w:p w14:paraId="284BD753" w14:textId="05594272" w:rsidR="00C63FF8" w:rsidRPr="007375EB" w:rsidRDefault="00C63FF8" w:rsidP="00C63FF8">
      <w:pPr>
        <w:pStyle w:val="ListParagraph"/>
        <w:numPr>
          <w:ilvl w:val="0"/>
          <w:numId w:val="17"/>
        </w:numPr>
        <w:spacing w:after="120" w:line="360" w:lineRule="auto"/>
        <w:jc w:val="both"/>
        <w:rPr>
          <w:lang w:val="bg-BG" w:eastAsia="ro-RO"/>
        </w:rPr>
      </w:pPr>
      <w:r w:rsidRPr="007375EB">
        <w:rPr>
          <w:lang w:val="bg-BG" w:eastAsia="ro-RO"/>
        </w:rPr>
        <w:t xml:space="preserve">OP4 </w:t>
      </w:r>
      <w:r w:rsidR="00FE1FFD" w:rsidRPr="007375EB">
        <w:rPr>
          <w:lang w:val="bg-BG" w:eastAsia="ro-RO"/>
        </w:rPr>
        <w:t>Подобряване на естествената среда и хармонизирането ѝ с предложения обект</w:t>
      </w:r>
      <w:r w:rsidRPr="007375EB">
        <w:rPr>
          <w:lang w:val="bg-BG" w:eastAsia="ro-RO"/>
        </w:rPr>
        <w:t>;</w:t>
      </w:r>
    </w:p>
    <w:p w14:paraId="009064EC" w14:textId="4B0F7B3D" w:rsidR="00C63FF8" w:rsidRPr="007375EB" w:rsidRDefault="00C63FF8" w:rsidP="00C63FF8">
      <w:pPr>
        <w:pStyle w:val="ListParagraph"/>
        <w:numPr>
          <w:ilvl w:val="0"/>
          <w:numId w:val="17"/>
        </w:numPr>
        <w:spacing w:after="120" w:line="360" w:lineRule="auto"/>
        <w:jc w:val="both"/>
        <w:rPr>
          <w:lang w:val="bg-BG" w:eastAsia="ro-RO"/>
        </w:rPr>
      </w:pPr>
      <w:r w:rsidRPr="007375EB">
        <w:rPr>
          <w:lang w:val="bg-BG" w:eastAsia="ro-RO"/>
        </w:rPr>
        <w:t xml:space="preserve">OP5 </w:t>
      </w:r>
      <w:r w:rsidR="00FE1FFD" w:rsidRPr="007375EB">
        <w:rPr>
          <w:lang w:val="bg-BG" w:eastAsia="ro-RO"/>
        </w:rPr>
        <w:t>Разработване на вятърния парк, като се вземат предвид въздействията върху околната среда и опазването на човешкото здраве</w:t>
      </w:r>
      <w:r w:rsidRPr="007375EB">
        <w:rPr>
          <w:lang w:val="bg-BG" w:eastAsia="ro-RO"/>
        </w:rPr>
        <w:t>;</w:t>
      </w:r>
    </w:p>
    <w:p w14:paraId="3E7C5613" w14:textId="229FB4E9" w:rsidR="00C63FF8" w:rsidRPr="007375EB" w:rsidRDefault="00C63FF8" w:rsidP="00C63FF8">
      <w:pPr>
        <w:pStyle w:val="ListParagraph"/>
        <w:numPr>
          <w:ilvl w:val="0"/>
          <w:numId w:val="17"/>
        </w:numPr>
        <w:spacing w:after="120" w:line="360" w:lineRule="auto"/>
        <w:jc w:val="both"/>
        <w:rPr>
          <w:lang w:val="bg-BG" w:eastAsia="ro-RO"/>
        </w:rPr>
      </w:pPr>
      <w:r w:rsidRPr="007375EB">
        <w:rPr>
          <w:lang w:val="bg-BG" w:eastAsia="ro-RO"/>
        </w:rPr>
        <w:t xml:space="preserve">OP6 </w:t>
      </w:r>
      <w:r w:rsidR="00FE1FFD" w:rsidRPr="007375EB">
        <w:rPr>
          <w:lang w:val="bg-BG" w:eastAsia="ro-RO"/>
        </w:rPr>
        <w:t>Местен икономически и социален растеж</w:t>
      </w:r>
      <w:r w:rsidRPr="007375EB">
        <w:rPr>
          <w:lang w:val="bg-BG" w:eastAsia="ro-RO"/>
        </w:rPr>
        <w:t>;</w:t>
      </w:r>
    </w:p>
    <w:p w14:paraId="42FEF46A" w14:textId="434A4DED" w:rsidR="00C63FF8" w:rsidRPr="007375EB" w:rsidRDefault="00C63FF8" w:rsidP="00C63FF8">
      <w:pPr>
        <w:pStyle w:val="ListParagraph"/>
        <w:numPr>
          <w:ilvl w:val="0"/>
          <w:numId w:val="17"/>
        </w:numPr>
        <w:spacing w:after="120" w:line="360" w:lineRule="auto"/>
        <w:jc w:val="both"/>
        <w:rPr>
          <w:lang w:val="bg-BG" w:eastAsia="ro-RO"/>
        </w:rPr>
      </w:pPr>
      <w:r w:rsidRPr="007375EB">
        <w:rPr>
          <w:lang w:val="bg-BG" w:eastAsia="ro-RO"/>
        </w:rPr>
        <w:t xml:space="preserve">OP7 </w:t>
      </w:r>
      <w:r w:rsidR="00FE1FFD" w:rsidRPr="007375EB">
        <w:rPr>
          <w:lang w:val="bg-BG" w:eastAsia="ro-RO"/>
        </w:rPr>
        <w:t>Намаляване на въздействията върху биологичното разнообразие чрез осигуряване на мерки за защита и опазване на биологичното разнообразие</w:t>
      </w:r>
      <w:r w:rsidRPr="007375EB">
        <w:rPr>
          <w:lang w:val="bg-BG" w:eastAsia="ro-RO"/>
        </w:rPr>
        <w:t>.</w:t>
      </w:r>
    </w:p>
    <w:p w14:paraId="5AAC0687" w14:textId="77777777" w:rsidR="006B1084" w:rsidRPr="007375EB" w:rsidRDefault="006B1084" w:rsidP="006B1084">
      <w:pPr>
        <w:pStyle w:val="BodyText"/>
        <w:spacing w:line="360" w:lineRule="auto"/>
        <w:jc w:val="both"/>
        <w:rPr>
          <w:lang w:val="bg-BG" w:eastAsia="ro-RO"/>
        </w:rPr>
      </w:pPr>
      <w:r w:rsidRPr="007375EB">
        <w:rPr>
          <w:lang w:val="bg-BG" w:eastAsia="ro-RO"/>
        </w:rPr>
        <w:t>Съответните екологични цели, идентифицирани и предложени за оценка, са представени в глава 4 от настоящия доклад за околната среда.</w:t>
      </w:r>
    </w:p>
    <w:p w14:paraId="148349DA" w14:textId="64C12687" w:rsidR="006B1084" w:rsidRPr="007375EB" w:rsidRDefault="006B1084" w:rsidP="006B1084">
      <w:pPr>
        <w:pStyle w:val="BodyText"/>
        <w:spacing w:line="360" w:lineRule="auto"/>
        <w:jc w:val="both"/>
        <w:rPr>
          <w:lang w:val="bg-BG" w:eastAsia="ro-RO"/>
        </w:rPr>
      </w:pPr>
      <w:r w:rsidRPr="007375EB">
        <w:rPr>
          <w:lang w:val="bg-BG" w:eastAsia="ro-RO"/>
        </w:rPr>
        <w:t>Оценката на целите на предложената PUZ е извършена с помощта на матричен тип система за оценка.</w:t>
      </w:r>
    </w:p>
    <w:p w14:paraId="56EB0858" w14:textId="0BB4FDC0" w:rsidR="007D5FB0" w:rsidRPr="007375EB" w:rsidRDefault="006B1084" w:rsidP="006B1084">
      <w:pPr>
        <w:pStyle w:val="BodyText"/>
        <w:spacing w:after="0" w:line="360" w:lineRule="auto"/>
        <w:jc w:val="both"/>
        <w:rPr>
          <w:rFonts w:eastAsia="EuroRoman"/>
          <w:lang w:val="bg-BG"/>
        </w:rPr>
      </w:pPr>
      <w:r w:rsidRPr="007375EB">
        <w:rPr>
          <w:lang w:val="bg-BG" w:eastAsia="ro-RO"/>
        </w:rPr>
        <w:t>В тази матрица са използвани следните обозначения</w:t>
      </w:r>
      <w:r w:rsidR="007D5FB0" w:rsidRPr="007375EB">
        <w:rPr>
          <w:rFonts w:eastAsia="EuroRoman"/>
          <w:lang w:val="bg-BG"/>
        </w:rPr>
        <w:t>:</w:t>
      </w:r>
    </w:p>
    <w:p w14:paraId="11ABEDEA" w14:textId="068BD848" w:rsidR="007D5FB0" w:rsidRPr="007375EB" w:rsidRDefault="007D5FB0" w:rsidP="0041531F">
      <w:pPr>
        <w:pStyle w:val="BodyText"/>
        <w:numPr>
          <w:ilvl w:val="0"/>
          <w:numId w:val="78"/>
        </w:numPr>
        <w:tabs>
          <w:tab w:val="left" w:pos="709"/>
        </w:tabs>
        <w:spacing w:after="0" w:line="360" w:lineRule="auto"/>
        <w:jc w:val="both"/>
        <w:rPr>
          <w:rFonts w:eastAsia="EuroRoman"/>
          <w:lang w:val="bg-BG"/>
        </w:rPr>
      </w:pPr>
      <w:r w:rsidRPr="007375EB">
        <w:rPr>
          <w:rFonts w:eastAsia="EuroRoman"/>
          <w:lang w:val="bg-BG"/>
        </w:rPr>
        <w:t xml:space="preserve">„+”  </w:t>
      </w:r>
      <w:r w:rsidR="006B1084" w:rsidRPr="007375EB">
        <w:rPr>
          <w:rFonts w:eastAsia="EuroRoman"/>
          <w:lang w:val="bg-BG"/>
        </w:rPr>
        <w:t>за ситуация, в която целите са съвместими</w:t>
      </w:r>
      <w:r w:rsidRPr="007375EB">
        <w:rPr>
          <w:rFonts w:eastAsia="EuroRoman"/>
          <w:lang w:val="bg-BG"/>
        </w:rPr>
        <w:t xml:space="preserve">, </w:t>
      </w:r>
    </w:p>
    <w:p w14:paraId="0BD2EA99" w14:textId="170D1075" w:rsidR="007D5FB0" w:rsidRPr="007375EB" w:rsidRDefault="007D5FB0" w:rsidP="0041531F">
      <w:pPr>
        <w:pStyle w:val="BodyText"/>
        <w:numPr>
          <w:ilvl w:val="0"/>
          <w:numId w:val="78"/>
        </w:numPr>
        <w:tabs>
          <w:tab w:val="left" w:pos="709"/>
        </w:tabs>
        <w:spacing w:after="0" w:line="360" w:lineRule="auto"/>
        <w:jc w:val="both"/>
        <w:rPr>
          <w:rFonts w:eastAsia="EuroRoman"/>
          <w:lang w:val="bg-BG"/>
        </w:rPr>
      </w:pPr>
      <w:r w:rsidRPr="007375EB">
        <w:rPr>
          <w:rFonts w:eastAsia="EuroRoman"/>
          <w:lang w:val="bg-BG"/>
        </w:rPr>
        <w:lastRenderedPageBreak/>
        <w:t xml:space="preserve">„x”  </w:t>
      </w:r>
      <w:r w:rsidR="006B1084" w:rsidRPr="007375EB">
        <w:rPr>
          <w:rFonts w:eastAsia="EuroRoman"/>
          <w:lang w:val="bg-BG"/>
        </w:rPr>
        <w:t>за ситуации, в които целите не са съвместими</w:t>
      </w:r>
      <w:r w:rsidRPr="007375EB">
        <w:rPr>
          <w:rFonts w:eastAsia="EuroRoman"/>
          <w:lang w:val="bg-BG"/>
        </w:rPr>
        <w:t>,</w:t>
      </w:r>
    </w:p>
    <w:p w14:paraId="357EB916" w14:textId="26E0CEF0" w:rsidR="007D5FB0" w:rsidRPr="007375EB" w:rsidRDefault="007D5FB0" w:rsidP="0041531F">
      <w:pPr>
        <w:pStyle w:val="BodyText"/>
        <w:numPr>
          <w:ilvl w:val="0"/>
          <w:numId w:val="78"/>
        </w:numPr>
        <w:tabs>
          <w:tab w:val="left" w:pos="709"/>
        </w:tabs>
        <w:spacing w:after="0" w:line="360" w:lineRule="auto"/>
        <w:jc w:val="both"/>
        <w:rPr>
          <w:rFonts w:eastAsia="EuroRoman"/>
          <w:lang w:val="bg-BG"/>
        </w:rPr>
      </w:pPr>
      <w:r w:rsidRPr="007375EB">
        <w:rPr>
          <w:rFonts w:eastAsia="EuroRoman"/>
          <w:lang w:val="bg-BG"/>
        </w:rPr>
        <w:t>„-”</w:t>
      </w:r>
      <w:r w:rsidR="006B1084" w:rsidRPr="007375EB">
        <w:rPr>
          <w:rFonts w:eastAsia="EuroRoman"/>
          <w:lang w:val="bg-BG"/>
        </w:rPr>
        <w:t>за ситуацията, при която не е установена връзка между двете категории оценявани цели</w:t>
      </w:r>
      <w:r w:rsidRPr="007375EB">
        <w:rPr>
          <w:rFonts w:eastAsia="EuroRoman"/>
          <w:lang w:val="bg-BG"/>
        </w:rPr>
        <w:t>.</w:t>
      </w:r>
    </w:p>
    <w:p w14:paraId="598F6219" w14:textId="4E0C819D" w:rsidR="007D5FB0" w:rsidRPr="007375EB" w:rsidRDefault="007D5FB0" w:rsidP="0041531F">
      <w:pPr>
        <w:pStyle w:val="BodyText"/>
        <w:numPr>
          <w:ilvl w:val="0"/>
          <w:numId w:val="78"/>
        </w:numPr>
        <w:tabs>
          <w:tab w:val="left" w:pos="709"/>
        </w:tabs>
        <w:spacing w:after="0" w:line="360" w:lineRule="auto"/>
        <w:jc w:val="both"/>
        <w:rPr>
          <w:rFonts w:eastAsia="EuroRoman"/>
          <w:lang w:val="bg-BG"/>
        </w:rPr>
      </w:pPr>
      <w:r w:rsidRPr="007375EB">
        <w:rPr>
          <w:rFonts w:eastAsia="EuroRoman"/>
          <w:lang w:val="bg-BG"/>
        </w:rPr>
        <w:t xml:space="preserve">”?” </w:t>
      </w:r>
      <w:r w:rsidR="006B1084" w:rsidRPr="007375EB">
        <w:rPr>
          <w:rFonts w:eastAsia="EuroRoman"/>
          <w:lang w:val="bg-BG"/>
        </w:rPr>
        <w:t>където съвместимостта зависи от определени презумпции</w:t>
      </w:r>
    </w:p>
    <w:p w14:paraId="6CB34281" w14:textId="3322B9AF" w:rsidR="007D5FB0" w:rsidRPr="007375EB" w:rsidRDefault="007D5FB0" w:rsidP="0041531F">
      <w:pPr>
        <w:pStyle w:val="BodyText"/>
        <w:numPr>
          <w:ilvl w:val="0"/>
          <w:numId w:val="78"/>
        </w:numPr>
        <w:tabs>
          <w:tab w:val="left" w:pos="709"/>
        </w:tabs>
        <w:spacing w:after="0" w:line="360" w:lineRule="auto"/>
        <w:jc w:val="both"/>
        <w:rPr>
          <w:rFonts w:eastAsia="EuroRoman"/>
          <w:lang w:val="bg-BG"/>
        </w:rPr>
      </w:pPr>
      <w:r w:rsidRPr="007375EB">
        <w:rPr>
          <w:rFonts w:eastAsia="EuroRoman"/>
          <w:lang w:val="bg-BG"/>
        </w:rPr>
        <w:t xml:space="preserve">”=” </w:t>
      </w:r>
      <w:r w:rsidR="006B1084" w:rsidRPr="007375EB">
        <w:rPr>
          <w:rFonts w:eastAsia="EuroRoman"/>
          <w:lang w:val="bg-BG"/>
        </w:rPr>
        <w:t>когато целите са идентични</w:t>
      </w:r>
    </w:p>
    <w:p w14:paraId="646DCD0A" w14:textId="38F6315E" w:rsidR="00D715BC" w:rsidRPr="007375EB" w:rsidRDefault="006B1084" w:rsidP="00D715BC">
      <w:pPr>
        <w:pStyle w:val="Caption"/>
        <w:rPr>
          <w:rFonts w:eastAsia="EuroRoman"/>
          <w:color w:val="00B0F0"/>
          <w:sz w:val="16"/>
          <w:szCs w:val="16"/>
          <w:lang w:val="bg-BG"/>
        </w:rPr>
      </w:pPr>
      <w:bookmarkStart w:id="33" w:name="_Toc66189959"/>
      <w:r w:rsidRPr="007375EB">
        <w:rPr>
          <w:sz w:val="16"/>
          <w:szCs w:val="16"/>
          <w:lang w:val="bg-BG"/>
        </w:rPr>
        <w:t>Таблица</w:t>
      </w:r>
      <w:r w:rsidR="00D715BC" w:rsidRPr="007375EB">
        <w:rPr>
          <w:sz w:val="16"/>
          <w:szCs w:val="16"/>
          <w:lang w:val="bg-BG"/>
        </w:rPr>
        <w:t xml:space="preserve">  </w:t>
      </w:r>
      <w:r w:rsidR="00D715BC" w:rsidRPr="007375EB">
        <w:rPr>
          <w:sz w:val="16"/>
          <w:szCs w:val="16"/>
          <w:lang w:val="bg-BG"/>
        </w:rPr>
        <w:fldChar w:fldCharType="begin"/>
      </w:r>
      <w:r w:rsidR="00D715BC" w:rsidRPr="007375EB">
        <w:rPr>
          <w:sz w:val="16"/>
          <w:szCs w:val="16"/>
          <w:lang w:val="bg-BG"/>
        </w:rPr>
        <w:instrText xml:space="preserve"> STYLEREF 1 \s </w:instrText>
      </w:r>
      <w:r w:rsidR="00D715BC" w:rsidRPr="007375EB">
        <w:rPr>
          <w:sz w:val="16"/>
          <w:szCs w:val="16"/>
          <w:lang w:val="bg-BG"/>
        </w:rPr>
        <w:fldChar w:fldCharType="separate"/>
      </w:r>
      <w:r w:rsidR="00D715BC" w:rsidRPr="007375EB">
        <w:rPr>
          <w:noProof/>
          <w:sz w:val="16"/>
          <w:szCs w:val="16"/>
          <w:lang w:val="bg-BG"/>
        </w:rPr>
        <w:t>6</w:t>
      </w:r>
      <w:r w:rsidR="00D715BC" w:rsidRPr="007375EB">
        <w:rPr>
          <w:sz w:val="16"/>
          <w:szCs w:val="16"/>
          <w:lang w:val="bg-BG"/>
        </w:rPr>
        <w:fldChar w:fldCharType="end"/>
      </w:r>
      <w:r w:rsidR="00D715BC" w:rsidRPr="007375EB">
        <w:rPr>
          <w:sz w:val="16"/>
          <w:szCs w:val="16"/>
          <w:lang w:val="bg-BG"/>
        </w:rPr>
        <w:noBreakHyphen/>
      </w:r>
      <w:r w:rsidR="00D715BC" w:rsidRPr="007375EB">
        <w:rPr>
          <w:sz w:val="16"/>
          <w:szCs w:val="16"/>
          <w:lang w:val="bg-BG"/>
        </w:rPr>
        <w:fldChar w:fldCharType="begin"/>
      </w:r>
      <w:r w:rsidR="00D715BC" w:rsidRPr="007375EB">
        <w:rPr>
          <w:sz w:val="16"/>
          <w:szCs w:val="16"/>
          <w:lang w:val="bg-BG"/>
        </w:rPr>
        <w:instrText xml:space="preserve"> SEQ Tabel_ \* ARABIC \s 1 </w:instrText>
      </w:r>
      <w:r w:rsidR="00D715BC" w:rsidRPr="007375EB">
        <w:rPr>
          <w:sz w:val="16"/>
          <w:szCs w:val="16"/>
          <w:lang w:val="bg-BG"/>
        </w:rPr>
        <w:fldChar w:fldCharType="separate"/>
      </w:r>
      <w:r w:rsidR="00D715BC" w:rsidRPr="007375EB">
        <w:rPr>
          <w:noProof/>
          <w:sz w:val="16"/>
          <w:szCs w:val="16"/>
          <w:lang w:val="bg-BG"/>
        </w:rPr>
        <w:t>3</w:t>
      </w:r>
      <w:r w:rsidR="00D715BC" w:rsidRPr="007375EB">
        <w:rPr>
          <w:sz w:val="16"/>
          <w:szCs w:val="16"/>
          <w:lang w:val="bg-BG"/>
        </w:rPr>
        <w:fldChar w:fldCharType="end"/>
      </w:r>
      <w:r w:rsidR="00D715BC" w:rsidRPr="007375EB">
        <w:rPr>
          <w:sz w:val="16"/>
          <w:szCs w:val="16"/>
          <w:lang w:val="bg-BG"/>
        </w:rPr>
        <w:t xml:space="preserve"> </w:t>
      </w:r>
      <w:r w:rsidRPr="007375EB">
        <w:rPr>
          <w:rFonts w:eastAsia="EuroRoman"/>
          <w:color w:val="00B0F0"/>
          <w:sz w:val="16"/>
          <w:szCs w:val="16"/>
          <w:lang w:val="bg-BG"/>
        </w:rPr>
        <w:t xml:space="preserve">Съвместимост между целите на </w:t>
      </w:r>
      <w:r w:rsidR="00D715BC" w:rsidRPr="007375EB">
        <w:rPr>
          <w:rFonts w:eastAsia="EuroRoman"/>
          <w:color w:val="00B0F0"/>
          <w:sz w:val="16"/>
          <w:szCs w:val="16"/>
          <w:lang w:val="bg-BG"/>
        </w:rPr>
        <w:t>PUZ</w:t>
      </w:r>
    </w:p>
    <w:tbl>
      <w:tblPr>
        <w:tblW w:w="864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08"/>
        <w:gridCol w:w="1008"/>
        <w:gridCol w:w="1008"/>
        <w:gridCol w:w="1008"/>
        <w:gridCol w:w="1008"/>
        <w:gridCol w:w="1008"/>
        <w:gridCol w:w="1008"/>
        <w:gridCol w:w="1584"/>
      </w:tblGrid>
      <w:tr w:rsidR="006B789E" w:rsidRPr="007375EB" w14:paraId="41A2153B" w14:textId="77777777" w:rsidTr="006B789E">
        <w:trPr>
          <w:gridAfter w:val="6"/>
          <w:wAfter w:w="6624" w:type="dxa"/>
          <w:trHeight w:val="420"/>
        </w:trPr>
        <w:tc>
          <w:tcPr>
            <w:tcW w:w="1008" w:type="dxa"/>
            <w:shd w:val="clear" w:color="000000" w:fill="00B0F0"/>
            <w:vAlign w:val="center"/>
            <w:hideMark/>
          </w:tcPr>
          <w:bookmarkEnd w:id="33"/>
          <w:p w14:paraId="7DA5EA07" w14:textId="49DDEE85" w:rsidR="006B789E" w:rsidRPr="007375EB" w:rsidRDefault="006B1084" w:rsidP="006B789E">
            <w:pPr>
              <w:spacing w:line="240" w:lineRule="auto"/>
              <w:jc w:val="center"/>
              <w:rPr>
                <w:rFonts w:eastAsia="Times New Roman" w:cs="Calibri"/>
                <w:b/>
                <w:bCs/>
                <w:color w:val="000000"/>
                <w:sz w:val="14"/>
                <w:szCs w:val="14"/>
                <w:lang w:val="bg-BG" w:eastAsia="ro-RO"/>
              </w:rPr>
            </w:pPr>
            <w:r w:rsidRPr="007375EB">
              <w:rPr>
                <w:rFonts w:eastAsia="EuroRoman" w:cs="Calibri"/>
                <w:b/>
                <w:bCs/>
                <w:sz w:val="14"/>
                <w:szCs w:val="14"/>
                <w:lang w:val="bg-BG" w:eastAsia="ro-RO"/>
              </w:rPr>
              <w:t>Цели на PUG</w:t>
            </w:r>
          </w:p>
        </w:tc>
        <w:tc>
          <w:tcPr>
            <w:tcW w:w="1008" w:type="dxa"/>
            <w:shd w:val="clear" w:color="000000" w:fill="00B0F0"/>
            <w:vAlign w:val="center"/>
            <w:hideMark/>
          </w:tcPr>
          <w:p w14:paraId="61101929" w14:textId="77777777" w:rsidR="006B789E" w:rsidRPr="007375EB" w:rsidRDefault="006B789E" w:rsidP="006B789E">
            <w:pPr>
              <w:spacing w:line="240" w:lineRule="auto"/>
              <w:jc w:val="center"/>
              <w:rPr>
                <w:rFonts w:eastAsia="Times New Roman" w:cs="Calibri"/>
                <w:b/>
                <w:bCs/>
                <w:color w:val="000000"/>
                <w:sz w:val="14"/>
                <w:szCs w:val="14"/>
                <w:lang w:val="bg-BG" w:eastAsia="ro-RO"/>
              </w:rPr>
            </w:pPr>
            <w:r w:rsidRPr="007375EB">
              <w:rPr>
                <w:rFonts w:eastAsia="EuroRoman" w:cs="Calibri"/>
                <w:b/>
                <w:bCs/>
                <w:sz w:val="14"/>
                <w:szCs w:val="14"/>
                <w:lang w:val="bg-BG" w:eastAsia="ro-RO"/>
              </w:rPr>
              <w:t>OP1</w:t>
            </w:r>
          </w:p>
        </w:tc>
      </w:tr>
      <w:tr w:rsidR="006B789E" w:rsidRPr="007375EB" w14:paraId="65A7F98E" w14:textId="77777777" w:rsidTr="006B789E">
        <w:trPr>
          <w:gridAfter w:val="5"/>
          <w:wAfter w:w="5616" w:type="dxa"/>
          <w:trHeight w:val="300"/>
        </w:trPr>
        <w:tc>
          <w:tcPr>
            <w:tcW w:w="1008" w:type="dxa"/>
            <w:shd w:val="clear" w:color="000000" w:fill="00B0F0"/>
            <w:vAlign w:val="center"/>
            <w:hideMark/>
          </w:tcPr>
          <w:p w14:paraId="02156263" w14:textId="77777777" w:rsidR="006B789E" w:rsidRPr="007375EB" w:rsidRDefault="006B789E" w:rsidP="006B789E">
            <w:pPr>
              <w:spacing w:line="240" w:lineRule="auto"/>
              <w:jc w:val="center"/>
              <w:rPr>
                <w:rFonts w:eastAsia="Times New Roman" w:cs="Calibri"/>
                <w:b/>
                <w:bCs/>
                <w:color w:val="000000"/>
                <w:sz w:val="14"/>
                <w:szCs w:val="14"/>
                <w:lang w:val="bg-BG" w:eastAsia="ro-RO"/>
              </w:rPr>
            </w:pPr>
            <w:r w:rsidRPr="007375EB">
              <w:rPr>
                <w:rFonts w:eastAsia="EuroRoman" w:cs="Calibri"/>
                <w:b/>
                <w:bCs/>
                <w:sz w:val="14"/>
                <w:szCs w:val="14"/>
                <w:lang w:val="bg-BG" w:eastAsia="ro-RO"/>
              </w:rPr>
              <w:t>OP2</w:t>
            </w:r>
          </w:p>
        </w:tc>
        <w:tc>
          <w:tcPr>
            <w:tcW w:w="1008" w:type="dxa"/>
            <w:shd w:val="clear" w:color="000000" w:fill="A9D08E"/>
            <w:vAlign w:val="center"/>
            <w:hideMark/>
          </w:tcPr>
          <w:p w14:paraId="096C1D4D"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00B0F0"/>
            <w:vAlign w:val="center"/>
            <w:hideMark/>
          </w:tcPr>
          <w:p w14:paraId="13ACC255" w14:textId="77777777" w:rsidR="006B789E" w:rsidRPr="007375EB" w:rsidRDefault="006B789E" w:rsidP="006B789E">
            <w:pPr>
              <w:spacing w:line="240" w:lineRule="auto"/>
              <w:jc w:val="center"/>
              <w:rPr>
                <w:rFonts w:eastAsia="Times New Roman" w:cs="Calibri"/>
                <w:b/>
                <w:bCs/>
                <w:color w:val="000000"/>
                <w:sz w:val="14"/>
                <w:szCs w:val="14"/>
                <w:lang w:val="bg-BG" w:eastAsia="ro-RO"/>
              </w:rPr>
            </w:pPr>
            <w:r w:rsidRPr="007375EB">
              <w:rPr>
                <w:rFonts w:eastAsia="Times New Roman" w:cs="Calibri"/>
                <w:b/>
                <w:bCs/>
                <w:color w:val="000000"/>
                <w:sz w:val="14"/>
                <w:szCs w:val="14"/>
                <w:lang w:val="bg-BG" w:eastAsia="ro-RO"/>
              </w:rPr>
              <w:t>OP2</w:t>
            </w:r>
          </w:p>
        </w:tc>
      </w:tr>
      <w:tr w:rsidR="006B789E" w:rsidRPr="007375EB" w14:paraId="6A89CB7E" w14:textId="77777777" w:rsidTr="006B789E">
        <w:trPr>
          <w:gridAfter w:val="4"/>
          <w:wAfter w:w="4608" w:type="dxa"/>
          <w:trHeight w:val="300"/>
        </w:trPr>
        <w:tc>
          <w:tcPr>
            <w:tcW w:w="1008" w:type="dxa"/>
            <w:shd w:val="clear" w:color="000000" w:fill="00B0F0"/>
            <w:vAlign w:val="center"/>
            <w:hideMark/>
          </w:tcPr>
          <w:p w14:paraId="781DA080" w14:textId="77777777" w:rsidR="006B789E" w:rsidRPr="007375EB" w:rsidRDefault="006B789E" w:rsidP="006B789E">
            <w:pPr>
              <w:spacing w:line="240" w:lineRule="auto"/>
              <w:jc w:val="center"/>
              <w:rPr>
                <w:rFonts w:eastAsia="Times New Roman" w:cs="Calibri"/>
                <w:b/>
                <w:bCs/>
                <w:color w:val="000000"/>
                <w:sz w:val="14"/>
                <w:szCs w:val="14"/>
                <w:lang w:val="bg-BG" w:eastAsia="ro-RO"/>
              </w:rPr>
            </w:pPr>
            <w:r w:rsidRPr="007375EB">
              <w:rPr>
                <w:rFonts w:eastAsia="EuroRoman" w:cs="Calibri"/>
                <w:b/>
                <w:bCs/>
                <w:sz w:val="14"/>
                <w:szCs w:val="14"/>
                <w:lang w:val="bg-BG" w:eastAsia="ro-RO"/>
              </w:rPr>
              <w:t>OP3</w:t>
            </w:r>
          </w:p>
        </w:tc>
        <w:tc>
          <w:tcPr>
            <w:tcW w:w="1008" w:type="dxa"/>
            <w:shd w:val="clear" w:color="000000" w:fill="A9D08E"/>
            <w:vAlign w:val="center"/>
            <w:hideMark/>
          </w:tcPr>
          <w:p w14:paraId="23A343D7"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A9D08E"/>
            <w:vAlign w:val="center"/>
            <w:hideMark/>
          </w:tcPr>
          <w:p w14:paraId="496E53F7"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00B0F0"/>
            <w:vAlign w:val="center"/>
            <w:hideMark/>
          </w:tcPr>
          <w:p w14:paraId="289801CD" w14:textId="77777777" w:rsidR="006B789E" w:rsidRPr="007375EB" w:rsidRDefault="006B789E" w:rsidP="006B789E">
            <w:pPr>
              <w:spacing w:line="240" w:lineRule="auto"/>
              <w:rPr>
                <w:rFonts w:eastAsia="Times New Roman" w:cs="Calibri"/>
                <w:b/>
                <w:bCs/>
                <w:color w:val="000000"/>
                <w:sz w:val="14"/>
                <w:szCs w:val="14"/>
                <w:lang w:val="bg-BG" w:eastAsia="ro-RO"/>
              </w:rPr>
            </w:pPr>
            <w:r w:rsidRPr="007375EB">
              <w:rPr>
                <w:rFonts w:eastAsia="EuroRoman" w:cs="Calibri"/>
                <w:b/>
                <w:bCs/>
                <w:sz w:val="14"/>
                <w:szCs w:val="14"/>
                <w:lang w:val="bg-BG" w:eastAsia="ro-RO"/>
              </w:rPr>
              <w:t>OP3</w:t>
            </w:r>
          </w:p>
        </w:tc>
      </w:tr>
      <w:tr w:rsidR="006B789E" w:rsidRPr="007375EB" w14:paraId="698D9D3A" w14:textId="77777777" w:rsidTr="006B789E">
        <w:trPr>
          <w:gridAfter w:val="3"/>
          <w:wAfter w:w="3600" w:type="dxa"/>
          <w:trHeight w:val="300"/>
        </w:trPr>
        <w:tc>
          <w:tcPr>
            <w:tcW w:w="1008" w:type="dxa"/>
            <w:shd w:val="clear" w:color="000000" w:fill="00B0F0"/>
            <w:vAlign w:val="center"/>
            <w:hideMark/>
          </w:tcPr>
          <w:p w14:paraId="43509F8D" w14:textId="77777777" w:rsidR="006B789E" w:rsidRPr="007375EB" w:rsidRDefault="006B789E" w:rsidP="006B789E">
            <w:pPr>
              <w:spacing w:line="240" w:lineRule="auto"/>
              <w:jc w:val="center"/>
              <w:rPr>
                <w:rFonts w:eastAsia="Times New Roman" w:cs="Calibri"/>
                <w:b/>
                <w:bCs/>
                <w:color w:val="000000"/>
                <w:sz w:val="14"/>
                <w:szCs w:val="14"/>
                <w:lang w:val="bg-BG" w:eastAsia="ro-RO"/>
              </w:rPr>
            </w:pPr>
            <w:r w:rsidRPr="007375EB">
              <w:rPr>
                <w:rFonts w:eastAsia="EuroRoman" w:cs="Calibri"/>
                <w:b/>
                <w:bCs/>
                <w:sz w:val="14"/>
                <w:szCs w:val="14"/>
                <w:lang w:val="bg-BG" w:eastAsia="ro-RO"/>
              </w:rPr>
              <w:t>OP4</w:t>
            </w:r>
          </w:p>
        </w:tc>
        <w:tc>
          <w:tcPr>
            <w:tcW w:w="1008" w:type="dxa"/>
            <w:shd w:val="clear" w:color="000000" w:fill="A9D08E"/>
            <w:vAlign w:val="center"/>
            <w:hideMark/>
          </w:tcPr>
          <w:p w14:paraId="0705CAF4"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FFFF00"/>
            <w:vAlign w:val="center"/>
            <w:hideMark/>
          </w:tcPr>
          <w:p w14:paraId="0447A73F"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A9D08E"/>
            <w:vAlign w:val="center"/>
            <w:hideMark/>
          </w:tcPr>
          <w:p w14:paraId="4BE7BCA1"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00B0F0"/>
            <w:vAlign w:val="center"/>
            <w:hideMark/>
          </w:tcPr>
          <w:p w14:paraId="143C54CB" w14:textId="77777777" w:rsidR="006B789E" w:rsidRPr="007375EB" w:rsidRDefault="006B789E" w:rsidP="006B789E">
            <w:pPr>
              <w:spacing w:line="240" w:lineRule="auto"/>
              <w:rPr>
                <w:rFonts w:eastAsia="Times New Roman" w:cs="Calibri"/>
                <w:b/>
                <w:bCs/>
                <w:color w:val="000000"/>
                <w:sz w:val="14"/>
                <w:szCs w:val="14"/>
                <w:lang w:val="bg-BG" w:eastAsia="ro-RO"/>
              </w:rPr>
            </w:pPr>
            <w:r w:rsidRPr="007375EB">
              <w:rPr>
                <w:rFonts w:eastAsia="EuroRoman" w:cs="Calibri"/>
                <w:b/>
                <w:bCs/>
                <w:sz w:val="14"/>
                <w:szCs w:val="14"/>
                <w:lang w:val="bg-BG" w:eastAsia="ro-RO"/>
              </w:rPr>
              <w:t>OP4</w:t>
            </w:r>
          </w:p>
        </w:tc>
      </w:tr>
      <w:tr w:rsidR="006B789E" w:rsidRPr="007375EB" w14:paraId="0727F59B" w14:textId="77777777" w:rsidTr="006B789E">
        <w:trPr>
          <w:gridAfter w:val="2"/>
          <w:wAfter w:w="2592" w:type="dxa"/>
          <w:trHeight w:val="300"/>
        </w:trPr>
        <w:tc>
          <w:tcPr>
            <w:tcW w:w="1008" w:type="dxa"/>
            <w:shd w:val="clear" w:color="000000" w:fill="00B0F0"/>
            <w:vAlign w:val="center"/>
            <w:hideMark/>
          </w:tcPr>
          <w:p w14:paraId="78D59DB9" w14:textId="77777777" w:rsidR="006B789E" w:rsidRPr="007375EB" w:rsidRDefault="006B789E" w:rsidP="006B789E">
            <w:pPr>
              <w:spacing w:line="240" w:lineRule="auto"/>
              <w:jc w:val="center"/>
              <w:rPr>
                <w:rFonts w:eastAsia="Times New Roman" w:cs="Calibri"/>
                <w:b/>
                <w:bCs/>
                <w:color w:val="000000"/>
                <w:sz w:val="14"/>
                <w:szCs w:val="14"/>
                <w:lang w:val="bg-BG" w:eastAsia="ro-RO"/>
              </w:rPr>
            </w:pPr>
            <w:r w:rsidRPr="007375EB">
              <w:rPr>
                <w:rFonts w:eastAsia="EuroRoman" w:cs="Calibri"/>
                <w:b/>
                <w:bCs/>
                <w:sz w:val="14"/>
                <w:szCs w:val="14"/>
                <w:lang w:val="bg-BG" w:eastAsia="ro-RO"/>
              </w:rPr>
              <w:t>OP5</w:t>
            </w:r>
          </w:p>
        </w:tc>
        <w:tc>
          <w:tcPr>
            <w:tcW w:w="1008" w:type="dxa"/>
            <w:shd w:val="clear" w:color="000000" w:fill="A9D08E"/>
            <w:vAlign w:val="center"/>
            <w:hideMark/>
          </w:tcPr>
          <w:p w14:paraId="3610B260"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A9D08E"/>
            <w:vAlign w:val="center"/>
            <w:hideMark/>
          </w:tcPr>
          <w:p w14:paraId="3997E391"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A9D08E"/>
            <w:vAlign w:val="center"/>
            <w:hideMark/>
          </w:tcPr>
          <w:p w14:paraId="13021196"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A9D08E"/>
            <w:vAlign w:val="center"/>
            <w:hideMark/>
          </w:tcPr>
          <w:p w14:paraId="51696E26"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00B0F0"/>
            <w:vAlign w:val="center"/>
            <w:hideMark/>
          </w:tcPr>
          <w:p w14:paraId="54B38CA8" w14:textId="77777777" w:rsidR="006B789E" w:rsidRPr="007375EB" w:rsidRDefault="006B789E" w:rsidP="006B789E">
            <w:pPr>
              <w:spacing w:line="240" w:lineRule="auto"/>
              <w:rPr>
                <w:rFonts w:eastAsia="Times New Roman" w:cs="Calibri"/>
                <w:b/>
                <w:bCs/>
                <w:color w:val="000000"/>
                <w:sz w:val="14"/>
                <w:szCs w:val="14"/>
                <w:lang w:val="bg-BG" w:eastAsia="ro-RO"/>
              </w:rPr>
            </w:pPr>
            <w:r w:rsidRPr="007375EB">
              <w:rPr>
                <w:rFonts w:eastAsia="EuroRoman" w:cs="Calibri"/>
                <w:b/>
                <w:bCs/>
                <w:sz w:val="14"/>
                <w:szCs w:val="14"/>
                <w:lang w:val="bg-BG" w:eastAsia="ro-RO"/>
              </w:rPr>
              <w:t>OP5</w:t>
            </w:r>
          </w:p>
        </w:tc>
      </w:tr>
      <w:tr w:rsidR="006B789E" w:rsidRPr="007375EB" w14:paraId="40CC0421" w14:textId="77777777" w:rsidTr="006B789E">
        <w:trPr>
          <w:gridAfter w:val="1"/>
          <w:wAfter w:w="1584" w:type="dxa"/>
          <w:trHeight w:val="300"/>
        </w:trPr>
        <w:tc>
          <w:tcPr>
            <w:tcW w:w="1008" w:type="dxa"/>
            <w:shd w:val="clear" w:color="000000" w:fill="00B0F0"/>
            <w:vAlign w:val="center"/>
            <w:hideMark/>
          </w:tcPr>
          <w:p w14:paraId="2305F65B" w14:textId="77777777" w:rsidR="006B789E" w:rsidRPr="007375EB" w:rsidRDefault="006B789E" w:rsidP="006B789E">
            <w:pPr>
              <w:spacing w:line="240" w:lineRule="auto"/>
              <w:jc w:val="center"/>
              <w:rPr>
                <w:rFonts w:eastAsia="Times New Roman" w:cs="Calibri"/>
                <w:b/>
                <w:bCs/>
                <w:color w:val="000000"/>
                <w:sz w:val="14"/>
                <w:szCs w:val="14"/>
                <w:lang w:val="bg-BG" w:eastAsia="ro-RO"/>
              </w:rPr>
            </w:pPr>
            <w:r w:rsidRPr="007375EB">
              <w:rPr>
                <w:rFonts w:eastAsia="EuroRoman" w:cs="Calibri"/>
                <w:b/>
                <w:bCs/>
                <w:sz w:val="14"/>
                <w:szCs w:val="14"/>
                <w:lang w:val="bg-BG" w:eastAsia="ro-RO"/>
              </w:rPr>
              <w:t>OP6</w:t>
            </w:r>
          </w:p>
        </w:tc>
        <w:tc>
          <w:tcPr>
            <w:tcW w:w="1008" w:type="dxa"/>
            <w:shd w:val="clear" w:color="000000" w:fill="A9D08E"/>
            <w:vAlign w:val="center"/>
            <w:hideMark/>
          </w:tcPr>
          <w:p w14:paraId="36C8B9A1"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A9D08E"/>
            <w:vAlign w:val="center"/>
            <w:hideMark/>
          </w:tcPr>
          <w:p w14:paraId="4D8634A6"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A9D08E"/>
            <w:vAlign w:val="center"/>
            <w:hideMark/>
          </w:tcPr>
          <w:p w14:paraId="309E9202"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FFFF00"/>
            <w:vAlign w:val="center"/>
            <w:hideMark/>
          </w:tcPr>
          <w:p w14:paraId="4E541810"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A9D08E"/>
            <w:vAlign w:val="center"/>
            <w:hideMark/>
          </w:tcPr>
          <w:p w14:paraId="0B2C06A4"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00B0F0"/>
            <w:vAlign w:val="center"/>
            <w:hideMark/>
          </w:tcPr>
          <w:p w14:paraId="3307797A" w14:textId="77777777" w:rsidR="006B789E" w:rsidRPr="007375EB" w:rsidRDefault="006B789E" w:rsidP="006B789E">
            <w:pPr>
              <w:spacing w:line="240" w:lineRule="auto"/>
              <w:rPr>
                <w:rFonts w:eastAsia="Times New Roman" w:cs="Calibri"/>
                <w:b/>
                <w:bCs/>
                <w:color w:val="000000"/>
                <w:sz w:val="14"/>
                <w:szCs w:val="14"/>
                <w:lang w:val="bg-BG" w:eastAsia="ro-RO"/>
              </w:rPr>
            </w:pPr>
            <w:r w:rsidRPr="007375EB">
              <w:rPr>
                <w:rFonts w:eastAsia="EuroRoman" w:cs="Calibri"/>
                <w:b/>
                <w:bCs/>
                <w:sz w:val="14"/>
                <w:szCs w:val="14"/>
                <w:lang w:val="bg-BG" w:eastAsia="ro-RO"/>
              </w:rPr>
              <w:t>OP6</w:t>
            </w:r>
          </w:p>
        </w:tc>
      </w:tr>
      <w:tr w:rsidR="006B789E" w:rsidRPr="007375EB" w14:paraId="650BBAF7" w14:textId="77777777" w:rsidTr="006B789E">
        <w:trPr>
          <w:trHeight w:val="300"/>
        </w:trPr>
        <w:tc>
          <w:tcPr>
            <w:tcW w:w="1008" w:type="dxa"/>
            <w:shd w:val="clear" w:color="000000" w:fill="00B0F0"/>
            <w:vAlign w:val="center"/>
            <w:hideMark/>
          </w:tcPr>
          <w:p w14:paraId="6DC7326A" w14:textId="77777777" w:rsidR="006B789E" w:rsidRPr="007375EB" w:rsidRDefault="006B789E" w:rsidP="006B789E">
            <w:pPr>
              <w:spacing w:line="240" w:lineRule="auto"/>
              <w:jc w:val="center"/>
              <w:rPr>
                <w:rFonts w:eastAsia="Times New Roman" w:cs="Calibri"/>
                <w:b/>
                <w:bCs/>
                <w:color w:val="000000"/>
                <w:sz w:val="14"/>
                <w:szCs w:val="14"/>
                <w:lang w:val="bg-BG" w:eastAsia="ro-RO"/>
              </w:rPr>
            </w:pPr>
            <w:r w:rsidRPr="007375EB">
              <w:rPr>
                <w:rFonts w:eastAsia="EuroRoman" w:cs="Calibri"/>
                <w:b/>
                <w:bCs/>
                <w:sz w:val="14"/>
                <w:szCs w:val="14"/>
                <w:lang w:val="bg-BG" w:eastAsia="ro-RO"/>
              </w:rPr>
              <w:t>OP7</w:t>
            </w:r>
          </w:p>
        </w:tc>
        <w:tc>
          <w:tcPr>
            <w:tcW w:w="1008" w:type="dxa"/>
            <w:shd w:val="clear" w:color="000000" w:fill="A9D08E"/>
            <w:vAlign w:val="center"/>
            <w:hideMark/>
          </w:tcPr>
          <w:p w14:paraId="0DE5F0D7"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FFFF00"/>
            <w:vAlign w:val="center"/>
            <w:hideMark/>
          </w:tcPr>
          <w:p w14:paraId="495523F9"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FFFF00"/>
            <w:vAlign w:val="center"/>
            <w:hideMark/>
          </w:tcPr>
          <w:p w14:paraId="6251E651"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A9D08E"/>
            <w:vAlign w:val="center"/>
            <w:hideMark/>
          </w:tcPr>
          <w:p w14:paraId="7AFD899D"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FFFF00"/>
            <w:vAlign w:val="center"/>
            <w:hideMark/>
          </w:tcPr>
          <w:p w14:paraId="6B954438"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008" w:type="dxa"/>
            <w:shd w:val="clear" w:color="000000" w:fill="FFFF00"/>
            <w:vAlign w:val="center"/>
            <w:hideMark/>
          </w:tcPr>
          <w:p w14:paraId="5866FFAB" w14:textId="77777777" w:rsidR="006B789E" w:rsidRPr="007375EB" w:rsidRDefault="006B789E" w:rsidP="006B789E">
            <w:pPr>
              <w:spacing w:line="240" w:lineRule="auto"/>
              <w:jc w:val="center"/>
              <w:rPr>
                <w:rFonts w:eastAsia="Times New Roman" w:cs="Calibri"/>
                <w:color w:val="000000"/>
                <w:sz w:val="14"/>
                <w:szCs w:val="14"/>
                <w:lang w:val="bg-BG" w:eastAsia="ro-RO"/>
              </w:rPr>
            </w:pPr>
            <w:r w:rsidRPr="007375EB">
              <w:rPr>
                <w:rFonts w:eastAsia="Times New Roman" w:cs="Calibri"/>
                <w:color w:val="000000"/>
                <w:sz w:val="14"/>
                <w:szCs w:val="14"/>
                <w:lang w:val="bg-BG" w:eastAsia="ro-RO"/>
              </w:rPr>
              <w:t>?</w:t>
            </w:r>
          </w:p>
        </w:tc>
        <w:tc>
          <w:tcPr>
            <w:tcW w:w="1584" w:type="dxa"/>
            <w:shd w:val="clear" w:color="000000" w:fill="00B0F0"/>
            <w:vAlign w:val="center"/>
            <w:hideMark/>
          </w:tcPr>
          <w:p w14:paraId="026B2F8C" w14:textId="77777777" w:rsidR="006B789E" w:rsidRPr="007375EB" w:rsidRDefault="006B789E" w:rsidP="006B789E">
            <w:pPr>
              <w:spacing w:line="240" w:lineRule="auto"/>
              <w:jc w:val="center"/>
              <w:rPr>
                <w:rFonts w:eastAsia="Times New Roman" w:cs="Calibri"/>
                <w:b/>
                <w:bCs/>
                <w:color w:val="000000"/>
                <w:sz w:val="14"/>
                <w:szCs w:val="14"/>
                <w:lang w:val="bg-BG" w:eastAsia="ro-RO"/>
              </w:rPr>
            </w:pPr>
            <w:r w:rsidRPr="007375EB">
              <w:rPr>
                <w:rFonts w:eastAsia="EuroRoman" w:cs="Calibri"/>
                <w:b/>
                <w:bCs/>
                <w:sz w:val="14"/>
                <w:szCs w:val="14"/>
                <w:lang w:val="bg-BG" w:eastAsia="ro-RO"/>
              </w:rPr>
              <w:t>OP7</w:t>
            </w:r>
          </w:p>
        </w:tc>
      </w:tr>
    </w:tbl>
    <w:p w14:paraId="2E2DEAA5" w14:textId="77777777" w:rsidR="00335FA8" w:rsidRPr="007375EB" w:rsidRDefault="00335FA8" w:rsidP="00335FA8">
      <w:pPr>
        <w:spacing w:line="276" w:lineRule="auto"/>
        <w:rPr>
          <w:rFonts w:ascii="TTE2756BE0t00" w:eastAsia="Times New Roman" w:hAnsi="TTE2756BE0t00" w:cs="TTE2756BE0t00"/>
          <w:sz w:val="23"/>
          <w:szCs w:val="23"/>
          <w:lang w:val="bg-BG" w:eastAsia="ro-RO"/>
        </w:rPr>
      </w:pPr>
    </w:p>
    <w:p w14:paraId="0F244DDE" w14:textId="6E4D200D" w:rsidR="00A82DB9" w:rsidRPr="007375EB" w:rsidRDefault="006B1084" w:rsidP="00335FA8">
      <w:pPr>
        <w:spacing w:line="276" w:lineRule="auto"/>
        <w:rPr>
          <w:rFonts w:ascii="TTE2756BE0t00" w:eastAsia="Times New Roman" w:hAnsi="TTE2756BE0t00" w:cs="TTE2756BE0t00"/>
          <w:sz w:val="23"/>
          <w:szCs w:val="23"/>
          <w:lang w:val="bg-BG" w:eastAsia="ro-RO"/>
        </w:rPr>
      </w:pPr>
      <w:r w:rsidRPr="007375EB">
        <w:rPr>
          <w:rFonts w:ascii="TTE2756BE0t00" w:eastAsia="Times New Roman" w:hAnsi="TTE2756BE0t00" w:cs="TTE2756BE0t00"/>
          <w:sz w:val="23"/>
          <w:szCs w:val="23"/>
          <w:lang w:val="bg-BG" w:eastAsia="ro-RO"/>
        </w:rPr>
        <w:t>Оценката на съвместимостта между целите доведе до следното</w:t>
      </w:r>
      <w:r w:rsidR="00A82DB9" w:rsidRPr="007375EB">
        <w:rPr>
          <w:rFonts w:ascii="TTE2756BE0t00" w:eastAsia="Times New Roman" w:hAnsi="TTE2756BE0t00" w:cs="TTE2756BE0t00"/>
          <w:sz w:val="23"/>
          <w:szCs w:val="23"/>
          <w:lang w:val="bg-BG" w:eastAsia="ro-RO"/>
        </w:rPr>
        <w:t>:</w:t>
      </w:r>
    </w:p>
    <w:p w14:paraId="7ECBFE75" w14:textId="271917FE" w:rsidR="00A82DB9" w:rsidRPr="007375EB" w:rsidRDefault="006B1084" w:rsidP="0041531F">
      <w:pPr>
        <w:numPr>
          <w:ilvl w:val="0"/>
          <w:numId w:val="78"/>
        </w:numPr>
        <w:tabs>
          <w:tab w:val="left" w:pos="709"/>
        </w:tabs>
        <w:spacing w:line="360" w:lineRule="auto"/>
        <w:jc w:val="both"/>
        <w:rPr>
          <w:rFonts w:eastAsia="EuroRoman" w:cs="Arial"/>
          <w:lang w:val="bg-BG" w:eastAsia="ro-RO"/>
        </w:rPr>
      </w:pPr>
      <w:r w:rsidRPr="007375EB">
        <w:rPr>
          <w:rFonts w:eastAsia="EuroRoman" w:cs="Arial"/>
          <w:lang w:val="bg-BG" w:eastAsia="ro-RO"/>
        </w:rPr>
        <w:t>71% от целите на са съвместими помежду си</w:t>
      </w:r>
      <w:r w:rsidR="00A82DB9" w:rsidRPr="007375EB">
        <w:rPr>
          <w:rFonts w:eastAsia="EuroRoman" w:cs="Arial"/>
          <w:lang w:val="bg-BG" w:eastAsia="ro-RO"/>
        </w:rPr>
        <w:t>.</w:t>
      </w:r>
    </w:p>
    <w:p w14:paraId="72EDD346" w14:textId="08BA33BC" w:rsidR="00A82DB9" w:rsidRPr="007375EB" w:rsidRDefault="006B1084" w:rsidP="0041531F">
      <w:pPr>
        <w:numPr>
          <w:ilvl w:val="0"/>
          <w:numId w:val="78"/>
        </w:numPr>
        <w:tabs>
          <w:tab w:val="left" w:pos="709"/>
        </w:tabs>
        <w:spacing w:line="360" w:lineRule="auto"/>
        <w:jc w:val="both"/>
        <w:rPr>
          <w:rFonts w:eastAsia="EuroRoman" w:cs="Arial"/>
          <w:lang w:val="bg-BG" w:eastAsia="ro-RO"/>
        </w:rPr>
      </w:pPr>
      <w:r w:rsidRPr="007375EB">
        <w:rPr>
          <w:rFonts w:eastAsia="EuroRoman" w:cs="Arial"/>
          <w:lang w:val="bg-BG" w:eastAsia="ro-RO"/>
        </w:rPr>
        <w:t xml:space="preserve">Имаше цели, между PUZ които не можеха да бъдат установени преки връзки, като връзката между тях зависеше от редица предположения </w:t>
      </w:r>
      <w:r w:rsidR="00ED055E" w:rsidRPr="007375EB">
        <w:rPr>
          <w:rFonts w:eastAsia="EuroRoman" w:cs="Arial"/>
          <w:lang w:val="bg-BG" w:eastAsia="ro-RO"/>
        </w:rPr>
        <w:t xml:space="preserve">– </w:t>
      </w:r>
      <w:r w:rsidR="00226A92" w:rsidRPr="007375EB">
        <w:rPr>
          <w:rFonts w:eastAsia="EuroRoman" w:cs="Arial"/>
          <w:lang w:val="bg-BG" w:eastAsia="ro-RO"/>
        </w:rPr>
        <w:t>29</w:t>
      </w:r>
      <w:r w:rsidR="00ED055E" w:rsidRPr="007375EB">
        <w:rPr>
          <w:rFonts w:eastAsia="EuroRoman" w:cs="Arial"/>
          <w:lang w:val="bg-BG" w:eastAsia="ro-RO"/>
        </w:rPr>
        <w:t>%</w:t>
      </w:r>
      <w:r w:rsidR="00A82DB9" w:rsidRPr="007375EB">
        <w:rPr>
          <w:rFonts w:eastAsia="EuroRoman" w:cs="Arial"/>
          <w:lang w:val="bg-BG" w:eastAsia="ro-RO"/>
        </w:rPr>
        <w:t xml:space="preserve">. </w:t>
      </w:r>
    </w:p>
    <w:p w14:paraId="28CF1F8A" w14:textId="66EE4302" w:rsidR="00A82DB9" w:rsidRPr="007375EB" w:rsidRDefault="006B1084" w:rsidP="0041531F">
      <w:pPr>
        <w:numPr>
          <w:ilvl w:val="0"/>
          <w:numId w:val="78"/>
        </w:numPr>
        <w:tabs>
          <w:tab w:val="left" w:pos="709"/>
        </w:tabs>
        <w:spacing w:line="360" w:lineRule="auto"/>
        <w:jc w:val="both"/>
        <w:rPr>
          <w:rFonts w:eastAsia="EuroRoman" w:cs="Arial"/>
          <w:lang w:val="bg-BG" w:eastAsia="ro-RO"/>
        </w:rPr>
      </w:pPr>
      <w:r w:rsidRPr="007375EB">
        <w:rPr>
          <w:rFonts w:eastAsia="EuroRoman" w:cs="Arial"/>
          <w:lang w:val="bg-BG" w:eastAsia="ro-RO"/>
        </w:rPr>
        <w:t>- В PUZ не са формулирани цели, които са идентични или несъвместими помежду си</w:t>
      </w:r>
      <w:r w:rsidR="00A82DB9" w:rsidRPr="007375EB">
        <w:rPr>
          <w:rFonts w:eastAsia="EuroRoman" w:cs="Arial"/>
          <w:lang w:val="bg-BG" w:eastAsia="ro-RO"/>
        </w:rPr>
        <w:t xml:space="preserve">. </w:t>
      </w:r>
    </w:p>
    <w:p w14:paraId="439A119F" w14:textId="76E38472" w:rsidR="003047DE" w:rsidRPr="007375EB" w:rsidRDefault="006B1084" w:rsidP="00D715BC">
      <w:pPr>
        <w:pStyle w:val="Caption"/>
        <w:rPr>
          <w:rFonts w:eastAsia="EuroRoman"/>
          <w:color w:val="00B0F0"/>
          <w:sz w:val="16"/>
          <w:szCs w:val="16"/>
          <w:lang w:val="bg-BG"/>
        </w:rPr>
      </w:pPr>
      <w:bookmarkStart w:id="34" w:name="_Toc66189960"/>
      <w:r w:rsidRPr="007375EB">
        <w:rPr>
          <w:sz w:val="16"/>
          <w:szCs w:val="16"/>
          <w:lang w:val="bg-BG"/>
        </w:rPr>
        <w:t>Таблица</w:t>
      </w:r>
      <w:r w:rsidR="00D715BC" w:rsidRPr="007375EB">
        <w:rPr>
          <w:sz w:val="16"/>
          <w:szCs w:val="16"/>
          <w:lang w:val="bg-BG"/>
        </w:rPr>
        <w:t xml:space="preserve">  </w:t>
      </w:r>
      <w:r w:rsidR="00D715BC" w:rsidRPr="007375EB">
        <w:rPr>
          <w:sz w:val="16"/>
          <w:szCs w:val="16"/>
          <w:lang w:val="bg-BG"/>
        </w:rPr>
        <w:fldChar w:fldCharType="begin"/>
      </w:r>
      <w:r w:rsidR="00D715BC" w:rsidRPr="007375EB">
        <w:rPr>
          <w:sz w:val="16"/>
          <w:szCs w:val="16"/>
          <w:lang w:val="bg-BG"/>
        </w:rPr>
        <w:instrText xml:space="preserve"> STYLEREF 1 \s </w:instrText>
      </w:r>
      <w:r w:rsidR="00D715BC" w:rsidRPr="007375EB">
        <w:rPr>
          <w:sz w:val="16"/>
          <w:szCs w:val="16"/>
          <w:lang w:val="bg-BG"/>
        </w:rPr>
        <w:fldChar w:fldCharType="separate"/>
      </w:r>
      <w:r w:rsidR="00D715BC" w:rsidRPr="007375EB">
        <w:rPr>
          <w:noProof/>
          <w:sz w:val="16"/>
          <w:szCs w:val="16"/>
          <w:lang w:val="bg-BG"/>
        </w:rPr>
        <w:t>6</w:t>
      </w:r>
      <w:r w:rsidR="00D715BC" w:rsidRPr="007375EB">
        <w:rPr>
          <w:sz w:val="16"/>
          <w:szCs w:val="16"/>
          <w:lang w:val="bg-BG"/>
        </w:rPr>
        <w:fldChar w:fldCharType="end"/>
      </w:r>
      <w:r w:rsidR="00D715BC" w:rsidRPr="007375EB">
        <w:rPr>
          <w:sz w:val="16"/>
          <w:szCs w:val="16"/>
          <w:lang w:val="bg-BG"/>
        </w:rPr>
        <w:noBreakHyphen/>
      </w:r>
      <w:r w:rsidR="00D715BC" w:rsidRPr="007375EB">
        <w:rPr>
          <w:sz w:val="16"/>
          <w:szCs w:val="16"/>
          <w:lang w:val="bg-BG"/>
        </w:rPr>
        <w:fldChar w:fldCharType="begin"/>
      </w:r>
      <w:r w:rsidR="00D715BC" w:rsidRPr="007375EB">
        <w:rPr>
          <w:sz w:val="16"/>
          <w:szCs w:val="16"/>
          <w:lang w:val="bg-BG"/>
        </w:rPr>
        <w:instrText xml:space="preserve"> SEQ Tabel_ \* ARABIC \s 1 </w:instrText>
      </w:r>
      <w:r w:rsidR="00D715BC" w:rsidRPr="007375EB">
        <w:rPr>
          <w:sz w:val="16"/>
          <w:szCs w:val="16"/>
          <w:lang w:val="bg-BG"/>
        </w:rPr>
        <w:fldChar w:fldCharType="separate"/>
      </w:r>
      <w:r w:rsidR="00D715BC" w:rsidRPr="007375EB">
        <w:rPr>
          <w:noProof/>
          <w:sz w:val="16"/>
          <w:szCs w:val="16"/>
          <w:lang w:val="bg-BG"/>
        </w:rPr>
        <w:t>4</w:t>
      </w:r>
      <w:r w:rsidR="00D715BC" w:rsidRPr="007375EB">
        <w:rPr>
          <w:sz w:val="16"/>
          <w:szCs w:val="16"/>
          <w:lang w:val="bg-BG"/>
        </w:rPr>
        <w:fldChar w:fldCharType="end"/>
      </w:r>
      <w:r w:rsidR="00D715BC" w:rsidRPr="007375EB">
        <w:rPr>
          <w:sz w:val="16"/>
          <w:szCs w:val="16"/>
          <w:lang w:val="bg-BG"/>
        </w:rPr>
        <w:t xml:space="preserve"> </w:t>
      </w:r>
      <w:bookmarkEnd w:id="34"/>
      <w:r w:rsidRPr="007375EB">
        <w:rPr>
          <w:rFonts w:eastAsia="EuroRoman"/>
          <w:color w:val="00B0F0"/>
          <w:sz w:val="16"/>
          <w:szCs w:val="16"/>
          <w:lang w:val="bg-BG"/>
        </w:rPr>
        <w:t>Съответствия между целите на PUZ и съответните екологични цели</w:t>
      </w:r>
    </w:p>
    <w:tbl>
      <w:tblPr>
        <w:tblW w:w="10201" w:type="dxa"/>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Layout w:type="fixed"/>
        <w:tblLook w:val="04A0" w:firstRow="1" w:lastRow="0" w:firstColumn="1" w:lastColumn="0" w:noHBand="0" w:noVBand="1"/>
      </w:tblPr>
      <w:tblGrid>
        <w:gridCol w:w="955"/>
        <w:gridCol w:w="534"/>
        <w:gridCol w:w="534"/>
        <w:gridCol w:w="598"/>
        <w:gridCol w:w="560"/>
        <w:gridCol w:w="560"/>
        <w:gridCol w:w="649"/>
        <w:gridCol w:w="567"/>
        <w:gridCol w:w="567"/>
        <w:gridCol w:w="567"/>
        <w:gridCol w:w="567"/>
        <w:gridCol w:w="708"/>
        <w:gridCol w:w="709"/>
        <w:gridCol w:w="709"/>
        <w:gridCol w:w="709"/>
        <w:gridCol w:w="708"/>
      </w:tblGrid>
      <w:tr w:rsidR="00A57B14" w:rsidRPr="007375EB" w14:paraId="598623C2" w14:textId="77777777" w:rsidTr="00384823">
        <w:trPr>
          <w:trHeight w:val="351"/>
        </w:trPr>
        <w:tc>
          <w:tcPr>
            <w:tcW w:w="955" w:type="dxa"/>
            <w:vMerge w:val="restart"/>
            <w:shd w:val="clear" w:color="000000" w:fill="00B0F0"/>
            <w:vAlign w:val="center"/>
            <w:hideMark/>
          </w:tcPr>
          <w:p w14:paraId="28EDFEA3" w14:textId="70DE1136" w:rsidR="00A57B14" w:rsidRPr="007375EB" w:rsidRDefault="006B1084" w:rsidP="00A57B14">
            <w:pPr>
              <w:spacing w:line="240" w:lineRule="auto"/>
              <w:jc w:val="center"/>
              <w:rPr>
                <w:rFonts w:eastAsia="Times New Roman" w:cs="Calibri"/>
                <w:b/>
                <w:bCs/>
                <w:color w:val="000000"/>
                <w:sz w:val="13"/>
                <w:szCs w:val="13"/>
                <w:lang w:val="bg-BG" w:eastAsia="ro-RO"/>
              </w:rPr>
            </w:pPr>
            <w:r w:rsidRPr="007375EB">
              <w:rPr>
                <w:rFonts w:eastAsia="Times New Roman" w:cs="Calibri"/>
                <w:b/>
                <w:bCs/>
                <w:color w:val="000000"/>
                <w:sz w:val="13"/>
                <w:szCs w:val="13"/>
                <w:lang w:val="bg-BG" w:eastAsia="ro-RO"/>
              </w:rPr>
              <w:t>Цели на</w:t>
            </w:r>
            <w:r w:rsidR="00A57B14" w:rsidRPr="007375EB">
              <w:rPr>
                <w:rFonts w:eastAsia="Times New Roman" w:cs="Calibri"/>
                <w:b/>
                <w:bCs/>
                <w:color w:val="000000"/>
                <w:sz w:val="13"/>
                <w:szCs w:val="13"/>
                <w:lang w:val="bg-BG" w:eastAsia="ro-RO"/>
              </w:rPr>
              <w:t xml:space="preserve"> PUz</w:t>
            </w:r>
          </w:p>
        </w:tc>
        <w:tc>
          <w:tcPr>
            <w:tcW w:w="9246" w:type="dxa"/>
            <w:gridSpan w:val="15"/>
            <w:shd w:val="clear" w:color="000000" w:fill="00B0F0"/>
            <w:vAlign w:val="center"/>
            <w:hideMark/>
          </w:tcPr>
          <w:p w14:paraId="4D4E8D0E" w14:textId="11C7728E" w:rsidR="00A57B14" w:rsidRPr="007375EB" w:rsidRDefault="006B1084" w:rsidP="00A57B14">
            <w:pPr>
              <w:spacing w:line="240" w:lineRule="auto"/>
              <w:jc w:val="center"/>
              <w:rPr>
                <w:rFonts w:eastAsia="Times New Roman" w:cs="Calibri"/>
                <w:b/>
                <w:bCs/>
                <w:color w:val="000000"/>
                <w:sz w:val="13"/>
                <w:szCs w:val="13"/>
                <w:lang w:val="bg-BG" w:eastAsia="ro-RO"/>
              </w:rPr>
            </w:pPr>
            <w:r w:rsidRPr="007375EB">
              <w:rPr>
                <w:rFonts w:eastAsia="Times New Roman" w:cs="Calibri"/>
                <w:b/>
                <w:bCs/>
                <w:color w:val="000000"/>
                <w:sz w:val="13"/>
                <w:szCs w:val="13"/>
                <w:lang w:val="bg-BG" w:eastAsia="ro-RO"/>
              </w:rPr>
              <w:t>Съответни екологични цели</w:t>
            </w:r>
          </w:p>
        </w:tc>
      </w:tr>
      <w:tr w:rsidR="00A57B14" w:rsidRPr="007375EB" w14:paraId="2EFE22F0" w14:textId="77777777" w:rsidTr="00E84A56">
        <w:trPr>
          <w:trHeight w:val="885"/>
        </w:trPr>
        <w:tc>
          <w:tcPr>
            <w:tcW w:w="955" w:type="dxa"/>
            <w:vMerge/>
            <w:vAlign w:val="center"/>
            <w:hideMark/>
          </w:tcPr>
          <w:p w14:paraId="0A16A2DF" w14:textId="77777777" w:rsidR="00A57B14" w:rsidRPr="007375EB" w:rsidRDefault="00A57B14" w:rsidP="00A57B14">
            <w:pPr>
              <w:spacing w:line="240" w:lineRule="auto"/>
              <w:rPr>
                <w:rFonts w:eastAsia="Times New Roman" w:cs="Calibri"/>
                <w:b/>
                <w:bCs/>
                <w:color w:val="000000"/>
                <w:sz w:val="13"/>
                <w:szCs w:val="13"/>
                <w:lang w:val="bg-BG" w:eastAsia="ro-RO"/>
              </w:rPr>
            </w:pPr>
          </w:p>
        </w:tc>
        <w:tc>
          <w:tcPr>
            <w:tcW w:w="534" w:type="dxa"/>
            <w:shd w:val="clear" w:color="000000" w:fill="D9D9D9"/>
            <w:textDirection w:val="btLr"/>
            <w:vAlign w:val="center"/>
            <w:hideMark/>
          </w:tcPr>
          <w:p w14:paraId="2172ECE0" w14:textId="46E30C50" w:rsidR="00A57B14" w:rsidRPr="007375EB" w:rsidRDefault="006B1084" w:rsidP="00A57B14">
            <w:pPr>
              <w:spacing w:line="240" w:lineRule="auto"/>
              <w:jc w:val="center"/>
              <w:rPr>
                <w:rFonts w:eastAsia="Times New Roman" w:cs="Calibri"/>
                <w:color w:val="000000"/>
                <w:sz w:val="10"/>
                <w:szCs w:val="10"/>
                <w:lang w:val="bg-BG" w:eastAsia="ro-RO"/>
              </w:rPr>
            </w:pPr>
            <w:r w:rsidRPr="007375EB">
              <w:rPr>
                <w:rFonts w:eastAsia="Times New Roman" w:cs="Calibri"/>
                <w:color w:val="000000"/>
                <w:sz w:val="10"/>
                <w:szCs w:val="10"/>
                <w:lang w:val="bg-BG" w:eastAsia="ro-RO"/>
              </w:rPr>
              <w:t>Вода</w:t>
            </w:r>
          </w:p>
        </w:tc>
        <w:tc>
          <w:tcPr>
            <w:tcW w:w="534" w:type="dxa"/>
            <w:shd w:val="clear" w:color="000000" w:fill="D9D9D9"/>
            <w:textDirection w:val="btLr"/>
            <w:vAlign w:val="center"/>
            <w:hideMark/>
          </w:tcPr>
          <w:p w14:paraId="50F61920" w14:textId="15FAA4A8" w:rsidR="00A57B14" w:rsidRPr="007375EB" w:rsidRDefault="006B1084" w:rsidP="00A57B14">
            <w:pPr>
              <w:spacing w:line="240" w:lineRule="auto"/>
              <w:jc w:val="center"/>
              <w:rPr>
                <w:rFonts w:eastAsia="Times New Roman" w:cs="Calibri"/>
                <w:color w:val="000000"/>
                <w:sz w:val="10"/>
                <w:szCs w:val="10"/>
                <w:lang w:val="bg-BG" w:eastAsia="ro-RO"/>
              </w:rPr>
            </w:pPr>
            <w:r w:rsidRPr="007375EB">
              <w:rPr>
                <w:rFonts w:eastAsia="Times New Roman" w:cs="Calibri"/>
                <w:color w:val="000000"/>
                <w:sz w:val="10"/>
                <w:szCs w:val="10"/>
                <w:lang w:val="bg-BG" w:eastAsia="ro-RO"/>
              </w:rPr>
              <w:t>Въздух</w:t>
            </w:r>
          </w:p>
        </w:tc>
        <w:tc>
          <w:tcPr>
            <w:tcW w:w="598" w:type="dxa"/>
            <w:shd w:val="clear" w:color="000000" w:fill="D9D9D9"/>
            <w:textDirection w:val="btLr"/>
            <w:vAlign w:val="center"/>
            <w:hideMark/>
          </w:tcPr>
          <w:p w14:paraId="0C2ED2F8" w14:textId="67B1D307" w:rsidR="00A57B14" w:rsidRPr="007375EB" w:rsidRDefault="006B1084" w:rsidP="00A57B14">
            <w:pPr>
              <w:spacing w:line="240" w:lineRule="auto"/>
              <w:jc w:val="center"/>
              <w:rPr>
                <w:rFonts w:eastAsia="Times New Roman" w:cs="Calibri"/>
                <w:color w:val="000000"/>
                <w:sz w:val="10"/>
                <w:szCs w:val="10"/>
                <w:lang w:val="bg-BG" w:eastAsia="ro-RO"/>
              </w:rPr>
            </w:pPr>
            <w:r w:rsidRPr="007375EB">
              <w:rPr>
                <w:rFonts w:eastAsia="Times New Roman" w:cs="Calibri"/>
                <w:color w:val="000000"/>
                <w:sz w:val="10"/>
                <w:szCs w:val="10"/>
                <w:lang w:val="bg-BG" w:eastAsia="ro-RO"/>
              </w:rPr>
              <w:t>Почва/Подпочва</w:t>
            </w:r>
          </w:p>
        </w:tc>
        <w:tc>
          <w:tcPr>
            <w:tcW w:w="560" w:type="dxa"/>
            <w:shd w:val="clear" w:color="000000" w:fill="D9D9D9"/>
            <w:textDirection w:val="btLr"/>
            <w:vAlign w:val="center"/>
            <w:hideMark/>
          </w:tcPr>
          <w:p w14:paraId="7B602E9C" w14:textId="6589C230" w:rsidR="00A57B14" w:rsidRPr="007375EB" w:rsidRDefault="006B1084" w:rsidP="00A57B14">
            <w:pPr>
              <w:spacing w:line="240" w:lineRule="auto"/>
              <w:jc w:val="center"/>
              <w:rPr>
                <w:rFonts w:eastAsia="Times New Roman" w:cs="Calibri"/>
                <w:color w:val="000000"/>
                <w:sz w:val="10"/>
                <w:szCs w:val="10"/>
                <w:lang w:val="bg-BG" w:eastAsia="ro-RO"/>
              </w:rPr>
            </w:pPr>
            <w:r w:rsidRPr="007375EB">
              <w:rPr>
                <w:rFonts w:eastAsia="Times New Roman" w:cs="Calibri"/>
                <w:color w:val="000000"/>
                <w:sz w:val="10"/>
                <w:szCs w:val="10"/>
                <w:lang w:val="bg-BG" w:eastAsia="ro-RO"/>
              </w:rPr>
              <w:t>Използване на природни ресурси</w:t>
            </w:r>
          </w:p>
        </w:tc>
        <w:tc>
          <w:tcPr>
            <w:tcW w:w="560" w:type="dxa"/>
            <w:shd w:val="clear" w:color="000000" w:fill="D9D9D9"/>
            <w:textDirection w:val="btLr"/>
            <w:vAlign w:val="center"/>
            <w:hideMark/>
          </w:tcPr>
          <w:p w14:paraId="33E9118E" w14:textId="77777777" w:rsidR="00A57B14" w:rsidRPr="007375EB" w:rsidRDefault="00A57B14" w:rsidP="00A57B14">
            <w:pPr>
              <w:spacing w:line="240" w:lineRule="auto"/>
              <w:jc w:val="center"/>
              <w:rPr>
                <w:rFonts w:eastAsia="Times New Roman" w:cs="Calibri"/>
                <w:color w:val="000000"/>
                <w:sz w:val="10"/>
                <w:szCs w:val="10"/>
                <w:lang w:val="bg-BG" w:eastAsia="ro-RO"/>
              </w:rPr>
            </w:pPr>
            <w:r w:rsidRPr="007375EB">
              <w:rPr>
                <w:rFonts w:eastAsia="Times New Roman" w:cs="Calibri"/>
                <w:color w:val="000000"/>
                <w:sz w:val="10"/>
                <w:szCs w:val="10"/>
                <w:lang w:val="bg-BG" w:eastAsia="ro-RO"/>
              </w:rPr>
              <w:t> </w:t>
            </w:r>
          </w:p>
        </w:tc>
        <w:tc>
          <w:tcPr>
            <w:tcW w:w="649" w:type="dxa"/>
            <w:shd w:val="clear" w:color="000000" w:fill="D9D9D9"/>
            <w:textDirection w:val="btLr"/>
            <w:vAlign w:val="center"/>
            <w:hideMark/>
          </w:tcPr>
          <w:p w14:paraId="0F534A3B" w14:textId="4705A467" w:rsidR="00A57B14" w:rsidRPr="007375EB" w:rsidRDefault="006B1084" w:rsidP="00A57B14">
            <w:pPr>
              <w:spacing w:line="240" w:lineRule="auto"/>
              <w:jc w:val="center"/>
              <w:rPr>
                <w:rFonts w:eastAsia="Times New Roman" w:cs="Calibri"/>
                <w:color w:val="000000"/>
                <w:sz w:val="10"/>
                <w:szCs w:val="10"/>
                <w:lang w:val="bg-BG" w:eastAsia="ro-RO"/>
              </w:rPr>
            </w:pPr>
            <w:r w:rsidRPr="007375EB">
              <w:rPr>
                <w:rFonts w:eastAsia="Times New Roman" w:cs="Calibri"/>
                <w:color w:val="000000"/>
                <w:sz w:val="10"/>
                <w:szCs w:val="10"/>
                <w:lang w:val="bg-BG" w:eastAsia="ro-RO"/>
              </w:rPr>
              <w:t>Управление на отпадъците</w:t>
            </w:r>
          </w:p>
        </w:tc>
        <w:tc>
          <w:tcPr>
            <w:tcW w:w="567" w:type="dxa"/>
            <w:shd w:val="clear" w:color="000000" w:fill="D9D9D9"/>
            <w:textDirection w:val="btLr"/>
            <w:vAlign w:val="center"/>
            <w:hideMark/>
          </w:tcPr>
          <w:p w14:paraId="09538484" w14:textId="49D04F55" w:rsidR="00A57B14" w:rsidRPr="007375EB" w:rsidRDefault="006B1084" w:rsidP="00A57B14">
            <w:pPr>
              <w:spacing w:line="240" w:lineRule="auto"/>
              <w:jc w:val="center"/>
              <w:rPr>
                <w:rFonts w:eastAsia="Times New Roman" w:cs="Calibri"/>
                <w:color w:val="000000"/>
                <w:sz w:val="10"/>
                <w:szCs w:val="10"/>
                <w:lang w:val="bg-BG" w:eastAsia="ro-RO"/>
              </w:rPr>
            </w:pPr>
            <w:r w:rsidRPr="007375EB">
              <w:rPr>
                <w:rFonts w:eastAsia="Times New Roman" w:cs="Calibri"/>
                <w:color w:val="000000"/>
                <w:sz w:val="10"/>
                <w:szCs w:val="10"/>
                <w:lang w:val="bg-BG" w:eastAsia="ro-RO"/>
              </w:rPr>
              <w:t>Шум и вибрации</w:t>
            </w:r>
          </w:p>
        </w:tc>
        <w:tc>
          <w:tcPr>
            <w:tcW w:w="567" w:type="dxa"/>
            <w:shd w:val="clear" w:color="000000" w:fill="D9D9D9"/>
            <w:textDirection w:val="btLr"/>
            <w:vAlign w:val="center"/>
            <w:hideMark/>
          </w:tcPr>
          <w:p w14:paraId="640F6F94" w14:textId="5D5FA2D8" w:rsidR="00A57B14" w:rsidRPr="007375EB" w:rsidRDefault="006B1084" w:rsidP="00A57B14">
            <w:pPr>
              <w:spacing w:line="240" w:lineRule="auto"/>
              <w:jc w:val="center"/>
              <w:rPr>
                <w:rFonts w:eastAsia="Times New Roman" w:cs="Calibri"/>
                <w:color w:val="000000"/>
                <w:sz w:val="10"/>
                <w:szCs w:val="10"/>
                <w:lang w:val="bg-BG" w:eastAsia="ro-RO"/>
              </w:rPr>
            </w:pPr>
            <w:r w:rsidRPr="007375EB">
              <w:rPr>
                <w:rFonts w:eastAsia="Times New Roman" w:cs="Calibri"/>
                <w:color w:val="000000"/>
                <w:sz w:val="10"/>
                <w:szCs w:val="10"/>
                <w:lang w:val="bg-BG" w:eastAsia="ro-RO"/>
              </w:rPr>
              <w:t>Биоразнообразие</w:t>
            </w:r>
          </w:p>
        </w:tc>
        <w:tc>
          <w:tcPr>
            <w:tcW w:w="567" w:type="dxa"/>
            <w:shd w:val="clear" w:color="000000" w:fill="D9D9D9"/>
            <w:textDirection w:val="btLr"/>
            <w:vAlign w:val="center"/>
            <w:hideMark/>
          </w:tcPr>
          <w:p w14:paraId="3F386060" w14:textId="77777777" w:rsidR="00A57B14" w:rsidRPr="007375EB" w:rsidRDefault="00A57B14" w:rsidP="00A57B14">
            <w:pPr>
              <w:spacing w:line="240" w:lineRule="auto"/>
              <w:jc w:val="center"/>
              <w:rPr>
                <w:rFonts w:eastAsia="Times New Roman" w:cs="Calibri"/>
                <w:color w:val="000000"/>
                <w:sz w:val="10"/>
                <w:szCs w:val="10"/>
                <w:lang w:val="bg-BG" w:eastAsia="ro-RO"/>
              </w:rPr>
            </w:pPr>
            <w:r w:rsidRPr="007375EB">
              <w:rPr>
                <w:rFonts w:eastAsia="Times New Roman" w:cs="Calibri"/>
                <w:color w:val="000000"/>
                <w:sz w:val="10"/>
                <w:szCs w:val="10"/>
                <w:lang w:val="bg-BG" w:eastAsia="ro-RO"/>
              </w:rPr>
              <w:t> </w:t>
            </w:r>
          </w:p>
        </w:tc>
        <w:tc>
          <w:tcPr>
            <w:tcW w:w="567" w:type="dxa"/>
            <w:shd w:val="clear" w:color="000000" w:fill="D9D9D9"/>
            <w:textDirection w:val="btLr"/>
            <w:vAlign w:val="center"/>
            <w:hideMark/>
          </w:tcPr>
          <w:p w14:paraId="70D61405" w14:textId="2DC4BE6F" w:rsidR="00A57B14" w:rsidRPr="007375EB" w:rsidRDefault="006B1084" w:rsidP="00A57B14">
            <w:pPr>
              <w:spacing w:line="240" w:lineRule="auto"/>
              <w:jc w:val="center"/>
              <w:rPr>
                <w:rFonts w:eastAsia="Times New Roman" w:cs="Calibri"/>
                <w:color w:val="000000"/>
                <w:sz w:val="10"/>
                <w:szCs w:val="10"/>
                <w:lang w:val="bg-BG" w:eastAsia="ro-RO"/>
              </w:rPr>
            </w:pPr>
            <w:r w:rsidRPr="007375EB">
              <w:rPr>
                <w:rFonts w:eastAsia="Times New Roman" w:cs="Calibri"/>
                <w:color w:val="000000"/>
                <w:sz w:val="10"/>
                <w:szCs w:val="10"/>
                <w:lang w:val="bg-BG" w:eastAsia="ro-RO"/>
              </w:rPr>
              <w:t>Население и човешко здраве</w:t>
            </w:r>
          </w:p>
        </w:tc>
        <w:tc>
          <w:tcPr>
            <w:tcW w:w="708" w:type="dxa"/>
            <w:shd w:val="clear" w:color="000000" w:fill="D9D9D9"/>
            <w:textDirection w:val="btLr"/>
            <w:vAlign w:val="center"/>
            <w:hideMark/>
          </w:tcPr>
          <w:p w14:paraId="5FCAF927" w14:textId="77777777" w:rsidR="00A57B14" w:rsidRPr="007375EB" w:rsidRDefault="00A57B14" w:rsidP="00A57B14">
            <w:pPr>
              <w:spacing w:line="240" w:lineRule="auto"/>
              <w:jc w:val="center"/>
              <w:rPr>
                <w:rFonts w:eastAsia="Times New Roman" w:cs="Calibri"/>
                <w:color w:val="000000"/>
                <w:sz w:val="10"/>
                <w:szCs w:val="10"/>
                <w:lang w:val="bg-BG" w:eastAsia="ro-RO"/>
              </w:rPr>
            </w:pPr>
            <w:r w:rsidRPr="007375EB">
              <w:rPr>
                <w:rFonts w:eastAsia="Times New Roman" w:cs="Calibri"/>
                <w:color w:val="000000"/>
                <w:sz w:val="10"/>
                <w:szCs w:val="10"/>
                <w:lang w:val="bg-BG" w:eastAsia="ro-RO"/>
              </w:rPr>
              <w:t> </w:t>
            </w:r>
          </w:p>
        </w:tc>
        <w:tc>
          <w:tcPr>
            <w:tcW w:w="709" w:type="dxa"/>
            <w:shd w:val="clear" w:color="000000" w:fill="D9D9D9"/>
            <w:textDirection w:val="btLr"/>
            <w:vAlign w:val="center"/>
            <w:hideMark/>
          </w:tcPr>
          <w:p w14:paraId="08C53865" w14:textId="64323222" w:rsidR="00A57B14" w:rsidRPr="007375EB" w:rsidRDefault="006B1084" w:rsidP="00A57B14">
            <w:pPr>
              <w:spacing w:line="240" w:lineRule="auto"/>
              <w:jc w:val="center"/>
              <w:rPr>
                <w:rFonts w:eastAsia="Times New Roman" w:cs="Calibri"/>
                <w:color w:val="000000"/>
                <w:sz w:val="10"/>
                <w:szCs w:val="10"/>
                <w:lang w:val="bg-BG" w:eastAsia="ro-RO"/>
              </w:rPr>
            </w:pPr>
            <w:r w:rsidRPr="007375EB">
              <w:rPr>
                <w:rFonts w:eastAsia="Times New Roman" w:cs="Calibri"/>
                <w:color w:val="000000"/>
                <w:sz w:val="10"/>
                <w:szCs w:val="10"/>
                <w:lang w:val="bg-BG" w:eastAsia="ro-RO"/>
              </w:rPr>
              <w:t>Ландшафт</w:t>
            </w:r>
          </w:p>
        </w:tc>
        <w:tc>
          <w:tcPr>
            <w:tcW w:w="709" w:type="dxa"/>
            <w:shd w:val="clear" w:color="000000" w:fill="D9D9D9"/>
            <w:textDirection w:val="btLr"/>
            <w:vAlign w:val="center"/>
            <w:hideMark/>
          </w:tcPr>
          <w:p w14:paraId="11112B66" w14:textId="6B5F90EB" w:rsidR="00A57B14" w:rsidRPr="007375EB" w:rsidRDefault="006B1084" w:rsidP="00A57B14">
            <w:pPr>
              <w:spacing w:line="240" w:lineRule="auto"/>
              <w:jc w:val="center"/>
              <w:rPr>
                <w:rFonts w:eastAsia="Times New Roman" w:cs="Calibri"/>
                <w:color w:val="000000"/>
                <w:sz w:val="10"/>
                <w:szCs w:val="10"/>
                <w:lang w:val="bg-BG" w:eastAsia="ro-RO"/>
              </w:rPr>
            </w:pPr>
            <w:r w:rsidRPr="007375EB">
              <w:rPr>
                <w:rFonts w:eastAsia="Times New Roman" w:cs="Calibri"/>
                <w:color w:val="000000"/>
                <w:sz w:val="10"/>
                <w:szCs w:val="10"/>
                <w:lang w:val="bg-BG" w:eastAsia="ro-RO"/>
              </w:rPr>
              <w:t>Изменение на климата</w:t>
            </w:r>
          </w:p>
        </w:tc>
        <w:tc>
          <w:tcPr>
            <w:tcW w:w="709" w:type="dxa"/>
            <w:shd w:val="clear" w:color="000000" w:fill="D9D9D9"/>
            <w:textDirection w:val="btLr"/>
            <w:vAlign w:val="center"/>
            <w:hideMark/>
          </w:tcPr>
          <w:p w14:paraId="5ABA9E14" w14:textId="77777777" w:rsidR="00A57B14" w:rsidRPr="007375EB" w:rsidRDefault="00A57B14" w:rsidP="00A57B14">
            <w:pPr>
              <w:spacing w:line="240" w:lineRule="auto"/>
              <w:jc w:val="center"/>
              <w:rPr>
                <w:rFonts w:eastAsia="Times New Roman" w:cs="Calibri"/>
                <w:color w:val="000000"/>
                <w:sz w:val="10"/>
                <w:szCs w:val="10"/>
                <w:lang w:val="bg-BG" w:eastAsia="ro-RO"/>
              </w:rPr>
            </w:pPr>
            <w:r w:rsidRPr="007375EB">
              <w:rPr>
                <w:rFonts w:eastAsia="Times New Roman" w:cs="Calibri"/>
                <w:color w:val="000000"/>
                <w:sz w:val="10"/>
                <w:szCs w:val="10"/>
                <w:lang w:val="bg-BG" w:eastAsia="ro-RO"/>
              </w:rPr>
              <w:t> </w:t>
            </w:r>
          </w:p>
        </w:tc>
        <w:tc>
          <w:tcPr>
            <w:tcW w:w="708" w:type="dxa"/>
            <w:shd w:val="clear" w:color="000000" w:fill="D9D9D9"/>
            <w:textDirection w:val="btLr"/>
            <w:vAlign w:val="center"/>
            <w:hideMark/>
          </w:tcPr>
          <w:p w14:paraId="444F3DAE" w14:textId="71533900" w:rsidR="00A57B14" w:rsidRPr="007375EB" w:rsidRDefault="006B1084" w:rsidP="00A57B14">
            <w:pPr>
              <w:spacing w:line="240" w:lineRule="auto"/>
              <w:jc w:val="center"/>
              <w:rPr>
                <w:rFonts w:eastAsia="Times New Roman" w:cs="Calibri"/>
                <w:color w:val="000000"/>
                <w:sz w:val="10"/>
                <w:szCs w:val="10"/>
                <w:lang w:val="bg-BG" w:eastAsia="ro-RO"/>
              </w:rPr>
            </w:pPr>
            <w:r w:rsidRPr="007375EB">
              <w:rPr>
                <w:rFonts w:eastAsia="Times New Roman" w:cs="Calibri"/>
                <w:color w:val="000000"/>
                <w:sz w:val="10"/>
                <w:szCs w:val="10"/>
                <w:lang w:val="bg-BG" w:eastAsia="ro-RO"/>
              </w:rPr>
              <w:t>Културно наследство</w:t>
            </w:r>
          </w:p>
        </w:tc>
      </w:tr>
      <w:tr w:rsidR="00A57B14" w:rsidRPr="007375EB" w14:paraId="26BFA03A" w14:textId="77777777" w:rsidTr="00E84A56">
        <w:trPr>
          <w:trHeight w:val="465"/>
        </w:trPr>
        <w:tc>
          <w:tcPr>
            <w:tcW w:w="955" w:type="dxa"/>
            <w:vMerge/>
            <w:vAlign w:val="center"/>
            <w:hideMark/>
          </w:tcPr>
          <w:p w14:paraId="668F2C26" w14:textId="77777777" w:rsidR="00A57B14" w:rsidRPr="007375EB" w:rsidRDefault="00A57B14" w:rsidP="00A57B14">
            <w:pPr>
              <w:spacing w:line="240" w:lineRule="auto"/>
              <w:rPr>
                <w:rFonts w:eastAsia="Times New Roman" w:cs="Calibri"/>
                <w:b/>
                <w:bCs/>
                <w:color w:val="000000"/>
                <w:sz w:val="13"/>
                <w:szCs w:val="13"/>
                <w:lang w:val="bg-BG" w:eastAsia="ro-RO"/>
              </w:rPr>
            </w:pPr>
          </w:p>
        </w:tc>
        <w:tc>
          <w:tcPr>
            <w:tcW w:w="534" w:type="dxa"/>
            <w:shd w:val="clear" w:color="000000" w:fill="D9D9D9"/>
            <w:vAlign w:val="center"/>
            <w:hideMark/>
          </w:tcPr>
          <w:p w14:paraId="1D9D9B47"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OM1</w:t>
            </w:r>
          </w:p>
        </w:tc>
        <w:tc>
          <w:tcPr>
            <w:tcW w:w="534" w:type="dxa"/>
            <w:shd w:val="clear" w:color="000000" w:fill="D9D9D9"/>
            <w:vAlign w:val="center"/>
            <w:hideMark/>
          </w:tcPr>
          <w:p w14:paraId="425AB4BB"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OM2</w:t>
            </w:r>
          </w:p>
        </w:tc>
        <w:tc>
          <w:tcPr>
            <w:tcW w:w="598" w:type="dxa"/>
            <w:shd w:val="clear" w:color="000000" w:fill="D9D9D9"/>
            <w:vAlign w:val="center"/>
            <w:hideMark/>
          </w:tcPr>
          <w:p w14:paraId="2CD43DC8"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OM3</w:t>
            </w:r>
          </w:p>
        </w:tc>
        <w:tc>
          <w:tcPr>
            <w:tcW w:w="560" w:type="dxa"/>
            <w:shd w:val="clear" w:color="000000" w:fill="D9D9D9"/>
            <w:vAlign w:val="center"/>
            <w:hideMark/>
          </w:tcPr>
          <w:p w14:paraId="6552DEF2"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OM4</w:t>
            </w:r>
          </w:p>
        </w:tc>
        <w:tc>
          <w:tcPr>
            <w:tcW w:w="560" w:type="dxa"/>
            <w:shd w:val="clear" w:color="000000" w:fill="D9D9D9"/>
            <w:vAlign w:val="center"/>
            <w:hideMark/>
          </w:tcPr>
          <w:p w14:paraId="373FDA15"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OM5</w:t>
            </w:r>
          </w:p>
        </w:tc>
        <w:tc>
          <w:tcPr>
            <w:tcW w:w="649" w:type="dxa"/>
            <w:shd w:val="clear" w:color="000000" w:fill="D9D9D9"/>
            <w:vAlign w:val="center"/>
            <w:hideMark/>
          </w:tcPr>
          <w:p w14:paraId="279E2E3F"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OM6</w:t>
            </w:r>
          </w:p>
        </w:tc>
        <w:tc>
          <w:tcPr>
            <w:tcW w:w="567" w:type="dxa"/>
            <w:shd w:val="clear" w:color="000000" w:fill="D9D9D9"/>
            <w:vAlign w:val="center"/>
            <w:hideMark/>
          </w:tcPr>
          <w:p w14:paraId="7A60FFD3"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OM7</w:t>
            </w:r>
          </w:p>
        </w:tc>
        <w:tc>
          <w:tcPr>
            <w:tcW w:w="567" w:type="dxa"/>
            <w:shd w:val="clear" w:color="000000" w:fill="D9D9D9"/>
            <w:vAlign w:val="center"/>
            <w:hideMark/>
          </w:tcPr>
          <w:p w14:paraId="764332CB"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OM8</w:t>
            </w:r>
          </w:p>
        </w:tc>
        <w:tc>
          <w:tcPr>
            <w:tcW w:w="567" w:type="dxa"/>
            <w:shd w:val="clear" w:color="000000" w:fill="D9D9D9"/>
            <w:vAlign w:val="center"/>
            <w:hideMark/>
          </w:tcPr>
          <w:p w14:paraId="0B007A61"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OM9</w:t>
            </w:r>
          </w:p>
        </w:tc>
        <w:tc>
          <w:tcPr>
            <w:tcW w:w="567" w:type="dxa"/>
            <w:shd w:val="clear" w:color="000000" w:fill="D9D9D9"/>
            <w:vAlign w:val="center"/>
            <w:hideMark/>
          </w:tcPr>
          <w:p w14:paraId="2C638C9E"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OM10</w:t>
            </w:r>
          </w:p>
        </w:tc>
        <w:tc>
          <w:tcPr>
            <w:tcW w:w="708" w:type="dxa"/>
            <w:shd w:val="clear" w:color="000000" w:fill="D9D9D9"/>
            <w:vAlign w:val="center"/>
            <w:hideMark/>
          </w:tcPr>
          <w:p w14:paraId="021657C7"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OM11</w:t>
            </w:r>
          </w:p>
        </w:tc>
        <w:tc>
          <w:tcPr>
            <w:tcW w:w="709" w:type="dxa"/>
            <w:shd w:val="clear" w:color="000000" w:fill="D9D9D9"/>
            <w:vAlign w:val="center"/>
            <w:hideMark/>
          </w:tcPr>
          <w:p w14:paraId="2E32209F"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OM12</w:t>
            </w:r>
          </w:p>
        </w:tc>
        <w:tc>
          <w:tcPr>
            <w:tcW w:w="709" w:type="dxa"/>
            <w:shd w:val="clear" w:color="000000" w:fill="D9D9D9"/>
            <w:vAlign w:val="center"/>
            <w:hideMark/>
          </w:tcPr>
          <w:p w14:paraId="541A3780"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OM13</w:t>
            </w:r>
          </w:p>
        </w:tc>
        <w:tc>
          <w:tcPr>
            <w:tcW w:w="709" w:type="dxa"/>
            <w:shd w:val="clear" w:color="000000" w:fill="D9D9D9"/>
            <w:vAlign w:val="center"/>
            <w:hideMark/>
          </w:tcPr>
          <w:p w14:paraId="0CCFFBC6"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OM14</w:t>
            </w:r>
          </w:p>
        </w:tc>
        <w:tc>
          <w:tcPr>
            <w:tcW w:w="708" w:type="dxa"/>
            <w:shd w:val="clear" w:color="000000" w:fill="D9D9D9"/>
            <w:vAlign w:val="center"/>
            <w:hideMark/>
          </w:tcPr>
          <w:p w14:paraId="21FA9F57"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OM15</w:t>
            </w:r>
          </w:p>
        </w:tc>
      </w:tr>
      <w:tr w:rsidR="00A57B14" w:rsidRPr="007375EB" w14:paraId="6B43F1DE" w14:textId="77777777" w:rsidTr="00E84A56">
        <w:trPr>
          <w:trHeight w:val="149"/>
        </w:trPr>
        <w:tc>
          <w:tcPr>
            <w:tcW w:w="955" w:type="dxa"/>
            <w:shd w:val="clear" w:color="000000" w:fill="F2F2F2"/>
            <w:vAlign w:val="center"/>
            <w:hideMark/>
          </w:tcPr>
          <w:p w14:paraId="20729FD2"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OP1</w:t>
            </w:r>
          </w:p>
        </w:tc>
        <w:tc>
          <w:tcPr>
            <w:tcW w:w="534" w:type="dxa"/>
            <w:shd w:val="clear" w:color="000000" w:fill="FFFF00"/>
            <w:vAlign w:val="center"/>
            <w:hideMark/>
          </w:tcPr>
          <w:p w14:paraId="686A1174"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34" w:type="dxa"/>
            <w:shd w:val="clear" w:color="000000" w:fill="A9D08E"/>
            <w:vAlign w:val="center"/>
            <w:hideMark/>
          </w:tcPr>
          <w:p w14:paraId="482C8AFF"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98" w:type="dxa"/>
            <w:shd w:val="clear" w:color="000000" w:fill="A9D08E"/>
            <w:vAlign w:val="center"/>
            <w:hideMark/>
          </w:tcPr>
          <w:p w14:paraId="6FDD3C24"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0" w:type="dxa"/>
            <w:shd w:val="clear" w:color="000000" w:fill="A9D08E"/>
            <w:vAlign w:val="center"/>
            <w:hideMark/>
          </w:tcPr>
          <w:p w14:paraId="15591350"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0" w:type="dxa"/>
            <w:shd w:val="clear" w:color="000000" w:fill="BDD7EE"/>
            <w:vAlign w:val="center"/>
            <w:hideMark/>
          </w:tcPr>
          <w:p w14:paraId="15469CA3"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649" w:type="dxa"/>
            <w:shd w:val="clear" w:color="000000" w:fill="FFFF00"/>
            <w:vAlign w:val="center"/>
            <w:hideMark/>
          </w:tcPr>
          <w:p w14:paraId="50F3D203"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FFFF00"/>
            <w:vAlign w:val="center"/>
            <w:hideMark/>
          </w:tcPr>
          <w:p w14:paraId="34CC8ACB"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A9D08E"/>
            <w:vAlign w:val="center"/>
            <w:hideMark/>
          </w:tcPr>
          <w:p w14:paraId="25F54F16"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A9D08E"/>
            <w:vAlign w:val="center"/>
            <w:hideMark/>
          </w:tcPr>
          <w:p w14:paraId="4EE7C174"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A9D08E"/>
            <w:vAlign w:val="center"/>
            <w:hideMark/>
          </w:tcPr>
          <w:p w14:paraId="2BF55D67"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8" w:type="dxa"/>
            <w:shd w:val="clear" w:color="000000" w:fill="A9D08E"/>
            <w:vAlign w:val="center"/>
            <w:hideMark/>
          </w:tcPr>
          <w:p w14:paraId="7F0CFF39"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FFFF00"/>
            <w:vAlign w:val="center"/>
            <w:hideMark/>
          </w:tcPr>
          <w:p w14:paraId="30A82080"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A9D08E"/>
            <w:vAlign w:val="center"/>
            <w:hideMark/>
          </w:tcPr>
          <w:p w14:paraId="3CF38C77"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FFFF00"/>
            <w:vAlign w:val="center"/>
            <w:hideMark/>
          </w:tcPr>
          <w:p w14:paraId="66609362"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8" w:type="dxa"/>
            <w:shd w:val="clear" w:color="000000" w:fill="BDD7EE"/>
            <w:vAlign w:val="center"/>
            <w:hideMark/>
          </w:tcPr>
          <w:p w14:paraId="220314DC"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r>
      <w:tr w:rsidR="00A57B14" w:rsidRPr="007375EB" w14:paraId="02B01CD3" w14:textId="77777777" w:rsidTr="00E84A56">
        <w:trPr>
          <w:trHeight w:val="123"/>
        </w:trPr>
        <w:tc>
          <w:tcPr>
            <w:tcW w:w="955" w:type="dxa"/>
            <w:shd w:val="clear" w:color="000000" w:fill="F2F2F2"/>
            <w:vAlign w:val="center"/>
            <w:hideMark/>
          </w:tcPr>
          <w:p w14:paraId="28A2C976"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OP2</w:t>
            </w:r>
          </w:p>
        </w:tc>
        <w:tc>
          <w:tcPr>
            <w:tcW w:w="534" w:type="dxa"/>
            <w:shd w:val="clear" w:color="000000" w:fill="BDD7EE"/>
            <w:vAlign w:val="center"/>
            <w:hideMark/>
          </w:tcPr>
          <w:p w14:paraId="0817786E"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34" w:type="dxa"/>
            <w:shd w:val="clear" w:color="000000" w:fill="A9D08E"/>
            <w:vAlign w:val="center"/>
            <w:hideMark/>
          </w:tcPr>
          <w:p w14:paraId="0773CF28"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98" w:type="dxa"/>
            <w:shd w:val="clear" w:color="000000" w:fill="BDD7EE"/>
            <w:vAlign w:val="center"/>
            <w:hideMark/>
          </w:tcPr>
          <w:p w14:paraId="00DEF80B"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0" w:type="dxa"/>
            <w:shd w:val="clear" w:color="000000" w:fill="A9D08E"/>
            <w:vAlign w:val="center"/>
            <w:hideMark/>
          </w:tcPr>
          <w:p w14:paraId="04DE6E8E"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0" w:type="dxa"/>
            <w:shd w:val="clear" w:color="000000" w:fill="BDD7EE"/>
            <w:vAlign w:val="center"/>
            <w:hideMark/>
          </w:tcPr>
          <w:p w14:paraId="6443E5AC"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649" w:type="dxa"/>
            <w:shd w:val="clear" w:color="000000" w:fill="BDD7EE"/>
            <w:vAlign w:val="center"/>
            <w:hideMark/>
          </w:tcPr>
          <w:p w14:paraId="1BCEE3A4"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FFFF00"/>
            <w:vAlign w:val="center"/>
            <w:hideMark/>
          </w:tcPr>
          <w:p w14:paraId="6AFFD13C"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BDD7EE"/>
            <w:vAlign w:val="center"/>
            <w:hideMark/>
          </w:tcPr>
          <w:p w14:paraId="730ACFA6"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BDD7EE"/>
            <w:vAlign w:val="center"/>
            <w:hideMark/>
          </w:tcPr>
          <w:p w14:paraId="00CD0008"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A9D08E"/>
            <w:vAlign w:val="center"/>
            <w:hideMark/>
          </w:tcPr>
          <w:p w14:paraId="5386D599"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8" w:type="dxa"/>
            <w:shd w:val="clear" w:color="000000" w:fill="A9D08E"/>
            <w:vAlign w:val="center"/>
            <w:hideMark/>
          </w:tcPr>
          <w:p w14:paraId="76BD2C3E"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FFFF00"/>
            <w:vAlign w:val="center"/>
            <w:hideMark/>
          </w:tcPr>
          <w:p w14:paraId="52572DC6"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A9D08E"/>
            <w:vAlign w:val="center"/>
            <w:hideMark/>
          </w:tcPr>
          <w:p w14:paraId="7583EA74"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A9D08E"/>
            <w:vAlign w:val="center"/>
            <w:hideMark/>
          </w:tcPr>
          <w:p w14:paraId="60C66910"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8" w:type="dxa"/>
            <w:shd w:val="clear" w:color="000000" w:fill="FFFF00"/>
            <w:vAlign w:val="center"/>
            <w:hideMark/>
          </w:tcPr>
          <w:p w14:paraId="36B96DA5"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r>
      <w:tr w:rsidR="00A57B14" w:rsidRPr="007375EB" w14:paraId="48605C3F" w14:textId="77777777" w:rsidTr="00E84A56">
        <w:trPr>
          <w:trHeight w:val="111"/>
        </w:trPr>
        <w:tc>
          <w:tcPr>
            <w:tcW w:w="955" w:type="dxa"/>
            <w:shd w:val="clear" w:color="000000" w:fill="F2F2F2"/>
            <w:vAlign w:val="center"/>
            <w:hideMark/>
          </w:tcPr>
          <w:p w14:paraId="394E81E0"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OP3</w:t>
            </w:r>
          </w:p>
        </w:tc>
        <w:tc>
          <w:tcPr>
            <w:tcW w:w="534" w:type="dxa"/>
            <w:shd w:val="clear" w:color="000000" w:fill="FFFF00"/>
            <w:vAlign w:val="center"/>
            <w:hideMark/>
          </w:tcPr>
          <w:p w14:paraId="13D94333"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34" w:type="dxa"/>
            <w:shd w:val="clear" w:color="000000" w:fill="FFFF00"/>
            <w:vAlign w:val="center"/>
            <w:hideMark/>
          </w:tcPr>
          <w:p w14:paraId="10F3B753"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98" w:type="dxa"/>
            <w:shd w:val="clear" w:color="000000" w:fill="FFFF00"/>
            <w:vAlign w:val="center"/>
            <w:hideMark/>
          </w:tcPr>
          <w:p w14:paraId="70CC9CAD"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0" w:type="dxa"/>
            <w:shd w:val="clear" w:color="000000" w:fill="A9D08E"/>
            <w:vAlign w:val="center"/>
            <w:hideMark/>
          </w:tcPr>
          <w:p w14:paraId="74A39B85"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0" w:type="dxa"/>
            <w:shd w:val="clear" w:color="000000" w:fill="FFE699"/>
            <w:vAlign w:val="center"/>
            <w:hideMark/>
          </w:tcPr>
          <w:p w14:paraId="43923520"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649" w:type="dxa"/>
            <w:shd w:val="clear" w:color="000000" w:fill="A9D08E"/>
            <w:vAlign w:val="center"/>
            <w:hideMark/>
          </w:tcPr>
          <w:p w14:paraId="5B0CF78C"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BDD7EE"/>
            <w:vAlign w:val="center"/>
            <w:hideMark/>
          </w:tcPr>
          <w:p w14:paraId="1B81976B"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FFFF00"/>
            <w:vAlign w:val="center"/>
            <w:hideMark/>
          </w:tcPr>
          <w:p w14:paraId="559AAA61"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BDD7EE"/>
            <w:vAlign w:val="center"/>
            <w:hideMark/>
          </w:tcPr>
          <w:p w14:paraId="29872228"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A9D08E"/>
            <w:vAlign w:val="center"/>
            <w:hideMark/>
          </w:tcPr>
          <w:p w14:paraId="403626FB"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8" w:type="dxa"/>
            <w:shd w:val="clear" w:color="000000" w:fill="A9D08E"/>
            <w:vAlign w:val="center"/>
            <w:hideMark/>
          </w:tcPr>
          <w:p w14:paraId="78824BD7"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FFFF00"/>
            <w:vAlign w:val="center"/>
            <w:hideMark/>
          </w:tcPr>
          <w:p w14:paraId="39A45D15"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BDD7EE"/>
            <w:vAlign w:val="center"/>
            <w:hideMark/>
          </w:tcPr>
          <w:p w14:paraId="7193D0B5"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BDD7EE"/>
            <w:vAlign w:val="center"/>
            <w:hideMark/>
          </w:tcPr>
          <w:p w14:paraId="4EBAA70A"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8" w:type="dxa"/>
            <w:shd w:val="clear" w:color="000000" w:fill="BDD7EE"/>
            <w:vAlign w:val="center"/>
            <w:hideMark/>
          </w:tcPr>
          <w:p w14:paraId="69A70B10"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r>
      <w:tr w:rsidR="00A57B14" w:rsidRPr="007375EB" w14:paraId="43FA7DB7" w14:textId="77777777" w:rsidTr="00E84A56">
        <w:trPr>
          <w:trHeight w:val="113"/>
        </w:trPr>
        <w:tc>
          <w:tcPr>
            <w:tcW w:w="955" w:type="dxa"/>
            <w:shd w:val="clear" w:color="000000" w:fill="F2F2F2"/>
            <w:vAlign w:val="center"/>
            <w:hideMark/>
          </w:tcPr>
          <w:p w14:paraId="33BFCB42"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OP4</w:t>
            </w:r>
          </w:p>
        </w:tc>
        <w:tc>
          <w:tcPr>
            <w:tcW w:w="534" w:type="dxa"/>
            <w:shd w:val="clear" w:color="000000" w:fill="FFFF00"/>
            <w:vAlign w:val="center"/>
            <w:hideMark/>
          </w:tcPr>
          <w:p w14:paraId="5FE56BCE"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34" w:type="dxa"/>
            <w:shd w:val="clear" w:color="000000" w:fill="FFFF00"/>
            <w:vAlign w:val="center"/>
            <w:hideMark/>
          </w:tcPr>
          <w:p w14:paraId="7F65ACF3"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98" w:type="dxa"/>
            <w:shd w:val="clear" w:color="000000" w:fill="FFFF00"/>
            <w:vAlign w:val="center"/>
            <w:hideMark/>
          </w:tcPr>
          <w:p w14:paraId="7AA8F4CA"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0" w:type="dxa"/>
            <w:shd w:val="clear" w:color="000000" w:fill="FFFF00"/>
            <w:vAlign w:val="center"/>
            <w:hideMark/>
          </w:tcPr>
          <w:p w14:paraId="3EC3D5CE"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0" w:type="dxa"/>
            <w:shd w:val="clear" w:color="000000" w:fill="FFFF00"/>
            <w:vAlign w:val="center"/>
            <w:hideMark/>
          </w:tcPr>
          <w:p w14:paraId="79EE1361"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649" w:type="dxa"/>
            <w:shd w:val="clear" w:color="000000" w:fill="BDD7EE"/>
            <w:vAlign w:val="center"/>
            <w:hideMark/>
          </w:tcPr>
          <w:p w14:paraId="3D6A5E62"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FFFF00"/>
            <w:vAlign w:val="center"/>
            <w:hideMark/>
          </w:tcPr>
          <w:p w14:paraId="34B3B00B"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A9D08E"/>
            <w:vAlign w:val="center"/>
            <w:hideMark/>
          </w:tcPr>
          <w:p w14:paraId="6C7552B0"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A9D08E"/>
            <w:vAlign w:val="center"/>
            <w:hideMark/>
          </w:tcPr>
          <w:p w14:paraId="6BF208B8"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A9D08E"/>
            <w:vAlign w:val="center"/>
            <w:hideMark/>
          </w:tcPr>
          <w:p w14:paraId="3F457281"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8" w:type="dxa"/>
            <w:shd w:val="clear" w:color="000000" w:fill="A9D08E"/>
            <w:vAlign w:val="center"/>
            <w:hideMark/>
          </w:tcPr>
          <w:p w14:paraId="66469BD9"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A9D08E"/>
            <w:vAlign w:val="center"/>
            <w:hideMark/>
          </w:tcPr>
          <w:p w14:paraId="3DD5BDA2"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BDD7EE"/>
            <w:vAlign w:val="center"/>
            <w:hideMark/>
          </w:tcPr>
          <w:p w14:paraId="4BD8B59C"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A9D08E"/>
            <w:vAlign w:val="center"/>
            <w:hideMark/>
          </w:tcPr>
          <w:p w14:paraId="53BBFFA2"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8" w:type="dxa"/>
            <w:shd w:val="clear" w:color="000000" w:fill="A9D08E"/>
            <w:vAlign w:val="center"/>
            <w:hideMark/>
          </w:tcPr>
          <w:p w14:paraId="6E4ABB25"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r>
      <w:tr w:rsidR="00A57B14" w:rsidRPr="007375EB" w14:paraId="52047C31" w14:textId="77777777" w:rsidTr="00E84A56">
        <w:trPr>
          <w:trHeight w:val="87"/>
        </w:trPr>
        <w:tc>
          <w:tcPr>
            <w:tcW w:w="955" w:type="dxa"/>
            <w:shd w:val="clear" w:color="000000" w:fill="F2F2F2"/>
            <w:vAlign w:val="center"/>
            <w:hideMark/>
          </w:tcPr>
          <w:p w14:paraId="7BB5B84F"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OP5</w:t>
            </w:r>
          </w:p>
        </w:tc>
        <w:tc>
          <w:tcPr>
            <w:tcW w:w="534" w:type="dxa"/>
            <w:shd w:val="clear" w:color="000000" w:fill="FFFF00"/>
            <w:vAlign w:val="center"/>
            <w:hideMark/>
          </w:tcPr>
          <w:p w14:paraId="056C9EF2"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34" w:type="dxa"/>
            <w:shd w:val="clear" w:color="000000" w:fill="A9D08E"/>
            <w:vAlign w:val="center"/>
            <w:hideMark/>
          </w:tcPr>
          <w:p w14:paraId="331A614A"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98" w:type="dxa"/>
            <w:shd w:val="clear" w:color="000000" w:fill="A9D08E"/>
            <w:vAlign w:val="center"/>
            <w:hideMark/>
          </w:tcPr>
          <w:p w14:paraId="16131047"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0" w:type="dxa"/>
            <w:shd w:val="clear" w:color="000000" w:fill="A9D08E"/>
            <w:vAlign w:val="center"/>
            <w:hideMark/>
          </w:tcPr>
          <w:p w14:paraId="746436B3"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0" w:type="dxa"/>
            <w:shd w:val="clear" w:color="000000" w:fill="BDD7EE"/>
            <w:vAlign w:val="center"/>
            <w:hideMark/>
          </w:tcPr>
          <w:p w14:paraId="43937919"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649" w:type="dxa"/>
            <w:shd w:val="clear" w:color="000000" w:fill="FFFF00"/>
            <w:vAlign w:val="center"/>
            <w:hideMark/>
          </w:tcPr>
          <w:p w14:paraId="0B998888"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FFFF00"/>
            <w:vAlign w:val="center"/>
            <w:hideMark/>
          </w:tcPr>
          <w:p w14:paraId="1C1771B8"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A9D08E"/>
            <w:vAlign w:val="center"/>
            <w:hideMark/>
          </w:tcPr>
          <w:p w14:paraId="4A726F0B"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A9D08E"/>
            <w:vAlign w:val="center"/>
            <w:hideMark/>
          </w:tcPr>
          <w:p w14:paraId="231AD29D"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A9D08E"/>
            <w:vAlign w:val="center"/>
            <w:hideMark/>
          </w:tcPr>
          <w:p w14:paraId="570E8DCD"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8" w:type="dxa"/>
            <w:shd w:val="clear" w:color="000000" w:fill="A9D08E"/>
            <w:vAlign w:val="center"/>
            <w:hideMark/>
          </w:tcPr>
          <w:p w14:paraId="6462D739"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FFFF00"/>
            <w:vAlign w:val="center"/>
            <w:hideMark/>
          </w:tcPr>
          <w:p w14:paraId="3EE7992C"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A9D08E"/>
            <w:vAlign w:val="center"/>
            <w:hideMark/>
          </w:tcPr>
          <w:p w14:paraId="55EC034D"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FFFF00"/>
            <w:vAlign w:val="center"/>
            <w:hideMark/>
          </w:tcPr>
          <w:p w14:paraId="5A478467"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8" w:type="dxa"/>
            <w:shd w:val="clear" w:color="000000" w:fill="BDD7EE"/>
            <w:vAlign w:val="center"/>
            <w:hideMark/>
          </w:tcPr>
          <w:p w14:paraId="04AF3EAF"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r>
      <w:tr w:rsidR="00A57B14" w:rsidRPr="007375EB" w14:paraId="527AE61D" w14:textId="77777777" w:rsidTr="00E84A56">
        <w:trPr>
          <w:trHeight w:val="75"/>
        </w:trPr>
        <w:tc>
          <w:tcPr>
            <w:tcW w:w="955" w:type="dxa"/>
            <w:shd w:val="clear" w:color="000000" w:fill="F2F2F2"/>
            <w:vAlign w:val="center"/>
            <w:hideMark/>
          </w:tcPr>
          <w:p w14:paraId="111D3B9F"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OP6</w:t>
            </w:r>
          </w:p>
        </w:tc>
        <w:tc>
          <w:tcPr>
            <w:tcW w:w="534" w:type="dxa"/>
            <w:shd w:val="clear" w:color="000000" w:fill="BDD7EE"/>
            <w:vAlign w:val="center"/>
            <w:hideMark/>
          </w:tcPr>
          <w:p w14:paraId="2984F1BE"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34" w:type="dxa"/>
            <w:shd w:val="clear" w:color="000000" w:fill="BDD7EE"/>
            <w:vAlign w:val="center"/>
            <w:hideMark/>
          </w:tcPr>
          <w:p w14:paraId="6C3ADB97"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98" w:type="dxa"/>
            <w:shd w:val="clear" w:color="000000" w:fill="BDD7EE"/>
            <w:vAlign w:val="center"/>
            <w:hideMark/>
          </w:tcPr>
          <w:p w14:paraId="29071A55"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0" w:type="dxa"/>
            <w:shd w:val="clear" w:color="000000" w:fill="BDD7EE"/>
            <w:vAlign w:val="center"/>
            <w:hideMark/>
          </w:tcPr>
          <w:p w14:paraId="1089E6B4"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0" w:type="dxa"/>
            <w:shd w:val="clear" w:color="000000" w:fill="BDD7EE"/>
            <w:vAlign w:val="center"/>
            <w:hideMark/>
          </w:tcPr>
          <w:p w14:paraId="1564473C"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649" w:type="dxa"/>
            <w:shd w:val="clear" w:color="000000" w:fill="BDD7EE"/>
            <w:vAlign w:val="center"/>
            <w:hideMark/>
          </w:tcPr>
          <w:p w14:paraId="430D72FB"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BDD7EE"/>
            <w:vAlign w:val="center"/>
            <w:hideMark/>
          </w:tcPr>
          <w:p w14:paraId="7600EB23"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BDD7EE"/>
            <w:vAlign w:val="center"/>
            <w:hideMark/>
          </w:tcPr>
          <w:p w14:paraId="1C498365"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BDD7EE"/>
            <w:vAlign w:val="center"/>
            <w:hideMark/>
          </w:tcPr>
          <w:p w14:paraId="4B427FE6"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A9D08E"/>
            <w:vAlign w:val="center"/>
            <w:hideMark/>
          </w:tcPr>
          <w:p w14:paraId="51317BF6"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8" w:type="dxa"/>
            <w:shd w:val="clear" w:color="000000" w:fill="FFE699"/>
            <w:vAlign w:val="center"/>
            <w:hideMark/>
          </w:tcPr>
          <w:p w14:paraId="726D6B4C"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BDD7EE"/>
            <w:vAlign w:val="center"/>
            <w:hideMark/>
          </w:tcPr>
          <w:p w14:paraId="6ABA4821"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BDD7EE"/>
            <w:vAlign w:val="center"/>
            <w:hideMark/>
          </w:tcPr>
          <w:p w14:paraId="076E0E35"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A9D08E"/>
            <w:vAlign w:val="center"/>
            <w:hideMark/>
          </w:tcPr>
          <w:p w14:paraId="2423B02B"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8" w:type="dxa"/>
            <w:shd w:val="clear" w:color="000000" w:fill="A9D08E"/>
            <w:vAlign w:val="center"/>
            <w:hideMark/>
          </w:tcPr>
          <w:p w14:paraId="082A1BD8"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r>
      <w:tr w:rsidR="00A57B14" w:rsidRPr="007375EB" w14:paraId="41E060EE" w14:textId="77777777" w:rsidTr="00E84A56">
        <w:trPr>
          <w:trHeight w:val="70"/>
        </w:trPr>
        <w:tc>
          <w:tcPr>
            <w:tcW w:w="955" w:type="dxa"/>
            <w:shd w:val="clear" w:color="000000" w:fill="F2F2F2"/>
            <w:vAlign w:val="center"/>
            <w:hideMark/>
          </w:tcPr>
          <w:p w14:paraId="4FDACCA9"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OP7</w:t>
            </w:r>
          </w:p>
        </w:tc>
        <w:tc>
          <w:tcPr>
            <w:tcW w:w="534" w:type="dxa"/>
            <w:shd w:val="clear" w:color="000000" w:fill="FFFF00"/>
            <w:vAlign w:val="center"/>
            <w:hideMark/>
          </w:tcPr>
          <w:p w14:paraId="17EA5F57"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34" w:type="dxa"/>
            <w:shd w:val="clear" w:color="000000" w:fill="FFFF00"/>
            <w:vAlign w:val="center"/>
            <w:hideMark/>
          </w:tcPr>
          <w:p w14:paraId="15584E52"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98" w:type="dxa"/>
            <w:shd w:val="clear" w:color="000000" w:fill="FFFF00"/>
            <w:vAlign w:val="center"/>
            <w:hideMark/>
          </w:tcPr>
          <w:p w14:paraId="77C15EBA"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0" w:type="dxa"/>
            <w:shd w:val="clear" w:color="000000" w:fill="FFFF00"/>
            <w:vAlign w:val="center"/>
            <w:hideMark/>
          </w:tcPr>
          <w:p w14:paraId="505BF596"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0" w:type="dxa"/>
            <w:shd w:val="clear" w:color="000000" w:fill="FFFF00"/>
            <w:vAlign w:val="center"/>
            <w:hideMark/>
          </w:tcPr>
          <w:p w14:paraId="72E96A9C"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649" w:type="dxa"/>
            <w:shd w:val="clear" w:color="000000" w:fill="FFFF00"/>
            <w:vAlign w:val="center"/>
            <w:hideMark/>
          </w:tcPr>
          <w:p w14:paraId="7FABCAD2"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FFFF00"/>
            <w:vAlign w:val="center"/>
            <w:hideMark/>
          </w:tcPr>
          <w:p w14:paraId="7C90C6B5"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FFE699"/>
            <w:vAlign w:val="center"/>
            <w:hideMark/>
          </w:tcPr>
          <w:p w14:paraId="592407A9"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A9D08E"/>
            <w:vAlign w:val="center"/>
            <w:hideMark/>
          </w:tcPr>
          <w:p w14:paraId="5646CC9D"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567" w:type="dxa"/>
            <w:shd w:val="clear" w:color="000000" w:fill="A9D08E"/>
            <w:vAlign w:val="center"/>
            <w:hideMark/>
          </w:tcPr>
          <w:p w14:paraId="7524844A"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8" w:type="dxa"/>
            <w:shd w:val="clear" w:color="000000" w:fill="A9D08E"/>
            <w:vAlign w:val="center"/>
            <w:hideMark/>
          </w:tcPr>
          <w:p w14:paraId="14F4023F"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A9D08E"/>
            <w:vAlign w:val="center"/>
            <w:hideMark/>
          </w:tcPr>
          <w:p w14:paraId="7006EBFF"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BDD7EE"/>
            <w:vAlign w:val="center"/>
            <w:hideMark/>
          </w:tcPr>
          <w:p w14:paraId="54988FEB"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9" w:type="dxa"/>
            <w:shd w:val="clear" w:color="000000" w:fill="BDD7EE"/>
            <w:vAlign w:val="center"/>
            <w:hideMark/>
          </w:tcPr>
          <w:p w14:paraId="7BD614FE"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c>
          <w:tcPr>
            <w:tcW w:w="708" w:type="dxa"/>
            <w:shd w:val="clear" w:color="000000" w:fill="BDD7EE"/>
            <w:vAlign w:val="center"/>
            <w:hideMark/>
          </w:tcPr>
          <w:p w14:paraId="5EF04052" w14:textId="77777777" w:rsidR="00A57B14" w:rsidRPr="007375EB" w:rsidRDefault="00A57B14" w:rsidP="00A57B14">
            <w:pPr>
              <w:spacing w:line="240" w:lineRule="auto"/>
              <w:jc w:val="center"/>
              <w:rPr>
                <w:rFonts w:eastAsia="Times New Roman" w:cs="Calibri"/>
                <w:color w:val="000000"/>
                <w:sz w:val="13"/>
                <w:szCs w:val="13"/>
                <w:lang w:val="bg-BG" w:eastAsia="ro-RO"/>
              </w:rPr>
            </w:pPr>
            <w:r w:rsidRPr="007375EB">
              <w:rPr>
                <w:rFonts w:eastAsia="Times New Roman" w:cs="Calibri"/>
                <w:color w:val="000000"/>
                <w:sz w:val="13"/>
                <w:szCs w:val="13"/>
                <w:lang w:val="bg-BG" w:eastAsia="ro-RO"/>
              </w:rPr>
              <w:t>-</w:t>
            </w:r>
          </w:p>
        </w:tc>
      </w:tr>
    </w:tbl>
    <w:p w14:paraId="504DD751" w14:textId="77777777" w:rsidR="00EF5ADE" w:rsidRPr="007375EB" w:rsidRDefault="00EF5ADE" w:rsidP="004826A5">
      <w:pPr>
        <w:pStyle w:val="BodyText"/>
        <w:spacing w:after="0" w:line="360" w:lineRule="auto"/>
        <w:jc w:val="both"/>
        <w:rPr>
          <w:rFonts w:eastAsia="EuroRoman"/>
          <w:lang w:val="bg-BG"/>
        </w:rPr>
      </w:pPr>
    </w:p>
    <w:p w14:paraId="3BDAEB7D" w14:textId="37C3C3BF" w:rsidR="004826A5" w:rsidRPr="007375EB" w:rsidRDefault="006B1084" w:rsidP="004826A5">
      <w:pPr>
        <w:pStyle w:val="BodyText"/>
        <w:spacing w:after="0" w:line="360" w:lineRule="auto"/>
        <w:jc w:val="both"/>
        <w:rPr>
          <w:rFonts w:eastAsia="EuroRoman"/>
          <w:lang w:val="bg-BG"/>
        </w:rPr>
      </w:pPr>
      <w:r w:rsidRPr="007375EB">
        <w:rPr>
          <w:rFonts w:eastAsia="EuroRoman"/>
          <w:lang w:val="bg-BG"/>
        </w:rPr>
        <w:t>Що се отнася до оценката на съвместимостта между целите на PUZ и екологичните цели, могат да се направят следните заключения</w:t>
      </w:r>
      <w:r w:rsidR="004826A5" w:rsidRPr="007375EB">
        <w:rPr>
          <w:rFonts w:eastAsia="EuroRoman"/>
          <w:lang w:val="bg-BG"/>
        </w:rPr>
        <w:t>:</w:t>
      </w:r>
    </w:p>
    <w:p w14:paraId="4EF6C29F" w14:textId="6A947789" w:rsidR="00F33499" w:rsidRPr="007375EB" w:rsidRDefault="003252AD" w:rsidP="0041531F">
      <w:pPr>
        <w:pStyle w:val="BodyText"/>
        <w:numPr>
          <w:ilvl w:val="0"/>
          <w:numId w:val="78"/>
        </w:numPr>
        <w:tabs>
          <w:tab w:val="left" w:pos="709"/>
        </w:tabs>
        <w:spacing w:after="0" w:line="360" w:lineRule="auto"/>
        <w:jc w:val="both"/>
        <w:rPr>
          <w:rFonts w:eastAsia="EuroRoman"/>
          <w:lang w:val="bg-BG"/>
        </w:rPr>
      </w:pPr>
      <w:r w:rsidRPr="007375EB">
        <w:rPr>
          <w:rFonts w:eastAsia="EuroRoman"/>
          <w:lang w:val="bg-BG"/>
        </w:rPr>
        <w:t>По отношение на ОР1 е налице съвместимост с екологичните цели, определени за въздуха, почвата, използването на природните ресурси (експлоатация на възобновяеми ресурси), биологичното разнообразие, населението и човешкото здраве, изменението на климата (намаляване на емисиите на парникови газове), в зависимост от някои допускания е налице съвместимост с екологичните цели, определени за водите, управлението на отпадъците, шума и вибрациите, ландшафта и изменението на климата.</w:t>
      </w:r>
    </w:p>
    <w:p w14:paraId="20481B77" w14:textId="5CDB9D2F" w:rsidR="0006339A" w:rsidRPr="007375EB" w:rsidRDefault="002A0E29" w:rsidP="0041531F">
      <w:pPr>
        <w:pStyle w:val="BodyText"/>
        <w:numPr>
          <w:ilvl w:val="0"/>
          <w:numId w:val="78"/>
        </w:numPr>
        <w:tabs>
          <w:tab w:val="left" w:pos="709"/>
        </w:tabs>
        <w:spacing w:after="0" w:line="360" w:lineRule="auto"/>
        <w:jc w:val="both"/>
        <w:rPr>
          <w:rFonts w:eastAsia="EuroRoman"/>
          <w:lang w:val="bg-BG"/>
        </w:rPr>
      </w:pPr>
      <w:r w:rsidRPr="007375EB">
        <w:rPr>
          <w:rFonts w:eastAsia="EuroRoman"/>
          <w:lang w:val="bg-BG"/>
        </w:rPr>
        <w:t xml:space="preserve">OP2 </w:t>
      </w:r>
      <w:r w:rsidR="00204462" w:rsidRPr="007375EB">
        <w:rPr>
          <w:rFonts w:eastAsia="EuroRoman"/>
          <w:lang w:val="bg-BG"/>
        </w:rPr>
        <w:t xml:space="preserve">е съвместима с целите за опазване на околната среда, определени за въздуха, използването на природните ресурси (експлоатация на възобновяеми ресурси), населението и човешкото здраве и изменението на климата; съвместимостта с целите за </w:t>
      </w:r>
      <w:r w:rsidR="00204462" w:rsidRPr="007375EB">
        <w:rPr>
          <w:rFonts w:eastAsia="EuroRoman"/>
          <w:lang w:val="bg-BG"/>
        </w:rPr>
        <w:lastRenderedPageBreak/>
        <w:t>опазване на околната среда, определени за шума, ландшафта и културното наследство, зависи от определени допускания</w:t>
      </w:r>
      <w:r w:rsidR="00EF2649" w:rsidRPr="007375EB">
        <w:rPr>
          <w:rFonts w:eastAsia="EuroRoman"/>
          <w:lang w:val="bg-BG"/>
        </w:rPr>
        <w:t>.</w:t>
      </w:r>
    </w:p>
    <w:p w14:paraId="47F5F304" w14:textId="547FE598" w:rsidR="001E50DC" w:rsidRPr="007375EB" w:rsidRDefault="00204462" w:rsidP="0041531F">
      <w:pPr>
        <w:pStyle w:val="BodyText"/>
        <w:numPr>
          <w:ilvl w:val="0"/>
          <w:numId w:val="78"/>
        </w:numPr>
        <w:tabs>
          <w:tab w:val="left" w:pos="709"/>
        </w:tabs>
        <w:spacing w:after="0" w:line="360" w:lineRule="auto"/>
        <w:jc w:val="both"/>
        <w:rPr>
          <w:rFonts w:eastAsia="EuroRoman"/>
          <w:lang w:val="bg-BG"/>
        </w:rPr>
      </w:pPr>
      <w:r w:rsidRPr="007375EB">
        <w:rPr>
          <w:rFonts w:eastAsia="EuroRoman"/>
          <w:lang w:val="bg-BG"/>
        </w:rPr>
        <w:t>По отношение на ОР3 е налице съвместимост с целите за опазване на околната среда, свързани с използването на природните ресурси (експлоатация на възобновяеми ресурси), управлението на отпадъците, населението и човешкото здраве, и в зависимост от някои допускания е налице съвместимост с целите за опазване на околната среда, свързани с водите, въздуха, почвата, биологичното разнообразие (опазване на местообитанията) и ландшафта. ОР3 и ОМ5 са идентични</w:t>
      </w:r>
      <w:r w:rsidR="005B1B13" w:rsidRPr="007375EB">
        <w:rPr>
          <w:rFonts w:eastAsia="EuroRoman"/>
          <w:lang w:val="bg-BG"/>
        </w:rPr>
        <w:t>.</w:t>
      </w:r>
    </w:p>
    <w:p w14:paraId="163AD5FA" w14:textId="69332AB8" w:rsidR="007A5B0B" w:rsidRPr="007375EB" w:rsidRDefault="00513744" w:rsidP="0041531F">
      <w:pPr>
        <w:pStyle w:val="BodyText"/>
        <w:numPr>
          <w:ilvl w:val="0"/>
          <w:numId w:val="78"/>
        </w:numPr>
        <w:tabs>
          <w:tab w:val="left" w:pos="709"/>
        </w:tabs>
        <w:spacing w:after="0" w:line="360" w:lineRule="auto"/>
        <w:jc w:val="both"/>
        <w:rPr>
          <w:rFonts w:eastAsia="EuroRoman"/>
          <w:lang w:val="bg-BG"/>
        </w:rPr>
      </w:pPr>
      <w:r w:rsidRPr="007375EB">
        <w:rPr>
          <w:rFonts w:eastAsia="EuroRoman"/>
          <w:lang w:val="bg-BG"/>
        </w:rPr>
        <w:t xml:space="preserve">OP4 </w:t>
      </w:r>
      <w:r w:rsidR="00204462" w:rsidRPr="007375EB">
        <w:rPr>
          <w:rFonts w:eastAsia="EuroRoman"/>
          <w:lang w:val="bg-BG"/>
        </w:rPr>
        <w:t>е съвместима с целите за опазване на околната среда, установени за биологичното разнообразие, човешкото население и здравето, ландшафта, изменението на климата (адаптиране) и културното наследство, а съвместимостта с целите за опазване на околната среда, установени за водите, въздуха, почвата, използването на природните ресурси, шума и вибрациите, зависи от определени предположения</w:t>
      </w:r>
      <w:r w:rsidR="00E42DA1" w:rsidRPr="007375EB">
        <w:rPr>
          <w:rFonts w:eastAsia="EuroRoman"/>
          <w:lang w:val="bg-BG"/>
        </w:rPr>
        <w:t>.</w:t>
      </w:r>
    </w:p>
    <w:p w14:paraId="1CB1E880" w14:textId="2183FF81" w:rsidR="008A0A04" w:rsidRPr="007375EB" w:rsidRDefault="00204462" w:rsidP="0041531F">
      <w:pPr>
        <w:pStyle w:val="BodyText"/>
        <w:numPr>
          <w:ilvl w:val="0"/>
          <w:numId w:val="78"/>
        </w:numPr>
        <w:tabs>
          <w:tab w:val="left" w:pos="709"/>
        </w:tabs>
        <w:spacing w:after="0" w:line="360" w:lineRule="auto"/>
        <w:jc w:val="both"/>
        <w:rPr>
          <w:rFonts w:eastAsia="EuroRoman"/>
          <w:lang w:val="bg-BG"/>
        </w:rPr>
      </w:pPr>
      <w:r w:rsidRPr="007375EB">
        <w:rPr>
          <w:rFonts w:eastAsia="EuroRoman"/>
          <w:lang w:val="bg-BG"/>
        </w:rPr>
        <w:t>По отношение на ОР5 е налице съвместимост с целите за опазване на околната среда, определени за въздуха, почвата, използването на природните ресурси (експлоатация на възобновяеми ресурси), биологичното разнообразие, населението и човешкото здраве и изменението на климата (намаляване на емисиите на парникови газове), както и съвместимост, зависеща от определени допускания, с целите за опазване на околната среда, определени за водите, управлението на отпадъците, шума и вибрациите, ландшафта и изменението на климата (адаптиране</w:t>
      </w:r>
      <w:r w:rsidR="008A0A04" w:rsidRPr="007375EB">
        <w:rPr>
          <w:rFonts w:eastAsia="EuroRoman"/>
          <w:lang w:val="bg-BG"/>
        </w:rPr>
        <w:t>).</w:t>
      </w:r>
    </w:p>
    <w:p w14:paraId="22809EC9" w14:textId="4096F288" w:rsidR="00B542B9" w:rsidRPr="007375EB" w:rsidRDefault="00BD38F3" w:rsidP="0041531F">
      <w:pPr>
        <w:pStyle w:val="BodyText"/>
        <w:numPr>
          <w:ilvl w:val="0"/>
          <w:numId w:val="78"/>
        </w:numPr>
        <w:tabs>
          <w:tab w:val="left" w:pos="709"/>
        </w:tabs>
        <w:spacing w:after="0" w:line="360" w:lineRule="auto"/>
        <w:jc w:val="both"/>
        <w:rPr>
          <w:rFonts w:eastAsia="EuroRoman"/>
          <w:lang w:val="bg-BG"/>
        </w:rPr>
      </w:pPr>
      <w:r w:rsidRPr="007375EB">
        <w:rPr>
          <w:rFonts w:eastAsia="EuroRoman"/>
          <w:lang w:val="bg-BG"/>
        </w:rPr>
        <w:t xml:space="preserve">OP6 </w:t>
      </w:r>
      <w:r w:rsidR="0080245D" w:rsidRPr="007375EB">
        <w:rPr>
          <w:rFonts w:eastAsia="EuroRoman"/>
          <w:lang w:val="bg-BG"/>
        </w:rPr>
        <w:t xml:space="preserve">е съвместима с екологичната цел, определена за човешкото население и здраве, изменението на климата (адаптиране) и културното наследство. ОР6 е идентична с </w:t>
      </w:r>
      <w:r w:rsidR="009918B6" w:rsidRPr="007375EB">
        <w:rPr>
          <w:rFonts w:eastAsia="EuroRoman"/>
          <w:lang w:val="bg-BG"/>
        </w:rPr>
        <w:t>OM11.</w:t>
      </w:r>
    </w:p>
    <w:p w14:paraId="72521B2B" w14:textId="6FCC1E0B" w:rsidR="00513744" w:rsidRPr="007375EB" w:rsidRDefault="009918B6" w:rsidP="0041531F">
      <w:pPr>
        <w:pStyle w:val="BodyText"/>
        <w:numPr>
          <w:ilvl w:val="0"/>
          <w:numId w:val="78"/>
        </w:numPr>
        <w:tabs>
          <w:tab w:val="left" w:pos="709"/>
        </w:tabs>
        <w:spacing w:after="0" w:line="360" w:lineRule="auto"/>
        <w:jc w:val="both"/>
        <w:rPr>
          <w:rFonts w:eastAsia="EuroRoman"/>
          <w:lang w:val="bg-BG"/>
        </w:rPr>
      </w:pPr>
      <w:r w:rsidRPr="007375EB">
        <w:rPr>
          <w:rFonts w:eastAsia="EuroRoman"/>
          <w:lang w:val="bg-BG"/>
        </w:rPr>
        <w:t xml:space="preserve">OP7 </w:t>
      </w:r>
      <w:r w:rsidR="0080245D" w:rsidRPr="007375EB">
        <w:rPr>
          <w:rFonts w:eastAsia="EuroRoman"/>
          <w:lang w:val="bg-BG"/>
        </w:rPr>
        <w:t xml:space="preserve">е съвместим с екологичната цел, установена за биологичното разнообразие, населението и човешкото здраве и ландшафта, и в зависимост от определени предположения е съвместим с екологичната цел за водата, въздуха, почвата, използването на природните ресурси, управлението на отпадъците и шума и вибрациите. OP7 е идентична с </w:t>
      </w:r>
      <w:r w:rsidRPr="007375EB">
        <w:rPr>
          <w:rFonts w:eastAsia="EuroRoman"/>
          <w:lang w:val="bg-BG"/>
        </w:rPr>
        <w:t>OM</w:t>
      </w:r>
      <w:r w:rsidR="00F91AC8" w:rsidRPr="007375EB">
        <w:rPr>
          <w:rFonts w:eastAsia="EuroRoman"/>
          <w:lang w:val="bg-BG"/>
        </w:rPr>
        <w:t>8</w:t>
      </w:r>
      <w:r w:rsidRPr="007375EB">
        <w:rPr>
          <w:rFonts w:eastAsia="EuroRoman"/>
          <w:lang w:val="bg-BG"/>
        </w:rPr>
        <w:t>.</w:t>
      </w:r>
    </w:p>
    <w:p w14:paraId="1AABFD5C" w14:textId="21F06FEC" w:rsidR="00487D94" w:rsidRPr="007375EB" w:rsidRDefault="00204462" w:rsidP="00E77561">
      <w:pPr>
        <w:spacing w:after="120" w:line="360" w:lineRule="auto"/>
        <w:jc w:val="both"/>
        <w:rPr>
          <w:lang w:val="bg-BG"/>
        </w:rPr>
      </w:pPr>
      <w:r w:rsidRPr="007375EB">
        <w:rPr>
          <w:lang w:val="bg-BG"/>
        </w:rPr>
        <w:t>При определянето на потенциалните въздействия върху околната среда бяха взети предвид</w:t>
      </w:r>
      <w:r w:rsidR="00487D94" w:rsidRPr="007375EB">
        <w:rPr>
          <w:lang w:val="bg-BG"/>
        </w:rPr>
        <w:t>:</w:t>
      </w:r>
    </w:p>
    <w:p w14:paraId="45F64C36" w14:textId="1AFEB518" w:rsidR="00204462" w:rsidRPr="007375EB" w:rsidRDefault="00204462" w:rsidP="00204462">
      <w:pPr>
        <w:pStyle w:val="ListParagraph"/>
        <w:numPr>
          <w:ilvl w:val="0"/>
          <w:numId w:val="65"/>
        </w:numPr>
        <w:tabs>
          <w:tab w:val="left" w:pos="284"/>
        </w:tabs>
        <w:spacing w:after="120" w:line="360" w:lineRule="auto"/>
        <w:jc w:val="both"/>
        <w:rPr>
          <w:lang w:val="bg-BG"/>
        </w:rPr>
      </w:pPr>
      <w:r w:rsidRPr="007375EB">
        <w:rPr>
          <w:lang w:val="bg-BG"/>
        </w:rPr>
        <w:t>всички дейности, необходими за осъществяването на проекта;</w:t>
      </w:r>
    </w:p>
    <w:p w14:paraId="14D68418" w14:textId="285D155E" w:rsidR="00204462" w:rsidRPr="007375EB" w:rsidRDefault="00204462" w:rsidP="00204462">
      <w:pPr>
        <w:pStyle w:val="ListParagraph"/>
        <w:numPr>
          <w:ilvl w:val="0"/>
          <w:numId w:val="65"/>
        </w:numPr>
        <w:tabs>
          <w:tab w:val="left" w:pos="284"/>
        </w:tabs>
        <w:spacing w:after="120" w:line="360" w:lineRule="auto"/>
        <w:jc w:val="both"/>
        <w:rPr>
          <w:lang w:val="bg-BG"/>
        </w:rPr>
      </w:pPr>
      <w:r w:rsidRPr="007375EB">
        <w:rPr>
          <w:lang w:val="bg-BG"/>
        </w:rPr>
        <w:t>всички компоненти на приемащата среда, т.е. средата, която ще понесе последиците от проекта;</w:t>
      </w:r>
    </w:p>
    <w:p w14:paraId="04964358" w14:textId="03A53E48" w:rsidR="00204462" w:rsidRPr="007375EB" w:rsidRDefault="00204462" w:rsidP="00204462">
      <w:pPr>
        <w:pStyle w:val="ListParagraph"/>
        <w:numPr>
          <w:ilvl w:val="0"/>
          <w:numId w:val="65"/>
        </w:numPr>
        <w:tabs>
          <w:tab w:val="left" w:pos="284"/>
        </w:tabs>
        <w:spacing w:after="120" w:line="360" w:lineRule="auto"/>
        <w:jc w:val="both"/>
        <w:rPr>
          <w:lang w:val="bg-BG"/>
        </w:rPr>
      </w:pPr>
      <w:r w:rsidRPr="007375EB">
        <w:rPr>
          <w:lang w:val="bg-BG"/>
        </w:rPr>
        <w:t>текущото състояние на приемащия екологичен фактор (качество на екологичния фактор);</w:t>
      </w:r>
    </w:p>
    <w:p w14:paraId="43666E08" w14:textId="0D4EE90F" w:rsidR="00487D94" w:rsidRPr="007375EB" w:rsidRDefault="00204462" w:rsidP="00204462">
      <w:pPr>
        <w:pStyle w:val="ListParagraph"/>
        <w:numPr>
          <w:ilvl w:val="0"/>
          <w:numId w:val="65"/>
        </w:numPr>
        <w:tabs>
          <w:tab w:val="left" w:pos="284"/>
        </w:tabs>
        <w:spacing w:after="120" w:line="360" w:lineRule="auto"/>
        <w:jc w:val="both"/>
        <w:rPr>
          <w:lang w:val="bg-BG"/>
        </w:rPr>
      </w:pPr>
      <w:r w:rsidRPr="007375EB">
        <w:rPr>
          <w:lang w:val="bg-BG"/>
        </w:rPr>
        <w:t>всички възможни взаимодействия между дейностите и компонентите на околната среда</w:t>
      </w:r>
      <w:r w:rsidR="00487D94" w:rsidRPr="007375EB">
        <w:rPr>
          <w:lang w:val="bg-BG"/>
        </w:rPr>
        <w:t>.</w:t>
      </w:r>
    </w:p>
    <w:p w14:paraId="44927FB1" w14:textId="77777777" w:rsidR="0080245D" w:rsidRPr="007375EB" w:rsidRDefault="0080245D" w:rsidP="00487D94">
      <w:pPr>
        <w:spacing w:after="120" w:line="360" w:lineRule="auto"/>
        <w:jc w:val="both"/>
        <w:rPr>
          <w:rFonts w:eastAsia="EuroRoman"/>
          <w:lang w:val="bg-BG"/>
        </w:rPr>
      </w:pPr>
      <w:r w:rsidRPr="007375EB">
        <w:rPr>
          <w:rFonts w:eastAsia="EuroRoman"/>
          <w:lang w:val="bg-BG"/>
        </w:rPr>
        <w:t xml:space="preserve">Оценката е извършена за всяка от проучваните алтернативи, като са взети предвид всички специфични за проекта фази (строителство, експлоатация и извеждане от експлоатация). Смята се, че фазата на извеждане от експлоатация включва дейности, подобни на тези от етапа на строителство. </w:t>
      </w:r>
    </w:p>
    <w:p w14:paraId="0AA39E44" w14:textId="1C27F945" w:rsidR="00487D94" w:rsidRPr="007375EB" w:rsidRDefault="0080245D" w:rsidP="00487D94">
      <w:pPr>
        <w:spacing w:after="120" w:line="360" w:lineRule="auto"/>
        <w:jc w:val="both"/>
        <w:rPr>
          <w:rFonts w:eastAsia="EuroRoman"/>
          <w:lang w:val="bg-BG"/>
        </w:rPr>
      </w:pPr>
      <w:r w:rsidRPr="007375EB">
        <w:rPr>
          <w:rFonts w:eastAsia="EuroRoman"/>
          <w:lang w:val="bg-BG"/>
        </w:rPr>
        <w:t>При оценката на потенциалните въздействия върху околната среда бяха разгледани само инвестициите, които създават рамката за проектите, изброени в приложение № 2 към Закон 292/2018 относно оценката на въздействието на някои публични и частни проекти върху околната среда</w:t>
      </w:r>
      <w:r w:rsidR="00487D94" w:rsidRPr="007375EB">
        <w:rPr>
          <w:rFonts w:eastAsia="EuroRoman"/>
          <w:lang w:val="bg-BG"/>
        </w:rPr>
        <w:t>.</w:t>
      </w:r>
    </w:p>
    <w:p w14:paraId="7363A347" w14:textId="18C81354" w:rsidR="00C819AF" w:rsidRPr="007375EB" w:rsidRDefault="0080245D" w:rsidP="00487D94">
      <w:pPr>
        <w:spacing w:after="120" w:line="360" w:lineRule="auto"/>
        <w:jc w:val="both"/>
        <w:rPr>
          <w:rFonts w:eastAsia="Verdana" w:cs="Verdana"/>
          <w:lang w:val="bg-BG"/>
        </w:rPr>
      </w:pPr>
      <w:r w:rsidRPr="007375EB">
        <w:rPr>
          <w:rFonts w:eastAsia="EuroRoman"/>
          <w:lang w:val="bg-BG"/>
        </w:rPr>
        <w:lastRenderedPageBreak/>
        <w:t>В следващата таблица са посочени основните интервенции, които ще произтекат от реализацията на вятърния парк</w:t>
      </w:r>
      <w:r w:rsidR="00C819AF" w:rsidRPr="007375EB">
        <w:rPr>
          <w:rFonts w:eastAsia="Verdana" w:cs="Verdana"/>
          <w:lang w:val="bg-BG"/>
        </w:rPr>
        <w:t>:</w:t>
      </w:r>
    </w:p>
    <w:p w14:paraId="54AC8E43" w14:textId="4466DD84" w:rsidR="003E4A46" w:rsidRPr="007375EB" w:rsidRDefault="0080245D" w:rsidP="003E4A46">
      <w:pPr>
        <w:pStyle w:val="Caption"/>
        <w:rPr>
          <w:rFonts w:eastAsia="EuroRoman"/>
          <w:color w:val="00B0F0"/>
          <w:sz w:val="16"/>
          <w:szCs w:val="16"/>
          <w:lang w:val="bg-BG"/>
        </w:rPr>
      </w:pPr>
      <w:r w:rsidRPr="007375EB">
        <w:rPr>
          <w:sz w:val="16"/>
          <w:szCs w:val="16"/>
          <w:lang w:val="bg-BG"/>
        </w:rPr>
        <w:t>Таблица</w:t>
      </w:r>
      <w:r w:rsidR="003E4A46" w:rsidRPr="007375EB">
        <w:rPr>
          <w:sz w:val="16"/>
          <w:szCs w:val="16"/>
          <w:lang w:val="bg-BG"/>
        </w:rPr>
        <w:t xml:space="preserve">  </w:t>
      </w:r>
      <w:r w:rsidR="003E4A46" w:rsidRPr="007375EB">
        <w:rPr>
          <w:sz w:val="16"/>
          <w:szCs w:val="16"/>
          <w:lang w:val="bg-BG"/>
        </w:rPr>
        <w:fldChar w:fldCharType="begin"/>
      </w:r>
      <w:r w:rsidR="003E4A46" w:rsidRPr="007375EB">
        <w:rPr>
          <w:sz w:val="16"/>
          <w:szCs w:val="16"/>
          <w:lang w:val="bg-BG"/>
        </w:rPr>
        <w:instrText xml:space="preserve"> STYLEREF 1 \s </w:instrText>
      </w:r>
      <w:r w:rsidR="003E4A46" w:rsidRPr="007375EB">
        <w:rPr>
          <w:sz w:val="16"/>
          <w:szCs w:val="16"/>
          <w:lang w:val="bg-BG"/>
        </w:rPr>
        <w:fldChar w:fldCharType="separate"/>
      </w:r>
      <w:r w:rsidR="003E4A46" w:rsidRPr="007375EB">
        <w:rPr>
          <w:noProof/>
          <w:sz w:val="16"/>
          <w:szCs w:val="16"/>
          <w:lang w:val="bg-BG"/>
        </w:rPr>
        <w:t>6</w:t>
      </w:r>
      <w:r w:rsidR="003E4A46" w:rsidRPr="007375EB">
        <w:rPr>
          <w:sz w:val="16"/>
          <w:szCs w:val="16"/>
          <w:lang w:val="bg-BG"/>
        </w:rPr>
        <w:fldChar w:fldCharType="end"/>
      </w:r>
      <w:r w:rsidR="003E4A46" w:rsidRPr="007375EB">
        <w:rPr>
          <w:sz w:val="16"/>
          <w:szCs w:val="16"/>
          <w:lang w:val="bg-BG"/>
        </w:rPr>
        <w:noBreakHyphen/>
      </w:r>
      <w:r w:rsidR="003E4A46" w:rsidRPr="007375EB">
        <w:rPr>
          <w:sz w:val="16"/>
          <w:szCs w:val="16"/>
          <w:lang w:val="bg-BG"/>
        </w:rPr>
        <w:fldChar w:fldCharType="begin"/>
      </w:r>
      <w:r w:rsidR="003E4A46" w:rsidRPr="007375EB">
        <w:rPr>
          <w:sz w:val="16"/>
          <w:szCs w:val="16"/>
          <w:lang w:val="bg-BG"/>
        </w:rPr>
        <w:instrText xml:space="preserve"> SEQ Tabel_ \* ARABIC \s 1 </w:instrText>
      </w:r>
      <w:r w:rsidR="003E4A46" w:rsidRPr="007375EB">
        <w:rPr>
          <w:sz w:val="16"/>
          <w:szCs w:val="16"/>
          <w:lang w:val="bg-BG"/>
        </w:rPr>
        <w:fldChar w:fldCharType="separate"/>
      </w:r>
      <w:r w:rsidR="00D715BC" w:rsidRPr="007375EB">
        <w:rPr>
          <w:noProof/>
          <w:sz w:val="16"/>
          <w:szCs w:val="16"/>
          <w:lang w:val="bg-BG"/>
        </w:rPr>
        <w:t>5</w:t>
      </w:r>
      <w:r w:rsidR="003E4A46" w:rsidRPr="007375EB">
        <w:rPr>
          <w:sz w:val="16"/>
          <w:szCs w:val="16"/>
          <w:lang w:val="bg-BG"/>
        </w:rPr>
        <w:fldChar w:fldCharType="end"/>
      </w:r>
      <w:r w:rsidR="003E4A46" w:rsidRPr="007375EB">
        <w:rPr>
          <w:sz w:val="16"/>
          <w:szCs w:val="16"/>
          <w:lang w:val="bg-BG"/>
        </w:rPr>
        <w:t xml:space="preserve"> </w:t>
      </w:r>
      <w:r w:rsidRPr="007375EB">
        <w:rPr>
          <w:rFonts w:eastAsia="EuroRoman"/>
          <w:color w:val="00B0F0"/>
          <w:sz w:val="16"/>
          <w:szCs w:val="16"/>
          <w:lang w:val="bg-BG"/>
        </w:rPr>
        <w:t xml:space="preserve">Основни интервенции, произтичащи от изпълнението на </w:t>
      </w:r>
      <w:r w:rsidR="003E4A46" w:rsidRPr="007375EB">
        <w:rPr>
          <w:rFonts w:eastAsia="EuroRoman"/>
          <w:color w:val="00B0F0"/>
          <w:sz w:val="16"/>
          <w:szCs w:val="16"/>
          <w:lang w:val="bg-BG"/>
        </w:rPr>
        <w:t xml:space="preserve">PUZ </w:t>
      </w:r>
    </w:p>
    <w:tbl>
      <w:tblPr>
        <w:tblStyle w:val="TableGrid0"/>
        <w:tblW w:w="9715" w:type="dxa"/>
        <w:tblInd w:w="6"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CellMar>
          <w:top w:w="41" w:type="dxa"/>
          <w:left w:w="107" w:type="dxa"/>
          <w:right w:w="52" w:type="dxa"/>
        </w:tblCellMar>
        <w:tblLook w:val="04A0" w:firstRow="1" w:lastRow="0" w:firstColumn="1" w:lastColumn="0" w:noHBand="0" w:noVBand="1"/>
      </w:tblPr>
      <w:tblGrid>
        <w:gridCol w:w="1519"/>
        <w:gridCol w:w="3800"/>
        <w:gridCol w:w="4396"/>
      </w:tblGrid>
      <w:tr w:rsidR="003B7355" w:rsidRPr="007375EB" w14:paraId="2770FA13" w14:textId="77777777" w:rsidTr="009A0A59">
        <w:trPr>
          <w:trHeight w:val="203"/>
          <w:tblHeader/>
        </w:trPr>
        <w:tc>
          <w:tcPr>
            <w:tcW w:w="1490" w:type="dxa"/>
            <w:shd w:val="clear" w:color="auto" w:fill="00B0F0"/>
          </w:tcPr>
          <w:p w14:paraId="0E1AEDB6" w14:textId="36BEA3FF" w:rsidR="003B7355" w:rsidRPr="007375EB" w:rsidRDefault="0080245D">
            <w:pPr>
              <w:rPr>
                <w:lang w:val="bg-BG"/>
              </w:rPr>
            </w:pPr>
            <w:r w:rsidRPr="007375EB">
              <w:rPr>
                <w:rFonts w:eastAsia="Verdana" w:cs="Verdana"/>
                <w:b/>
                <w:color w:val="FFFFFF"/>
                <w:sz w:val="16"/>
                <w:lang w:val="bg-BG"/>
              </w:rPr>
              <w:t>Етап</w:t>
            </w:r>
            <w:r w:rsidR="003B7355" w:rsidRPr="007375EB">
              <w:rPr>
                <w:rFonts w:eastAsia="Verdana" w:cs="Verdana"/>
                <w:b/>
                <w:color w:val="FFFFFF"/>
                <w:sz w:val="16"/>
                <w:lang w:val="bg-BG"/>
              </w:rPr>
              <w:t xml:space="preserve">  </w:t>
            </w:r>
          </w:p>
        </w:tc>
        <w:tc>
          <w:tcPr>
            <w:tcW w:w="3814" w:type="dxa"/>
            <w:shd w:val="clear" w:color="auto" w:fill="00B0F0"/>
          </w:tcPr>
          <w:p w14:paraId="3A1E289F" w14:textId="1A3C3DB8" w:rsidR="003B7355" w:rsidRPr="007375EB" w:rsidRDefault="0080245D">
            <w:pPr>
              <w:ind w:left="1"/>
              <w:rPr>
                <w:lang w:val="bg-BG"/>
              </w:rPr>
            </w:pPr>
            <w:r w:rsidRPr="007375EB">
              <w:rPr>
                <w:rFonts w:eastAsia="Verdana" w:cs="Verdana"/>
                <w:b/>
                <w:color w:val="FFFFFF"/>
                <w:sz w:val="16"/>
                <w:lang w:val="bg-BG"/>
              </w:rPr>
              <w:t>Вид на интервенция</w:t>
            </w:r>
          </w:p>
        </w:tc>
        <w:tc>
          <w:tcPr>
            <w:tcW w:w="4411" w:type="dxa"/>
            <w:shd w:val="clear" w:color="auto" w:fill="00B0F0"/>
          </w:tcPr>
          <w:p w14:paraId="32093CDF" w14:textId="3FF3C596" w:rsidR="003B7355" w:rsidRPr="007375EB" w:rsidRDefault="0080245D">
            <w:pPr>
              <w:ind w:left="1"/>
              <w:rPr>
                <w:lang w:val="bg-BG"/>
              </w:rPr>
            </w:pPr>
            <w:r w:rsidRPr="007375EB">
              <w:rPr>
                <w:rFonts w:eastAsia="Verdana" w:cs="Verdana"/>
                <w:b/>
                <w:color w:val="FFFFFF"/>
                <w:sz w:val="16"/>
                <w:lang w:val="bg-BG"/>
              </w:rPr>
              <w:t>Включени дейности</w:t>
            </w:r>
          </w:p>
        </w:tc>
      </w:tr>
      <w:tr w:rsidR="003B7355" w:rsidRPr="007375EB" w14:paraId="64302E98" w14:textId="77777777" w:rsidTr="009A0A59">
        <w:trPr>
          <w:trHeight w:val="1318"/>
        </w:trPr>
        <w:tc>
          <w:tcPr>
            <w:tcW w:w="1490" w:type="dxa"/>
            <w:vMerge w:val="restart"/>
            <w:shd w:val="clear" w:color="auto" w:fill="F2F2F2"/>
          </w:tcPr>
          <w:p w14:paraId="3436742F" w14:textId="09943F9F" w:rsidR="003B7355" w:rsidRPr="007375EB" w:rsidRDefault="0080245D">
            <w:pPr>
              <w:rPr>
                <w:lang w:val="bg-BG"/>
              </w:rPr>
            </w:pPr>
            <w:r w:rsidRPr="007375EB">
              <w:rPr>
                <w:rFonts w:eastAsia="Verdana" w:cs="Verdana"/>
                <w:b/>
                <w:sz w:val="16"/>
                <w:lang w:val="bg-BG"/>
              </w:rPr>
              <w:t xml:space="preserve">Изграждане </w:t>
            </w:r>
          </w:p>
        </w:tc>
        <w:tc>
          <w:tcPr>
            <w:tcW w:w="3814" w:type="dxa"/>
          </w:tcPr>
          <w:p w14:paraId="2813FB47" w14:textId="4A29F4D1" w:rsidR="003B7355" w:rsidRPr="007375EB" w:rsidRDefault="0080245D">
            <w:pPr>
              <w:ind w:left="1"/>
              <w:rPr>
                <w:lang w:val="bg-BG"/>
              </w:rPr>
            </w:pPr>
            <w:r w:rsidRPr="007375EB">
              <w:rPr>
                <w:rFonts w:eastAsia="Verdana" w:cs="Verdana"/>
                <w:b/>
                <w:sz w:val="16"/>
                <w:lang w:val="bg-BG"/>
              </w:rPr>
              <w:t>Изграждане на пътища за достъп</w:t>
            </w:r>
          </w:p>
        </w:tc>
        <w:tc>
          <w:tcPr>
            <w:tcW w:w="4411" w:type="dxa"/>
          </w:tcPr>
          <w:p w14:paraId="796F5775" w14:textId="77777777" w:rsidR="00C55FD2" w:rsidRPr="007375EB" w:rsidRDefault="00C55FD2" w:rsidP="00125F99">
            <w:pPr>
              <w:numPr>
                <w:ilvl w:val="0"/>
                <w:numId w:val="67"/>
              </w:numPr>
              <w:spacing w:after="21"/>
              <w:ind w:left="111" w:hanging="111"/>
              <w:rPr>
                <w:lang w:val="bg-BG"/>
              </w:rPr>
            </w:pPr>
            <w:r w:rsidRPr="007375EB">
              <w:rPr>
                <w:rFonts w:eastAsia="Verdana" w:cs="Verdana"/>
                <w:sz w:val="16"/>
                <w:lang w:val="bg-BG"/>
              </w:rPr>
              <w:t xml:space="preserve">Работи по почистване на растителността </w:t>
            </w:r>
          </w:p>
          <w:p w14:paraId="7C3874FA" w14:textId="77777777" w:rsidR="00C55FD2" w:rsidRPr="007375EB" w:rsidRDefault="00C55FD2" w:rsidP="00125F99">
            <w:pPr>
              <w:numPr>
                <w:ilvl w:val="0"/>
                <w:numId w:val="67"/>
              </w:numPr>
              <w:ind w:left="111" w:hanging="111"/>
              <w:rPr>
                <w:lang w:val="bg-BG"/>
              </w:rPr>
            </w:pPr>
            <w:r w:rsidRPr="007375EB">
              <w:rPr>
                <w:rFonts w:eastAsia="Verdana" w:cs="Verdana"/>
                <w:sz w:val="16"/>
                <w:lang w:val="bg-BG"/>
              </w:rPr>
              <w:t>Работи по отстраняване на горния слой почва</w:t>
            </w:r>
          </w:p>
          <w:p w14:paraId="3E253344" w14:textId="0E203270" w:rsidR="003B7355" w:rsidRPr="007375EB" w:rsidRDefault="00C55FD2" w:rsidP="00125F99">
            <w:pPr>
              <w:numPr>
                <w:ilvl w:val="0"/>
                <w:numId w:val="67"/>
              </w:numPr>
              <w:ind w:left="111" w:hanging="111"/>
              <w:rPr>
                <w:lang w:val="bg-BG"/>
              </w:rPr>
            </w:pPr>
            <w:r w:rsidRPr="007375EB">
              <w:rPr>
                <w:rFonts w:eastAsia="Verdana" w:cs="Verdana"/>
                <w:sz w:val="16"/>
                <w:lang w:val="bg-BG"/>
              </w:rPr>
              <w:t>Съхраняване на изкопана почва</w:t>
            </w:r>
          </w:p>
          <w:p w14:paraId="342C9E95" w14:textId="42F28004" w:rsidR="003B7355" w:rsidRPr="007375EB" w:rsidRDefault="00C55FD2" w:rsidP="00125F99">
            <w:pPr>
              <w:numPr>
                <w:ilvl w:val="0"/>
                <w:numId w:val="67"/>
              </w:numPr>
              <w:ind w:left="111" w:hanging="111"/>
              <w:rPr>
                <w:lang w:val="bg-BG"/>
              </w:rPr>
            </w:pPr>
            <w:r w:rsidRPr="007375EB">
              <w:rPr>
                <w:rFonts w:eastAsia="Verdana" w:cs="Verdana"/>
                <w:sz w:val="16"/>
                <w:lang w:val="bg-BG"/>
              </w:rPr>
              <w:t>Работи по уплътняване/подравняване</w:t>
            </w:r>
          </w:p>
          <w:p w14:paraId="2ECC7CAB" w14:textId="6C1B6DCA" w:rsidR="003B7355" w:rsidRPr="007375EB" w:rsidRDefault="00C55FD2" w:rsidP="00125F99">
            <w:pPr>
              <w:numPr>
                <w:ilvl w:val="0"/>
                <w:numId w:val="67"/>
              </w:numPr>
              <w:ind w:left="111" w:hanging="111"/>
              <w:rPr>
                <w:lang w:val="bg-BG"/>
              </w:rPr>
            </w:pPr>
            <w:r w:rsidRPr="007375EB">
              <w:rPr>
                <w:rFonts w:eastAsia="Verdana" w:cs="Verdana"/>
                <w:sz w:val="16"/>
                <w:lang w:val="bg-BG"/>
              </w:rPr>
              <w:t>Полагане на баластен слой</w:t>
            </w:r>
          </w:p>
          <w:p w14:paraId="75D76AFC" w14:textId="563D1F81" w:rsidR="003B7355" w:rsidRPr="007375EB" w:rsidRDefault="00C55FD2" w:rsidP="00125F99">
            <w:pPr>
              <w:numPr>
                <w:ilvl w:val="0"/>
                <w:numId w:val="67"/>
              </w:numPr>
              <w:ind w:left="111" w:hanging="111"/>
              <w:rPr>
                <w:lang w:val="bg-BG"/>
              </w:rPr>
            </w:pPr>
            <w:r w:rsidRPr="007375EB">
              <w:rPr>
                <w:rFonts w:eastAsia="Verdana" w:cs="Verdana"/>
                <w:sz w:val="16"/>
                <w:lang w:val="bg-BG"/>
              </w:rPr>
              <w:t>Движение на превозни средства на площадката/работа на необходимите машини</w:t>
            </w:r>
          </w:p>
        </w:tc>
      </w:tr>
      <w:tr w:rsidR="003B7355" w:rsidRPr="007375EB" w14:paraId="3E12B066" w14:textId="77777777" w:rsidTr="009A0A59">
        <w:trPr>
          <w:trHeight w:val="1310"/>
        </w:trPr>
        <w:tc>
          <w:tcPr>
            <w:tcW w:w="0" w:type="auto"/>
            <w:vMerge/>
          </w:tcPr>
          <w:p w14:paraId="27787089" w14:textId="77777777" w:rsidR="003B7355" w:rsidRPr="007375EB" w:rsidRDefault="003B7355">
            <w:pPr>
              <w:rPr>
                <w:lang w:val="bg-BG"/>
              </w:rPr>
            </w:pPr>
          </w:p>
        </w:tc>
        <w:tc>
          <w:tcPr>
            <w:tcW w:w="3814" w:type="dxa"/>
          </w:tcPr>
          <w:p w14:paraId="52820026" w14:textId="212B94B4" w:rsidR="003B7355" w:rsidRPr="007375EB" w:rsidRDefault="00C55FD2">
            <w:pPr>
              <w:ind w:left="1"/>
              <w:rPr>
                <w:lang w:val="bg-BG"/>
              </w:rPr>
            </w:pPr>
            <w:r w:rsidRPr="007375EB">
              <w:rPr>
                <w:rFonts w:eastAsia="Verdana" w:cs="Verdana"/>
                <w:b/>
                <w:sz w:val="16"/>
                <w:lang w:val="bg-BG"/>
              </w:rPr>
              <w:t>Създаване на технологични платформи и основи</w:t>
            </w:r>
          </w:p>
        </w:tc>
        <w:tc>
          <w:tcPr>
            <w:tcW w:w="4411" w:type="dxa"/>
          </w:tcPr>
          <w:p w14:paraId="7909B4EB" w14:textId="77777777" w:rsidR="00C55FD2" w:rsidRPr="007375EB" w:rsidRDefault="00C55FD2" w:rsidP="00C55FD2">
            <w:pPr>
              <w:numPr>
                <w:ilvl w:val="0"/>
                <w:numId w:val="67"/>
              </w:numPr>
              <w:spacing w:after="21"/>
              <w:ind w:left="111" w:hanging="111"/>
              <w:rPr>
                <w:lang w:val="bg-BG"/>
              </w:rPr>
            </w:pPr>
            <w:r w:rsidRPr="007375EB">
              <w:rPr>
                <w:rFonts w:eastAsia="Verdana" w:cs="Verdana"/>
                <w:sz w:val="16"/>
                <w:lang w:val="bg-BG"/>
              </w:rPr>
              <w:t xml:space="preserve">Работи по почистване на растителността </w:t>
            </w:r>
          </w:p>
          <w:p w14:paraId="76422BD5" w14:textId="046E81CD" w:rsidR="003B7355" w:rsidRPr="007375EB" w:rsidRDefault="00C55FD2" w:rsidP="00C55FD2">
            <w:pPr>
              <w:numPr>
                <w:ilvl w:val="0"/>
                <w:numId w:val="67"/>
              </w:numPr>
              <w:spacing w:after="21"/>
              <w:ind w:left="111" w:hanging="111"/>
              <w:rPr>
                <w:rFonts w:eastAsia="Verdana" w:cs="Verdana"/>
                <w:sz w:val="16"/>
                <w:lang w:val="bg-BG"/>
              </w:rPr>
            </w:pPr>
            <w:r w:rsidRPr="007375EB">
              <w:rPr>
                <w:rFonts w:eastAsia="Verdana" w:cs="Verdana"/>
                <w:sz w:val="16"/>
                <w:lang w:val="bg-BG"/>
              </w:rPr>
              <w:t>Работи по отстраняване на горния слой почва</w:t>
            </w:r>
          </w:p>
          <w:p w14:paraId="63987467" w14:textId="7DDE5C63" w:rsidR="003B7355" w:rsidRPr="007375EB" w:rsidRDefault="00C55FD2" w:rsidP="00125F99">
            <w:pPr>
              <w:numPr>
                <w:ilvl w:val="0"/>
                <w:numId w:val="67"/>
              </w:numPr>
              <w:ind w:left="111" w:hanging="111"/>
              <w:rPr>
                <w:rFonts w:eastAsia="Verdana" w:cs="Verdana"/>
                <w:sz w:val="16"/>
                <w:lang w:val="bg-BG"/>
              </w:rPr>
            </w:pPr>
            <w:r w:rsidRPr="007375EB">
              <w:rPr>
                <w:rFonts w:eastAsia="Verdana" w:cs="Verdana"/>
                <w:sz w:val="16"/>
                <w:lang w:val="bg-BG"/>
              </w:rPr>
              <w:t>Съхраняване на изкопана почва</w:t>
            </w:r>
          </w:p>
          <w:p w14:paraId="6AB66E27" w14:textId="0347BE50" w:rsidR="003B7355" w:rsidRPr="007375EB" w:rsidRDefault="00C55FD2" w:rsidP="00125F99">
            <w:pPr>
              <w:numPr>
                <w:ilvl w:val="0"/>
                <w:numId w:val="67"/>
              </w:numPr>
              <w:ind w:left="111" w:hanging="111"/>
              <w:rPr>
                <w:rFonts w:eastAsia="Verdana" w:cs="Verdana"/>
                <w:sz w:val="16"/>
                <w:szCs w:val="16"/>
                <w:lang w:val="bg-BG"/>
              </w:rPr>
            </w:pPr>
            <w:r w:rsidRPr="007375EB">
              <w:rPr>
                <w:rFonts w:eastAsia="Verdana" w:cs="Verdana"/>
                <w:sz w:val="16"/>
                <w:lang w:val="bg-BG"/>
              </w:rPr>
              <w:t>Работи по уплътняване/</w:t>
            </w:r>
            <w:r w:rsidRPr="007375EB">
              <w:rPr>
                <w:rFonts w:eastAsia="Verdana" w:cs="Verdana"/>
                <w:sz w:val="16"/>
                <w:szCs w:val="16"/>
                <w:lang w:val="bg-BG"/>
              </w:rPr>
              <w:t>подравняване</w:t>
            </w:r>
          </w:p>
          <w:p w14:paraId="73ACCD18" w14:textId="35F0CFC2" w:rsidR="003B7355" w:rsidRPr="007375EB" w:rsidRDefault="00C55FD2" w:rsidP="00C55FD2">
            <w:pPr>
              <w:numPr>
                <w:ilvl w:val="0"/>
                <w:numId w:val="67"/>
              </w:numPr>
              <w:ind w:left="111" w:hanging="111"/>
              <w:rPr>
                <w:sz w:val="16"/>
                <w:szCs w:val="16"/>
                <w:lang w:val="bg-BG"/>
              </w:rPr>
            </w:pPr>
            <w:r w:rsidRPr="007375EB">
              <w:rPr>
                <w:rFonts w:eastAsia="Verdana" w:cs="Verdana"/>
                <w:sz w:val="16"/>
                <w:szCs w:val="16"/>
                <w:lang w:val="bg-BG"/>
              </w:rPr>
              <w:t>Полагане на баластен слой</w:t>
            </w:r>
            <w:r w:rsidRPr="007375EB">
              <w:rPr>
                <w:sz w:val="16"/>
                <w:szCs w:val="16"/>
                <w:lang w:val="bg-BG"/>
              </w:rPr>
              <w:t>/фундамента</w:t>
            </w:r>
          </w:p>
          <w:p w14:paraId="47450662" w14:textId="2891ABBA" w:rsidR="003B7355" w:rsidRPr="007375EB" w:rsidRDefault="00C55FD2" w:rsidP="00125F99">
            <w:pPr>
              <w:numPr>
                <w:ilvl w:val="0"/>
                <w:numId w:val="67"/>
              </w:numPr>
              <w:ind w:left="111" w:hanging="111"/>
              <w:rPr>
                <w:rFonts w:eastAsia="Verdana" w:cs="Verdana"/>
                <w:sz w:val="16"/>
                <w:lang w:val="bg-BG"/>
              </w:rPr>
            </w:pPr>
            <w:r w:rsidRPr="007375EB">
              <w:rPr>
                <w:rFonts w:eastAsia="Verdana" w:cs="Verdana"/>
                <w:sz w:val="16"/>
                <w:lang w:val="bg-BG"/>
              </w:rPr>
              <w:t>Движение на превозни средства на площадката/работа на необходимите машини</w:t>
            </w:r>
          </w:p>
        </w:tc>
      </w:tr>
      <w:tr w:rsidR="003B7355" w:rsidRPr="007375EB" w14:paraId="4BF17D40" w14:textId="77777777" w:rsidTr="009A0A59">
        <w:trPr>
          <w:trHeight w:val="398"/>
        </w:trPr>
        <w:tc>
          <w:tcPr>
            <w:tcW w:w="0" w:type="auto"/>
            <w:vMerge/>
          </w:tcPr>
          <w:p w14:paraId="6E0607E0" w14:textId="77777777" w:rsidR="003B7355" w:rsidRPr="007375EB" w:rsidRDefault="003B7355">
            <w:pPr>
              <w:rPr>
                <w:lang w:val="bg-BG"/>
              </w:rPr>
            </w:pPr>
          </w:p>
        </w:tc>
        <w:tc>
          <w:tcPr>
            <w:tcW w:w="3814" w:type="dxa"/>
          </w:tcPr>
          <w:p w14:paraId="78691FDF" w14:textId="74DFC796" w:rsidR="003B7355" w:rsidRPr="007375EB" w:rsidRDefault="00C55FD2">
            <w:pPr>
              <w:ind w:left="1"/>
              <w:rPr>
                <w:lang w:val="bg-BG"/>
              </w:rPr>
            </w:pPr>
            <w:r w:rsidRPr="007375EB">
              <w:rPr>
                <w:rFonts w:eastAsia="Verdana" w:cs="Verdana"/>
                <w:b/>
                <w:sz w:val="16"/>
                <w:lang w:val="bg-BG"/>
              </w:rPr>
              <w:t>Монтаж на вятърни електроцентрали</w:t>
            </w:r>
          </w:p>
        </w:tc>
        <w:tc>
          <w:tcPr>
            <w:tcW w:w="4411" w:type="dxa"/>
          </w:tcPr>
          <w:p w14:paraId="73F8A5D2" w14:textId="7C65CE63" w:rsidR="003B7355" w:rsidRPr="007375EB" w:rsidRDefault="00C55FD2" w:rsidP="00125F99">
            <w:pPr>
              <w:numPr>
                <w:ilvl w:val="0"/>
                <w:numId w:val="67"/>
              </w:numPr>
              <w:ind w:left="111" w:hanging="111"/>
              <w:rPr>
                <w:rFonts w:eastAsia="Verdana" w:cs="Verdana"/>
                <w:sz w:val="16"/>
                <w:lang w:val="bg-BG"/>
              </w:rPr>
            </w:pPr>
            <w:r w:rsidRPr="007375EB">
              <w:rPr>
                <w:rFonts w:eastAsia="Verdana" w:cs="Verdana"/>
                <w:sz w:val="16"/>
                <w:lang w:val="bg-BG"/>
              </w:rPr>
              <w:t>Монтиране на колоната, гондолата и лопатките</w:t>
            </w:r>
          </w:p>
          <w:p w14:paraId="24FE5437" w14:textId="099511BF" w:rsidR="003B7355" w:rsidRPr="007375EB" w:rsidRDefault="0031049F" w:rsidP="00125F99">
            <w:pPr>
              <w:numPr>
                <w:ilvl w:val="0"/>
                <w:numId w:val="67"/>
              </w:numPr>
              <w:ind w:left="111" w:hanging="111"/>
              <w:rPr>
                <w:rFonts w:eastAsia="Verdana" w:cs="Verdana"/>
                <w:sz w:val="16"/>
                <w:lang w:val="bg-BG"/>
              </w:rPr>
            </w:pPr>
            <w:r w:rsidRPr="007375EB">
              <w:rPr>
                <w:rFonts w:eastAsia="Verdana" w:cs="Verdana"/>
                <w:sz w:val="16"/>
                <w:lang w:val="bg-BG"/>
              </w:rPr>
              <w:t>Пускане на необходимите машини</w:t>
            </w:r>
          </w:p>
        </w:tc>
      </w:tr>
      <w:tr w:rsidR="003B7355" w:rsidRPr="007375EB" w14:paraId="57BF0CA0" w14:textId="77777777" w:rsidTr="009A0A59">
        <w:trPr>
          <w:trHeight w:val="1839"/>
        </w:trPr>
        <w:tc>
          <w:tcPr>
            <w:tcW w:w="0" w:type="auto"/>
            <w:vMerge/>
          </w:tcPr>
          <w:p w14:paraId="0A5ECDBB" w14:textId="77777777" w:rsidR="003B7355" w:rsidRPr="007375EB" w:rsidRDefault="003B7355">
            <w:pPr>
              <w:rPr>
                <w:lang w:val="bg-BG"/>
              </w:rPr>
            </w:pPr>
          </w:p>
        </w:tc>
        <w:tc>
          <w:tcPr>
            <w:tcW w:w="3814" w:type="dxa"/>
          </w:tcPr>
          <w:p w14:paraId="72072B5D" w14:textId="194C98EE" w:rsidR="003B7355" w:rsidRPr="007375EB" w:rsidRDefault="00C55FD2">
            <w:pPr>
              <w:ind w:left="1" w:right="55"/>
              <w:jc w:val="both"/>
              <w:rPr>
                <w:lang w:val="bg-BG"/>
              </w:rPr>
            </w:pPr>
            <w:r w:rsidRPr="007375EB">
              <w:rPr>
                <w:rFonts w:eastAsia="Verdana" w:cs="Verdana"/>
                <w:b/>
                <w:sz w:val="16"/>
                <w:lang w:val="bg-BG"/>
              </w:rPr>
              <w:t>Извършване на електрически връзки и полагане на подземни кабели между ветрогенераторните групи</w:t>
            </w:r>
          </w:p>
        </w:tc>
        <w:tc>
          <w:tcPr>
            <w:tcW w:w="4411" w:type="dxa"/>
          </w:tcPr>
          <w:p w14:paraId="4025E4B3" w14:textId="77777777" w:rsidR="00C55FD2" w:rsidRPr="007375EB" w:rsidRDefault="00C55FD2" w:rsidP="00C55FD2">
            <w:pPr>
              <w:numPr>
                <w:ilvl w:val="0"/>
                <w:numId w:val="67"/>
              </w:numPr>
              <w:spacing w:after="21"/>
              <w:ind w:left="111" w:hanging="111"/>
              <w:rPr>
                <w:lang w:val="bg-BG"/>
              </w:rPr>
            </w:pPr>
            <w:r w:rsidRPr="007375EB">
              <w:rPr>
                <w:rFonts w:eastAsia="Verdana" w:cs="Verdana"/>
                <w:sz w:val="16"/>
                <w:lang w:val="bg-BG"/>
              </w:rPr>
              <w:t xml:space="preserve">Работи по почистване на растителността </w:t>
            </w:r>
          </w:p>
          <w:p w14:paraId="592EC497" w14:textId="08C38D62" w:rsidR="003B7355" w:rsidRPr="007375EB" w:rsidRDefault="00C55FD2" w:rsidP="00C55FD2">
            <w:pPr>
              <w:numPr>
                <w:ilvl w:val="0"/>
                <w:numId w:val="67"/>
              </w:numPr>
              <w:spacing w:after="21"/>
              <w:ind w:left="111" w:hanging="111"/>
              <w:rPr>
                <w:rFonts w:eastAsia="Verdana" w:cs="Verdana"/>
                <w:sz w:val="16"/>
                <w:lang w:val="bg-BG"/>
              </w:rPr>
            </w:pPr>
            <w:r w:rsidRPr="007375EB">
              <w:rPr>
                <w:rFonts w:eastAsia="Verdana" w:cs="Verdana"/>
                <w:sz w:val="16"/>
                <w:lang w:val="bg-BG"/>
              </w:rPr>
              <w:t>Работи по отстраняване на горния слой почва</w:t>
            </w:r>
          </w:p>
          <w:p w14:paraId="7238CC97" w14:textId="47DE0CCA" w:rsidR="003B7355" w:rsidRPr="007375EB" w:rsidRDefault="0031049F" w:rsidP="00125F99">
            <w:pPr>
              <w:numPr>
                <w:ilvl w:val="0"/>
                <w:numId w:val="67"/>
              </w:numPr>
              <w:ind w:left="111" w:hanging="111"/>
              <w:rPr>
                <w:rFonts w:eastAsia="Verdana" w:cs="Verdana"/>
                <w:sz w:val="16"/>
                <w:lang w:val="bg-BG"/>
              </w:rPr>
            </w:pPr>
            <w:r w:rsidRPr="007375EB">
              <w:rPr>
                <w:rFonts w:eastAsia="Verdana" w:cs="Verdana"/>
                <w:sz w:val="16"/>
                <w:lang w:val="bg-BG"/>
              </w:rPr>
              <w:t>Изкопни работи</w:t>
            </w:r>
          </w:p>
          <w:p w14:paraId="080DA0BD" w14:textId="3487FF33" w:rsidR="003B7355" w:rsidRPr="007375EB" w:rsidRDefault="00C55FD2" w:rsidP="00125F99">
            <w:pPr>
              <w:numPr>
                <w:ilvl w:val="0"/>
                <w:numId w:val="67"/>
              </w:numPr>
              <w:ind w:left="111" w:hanging="111"/>
              <w:rPr>
                <w:rFonts w:eastAsia="Verdana" w:cs="Verdana"/>
                <w:sz w:val="16"/>
                <w:lang w:val="bg-BG"/>
              </w:rPr>
            </w:pPr>
            <w:r w:rsidRPr="007375EB">
              <w:rPr>
                <w:rFonts w:eastAsia="Verdana" w:cs="Verdana"/>
                <w:sz w:val="16"/>
                <w:lang w:val="bg-BG"/>
              </w:rPr>
              <w:t>Съхраняване на изкопана почва</w:t>
            </w:r>
          </w:p>
          <w:p w14:paraId="0DDC2B16" w14:textId="76F31CB7" w:rsidR="003B7355" w:rsidRPr="007375EB" w:rsidRDefault="0031049F" w:rsidP="00125F99">
            <w:pPr>
              <w:numPr>
                <w:ilvl w:val="0"/>
                <w:numId w:val="67"/>
              </w:numPr>
              <w:ind w:left="111" w:hanging="111"/>
              <w:rPr>
                <w:rFonts w:eastAsia="Verdana" w:cs="Verdana"/>
                <w:sz w:val="16"/>
                <w:lang w:val="bg-BG"/>
              </w:rPr>
            </w:pPr>
            <w:r w:rsidRPr="007375EB">
              <w:rPr>
                <w:rFonts w:eastAsia="Verdana" w:cs="Verdana"/>
                <w:sz w:val="16"/>
                <w:lang w:val="bg-BG"/>
              </w:rPr>
              <w:t>Работа по инсталиране на кабели</w:t>
            </w:r>
          </w:p>
          <w:p w14:paraId="05D7B84B" w14:textId="77777777" w:rsidR="0031049F" w:rsidRPr="007375EB" w:rsidRDefault="0031049F" w:rsidP="00125F99">
            <w:pPr>
              <w:numPr>
                <w:ilvl w:val="0"/>
                <w:numId w:val="67"/>
              </w:numPr>
              <w:ind w:left="111" w:hanging="111"/>
              <w:rPr>
                <w:rFonts w:eastAsia="Verdana" w:cs="Verdana"/>
                <w:sz w:val="16"/>
                <w:lang w:val="bg-BG"/>
              </w:rPr>
            </w:pPr>
            <w:r w:rsidRPr="007375EB">
              <w:rPr>
                <w:rFonts w:eastAsia="Verdana" w:cs="Verdana"/>
                <w:sz w:val="16"/>
                <w:lang w:val="bg-BG"/>
              </w:rPr>
              <w:t>Работи по пълнене</w:t>
            </w:r>
          </w:p>
          <w:p w14:paraId="511AA223" w14:textId="139FD1D5" w:rsidR="003B7355" w:rsidRPr="007375EB" w:rsidRDefault="0031049F" w:rsidP="00125F99">
            <w:pPr>
              <w:numPr>
                <w:ilvl w:val="0"/>
                <w:numId w:val="67"/>
              </w:numPr>
              <w:ind w:left="111" w:hanging="111"/>
              <w:rPr>
                <w:rFonts w:eastAsia="Verdana" w:cs="Verdana"/>
                <w:sz w:val="16"/>
                <w:lang w:val="bg-BG"/>
              </w:rPr>
            </w:pPr>
            <w:r w:rsidRPr="007375EB">
              <w:rPr>
                <w:rFonts w:eastAsia="Verdana" w:cs="Verdana"/>
                <w:sz w:val="16"/>
                <w:lang w:val="bg-BG"/>
              </w:rPr>
              <w:t xml:space="preserve">Работи по </w:t>
            </w:r>
            <w:r w:rsidRPr="007375EB">
              <w:rPr>
                <w:rFonts w:eastAsia="Verdana" w:cs="Verdana"/>
                <w:sz w:val="16"/>
                <w:szCs w:val="16"/>
                <w:lang w:val="bg-BG"/>
              </w:rPr>
              <w:t>подравняване</w:t>
            </w:r>
          </w:p>
          <w:p w14:paraId="05CAFFAC" w14:textId="7EAB896F" w:rsidR="003B7355" w:rsidRPr="007375EB" w:rsidRDefault="00C55FD2" w:rsidP="00125F99">
            <w:pPr>
              <w:numPr>
                <w:ilvl w:val="0"/>
                <w:numId w:val="67"/>
              </w:numPr>
              <w:ind w:left="111" w:hanging="111"/>
              <w:rPr>
                <w:rFonts w:eastAsia="Verdana" w:cs="Verdana"/>
                <w:sz w:val="16"/>
                <w:lang w:val="bg-BG"/>
              </w:rPr>
            </w:pPr>
            <w:r w:rsidRPr="007375EB">
              <w:rPr>
                <w:rFonts w:eastAsia="Verdana" w:cs="Verdana"/>
                <w:sz w:val="16"/>
                <w:lang w:val="bg-BG"/>
              </w:rPr>
              <w:t>Движение на превозни средства на площадката/работа на необходимите машини</w:t>
            </w:r>
          </w:p>
        </w:tc>
      </w:tr>
      <w:tr w:rsidR="003B7355" w:rsidRPr="007375EB" w14:paraId="35402561" w14:textId="77777777" w:rsidTr="009A0A59">
        <w:trPr>
          <w:trHeight w:val="1633"/>
        </w:trPr>
        <w:tc>
          <w:tcPr>
            <w:tcW w:w="0" w:type="auto"/>
            <w:vMerge/>
          </w:tcPr>
          <w:p w14:paraId="5754373B" w14:textId="77777777" w:rsidR="003B7355" w:rsidRPr="007375EB" w:rsidRDefault="003B7355">
            <w:pPr>
              <w:rPr>
                <w:lang w:val="bg-BG"/>
              </w:rPr>
            </w:pPr>
          </w:p>
        </w:tc>
        <w:tc>
          <w:tcPr>
            <w:tcW w:w="3814" w:type="dxa"/>
          </w:tcPr>
          <w:p w14:paraId="54D7BBDB" w14:textId="0147A7CA" w:rsidR="003B7355" w:rsidRPr="007375EB" w:rsidRDefault="0031049F">
            <w:pPr>
              <w:ind w:left="1"/>
              <w:rPr>
                <w:lang w:val="bg-BG"/>
              </w:rPr>
            </w:pPr>
            <w:r w:rsidRPr="007375EB">
              <w:rPr>
                <w:rFonts w:eastAsia="Verdana" w:cs="Verdana"/>
                <w:b/>
                <w:sz w:val="16"/>
                <w:lang w:val="bg-BG"/>
              </w:rPr>
              <w:t>Изграждане на трансформаторни станции</w:t>
            </w:r>
          </w:p>
        </w:tc>
        <w:tc>
          <w:tcPr>
            <w:tcW w:w="4411" w:type="dxa"/>
          </w:tcPr>
          <w:p w14:paraId="1A046B92" w14:textId="62DA1AA0" w:rsidR="0080245D" w:rsidRPr="007375EB" w:rsidRDefault="0080245D" w:rsidP="00125F99">
            <w:pPr>
              <w:numPr>
                <w:ilvl w:val="0"/>
                <w:numId w:val="67"/>
              </w:numPr>
              <w:ind w:left="111" w:hanging="111"/>
              <w:rPr>
                <w:rFonts w:eastAsia="Verdana" w:cs="Verdana"/>
                <w:sz w:val="16"/>
                <w:lang w:val="bg-BG"/>
              </w:rPr>
            </w:pPr>
            <w:r w:rsidRPr="007375EB">
              <w:rPr>
                <w:rFonts w:eastAsia="Verdana" w:cs="Verdana"/>
                <w:sz w:val="16"/>
                <w:lang w:val="bg-BG"/>
              </w:rPr>
              <w:t>Работи по почистване на растителността</w:t>
            </w:r>
          </w:p>
          <w:p w14:paraId="301F7948" w14:textId="77777777" w:rsidR="0080245D" w:rsidRPr="007375EB" w:rsidRDefault="0080245D" w:rsidP="00125F99">
            <w:pPr>
              <w:numPr>
                <w:ilvl w:val="0"/>
                <w:numId w:val="67"/>
              </w:numPr>
              <w:ind w:left="111" w:hanging="111"/>
              <w:rPr>
                <w:rFonts w:eastAsia="Verdana" w:cs="Verdana"/>
                <w:sz w:val="16"/>
                <w:lang w:val="bg-BG"/>
              </w:rPr>
            </w:pPr>
            <w:r w:rsidRPr="007375EB">
              <w:rPr>
                <w:rFonts w:eastAsia="Verdana" w:cs="Verdana"/>
                <w:sz w:val="16"/>
                <w:lang w:val="bg-BG"/>
              </w:rPr>
              <w:t xml:space="preserve">Работи по разчистване на горния слой почва </w:t>
            </w:r>
          </w:p>
          <w:p w14:paraId="70AD7337" w14:textId="427C7ED8" w:rsidR="003B7355" w:rsidRPr="007375EB" w:rsidRDefault="0080245D" w:rsidP="0080245D">
            <w:pPr>
              <w:numPr>
                <w:ilvl w:val="0"/>
                <w:numId w:val="67"/>
              </w:numPr>
              <w:ind w:left="111" w:hanging="111"/>
              <w:rPr>
                <w:rFonts w:eastAsia="Verdana" w:cs="Verdana"/>
                <w:sz w:val="16"/>
                <w:lang w:val="bg-BG"/>
              </w:rPr>
            </w:pPr>
            <w:r w:rsidRPr="007375EB">
              <w:rPr>
                <w:rFonts w:eastAsia="Verdana" w:cs="Verdana"/>
                <w:sz w:val="16"/>
                <w:lang w:val="bg-BG"/>
              </w:rPr>
              <w:t xml:space="preserve">Изграждане на основи - изкопни работи и изливане на бетон </w:t>
            </w:r>
          </w:p>
          <w:p w14:paraId="0D989A3F" w14:textId="77777777" w:rsidR="0080245D" w:rsidRPr="007375EB" w:rsidRDefault="0080245D" w:rsidP="00125F99">
            <w:pPr>
              <w:numPr>
                <w:ilvl w:val="0"/>
                <w:numId w:val="67"/>
              </w:numPr>
              <w:spacing w:after="17" w:line="245" w:lineRule="auto"/>
              <w:ind w:left="111" w:hanging="111"/>
              <w:rPr>
                <w:rFonts w:eastAsia="Verdana" w:cs="Verdana"/>
                <w:sz w:val="16"/>
                <w:lang w:val="bg-BG"/>
              </w:rPr>
            </w:pPr>
            <w:r w:rsidRPr="007375EB">
              <w:rPr>
                <w:rFonts w:eastAsia="Verdana" w:cs="Verdana"/>
                <w:sz w:val="16"/>
                <w:lang w:val="bg-BG"/>
              </w:rPr>
              <w:t xml:space="preserve">Съхраняване на изкопана почва </w:t>
            </w:r>
          </w:p>
          <w:p w14:paraId="6749E76E" w14:textId="77777777" w:rsidR="0080245D" w:rsidRPr="007375EB" w:rsidRDefault="0080245D" w:rsidP="00125F99">
            <w:pPr>
              <w:numPr>
                <w:ilvl w:val="0"/>
                <w:numId w:val="67"/>
              </w:numPr>
              <w:ind w:left="111" w:hanging="111"/>
              <w:rPr>
                <w:rFonts w:eastAsia="Verdana" w:cs="Verdana"/>
                <w:sz w:val="16"/>
                <w:lang w:val="bg-BG"/>
              </w:rPr>
            </w:pPr>
            <w:r w:rsidRPr="007375EB">
              <w:rPr>
                <w:rFonts w:eastAsia="Verdana" w:cs="Verdana"/>
                <w:sz w:val="16"/>
                <w:lang w:val="bg-BG"/>
              </w:rPr>
              <w:t>Движение на превозни средства по площадката/работа на необходимите машини</w:t>
            </w:r>
          </w:p>
          <w:p w14:paraId="797C3633" w14:textId="77777777" w:rsidR="0080245D" w:rsidRPr="007375EB" w:rsidRDefault="0080245D" w:rsidP="00125F99">
            <w:pPr>
              <w:numPr>
                <w:ilvl w:val="0"/>
                <w:numId w:val="67"/>
              </w:numPr>
              <w:ind w:left="111" w:hanging="111"/>
              <w:rPr>
                <w:rFonts w:eastAsia="Verdana" w:cs="Verdana"/>
                <w:sz w:val="16"/>
                <w:lang w:val="bg-BG"/>
              </w:rPr>
            </w:pPr>
            <w:r w:rsidRPr="007375EB">
              <w:rPr>
                <w:rFonts w:eastAsia="Verdana" w:cs="Verdana"/>
                <w:sz w:val="16"/>
                <w:lang w:val="bg-BG"/>
              </w:rPr>
              <w:t xml:space="preserve">Монтаж на оборудване за трансформаторни подстанции </w:t>
            </w:r>
          </w:p>
          <w:p w14:paraId="3A284086" w14:textId="76DF8EF5" w:rsidR="003B7355" w:rsidRPr="007375EB" w:rsidRDefault="0080245D" w:rsidP="00125F99">
            <w:pPr>
              <w:numPr>
                <w:ilvl w:val="0"/>
                <w:numId w:val="67"/>
              </w:numPr>
              <w:ind w:left="111" w:hanging="111"/>
              <w:rPr>
                <w:rFonts w:eastAsia="Verdana" w:cs="Verdana"/>
                <w:sz w:val="16"/>
                <w:lang w:val="bg-BG"/>
              </w:rPr>
            </w:pPr>
            <w:r w:rsidRPr="007375EB">
              <w:rPr>
                <w:rFonts w:eastAsia="Verdana" w:cs="Verdana"/>
                <w:sz w:val="16"/>
                <w:lang w:val="bg-BG"/>
              </w:rPr>
              <w:t>Работи по ограждането на обекта</w:t>
            </w:r>
          </w:p>
        </w:tc>
      </w:tr>
      <w:tr w:rsidR="003B7355" w:rsidRPr="007375EB" w14:paraId="2EE051C6" w14:textId="77777777" w:rsidTr="009A0A59">
        <w:trPr>
          <w:trHeight w:val="1651"/>
        </w:trPr>
        <w:tc>
          <w:tcPr>
            <w:tcW w:w="0" w:type="auto"/>
            <w:vMerge/>
          </w:tcPr>
          <w:p w14:paraId="78E6C5C3" w14:textId="77777777" w:rsidR="003B7355" w:rsidRPr="007375EB" w:rsidRDefault="003B7355">
            <w:pPr>
              <w:rPr>
                <w:lang w:val="bg-BG"/>
              </w:rPr>
            </w:pPr>
          </w:p>
        </w:tc>
        <w:tc>
          <w:tcPr>
            <w:tcW w:w="3814" w:type="dxa"/>
          </w:tcPr>
          <w:p w14:paraId="483DCDA3" w14:textId="6A269213" w:rsidR="003B7355" w:rsidRPr="007375EB" w:rsidRDefault="0031049F">
            <w:pPr>
              <w:ind w:left="1"/>
              <w:rPr>
                <w:lang w:val="bg-BG"/>
              </w:rPr>
            </w:pPr>
            <w:r w:rsidRPr="007375EB">
              <w:rPr>
                <w:rFonts w:eastAsia="Verdana" w:cs="Verdana"/>
                <w:b/>
                <w:sz w:val="16"/>
                <w:lang w:val="bg-BG"/>
              </w:rPr>
              <w:t>Настройка на организацията на площадката</w:t>
            </w:r>
          </w:p>
        </w:tc>
        <w:tc>
          <w:tcPr>
            <w:tcW w:w="4411" w:type="dxa"/>
          </w:tcPr>
          <w:p w14:paraId="0606D38A" w14:textId="060B7CF1" w:rsidR="003B7355" w:rsidRPr="007375EB" w:rsidRDefault="0031049F" w:rsidP="00125F99">
            <w:pPr>
              <w:numPr>
                <w:ilvl w:val="0"/>
                <w:numId w:val="67"/>
              </w:numPr>
              <w:ind w:left="111" w:hanging="111"/>
              <w:rPr>
                <w:rFonts w:eastAsia="Verdana" w:cs="Verdana"/>
                <w:sz w:val="16"/>
                <w:lang w:val="bg-BG"/>
              </w:rPr>
            </w:pPr>
            <w:r w:rsidRPr="007375EB">
              <w:rPr>
                <w:rFonts w:eastAsia="Verdana" w:cs="Verdana"/>
                <w:sz w:val="16"/>
                <w:lang w:val="bg-BG"/>
              </w:rPr>
              <w:t>Устройство на земята – дейности по почистване на растителност</w:t>
            </w:r>
          </w:p>
          <w:p w14:paraId="4EEE0922" w14:textId="28264622" w:rsidR="003B7355" w:rsidRPr="007375EB" w:rsidRDefault="00A61A21" w:rsidP="00125F99">
            <w:pPr>
              <w:numPr>
                <w:ilvl w:val="0"/>
                <w:numId w:val="67"/>
              </w:numPr>
              <w:ind w:left="111" w:hanging="111"/>
              <w:rPr>
                <w:rFonts w:eastAsia="Verdana" w:cs="Verdana"/>
                <w:sz w:val="16"/>
                <w:lang w:val="bg-BG"/>
              </w:rPr>
            </w:pPr>
            <w:r w:rsidRPr="007375EB">
              <w:rPr>
                <w:rFonts w:eastAsia="Verdana" w:cs="Verdana"/>
                <w:sz w:val="16"/>
                <w:lang w:val="bg-BG"/>
              </w:rPr>
              <w:t>Разкриване на горния почвен слой</w:t>
            </w:r>
          </w:p>
          <w:p w14:paraId="1CE13971" w14:textId="5FC72D4C" w:rsidR="003B7355" w:rsidRPr="007375EB" w:rsidRDefault="00C55FD2" w:rsidP="00125F99">
            <w:pPr>
              <w:numPr>
                <w:ilvl w:val="0"/>
                <w:numId w:val="67"/>
              </w:numPr>
              <w:ind w:left="111" w:hanging="111"/>
              <w:rPr>
                <w:rFonts w:eastAsia="Verdana" w:cs="Verdana"/>
                <w:sz w:val="16"/>
                <w:lang w:val="bg-BG"/>
              </w:rPr>
            </w:pPr>
            <w:r w:rsidRPr="007375EB">
              <w:rPr>
                <w:rFonts w:eastAsia="Verdana" w:cs="Verdana"/>
                <w:sz w:val="16"/>
                <w:lang w:val="bg-BG"/>
              </w:rPr>
              <w:t>Съхраняване на изкопана почва</w:t>
            </w:r>
          </w:p>
          <w:p w14:paraId="07656099" w14:textId="0A5AE60F" w:rsidR="003B7355" w:rsidRPr="007375EB" w:rsidRDefault="00C55FD2" w:rsidP="00125F99">
            <w:pPr>
              <w:numPr>
                <w:ilvl w:val="0"/>
                <w:numId w:val="67"/>
              </w:numPr>
              <w:ind w:left="111" w:hanging="111"/>
              <w:rPr>
                <w:rFonts w:eastAsia="Verdana" w:cs="Verdana"/>
                <w:sz w:val="16"/>
                <w:lang w:val="bg-BG"/>
              </w:rPr>
            </w:pPr>
            <w:r w:rsidRPr="007375EB">
              <w:rPr>
                <w:rFonts w:eastAsia="Verdana" w:cs="Verdana"/>
                <w:sz w:val="16"/>
                <w:lang w:val="bg-BG"/>
              </w:rPr>
              <w:t>Полагане на баластен слой</w:t>
            </w:r>
          </w:p>
          <w:p w14:paraId="57377811" w14:textId="568560AB" w:rsidR="003B7355" w:rsidRPr="007375EB" w:rsidRDefault="0031049F" w:rsidP="00125F99">
            <w:pPr>
              <w:numPr>
                <w:ilvl w:val="0"/>
                <w:numId w:val="67"/>
              </w:numPr>
              <w:ind w:left="111" w:hanging="111"/>
              <w:rPr>
                <w:rFonts w:eastAsia="Verdana" w:cs="Verdana"/>
                <w:sz w:val="16"/>
                <w:lang w:val="bg-BG"/>
              </w:rPr>
            </w:pPr>
            <w:r w:rsidRPr="007375EB">
              <w:rPr>
                <w:rFonts w:eastAsia="Verdana" w:cs="Verdana"/>
                <w:sz w:val="16"/>
                <w:lang w:val="bg-BG"/>
              </w:rPr>
              <w:t>Работи по уплътняване/</w:t>
            </w:r>
            <w:r w:rsidRPr="007375EB">
              <w:rPr>
                <w:rFonts w:eastAsia="Verdana" w:cs="Verdana"/>
                <w:sz w:val="16"/>
                <w:szCs w:val="16"/>
                <w:lang w:val="bg-BG"/>
              </w:rPr>
              <w:t>подравняване</w:t>
            </w:r>
          </w:p>
          <w:p w14:paraId="0605FDA5" w14:textId="2AC477CB" w:rsidR="003B7355" w:rsidRPr="007375EB" w:rsidRDefault="00C55FD2" w:rsidP="00125F99">
            <w:pPr>
              <w:numPr>
                <w:ilvl w:val="0"/>
                <w:numId w:val="67"/>
              </w:numPr>
              <w:ind w:left="111" w:hanging="111"/>
              <w:rPr>
                <w:rFonts w:eastAsia="Verdana" w:cs="Verdana"/>
                <w:sz w:val="16"/>
                <w:lang w:val="bg-BG"/>
              </w:rPr>
            </w:pPr>
            <w:r w:rsidRPr="007375EB">
              <w:rPr>
                <w:rFonts w:eastAsia="Verdana" w:cs="Verdana"/>
                <w:sz w:val="16"/>
                <w:lang w:val="bg-BG"/>
              </w:rPr>
              <w:t>Движение на превозни средства на площадката/работа на необходимите машини</w:t>
            </w:r>
          </w:p>
        </w:tc>
      </w:tr>
      <w:tr w:rsidR="003B7355" w:rsidRPr="007375EB" w14:paraId="63D4EF10" w14:textId="77777777" w:rsidTr="009A0A59">
        <w:trPr>
          <w:trHeight w:val="1373"/>
        </w:trPr>
        <w:tc>
          <w:tcPr>
            <w:tcW w:w="0" w:type="auto"/>
            <w:vMerge/>
          </w:tcPr>
          <w:p w14:paraId="6EADE08F" w14:textId="77777777" w:rsidR="003B7355" w:rsidRPr="007375EB" w:rsidRDefault="003B7355">
            <w:pPr>
              <w:rPr>
                <w:lang w:val="bg-BG"/>
              </w:rPr>
            </w:pPr>
          </w:p>
        </w:tc>
        <w:tc>
          <w:tcPr>
            <w:tcW w:w="3814" w:type="dxa"/>
          </w:tcPr>
          <w:p w14:paraId="1F8CC0AB" w14:textId="1AE1032E" w:rsidR="003B7355" w:rsidRPr="007375EB" w:rsidRDefault="00A61A21">
            <w:pPr>
              <w:ind w:left="1"/>
              <w:jc w:val="both"/>
              <w:rPr>
                <w:lang w:val="bg-BG"/>
              </w:rPr>
            </w:pPr>
            <w:r w:rsidRPr="007375EB">
              <w:rPr>
                <w:rFonts w:eastAsia="Verdana" w:cs="Verdana"/>
                <w:b/>
                <w:sz w:val="16"/>
                <w:lang w:val="bg-BG"/>
              </w:rPr>
              <w:t>Рекултивация на земята в края на строителството</w:t>
            </w:r>
          </w:p>
        </w:tc>
        <w:tc>
          <w:tcPr>
            <w:tcW w:w="4411" w:type="dxa"/>
          </w:tcPr>
          <w:p w14:paraId="182EA00D" w14:textId="43C4962A" w:rsidR="003B7355" w:rsidRPr="007375EB" w:rsidRDefault="00A61A21" w:rsidP="00125F99">
            <w:pPr>
              <w:numPr>
                <w:ilvl w:val="0"/>
                <w:numId w:val="67"/>
              </w:numPr>
              <w:spacing w:after="23" w:line="238" w:lineRule="auto"/>
              <w:ind w:left="111" w:hanging="111"/>
              <w:jc w:val="both"/>
              <w:rPr>
                <w:rFonts w:eastAsia="Verdana" w:cs="Verdana"/>
                <w:sz w:val="16"/>
                <w:lang w:val="bg-BG"/>
              </w:rPr>
            </w:pPr>
            <w:r w:rsidRPr="007375EB">
              <w:rPr>
                <w:rFonts w:eastAsia="Verdana" w:cs="Verdana"/>
                <w:sz w:val="16"/>
                <w:lang w:val="bg-BG"/>
              </w:rPr>
              <w:t>Възстановяване на обекта, на който са извършени работите, и възстановяване на временно използваните площи</w:t>
            </w:r>
            <w:r w:rsidR="003B7355" w:rsidRPr="007375EB">
              <w:rPr>
                <w:rFonts w:eastAsia="Verdana" w:cs="Verdana"/>
                <w:sz w:val="16"/>
                <w:lang w:val="bg-BG"/>
              </w:rPr>
              <w:t xml:space="preserve">  </w:t>
            </w:r>
          </w:p>
          <w:p w14:paraId="4FBEBFE7" w14:textId="19A64D96" w:rsidR="003B7355" w:rsidRPr="007375EB" w:rsidRDefault="00A61A21" w:rsidP="00125F99">
            <w:pPr>
              <w:numPr>
                <w:ilvl w:val="0"/>
                <w:numId w:val="67"/>
              </w:numPr>
              <w:ind w:left="111" w:hanging="111"/>
              <w:rPr>
                <w:rFonts w:eastAsia="Verdana" w:cs="Verdana"/>
                <w:sz w:val="16"/>
                <w:lang w:val="bg-BG"/>
              </w:rPr>
            </w:pPr>
            <w:r w:rsidRPr="007375EB">
              <w:rPr>
                <w:rFonts w:eastAsia="Verdana" w:cs="Verdana"/>
                <w:sz w:val="16"/>
                <w:lang w:val="bg-BG"/>
              </w:rPr>
              <w:t>Работа по отстраняване на всички съоръжения, машини и отпадъци и възстановяване на горния почвен слой на временно използваните площи</w:t>
            </w:r>
          </w:p>
        </w:tc>
      </w:tr>
      <w:tr w:rsidR="003B7355" w:rsidRPr="007375EB" w14:paraId="7BB578F9" w14:textId="77777777" w:rsidTr="009A0A59">
        <w:trPr>
          <w:trHeight w:val="1359"/>
        </w:trPr>
        <w:tc>
          <w:tcPr>
            <w:tcW w:w="1490" w:type="dxa"/>
            <w:shd w:val="clear" w:color="auto" w:fill="F2F2F2"/>
          </w:tcPr>
          <w:p w14:paraId="7AE41319" w14:textId="57908B84" w:rsidR="003B7355" w:rsidRPr="007375EB" w:rsidRDefault="00A61A21">
            <w:pPr>
              <w:rPr>
                <w:lang w:val="bg-BG"/>
              </w:rPr>
            </w:pPr>
            <w:r w:rsidRPr="007375EB">
              <w:rPr>
                <w:rFonts w:eastAsia="Verdana" w:cs="Verdana"/>
                <w:b/>
                <w:sz w:val="16"/>
                <w:lang w:val="bg-BG"/>
              </w:rPr>
              <w:t>Експлоатация</w:t>
            </w:r>
          </w:p>
        </w:tc>
        <w:tc>
          <w:tcPr>
            <w:tcW w:w="3814" w:type="dxa"/>
          </w:tcPr>
          <w:p w14:paraId="1ABDA191" w14:textId="38B1F0DB" w:rsidR="003B7355" w:rsidRPr="007375EB" w:rsidRDefault="00A61A21">
            <w:pPr>
              <w:ind w:left="1"/>
              <w:rPr>
                <w:lang w:val="bg-BG"/>
              </w:rPr>
            </w:pPr>
            <w:r w:rsidRPr="007375EB">
              <w:rPr>
                <w:rFonts w:eastAsia="Verdana" w:cs="Verdana"/>
                <w:b/>
                <w:sz w:val="16"/>
                <w:lang w:val="bg-BG"/>
              </w:rPr>
              <w:t>Поддръжка и ремонти</w:t>
            </w:r>
          </w:p>
        </w:tc>
        <w:tc>
          <w:tcPr>
            <w:tcW w:w="4411" w:type="dxa"/>
          </w:tcPr>
          <w:p w14:paraId="10D84506" w14:textId="77777777" w:rsidR="00A61A21" w:rsidRPr="007375EB" w:rsidRDefault="00A61A21" w:rsidP="00A61A21">
            <w:pPr>
              <w:numPr>
                <w:ilvl w:val="0"/>
                <w:numId w:val="67"/>
              </w:numPr>
              <w:ind w:left="111" w:hanging="111"/>
              <w:rPr>
                <w:rFonts w:eastAsia="Verdana" w:cs="Verdana"/>
                <w:sz w:val="16"/>
                <w:lang w:val="bg-BG"/>
              </w:rPr>
            </w:pPr>
            <w:r w:rsidRPr="007375EB">
              <w:rPr>
                <w:rFonts w:eastAsia="Verdana" w:cs="Verdana"/>
                <w:sz w:val="16"/>
                <w:lang w:val="bg-BG"/>
              </w:rPr>
              <w:t>Движение на превозни средства/работа на необходимите машини/оборудване</w:t>
            </w:r>
          </w:p>
          <w:p w14:paraId="61B6C539" w14:textId="77777777" w:rsidR="00A61A21" w:rsidRPr="007375EB" w:rsidRDefault="00A61A21" w:rsidP="00A61A21">
            <w:pPr>
              <w:numPr>
                <w:ilvl w:val="0"/>
                <w:numId w:val="67"/>
              </w:numPr>
              <w:ind w:left="111" w:hanging="111"/>
              <w:rPr>
                <w:rFonts w:eastAsia="Verdana" w:cs="Verdana"/>
                <w:sz w:val="16"/>
                <w:lang w:val="bg-BG"/>
              </w:rPr>
            </w:pPr>
            <w:r w:rsidRPr="007375EB">
              <w:rPr>
                <w:rFonts w:eastAsia="Verdana" w:cs="Verdana"/>
                <w:sz w:val="16"/>
                <w:lang w:val="bg-BG"/>
              </w:rPr>
              <w:t xml:space="preserve">Интервенция и ремонт на вятърни електроцентрали </w:t>
            </w:r>
          </w:p>
          <w:p w14:paraId="4DA61B6C" w14:textId="77777777" w:rsidR="00A61A21" w:rsidRPr="007375EB" w:rsidRDefault="00A61A21" w:rsidP="00A61A21">
            <w:pPr>
              <w:numPr>
                <w:ilvl w:val="0"/>
                <w:numId w:val="67"/>
              </w:numPr>
              <w:ind w:left="111" w:hanging="111"/>
              <w:rPr>
                <w:rFonts w:eastAsia="Verdana" w:cs="Verdana"/>
                <w:sz w:val="16"/>
                <w:lang w:val="bg-BG"/>
              </w:rPr>
            </w:pPr>
            <w:r w:rsidRPr="007375EB">
              <w:rPr>
                <w:rFonts w:eastAsia="Verdana" w:cs="Verdana"/>
                <w:sz w:val="16"/>
                <w:lang w:val="bg-BG"/>
              </w:rPr>
              <w:t xml:space="preserve">Текущ ремонт, подмяна на оборудване </w:t>
            </w:r>
          </w:p>
          <w:p w14:paraId="67212ECA" w14:textId="1D6BDA65" w:rsidR="003B7355" w:rsidRPr="007375EB" w:rsidRDefault="00A61A21" w:rsidP="00A61A21">
            <w:pPr>
              <w:numPr>
                <w:ilvl w:val="0"/>
                <w:numId w:val="67"/>
              </w:numPr>
              <w:ind w:left="111" w:hanging="111"/>
              <w:rPr>
                <w:rFonts w:eastAsia="Verdana" w:cs="Verdana"/>
                <w:sz w:val="16"/>
                <w:lang w:val="bg-BG"/>
              </w:rPr>
            </w:pPr>
            <w:r w:rsidRPr="007375EB">
              <w:rPr>
                <w:rFonts w:eastAsia="Verdana" w:cs="Verdana"/>
                <w:sz w:val="16"/>
                <w:lang w:val="bg-BG"/>
              </w:rPr>
              <w:t>Смяна на масла/смазки</w:t>
            </w:r>
            <w:r w:rsidR="003B7355" w:rsidRPr="007375EB">
              <w:rPr>
                <w:rFonts w:eastAsia="Verdana" w:cs="Verdana"/>
                <w:sz w:val="16"/>
                <w:lang w:val="bg-BG"/>
              </w:rPr>
              <w:t xml:space="preserve"> </w:t>
            </w:r>
          </w:p>
          <w:p w14:paraId="2BDDEC0D" w14:textId="6C5C6752" w:rsidR="003B7355" w:rsidRPr="007375EB" w:rsidRDefault="00A61A21" w:rsidP="00125F99">
            <w:pPr>
              <w:numPr>
                <w:ilvl w:val="0"/>
                <w:numId w:val="67"/>
              </w:numPr>
              <w:ind w:left="111" w:hanging="111"/>
              <w:rPr>
                <w:rFonts w:eastAsia="Verdana" w:cs="Verdana"/>
                <w:sz w:val="16"/>
                <w:lang w:val="bg-BG"/>
              </w:rPr>
            </w:pPr>
            <w:r w:rsidRPr="007375EB">
              <w:rPr>
                <w:rFonts w:eastAsia="Verdana" w:cs="Verdana"/>
                <w:sz w:val="16"/>
                <w:lang w:val="bg-BG"/>
              </w:rPr>
              <w:t>Елиминиране на отпадъци от ремонти и поддръжка</w:t>
            </w:r>
          </w:p>
        </w:tc>
      </w:tr>
      <w:tr w:rsidR="003B7355" w:rsidRPr="007375EB" w14:paraId="5D81A9B4" w14:textId="77777777" w:rsidTr="009A0A59">
        <w:trPr>
          <w:trHeight w:val="1949"/>
        </w:trPr>
        <w:tc>
          <w:tcPr>
            <w:tcW w:w="1490" w:type="dxa"/>
            <w:vMerge w:val="restart"/>
            <w:shd w:val="clear" w:color="auto" w:fill="F2F2F2"/>
          </w:tcPr>
          <w:p w14:paraId="044E1DFD" w14:textId="77777777" w:rsidR="00A61A21" w:rsidRPr="007375EB" w:rsidRDefault="00A61A21" w:rsidP="00A61A21">
            <w:pPr>
              <w:jc w:val="both"/>
              <w:rPr>
                <w:rFonts w:eastAsia="Verdana" w:cs="Verdana"/>
                <w:bCs/>
                <w:i/>
                <w:iCs/>
                <w:sz w:val="16"/>
                <w:lang w:val="bg-BG"/>
              </w:rPr>
            </w:pPr>
            <w:r w:rsidRPr="007375EB">
              <w:rPr>
                <w:rFonts w:eastAsia="Verdana" w:cs="Verdana"/>
                <w:b/>
                <w:sz w:val="16"/>
                <w:lang w:val="bg-BG"/>
              </w:rPr>
              <w:lastRenderedPageBreak/>
              <w:t xml:space="preserve">ИЗВЕЖДАНЕ ОТ </w:t>
            </w:r>
            <w:r w:rsidRPr="007375EB">
              <w:rPr>
                <w:rFonts w:eastAsia="Verdana" w:cs="Verdana"/>
                <w:bCs/>
                <w:i/>
                <w:iCs/>
                <w:sz w:val="16"/>
                <w:lang w:val="bg-BG"/>
              </w:rPr>
              <w:t xml:space="preserve">ЕКСПЛОАТАЦИЯ </w:t>
            </w:r>
          </w:p>
          <w:p w14:paraId="43E11514" w14:textId="77777777" w:rsidR="00A61A21" w:rsidRPr="007375EB" w:rsidRDefault="00A61A21" w:rsidP="00A61A21">
            <w:pPr>
              <w:jc w:val="both"/>
              <w:rPr>
                <w:rFonts w:eastAsia="Verdana" w:cs="Verdana"/>
                <w:bCs/>
                <w:i/>
                <w:iCs/>
                <w:sz w:val="16"/>
                <w:lang w:val="bg-BG"/>
              </w:rPr>
            </w:pPr>
            <w:r w:rsidRPr="007375EB">
              <w:rPr>
                <w:rFonts w:eastAsia="Verdana" w:cs="Verdana"/>
                <w:bCs/>
                <w:i/>
                <w:iCs/>
                <w:sz w:val="16"/>
                <w:lang w:val="bg-BG"/>
              </w:rPr>
              <w:t xml:space="preserve">Интервенциите и дейностите са подобни на тези в етап на </w:t>
            </w:r>
          </w:p>
          <w:p w14:paraId="77AC8E43" w14:textId="2CF27383" w:rsidR="003B7355" w:rsidRPr="007375EB" w:rsidRDefault="00A61A21" w:rsidP="00A61A21">
            <w:pPr>
              <w:rPr>
                <w:lang w:val="bg-BG"/>
              </w:rPr>
            </w:pPr>
            <w:r w:rsidRPr="007375EB">
              <w:rPr>
                <w:rFonts w:eastAsia="Verdana" w:cs="Verdana"/>
                <w:bCs/>
                <w:i/>
                <w:iCs/>
                <w:sz w:val="16"/>
                <w:lang w:val="bg-BG"/>
              </w:rPr>
              <w:t>сграда</w:t>
            </w:r>
          </w:p>
        </w:tc>
        <w:tc>
          <w:tcPr>
            <w:tcW w:w="3814" w:type="dxa"/>
          </w:tcPr>
          <w:p w14:paraId="31DA9E26" w14:textId="77814F03" w:rsidR="003B7355" w:rsidRPr="007375EB" w:rsidRDefault="00A61A21">
            <w:pPr>
              <w:ind w:left="1"/>
              <w:rPr>
                <w:lang w:val="bg-BG"/>
              </w:rPr>
            </w:pPr>
            <w:r w:rsidRPr="007375EB">
              <w:rPr>
                <w:rFonts w:eastAsia="Verdana" w:cs="Verdana"/>
                <w:b/>
                <w:sz w:val="16"/>
                <w:lang w:val="bg-BG"/>
              </w:rPr>
              <w:t>Организация на строителната площадка</w:t>
            </w:r>
          </w:p>
        </w:tc>
        <w:tc>
          <w:tcPr>
            <w:tcW w:w="4411" w:type="dxa"/>
          </w:tcPr>
          <w:p w14:paraId="019212C4" w14:textId="18A1092C" w:rsidR="00A61A21" w:rsidRPr="007375EB" w:rsidRDefault="00A61A21" w:rsidP="00125F99">
            <w:pPr>
              <w:numPr>
                <w:ilvl w:val="0"/>
                <w:numId w:val="67"/>
              </w:numPr>
              <w:ind w:left="111" w:hanging="111"/>
              <w:rPr>
                <w:rFonts w:eastAsia="Verdana" w:cs="Verdana"/>
                <w:sz w:val="16"/>
                <w:lang w:val="bg-BG"/>
              </w:rPr>
            </w:pPr>
            <w:r w:rsidRPr="007375EB">
              <w:rPr>
                <w:rFonts w:eastAsia="Verdana" w:cs="Verdana"/>
                <w:sz w:val="16"/>
                <w:lang w:val="bg-BG"/>
              </w:rPr>
              <w:t xml:space="preserve">Устройство на земята </w:t>
            </w:r>
            <w:r w:rsidR="003B7355" w:rsidRPr="007375EB">
              <w:rPr>
                <w:rFonts w:eastAsia="Verdana" w:cs="Verdana"/>
                <w:sz w:val="16"/>
                <w:lang w:val="bg-BG"/>
              </w:rPr>
              <w:t xml:space="preserve">– </w:t>
            </w:r>
            <w:r w:rsidRPr="007375EB">
              <w:rPr>
                <w:rFonts w:eastAsia="Verdana" w:cs="Verdana"/>
                <w:sz w:val="16"/>
                <w:lang w:val="bg-BG"/>
              </w:rPr>
              <w:t xml:space="preserve">разчистване на растителност </w:t>
            </w:r>
          </w:p>
          <w:p w14:paraId="4856EC43" w14:textId="04E15A25" w:rsidR="003B7355" w:rsidRPr="007375EB" w:rsidRDefault="00A61A21" w:rsidP="00125F99">
            <w:pPr>
              <w:numPr>
                <w:ilvl w:val="0"/>
                <w:numId w:val="67"/>
              </w:numPr>
              <w:ind w:left="111" w:hanging="111"/>
              <w:rPr>
                <w:rFonts w:eastAsia="Verdana" w:cs="Verdana"/>
                <w:sz w:val="16"/>
                <w:lang w:val="bg-BG"/>
              </w:rPr>
            </w:pPr>
            <w:r w:rsidRPr="007375EB">
              <w:rPr>
                <w:rFonts w:eastAsia="Verdana" w:cs="Verdana"/>
                <w:sz w:val="16"/>
                <w:lang w:val="bg-BG"/>
              </w:rPr>
              <w:t>Разчистване на горния почвен слой</w:t>
            </w:r>
            <w:r w:rsidR="003B7355" w:rsidRPr="007375EB">
              <w:rPr>
                <w:rFonts w:eastAsia="Verdana" w:cs="Verdana"/>
                <w:sz w:val="16"/>
                <w:lang w:val="bg-BG"/>
              </w:rPr>
              <w:t xml:space="preserve"> </w:t>
            </w:r>
          </w:p>
          <w:p w14:paraId="49B28F9F" w14:textId="621942F8" w:rsidR="003B7355" w:rsidRPr="007375EB" w:rsidRDefault="00C55FD2" w:rsidP="00125F99">
            <w:pPr>
              <w:numPr>
                <w:ilvl w:val="0"/>
                <w:numId w:val="67"/>
              </w:numPr>
              <w:ind w:left="111" w:hanging="111"/>
              <w:rPr>
                <w:rFonts w:eastAsia="Verdana" w:cs="Verdana"/>
                <w:sz w:val="16"/>
                <w:lang w:val="bg-BG"/>
              </w:rPr>
            </w:pPr>
            <w:r w:rsidRPr="007375EB">
              <w:rPr>
                <w:rFonts w:eastAsia="Verdana" w:cs="Verdana"/>
                <w:sz w:val="16"/>
                <w:lang w:val="bg-BG"/>
              </w:rPr>
              <w:t>Съхраняване на изкопана почва</w:t>
            </w:r>
          </w:p>
          <w:p w14:paraId="623C92F6" w14:textId="0A48C21C" w:rsidR="003B7355" w:rsidRPr="007375EB" w:rsidRDefault="00C55FD2" w:rsidP="00125F99">
            <w:pPr>
              <w:numPr>
                <w:ilvl w:val="0"/>
                <w:numId w:val="67"/>
              </w:numPr>
              <w:ind w:left="111" w:hanging="111"/>
              <w:rPr>
                <w:rFonts w:eastAsia="Verdana" w:cs="Verdana"/>
                <w:sz w:val="16"/>
                <w:lang w:val="bg-BG"/>
              </w:rPr>
            </w:pPr>
            <w:r w:rsidRPr="007375EB">
              <w:rPr>
                <w:rFonts w:eastAsia="Verdana" w:cs="Verdana"/>
                <w:sz w:val="16"/>
                <w:lang w:val="bg-BG"/>
              </w:rPr>
              <w:t>Полагане на баластен слой</w:t>
            </w:r>
          </w:p>
          <w:p w14:paraId="48DEDD27" w14:textId="554AB213" w:rsidR="003B7355" w:rsidRPr="007375EB" w:rsidRDefault="00A61A21" w:rsidP="00125F99">
            <w:pPr>
              <w:numPr>
                <w:ilvl w:val="0"/>
                <w:numId w:val="67"/>
              </w:numPr>
              <w:ind w:left="111" w:hanging="111"/>
              <w:rPr>
                <w:rFonts w:eastAsia="Verdana" w:cs="Verdana"/>
                <w:sz w:val="16"/>
                <w:lang w:val="bg-BG"/>
              </w:rPr>
            </w:pPr>
            <w:r w:rsidRPr="007375EB">
              <w:rPr>
                <w:rFonts w:eastAsia="Verdana" w:cs="Verdana"/>
                <w:sz w:val="16"/>
                <w:lang w:val="bg-BG"/>
              </w:rPr>
              <w:t>Работи по уплътняване/</w:t>
            </w:r>
            <w:r w:rsidRPr="007375EB">
              <w:rPr>
                <w:rFonts w:eastAsia="Verdana" w:cs="Verdana"/>
                <w:sz w:val="16"/>
                <w:szCs w:val="16"/>
                <w:lang w:val="bg-BG"/>
              </w:rPr>
              <w:t>подравняване</w:t>
            </w:r>
          </w:p>
          <w:p w14:paraId="28D70FB0" w14:textId="186F9199" w:rsidR="003B7355" w:rsidRPr="007375EB" w:rsidRDefault="00A61A21" w:rsidP="00125F99">
            <w:pPr>
              <w:numPr>
                <w:ilvl w:val="0"/>
                <w:numId w:val="67"/>
              </w:numPr>
              <w:ind w:left="111" w:hanging="111"/>
              <w:rPr>
                <w:rFonts w:eastAsia="Verdana" w:cs="Verdana"/>
                <w:sz w:val="16"/>
                <w:lang w:val="bg-BG"/>
              </w:rPr>
            </w:pPr>
            <w:r w:rsidRPr="007375EB">
              <w:rPr>
                <w:rFonts w:eastAsia="Verdana" w:cs="Verdana"/>
                <w:sz w:val="16"/>
                <w:lang w:val="bg-BG"/>
              </w:rPr>
              <w:t>Движение на превозните средства на площадката/работа на машините, необходими за извършване на работите</w:t>
            </w:r>
          </w:p>
        </w:tc>
      </w:tr>
      <w:tr w:rsidR="003B7355" w:rsidRPr="007375EB" w14:paraId="072C5613" w14:textId="77777777" w:rsidTr="009A0A59">
        <w:trPr>
          <w:trHeight w:val="234"/>
        </w:trPr>
        <w:tc>
          <w:tcPr>
            <w:tcW w:w="0" w:type="auto"/>
            <w:vMerge/>
          </w:tcPr>
          <w:p w14:paraId="52584544" w14:textId="77777777" w:rsidR="003B7355" w:rsidRPr="007375EB" w:rsidRDefault="003B7355">
            <w:pPr>
              <w:rPr>
                <w:lang w:val="bg-BG"/>
              </w:rPr>
            </w:pPr>
          </w:p>
        </w:tc>
        <w:tc>
          <w:tcPr>
            <w:tcW w:w="3814" w:type="dxa"/>
          </w:tcPr>
          <w:p w14:paraId="1F662A9B" w14:textId="72AAF1DD" w:rsidR="003B7355" w:rsidRPr="007375EB" w:rsidRDefault="00954F26">
            <w:pPr>
              <w:ind w:left="1"/>
              <w:rPr>
                <w:lang w:val="bg-BG"/>
              </w:rPr>
            </w:pPr>
            <w:r w:rsidRPr="007375EB">
              <w:rPr>
                <w:rFonts w:eastAsia="Verdana" w:cs="Verdana"/>
                <w:b/>
                <w:sz w:val="16"/>
                <w:lang w:val="bg-BG"/>
              </w:rPr>
              <w:t>Демонтаж на вятърни електроцентрали</w:t>
            </w:r>
          </w:p>
        </w:tc>
        <w:tc>
          <w:tcPr>
            <w:tcW w:w="4411" w:type="dxa"/>
          </w:tcPr>
          <w:p w14:paraId="3853F009" w14:textId="192F7055" w:rsidR="003B7355" w:rsidRPr="007375EB" w:rsidRDefault="00954F26" w:rsidP="00125F99">
            <w:pPr>
              <w:numPr>
                <w:ilvl w:val="0"/>
                <w:numId w:val="67"/>
              </w:numPr>
              <w:ind w:left="111" w:hanging="111"/>
              <w:rPr>
                <w:rFonts w:eastAsia="Verdana" w:cs="Verdana"/>
                <w:sz w:val="16"/>
                <w:lang w:val="bg-BG"/>
              </w:rPr>
            </w:pPr>
            <w:r w:rsidRPr="007375EB">
              <w:rPr>
                <w:rFonts w:eastAsia="Verdana" w:cs="Verdana"/>
                <w:sz w:val="16"/>
                <w:lang w:val="bg-BG"/>
              </w:rPr>
              <w:t>Демонтиране на лопатките, гондолата и колоната</w:t>
            </w:r>
          </w:p>
        </w:tc>
      </w:tr>
      <w:tr w:rsidR="003B7355" w:rsidRPr="007375EB" w14:paraId="7D725E9F" w14:textId="77777777" w:rsidTr="009A0A59">
        <w:trPr>
          <w:trHeight w:val="1372"/>
        </w:trPr>
        <w:tc>
          <w:tcPr>
            <w:tcW w:w="0" w:type="auto"/>
            <w:vMerge/>
          </w:tcPr>
          <w:p w14:paraId="4AEED159" w14:textId="77777777" w:rsidR="003B7355" w:rsidRPr="007375EB" w:rsidRDefault="003B7355">
            <w:pPr>
              <w:rPr>
                <w:lang w:val="bg-BG"/>
              </w:rPr>
            </w:pPr>
          </w:p>
        </w:tc>
        <w:tc>
          <w:tcPr>
            <w:tcW w:w="3814" w:type="dxa"/>
          </w:tcPr>
          <w:p w14:paraId="46E210E2" w14:textId="1D717E49" w:rsidR="003B7355" w:rsidRPr="007375EB" w:rsidRDefault="00954F26">
            <w:pPr>
              <w:ind w:left="1"/>
              <w:jc w:val="both"/>
              <w:rPr>
                <w:lang w:val="bg-BG"/>
              </w:rPr>
            </w:pPr>
            <w:r w:rsidRPr="007375EB">
              <w:rPr>
                <w:rFonts w:eastAsia="Verdana" w:cs="Verdana"/>
                <w:b/>
                <w:sz w:val="16"/>
                <w:lang w:val="bg-BG"/>
              </w:rPr>
              <w:t>Извеждане от експлоатация на технологични платформи и фундаменти</w:t>
            </w:r>
          </w:p>
        </w:tc>
        <w:tc>
          <w:tcPr>
            <w:tcW w:w="4411" w:type="dxa"/>
          </w:tcPr>
          <w:p w14:paraId="3C99CFC6" w14:textId="77777777" w:rsidR="00C55FD2" w:rsidRPr="007375EB" w:rsidRDefault="00C55FD2" w:rsidP="00C55FD2">
            <w:pPr>
              <w:numPr>
                <w:ilvl w:val="0"/>
                <w:numId w:val="67"/>
              </w:numPr>
              <w:spacing w:after="21"/>
              <w:ind w:left="111" w:hanging="111"/>
              <w:rPr>
                <w:lang w:val="bg-BG"/>
              </w:rPr>
            </w:pPr>
            <w:r w:rsidRPr="007375EB">
              <w:rPr>
                <w:rFonts w:eastAsia="Verdana" w:cs="Verdana"/>
                <w:sz w:val="16"/>
                <w:lang w:val="bg-BG"/>
              </w:rPr>
              <w:t xml:space="preserve">Работи по почистване на растителността </w:t>
            </w:r>
          </w:p>
          <w:p w14:paraId="679F1A5A" w14:textId="73C4C19B" w:rsidR="003B7355" w:rsidRPr="007375EB" w:rsidRDefault="00C55FD2" w:rsidP="00C55FD2">
            <w:pPr>
              <w:numPr>
                <w:ilvl w:val="0"/>
                <w:numId w:val="67"/>
              </w:numPr>
              <w:spacing w:after="21"/>
              <w:ind w:left="111" w:hanging="111"/>
              <w:rPr>
                <w:rFonts w:eastAsia="Verdana" w:cs="Verdana"/>
                <w:sz w:val="16"/>
                <w:lang w:val="bg-BG"/>
              </w:rPr>
            </w:pPr>
            <w:r w:rsidRPr="007375EB">
              <w:rPr>
                <w:rFonts w:eastAsia="Verdana" w:cs="Verdana"/>
                <w:sz w:val="16"/>
                <w:lang w:val="bg-BG"/>
              </w:rPr>
              <w:t>Работи по отстраняване на горния слой почва</w:t>
            </w:r>
          </w:p>
          <w:p w14:paraId="5DC2CC34" w14:textId="5478F32F" w:rsidR="003B7355" w:rsidRPr="007375EB" w:rsidRDefault="00C55FD2" w:rsidP="00125F99">
            <w:pPr>
              <w:numPr>
                <w:ilvl w:val="0"/>
                <w:numId w:val="67"/>
              </w:numPr>
              <w:ind w:left="111" w:hanging="111"/>
              <w:rPr>
                <w:rFonts w:eastAsia="Verdana" w:cs="Verdana"/>
                <w:sz w:val="16"/>
                <w:lang w:val="bg-BG"/>
              </w:rPr>
            </w:pPr>
            <w:r w:rsidRPr="007375EB">
              <w:rPr>
                <w:rFonts w:eastAsia="Verdana" w:cs="Verdana"/>
                <w:sz w:val="16"/>
                <w:lang w:val="bg-BG"/>
              </w:rPr>
              <w:t>Съхраняване на изкопана почва</w:t>
            </w:r>
          </w:p>
          <w:p w14:paraId="5B7CAFEF" w14:textId="77777777" w:rsidR="00954F26" w:rsidRPr="007375EB" w:rsidRDefault="00954F26" w:rsidP="00125F99">
            <w:pPr>
              <w:numPr>
                <w:ilvl w:val="0"/>
                <w:numId w:val="67"/>
              </w:numPr>
              <w:ind w:left="111" w:hanging="111"/>
              <w:rPr>
                <w:rFonts w:eastAsia="Verdana" w:cs="Verdana"/>
                <w:sz w:val="16"/>
                <w:lang w:val="bg-BG"/>
              </w:rPr>
            </w:pPr>
            <w:r w:rsidRPr="007375EB">
              <w:rPr>
                <w:rFonts w:eastAsia="Verdana" w:cs="Verdana"/>
                <w:sz w:val="16"/>
                <w:lang w:val="bg-BG"/>
              </w:rPr>
              <w:t>Работи по разрушаване на основи</w:t>
            </w:r>
          </w:p>
          <w:p w14:paraId="28826A16" w14:textId="022B8AE9" w:rsidR="003B7355" w:rsidRPr="007375EB" w:rsidRDefault="0031049F" w:rsidP="00125F99">
            <w:pPr>
              <w:numPr>
                <w:ilvl w:val="0"/>
                <w:numId w:val="67"/>
              </w:numPr>
              <w:ind w:left="111" w:hanging="111"/>
              <w:rPr>
                <w:rFonts w:eastAsia="Verdana" w:cs="Verdana"/>
                <w:sz w:val="16"/>
                <w:lang w:val="bg-BG"/>
              </w:rPr>
            </w:pPr>
            <w:r w:rsidRPr="007375EB">
              <w:rPr>
                <w:rFonts w:eastAsia="Verdana" w:cs="Verdana"/>
                <w:sz w:val="16"/>
                <w:lang w:val="bg-BG"/>
              </w:rPr>
              <w:t>Работи по уплътняване/</w:t>
            </w:r>
            <w:r w:rsidRPr="007375EB">
              <w:rPr>
                <w:rFonts w:eastAsia="Verdana" w:cs="Verdana"/>
                <w:sz w:val="16"/>
                <w:szCs w:val="16"/>
                <w:lang w:val="bg-BG"/>
              </w:rPr>
              <w:t>подравняване</w:t>
            </w:r>
          </w:p>
          <w:p w14:paraId="2E2C8836" w14:textId="2494E5BD" w:rsidR="003B7355" w:rsidRPr="007375EB" w:rsidRDefault="00954F26" w:rsidP="00125F99">
            <w:pPr>
              <w:numPr>
                <w:ilvl w:val="0"/>
                <w:numId w:val="67"/>
              </w:numPr>
              <w:ind w:left="111" w:hanging="111"/>
              <w:rPr>
                <w:rFonts w:eastAsia="Verdana" w:cs="Verdana"/>
                <w:sz w:val="16"/>
                <w:lang w:val="bg-BG"/>
              </w:rPr>
            </w:pPr>
            <w:r w:rsidRPr="007375EB">
              <w:rPr>
                <w:rFonts w:eastAsia="Verdana" w:cs="Verdana"/>
                <w:sz w:val="16"/>
                <w:lang w:val="bg-BG"/>
              </w:rPr>
              <w:t>Движение на превозните средства на площадката/работа на машините, необходими за извършване на работите</w:t>
            </w:r>
          </w:p>
        </w:tc>
      </w:tr>
      <w:tr w:rsidR="003B7355" w:rsidRPr="007375EB" w14:paraId="78E71D81" w14:textId="77777777" w:rsidTr="009A0A59">
        <w:trPr>
          <w:trHeight w:val="1917"/>
        </w:trPr>
        <w:tc>
          <w:tcPr>
            <w:tcW w:w="0" w:type="auto"/>
            <w:vMerge/>
          </w:tcPr>
          <w:p w14:paraId="27A50641" w14:textId="77777777" w:rsidR="003B7355" w:rsidRPr="007375EB" w:rsidRDefault="003B7355">
            <w:pPr>
              <w:rPr>
                <w:lang w:val="bg-BG"/>
              </w:rPr>
            </w:pPr>
          </w:p>
        </w:tc>
        <w:tc>
          <w:tcPr>
            <w:tcW w:w="3814" w:type="dxa"/>
          </w:tcPr>
          <w:p w14:paraId="00EDB546" w14:textId="75013EF8" w:rsidR="003B7355" w:rsidRPr="007375EB" w:rsidRDefault="00954F26">
            <w:pPr>
              <w:ind w:left="1"/>
              <w:jc w:val="both"/>
              <w:rPr>
                <w:lang w:val="bg-BG"/>
              </w:rPr>
            </w:pPr>
            <w:r w:rsidRPr="007375EB">
              <w:rPr>
                <w:rFonts w:eastAsia="Verdana" w:cs="Verdana"/>
                <w:b/>
                <w:sz w:val="16"/>
                <w:lang w:val="bg-BG"/>
              </w:rPr>
              <w:t>Демонтиране на електрически връзки и премахване на подземни кабели</w:t>
            </w:r>
          </w:p>
        </w:tc>
        <w:tc>
          <w:tcPr>
            <w:tcW w:w="4411" w:type="dxa"/>
          </w:tcPr>
          <w:p w14:paraId="0022DFA7" w14:textId="77777777" w:rsidR="00C55FD2" w:rsidRPr="007375EB" w:rsidRDefault="00C55FD2" w:rsidP="00C55FD2">
            <w:pPr>
              <w:numPr>
                <w:ilvl w:val="0"/>
                <w:numId w:val="67"/>
              </w:numPr>
              <w:spacing w:after="21"/>
              <w:ind w:left="111" w:hanging="111"/>
              <w:rPr>
                <w:lang w:val="bg-BG"/>
              </w:rPr>
            </w:pPr>
            <w:r w:rsidRPr="007375EB">
              <w:rPr>
                <w:rFonts w:eastAsia="Verdana" w:cs="Verdana"/>
                <w:sz w:val="16"/>
                <w:lang w:val="bg-BG"/>
              </w:rPr>
              <w:t xml:space="preserve">Работи по почистване на растителността </w:t>
            </w:r>
          </w:p>
          <w:p w14:paraId="256DE092" w14:textId="54EAB760" w:rsidR="003B7355" w:rsidRPr="007375EB" w:rsidRDefault="00C55FD2" w:rsidP="00C55FD2">
            <w:pPr>
              <w:numPr>
                <w:ilvl w:val="0"/>
                <w:numId w:val="67"/>
              </w:numPr>
              <w:spacing w:after="21"/>
              <w:ind w:left="111" w:hanging="111"/>
              <w:rPr>
                <w:rFonts w:eastAsia="Verdana" w:cs="Verdana"/>
                <w:sz w:val="16"/>
                <w:lang w:val="bg-BG"/>
              </w:rPr>
            </w:pPr>
            <w:r w:rsidRPr="007375EB">
              <w:rPr>
                <w:rFonts w:eastAsia="Verdana" w:cs="Verdana"/>
                <w:sz w:val="16"/>
                <w:lang w:val="bg-BG"/>
              </w:rPr>
              <w:t>Работи по отстраняване на горния слой почва</w:t>
            </w:r>
          </w:p>
          <w:p w14:paraId="034D1689" w14:textId="375C7C6D" w:rsidR="003B7355" w:rsidRPr="007375EB" w:rsidRDefault="00954F26" w:rsidP="00125F99">
            <w:pPr>
              <w:numPr>
                <w:ilvl w:val="0"/>
                <w:numId w:val="67"/>
              </w:numPr>
              <w:ind w:left="111" w:hanging="111"/>
              <w:rPr>
                <w:rFonts w:eastAsia="Verdana" w:cs="Verdana"/>
                <w:sz w:val="16"/>
                <w:lang w:val="bg-BG"/>
              </w:rPr>
            </w:pPr>
            <w:r w:rsidRPr="007375EB">
              <w:rPr>
                <w:rFonts w:eastAsia="Verdana" w:cs="Verdana"/>
                <w:sz w:val="16"/>
                <w:lang w:val="bg-BG"/>
              </w:rPr>
              <w:t>Изкопни работи</w:t>
            </w:r>
          </w:p>
          <w:p w14:paraId="3F6642E9" w14:textId="4F748F21" w:rsidR="003B7355" w:rsidRPr="007375EB" w:rsidRDefault="00C55FD2" w:rsidP="00125F99">
            <w:pPr>
              <w:numPr>
                <w:ilvl w:val="0"/>
                <w:numId w:val="67"/>
              </w:numPr>
              <w:ind w:left="111" w:hanging="111"/>
              <w:rPr>
                <w:rFonts w:eastAsia="Verdana" w:cs="Verdana"/>
                <w:sz w:val="16"/>
                <w:lang w:val="bg-BG"/>
              </w:rPr>
            </w:pPr>
            <w:r w:rsidRPr="007375EB">
              <w:rPr>
                <w:rFonts w:eastAsia="Verdana" w:cs="Verdana"/>
                <w:sz w:val="16"/>
                <w:lang w:val="bg-BG"/>
              </w:rPr>
              <w:t>Съхраняване на изкопана почва</w:t>
            </w:r>
          </w:p>
          <w:p w14:paraId="057D2C8E" w14:textId="77777777" w:rsidR="00954F26" w:rsidRPr="007375EB" w:rsidRDefault="00954F26" w:rsidP="00125F99">
            <w:pPr>
              <w:numPr>
                <w:ilvl w:val="0"/>
                <w:numId w:val="67"/>
              </w:numPr>
              <w:spacing w:after="21"/>
              <w:ind w:left="111" w:hanging="111"/>
              <w:rPr>
                <w:rFonts w:eastAsia="Verdana" w:cs="Verdana"/>
                <w:sz w:val="16"/>
                <w:lang w:val="bg-BG"/>
              </w:rPr>
            </w:pPr>
            <w:r w:rsidRPr="007375EB">
              <w:rPr>
                <w:rFonts w:eastAsia="Verdana" w:cs="Verdana"/>
                <w:sz w:val="16"/>
                <w:lang w:val="bg-BG"/>
              </w:rPr>
              <w:t xml:space="preserve">Премахване на електрически кабели </w:t>
            </w:r>
          </w:p>
          <w:p w14:paraId="61751F25" w14:textId="77777777" w:rsidR="006B7D28" w:rsidRPr="007375EB" w:rsidRDefault="006B7D28" w:rsidP="00125F99">
            <w:pPr>
              <w:numPr>
                <w:ilvl w:val="0"/>
                <w:numId w:val="67"/>
              </w:numPr>
              <w:ind w:left="111" w:hanging="111"/>
              <w:rPr>
                <w:rFonts w:eastAsia="Verdana" w:cs="Verdana"/>
                <w:sz w:val="16"/>
                <w:lang w:val="bg-BG"/>
              </w:rPr>
            </w:pPr>
            <w:r w:rsidRPr="007375EB">
              <w:rPr>
                <w:rFonts w:eastAsia="Verdana" w:cs="Verdana"/>
                <w:sz w:val="16"/>
                <w:lang w:val="bg-BG"/>
              </w:rPr>
              <w:t>Запълване на изкопи и изравняване на терена</w:t>
            </w:r>
          </w:p>
          <w:p w14:paraId="3FB97449" w14:textId="5B83C6EB" w:rsidR="003B7355" w:rsidRPr="007375EB" w:rsidRDefault="006B7D28" w:rsidP="00125F99">
            <w:pPr>
              <w:numPr>
                <w:ilvl w:val="0"/>
                <w:numId w:val="67"/>
              </w:numPr>
              <w:ind w:left="111" w:hanging="111"/>
              <w:rPr>
                <w:rFonts w:eastAsia="Verdana" w:cs="Verdana"/>
                <w:sz w:val="16"/>
                <w:lang w:val="bg-BG"/>
              </w:rPr>
            </w:pPr>
            <w:r w:rsidRPr="007375EB">
              <w:rPr>
                <w:rFonts w:eastAsia="Verdana" w:cs="Verdana"/>
                <w:sz w:val="16"/>
                <w:lang w:val="bg-BG"/>
              </w:rPr>
              <w:t>Възстановяване на растителния килим</w:t>
            </w:r>
          </w:p>
          <w:p w14:paraId="48AEE72A" w14:textId="14962032" w:rsidR="003B7355" w:rsidRPr="007375EB" w:rsidRDefault="00954F26" w:rsidP="00125F99">
            <w:pPr>
              <w:numPr>
                <w:ilvl w:val="0"/>
                <w:numId w:val="67"/>
              </w:numPr>
              <w:ind w:left="111" w:hanging="111"/>
              <w:rPr>
                <w:rFonts w:eastAsia="Verdana" w:cs="Verdana"/>
                <w:sz w:val="16"/>
                <w:lang w:val="bg-BG"/>
              </w:rPr>
            </w:pPr>
            <w:r w:rsidRPr="007375EB">
              <w:rPr>
                <w:rFonts w:eastAsia="Verdana" w:cs="Verdana"/>
                <w:sz w:val="16"/>
                <w:lang w:val="bg-BG"/>
              </w:rPr>
              <w:t>Движение на превозните средства на площадката/работа на машините, необходими за извършване на работите</w:t>
            </w:r>
          </w:p>
        </w:tc>
      </w:tr>
      <w:tr w:rsidR="003B7355" w:rsidRPr="007375EB" w14:paraId="21B38647" w14:textId="77777777" w:rsidTr="009A0A59">
        <w:trPr>
          <w:trHeight w:val="1578"/>
        </w:trPr>
        <w:tc>
          <w:tcPr>
            <w:tcW w:w="0" w:type="auto"/>
            <w:vMerge/>
          </w:tcPr>
          <w:p w14:paraId="5563E99B" w14:textId="77777777" w:rsidR="003B7355" w:rsidRPr="007375EB" w:rsidRDefault="003B7355">
            <w:pPr>
              <w:rPr>
                <w:lang w:val="bg-BG"/>
              </w:rPr>
            </w:pPr>
          </w:p>
        </w:tc>
        <w:tc>
          <w:tcPr>
            <w:tcW w:w="3814" w:type="dxa"/>
          </w:tcPr>
          <w:p w14:paraId="7505B001" w14:textId="16D8C83B" w:rsidR="003B7355" w:rsidRPr="007375EB" w:rsidRDefault="00954F26">
            <w:pPr>
              <w:ind w:left="1"/>
              <w:rPr>
                <w:lang w:val="bg-BG"/>
              </w:rPr>
            </w:pPr>
            <w:r w:rsidRPr="007375EB">
              <w:rPr>
                <w:rFonts w:eastAsia="Verdana" w:cs="Verdana"/>
                <w:b/>
                <w:sz w:val="16"/>
                <w:lang w:val="bg-BG"/>
              </w:rPr>
              <w:t>Извеждане от експлоатация на трансформаторни подстанции</w:t>
            </w:r>
          </w:p>
        </w:tc>
        <w:tc>
          <w:tcPr>
            <w:tcW w:w="4411" w:type="dxa"/>
          </w:tcPr>
          <w:p w14:paraId="196CC874" w14:textId="77777777" w:rsidR="006B7D28" w:rsidRPr="007375EB" w:rsidRDefault="006B7D28" w:rsidP="00125F99">
            <w:pPr>
              <w:numPr>
                <w:ilvl w:val="0"/>
                <w:numId w:val="67"/>
              </w:numPr>
              <w:ind w:left="111" w:hanging="111"/>
              <w:rPr>
                <w:rFonts w:eastAsia="Verdana" w:cs="Verdana"/>
                <w:sz w:val="16"/>
                <w:lang w:val="bg-BG"/>
              </w:rPr>
            </w:pPr>
            <w:r w:rsidRPr="007375EB">
              <w:rPr>
                <w:rFonts w:eastAsia="Verdana" w:cs="Verdana"/>
                <w:sz w:val="16"/>
                <w:lang w:val="bg-BG"/>
              </w:rPr>
              <w:t xml:space="preserve">Демонтаж на оборудване за трансформаторни подстанции </w:t>
            </w:r>
          </w:p>
          <w:p w14:paraId="51554ECC" w14:textId="77777777" w:rsidR="006B7D28" w:rsidRPr="007375EB" w:rsidRDefault="006B7D28" w:rsidP="00125F99">
            <w:pPr>
              <w:numPr>
                <w:ilvl w:val="0"/>
                <w:numId w:val="67"/>
              </w:numPr>
              <w:ind w:left="111" w:hanging="111"/>
              <w:rPr>
                <w:rFonts w:eastAsia="Verdana" w:cs="Verdana"/>
                <w:sz w:val="16"/>
                <w:lang w:val="bg-BG"/>
              </w:rPr>
            </w:pPr>
            <w:r w:rsidRPr="007375EB">
              <w:rPr>
                <w:rFonts w:eastAsia="Verdana" w:cs="Verdana"/>
                <w:sz w:val="16"/>
                <w:lang w:val="bg-BG"/>
              </w:rPr>
              <w:t>Разчистване на растителността</w:t>
            </w:r>
          </w:p>
          <w:p w14:paraId="66B91D38" w14:textId="77777777" w:rsidR="006B7D28" w:rsidRPr="007375EB" w:rsidRDefault="006B7D28" w:rsidP="00125F99">
            <w:pPr>
              <w:numPr>
                <w:ilvl w:val="0"/>
                <w:numId w:val="67"/>
              </w:numPr>
              <w:ind w:left="111" w:hanging="111"/>
              <w:rPr>
                <w:rFonts w:eastAsia="Verdana" w:cs="Verdana"/>
                <w:sz w:val="16"/>
                <w:lang w:val="bg-BG"/>
              </w:rPr>
            </w:pPr>
            <w:r w:rsidRPr="007375EB">
              <w:rPr>
                <w:rFonts w:eastAsia="Verdana" w:cs="Verdana"/>
                <w:sz w:val="16"/>
                <w:lang w:val="bg-BG"/>
              </w:rPr>
              <w:t xml:space="preserve">Изкопни работи </w:t>
            </w:r>
          </w:p>
          <w:p w14:paraId="169AFD94" w14:textId="09644509" w:rsidR="003B7355" w:rsidRPr="007375EB" w:rsidRDefault="00C55FD2" w:rsidP="00125F99">
            <w:pPr>
              <w:numPr>
                <w:ilvl w:val="0"/>
                <w:numId w:val="67"/>
              </w:numPr>
              <w:ind w:left="111" w:hanging="111"/>
              <w:rPr>
                <w:rFonts w:eastAsia="Verdana" w:cs="Verdana"/>
                <w:sz w:val="16"/>
                <w:lang w:val="bg-BG"/>
              </w:rPr>
            </w:pPr>
            <w:r w:rsidRPr="007375EB">
              <w:rPr>
                <w:rFonts w:eastAsia="Verdana" w:cs="Verdana"/>
                <w:sz w:val="16"/>
                <w:lang w:val="bg-BG"/>
              </w:rPr>
              <w:t>Съхраняване на изкопана почва</w:t>
            </w:r>
          </w:p>
          <w:p w14:paraId="11068FAB" w14:textId="77777777" w:rsidR="006B7D28" w:rsidRPr="007375EB" w:rsidRDefault="006B7D28" w:rsidP="00125F99">
            <w:pPr>
              <w:numPr>
                <w:ilvl w:val="0"/>
                <w:numId w:val="67"/>
              </w:numPr>
              <w:ind w:left="111" w:hanging="111"/>
              <w:rPr>
                <w:rFonts w:eastAsia="Verdana" w:cs="Verdana"/>
                <w:sz w:val="16"/>
                <w:lang w:val="bg-BG"/>
              </w:rPr>
            </w:pPr>
            <w:r w:rsidRPr="007375EB">
              <w:rPr>
                <w:rFonts w:eastAsia="Verdana" w:cs="Verdana"/>
                <w:sz w:val="16"/>
                <w:lang w:val="bg-BG"/>
              </w:rPr>
              <w:t>Разрушаване на основи</w:t>
            </w:r>
          </w:p>
          <w:p w14:paraId="13F7BA52" w14:textId="7D250A3C" w:rsidR="003B7355" w:rsidRPr="007375EB" w:rsidRDefault="00954F26" w:rsidP="00125F99">
            <w:pPr>
              <w:numPr>
                <w:ilvl w:val="0"/>
                <w:numId w:val="67"/>
              </w:numPr>
              <w:ind w:left="111" w:hanging="111"/>
              <w:rPr>
                <w:rFonts w:eastAsia="Verdana" w:cs="Verdana"/>
                <w:sz w:val="16"/>
                <w:lang w:val="bg-BG"/>
              </w:rPr>
            </w:pPr>
            <w:r w:rsidRPr="007375EB">
              <w:rPr>
                <w:rFonts w:eastAsia="Verdana" w:cs="Verdana"/>
                <w:sz w:val="16"/>
                <w:lang w:val="bg-BG"/>
              </w:rPr>
              <w:t>Движение на превозните средства на площадката/работа на машините, необходими за извършване на работите</w:t>
            </w:r>
          </w:p>
        </w:tc>
      </w:tr>
      <w:tr w:rsidR="003B7355" w:rsidRPr="007375EB" w14:paraId="0857C95C" w14:textId="77777777" w:rsidTr="009A0A59">
        <w:trPr>
          <w:trHeight w:val="1232"/>
        </w:trPr>
        <w:tc>
          <w:tcPr>
            <w:tcW w:w="0" w:type="auto"/>
            <w:vMerge/>
          </w:tcPr>
          <w:p w14:paraId="7F3304E4" w14:textId="77777777" w:rsidR="003B7355" w:rsidRPr="007375EB" w:rsidRDefault="003B7355">
            <w:pPr>
              <w:rPr>
                <w:lang w:val="bg-BG"/>
              </w:rPr>
            </w:pPr>
          </w:p>
        </w:tc>
        <w:tc>
          <w:tcPr>
            <w:tcW w:w="3814" w:type="dxa"/>
          </w:tcPr>
          <w:p w14:paraId="634F9A62" w14:textId="0FD972A5" w:rsidR="003B7355" w:rsidRPr="007375EB" w:rsidRDefault="00954F26">
            <w:pPr>
              <w:ind w:left="1"/>
              <w:rPr>
                <w:lang w:val="bg-BG"/>
              </w:rPr>
            </w:pPr>
            <w:r w:rsidRPr="007375EB">
              <w:rPr>
                <w:rFonts w:eastAsia="Verdana" w:cs="Verdana"/>
                <w:b/>
                <w:sz w:val="16"/>
                <w:lang w:val="bg-BG"/>
              </w:rPr>
              <w:t>Извеждане от експлоатация на селскостопански пътища</w:t>
            </w:r>
          </w:p>
        </w:tc>
        <w:tc>
          <w:tcPr>
            <w:tcW w:w="4411" w:type="dxa"/>
          </w:tcPr>
          <w:p w14:paraId="7C3494BA" w14:textId="77777777" w:rsidR="00C55FD2" w:rsidRPr="007375EB" w:rsidRDefault="00C55FD2" w:rsidP="00C55FD2">
            <w:pPr>
              <w:numPr>
                <w:ilvl w:val="0"/>
                <w:numId w:val="67"/>
              </w:numPr>
              <w:spacing w:after="21"/>
              <w:ind w:left="111" w:hanging="111"/>
              <w:rPr>
                <w:lang w:val="bg-BG"/>
              </w:rPr>
            </w:pPr>
            <w:r w:rsidRPr="007375EB">
              <w:rPr>
                <w:rFonts w:eastAsia="Verdana" w:cs="Verdana"/>
                <w:sz w:val="16"/>
                <w:lang w:val="bg-BG"/>
              </w:rPr>
              <w:t xml:space="preserve">Работи по почистване на растителността </w:t>
            </w:r>
          </w:p>
          <w:p w14:paraId="31AE8CCE" w14:textId="083A9CE2" w:rsidR="003B7355" w:rsidRPr="007375EB" w:rsidRDefault="00C55FD2" w:rsidP="00C55FD2">
            <w:pPr>
              <w:numPr>
                <w:ilvl w:val="0"/>
                <w:numId w:val="67"/>
              </w:numPr>
              <w:ind w:left="111" w:hanging="111"/>
              <w:rPr>
                <w:rFonts w:eastAsia="Verdana" w:cs="Verdana"/>
                <w:sz w:val="16"/>
                <w:lang w:val="bg-BG"/>
              </w:rPr>
            </w:pPr>
            <w:r w:rsidRPr="007375EB">
              <w:rPr>
                <w:rFonts w:eastAsia="Verdana" w:cs="Verdana"/>
                <w:sz w:val="16"/>
                <w:lang w:val="bg-BG"/>
              </w:rPr>
              <w:t>Работи по отстраняване на горния слой почва</w:t>
            </w:r>
          </w:p>
          <w:p w14:paraId="105C9414" w14:textId="014571DF" w:rsidR="003B7355" w:rsidRPr="007375EB" w:rsidRDefault="006B7D28" w:rsidP="00125F99">
            <w:pPr>
              <w:numPr>
                <w:ilvl w:val="0"/>
                <w:numId w:val="67"/>
              </w:numPr>
              <w:ind w:left="111" w:hanging="111"/>
              <w:rPr>
                <w:rFonts w:eastAsia="Verdana" w:cs="Verdana"/>
                <w:sz w:val="16"/>
                <w:lang w:val="bg-BG"/>
              </w:rPr>
            </w:pPr>
            <w:r w:rsidRPr="007375EB">
              <w:rPr>
                <w:rFonts w:eastAsia="Verdana" w:cs="Verdana"/>
                <w:sz w:val="16"/>
                <w:lang w:val="bg-BG"/>
              </w:rPr>
              <w:t>Работи по отстраняване на баластния слой</w:t>
            </w:r>
          </w:p>
          <w:p w14:paraId="4AA9838E" w14:textId="7CB52FE4" w:rsidR="003B7355" w:rsidRPr="007375EB" w:rsidRDefault="0031049F" w:rsidP="00125F99">
            <w:pPr>
              <w:numPr>
                <w:ilvl w:val="0"/>
                <w:numId w:val="67"/>
              </w:numPr>
              <w:ind w:left="111" w:hanging="111"/>
              <w:rPr>
                <w:rFonts w:eastAsia="Verdana" w:cs="Verdana"/>
                <w:sz w:val="16"/>
                <w:lang w:val="bg-BG"/>
              </w:rPr>
            </w:pPr>
            <w:r w:rsidRPr="007375EB">
              <w:rPr>
                <w:rFonts w:eastAsia="Verdana" w:cs="Verdana"/>
                <w:sz w:val="16"/>
                <w:lang w:val="bg-BG"/>
              </w:rPr>
              <w:t>Работи по уплътняване/</w:t>
            </w:r>
            <w:r w:rsidRPr="007375EB">
              <w:rPr>
                <w:rFonts w:eastAsia="Verdana" w:cs="Verdana"/>
                <w:sz w:val="16"/>
                <w:szCs w:val="16"/>
                <w:lang w:val="bg-BG"/>
              </w:rPr>
              <w:t>подравняване</w:t>
            </w:r>
          </w:p>
          <w:p w14:paraId="6428B294" w14:textId="2CA7FF29" w:rsidR="003B7355" w:rsidRPr="007375EB" w:rsidRDefault="00954F26" w:rsidP="00125F99">
            <w:pPr>
              <w:numPr>
                <w:ilvl w:val="0"/>
                <w:numId w:val="67"/>
              </w:numPr>
              <w:ind w:left="111" w:hanging="111"/>
              <w:rPr>
                <w:lang w:val="bg-BG"/>
              </w:rPr>
            </w:pPr>
            <w:r w:rsidRPr="007375EB">
              <w:rPr>
                <w:rFonts w:eastAsia="Verdana" w:cs="Verdana"/>
                <w:sz w:val="16"/>
                <w:lang w:val="bg-BG"/>
              </w:rPr>
              <w:t>Движение на превозните средства на площадката/работа на машините, необходими за извършване на работите</w:t>
            </w:r>
          </w:p>
        </w:tc>
      </w:tr>
      <w:tr w:rsidR="003B7355" w:rsidRPr="007375EB" w14:paraId="6EEA416B" w14:textId="77777777" w:rsidTr="009A0A59">
        <w:trPr>
          <w:trHeight w:val="1372"/>
        </w:trPr>
        <w:tc>
          <w:tcPr>
            <w:tcW w:w="0" w:type="auto"/>
            <w:vMerge/>
          </w:tcPr>
          <w:p w14:paraId="2AD48FFC" w14:textId="77777777" w:rsidR="003B7355" w:rsidRPr="007375EB" w:rsidRDefault="003B7355" w:rsidP="006B7D28">
            <w:pPr>
              <w:jc w:val="both"/>
              <w:rPr>
                <w:lang w:val="bg-BG"/>
              </w:rPr>
            </w:pPr>
          </w:p>
        </w:tc>
        <w:tc>
          <w:tcPr>
            <w:tcW w:w="3814" w:type="dxa"/>
          </w:tcPr>
          <w:p w14:paraId="37A48DEA" w14:textId="4DC36526" w:rsidR="003B7355" w:rsidRPr="007375EB" w:rsidRDefault="006B7D28" w:rsidP="006B7D28">
            <w:pPr>
              <w:ind w:left="1"/>
              <w:jc w:val="both"/>
              <w:rPr>
                <w:lang w:val="bg-BG"/>
              </w:rPr>
            </w:pPr>
            <w:r w:rsidRPr="007375EB">
              <w:rPr>
                <w:rFonts w:eastAsia="Verdana" w:cs="Verdana"/>
                <w:b/>
                <w:sz w:val="16"/>
                <w:lang w:val="bg-BG"/>
              </w:rPr>
              <w:t>Мелиоративни работи след завършване на строителството</w:t>
            </w:r>
          </w:p>
        </w:tc>
        <w:tc>
          <w:tcPr>
            <w:tcW w:w="4411" w:type="dxa"/>
          </w:tcPr>
          <w:p w14:paraId="57F3CFB1" w14:textId="77777777" w:rsidR="006B7D28" w:rsidRPr="007375EB" w:rsidRDefault="006B7D28" w:rsidP="006B7D28">
            <w:pPr>
              <w:numPr>
                <w:ilvl w:val="0"/>
                <w:numId w:val="67"/>
              </w:numPr>
              <w:ind w:left="111" w:hanging="111"/>
              <w:jc w:val="both"/>
              <w:rPr>
                <w:lang w:val="bg-BG"/>
              </w:rPr>
            </w:pPr>
            <w:r w:rsidRPr="007375EB">
              <w:rPr>
                <w:rFonts w:eastAsia="Verdana" w:cs="Verdana"/>
                <w:sz w:val="16"/>
                <w:lang w:val="bg-BG"/>
              </w:rPr>
              <w:t xml:space="preserve">Възстановяване на обекта, на който са извършени работите, и възстановяване на временно използваните площи  </w:t>
            </w:r>
          </w:p>
          <w:p w14:paraId="35F40ED8" w14:textId="76D35C80" w:rsidR="003B7355" w:rsidRPr="007375EB" w:rsidRDefault="006B7D28" w:rsidP="006B7D28">
            <w:pPr>
              <w:ind w:left="111"/>
              <w:jc w:val="both"/>
              <w:rPr>
                <w:lang w:val="bg-BG"/>
              </w:rPr>
            </w:pPr>
            <w:r w:rsidRPr="007375EB">
              <w:rPr>
                <w:rFonts w:eastAsia="Verdana" w:cs="Verdana"/>
                <w:sz w:val="16"/>
                <w:lang w:val="bg-BG"/>
              </w:rPr>
              <w:t>Работете за почистване на всички инсталации, машини и отпадъци и повторно поставяне на слоя растителна пръст върху повърхностите, които са били използвани временно</w:t>
            </w:r>
          </w:p>
        </w:tc>
      </w:tr>
    </w:tbl>
    <w:p w14:paraId="0500624D" w14:textId="77777777" w:rsidR="003B7355" w:rsidRPr="007375EB" w:rsidRDefault="003B7355" w:rsidP="006B7D28">
      <w:pPr>
        <w:spacing w:after="120" w:line="360" w:lineRule="auto"/>
        <w:jc w:val="both"/>
        <w:rPr>
          <w:lang w:val="bg-BG" w:eastAsia="ro-RO"/>
        </w:rPr>
      </w:pPr>
    </w:p>
    <w:p w14:paraId="2E31FC3A" w14:textId="1082D6D3" w:rsidR="003C3EDC" w:rsidRPr="007375EB" w:rsidRDefault="0031049F" w:rsidP="0041531F">
      <w:pPr>
        <w:pStyle w:val="ListParagraph"/>
        <w:numPr>
          <w:ilvl w:val="1"/>
          <w:numId w:val="77"/>
        </w:numPr>
        <w:spacing w:after="120" w:line="360" w:lineRule="auto"/>
        <w:outlineLvl w:val="1"/>
        <w:rPr>
          <w:b/>
          <w:i/>
          <w:color w:val="009DF0"/>
          <w:lang w:val="bg-BG" w:eastAsia="ro-RO"/>
        </w:rPr>
      </w:pPr>
      <w:bookmarkStart w:id="35" w:name="_Toc167697418"/>
      <w:r w:rsidRPr="007375EB">
        <w:rPr>
          <w:b/>
          <w:i/>
          <w:color w:val="009DF0"/>
          <w:lang w:val="bg-BG" w:eastAsia="ro-RO"/>
        </w:rPr>
        <w:t>Потенциални значителни въздействия на алтернативата без прилагане на PUZ („нулева“ алтернатива)</w:t>
      </w:r>
      <w:bookmarkEnd w:id="35"/>
    </w:p>
    <w:p w14:paraId="18F85D7C" w14:textId="67A15628" w:rsidR="00EA76D6" w:rsidRPr="007375EB" w:rsidRDefault="0031049F" w:rsidP="006E5B3F">
      <w:pPr>
        <w:spacing w:after="120" w:line="360" w:lineRule="auto"/>
        <w:jc w:val="both"/>
        <w:rPr>
          <w:lang w:val="bg-BG" w:eastAsia="ro-RO"/>
        </w:rPr>
      </w:pPr>
      <w:r w:rsidRPr="007375EB">
        <w:rPr>
          <w:lang w:val="bg-BG" w:eastAsia="ro-RO"/>
        </w:rPr>
        <w:t xml:space="preserve">Следващата таблица оценява ефектите от </w:t>
      </w:r>
      <w:r w:rsidRPr="007375EB">
        <w:rPr>
          <w:rFonts w:eastAsia="EuroRoman"/>
          <w:lang w:val="bg-BG"/>
        </w:rPr>
        <w:t>неизпълнението</w:t>
      </w:r>
      <w:r w:rsidRPr="007375EB">
        <w:rPr>
          <w:rFonts w:eastAsia="EuroRoman"/>
          <w:sz w:val="16"/>
          <w:szCs w:val="16"/>
          <w:lang w:val="bg-BG"/>
        </w:rPr>
        <w:t xml:space="preserve"> </w:t>
      </w:r>
      <w:r w:rsidRPr="007375EB">
        <w:rPr>
          <w:lang w:val="bg-BG" w:eastAsia="ro-RO"/>
        </w:rPr>
        <w:t>на PUZ върху екологичните цели, установени в предишния раздел</w:t>
      </w:r>
      <w:r w:rsidR="002F1CA5" w:rsidRPr="007375EB">
        <w:rPr>
          <w:lang w:val="bg-BG" w:eastAsia="ro-RO"/>
        </w:rPr>
        <w:t>:</w:t>
      </w:r>
    </w:p>
    <w:p w14:paraId="3B9E1F0F" w14:textId="4CE3F250" w:rsidR="002F1CA5" w:rsidRPr="007375EB" w:rsidRDefault="0031049F" w:rsidP="002F1CA5">
      <w:pPr>
        <w:pStyle w:val="Caption"/>
        <w:rPr>
          <w:rFonts w:eastAsia="EuroRoman"/>
          <w:color w:val="00B0F0"/>
          <w:sz w:val="16"/>
          <w:szCs w:val="16"/>
          <w:lang w:val="bg-BG"/>
        </w:rPr>
      </w:pPr>
      <w:r w:rsidRPr="007375EB">
        <w:rPr>
          <w:sz w:val="16"/>
          <w:szCs w:val="16"/>
          <w:lang w:val="bg-BG"/>
        </w:rPr>
        <w:t>Таблица</w:t>
      </w:r>
      <w:r w:rsidR="002F1CA5" w:rsidRPr="007375EB">
        <w:rPr>
          <w:sz w:val="16"/>
          <w:szCs w:val="16"/>
          <w:lang w:val="bg-BG"/>
        </w:rPr>
        <w:t xml:space="preserve">  </w:t>
      </w:r>
      <w:r w:rsidR="002F1CA5" w:rsidRPr="007375EB">
        <w:rPr>
          <w:sz w:val="16"/>
          <w:szCs w:val="16"/>
          <w:lang w:val="bg-BG"/>
        </w:rPr>
        <w:fldChar w:fldCharType="begin"/>
      </w:r>
      <w:r w:rsidR="002F1CA5" w:rsidRPr="007375EB">
        <w:rPr>
          <w:sz w:val="16"/>
          <w:szCs w:val="16"/>
          <w:lang w:val="bg-BG"/>
        </w:rPr>
        <w:instrText xml:space="preserve"> STYLEREF 1 \s </w:instrText>
      </w:r>
      <w:r w:rsidR="002F1CA5" w:rsidRPr="007375EB">
        <w:rPr>
          <w:sz w:val="16"/>
          <w:szCs w:val="16"/>
          <w:lang w:val="bg-BG"/>
        </w:rPr>
        <w:fldChar w:fldCharType="separate"/>
      </w:r>
      <w:r w:rsidR="002F1CA5" w:rsidRPr="007375EB">
        <w:rPr>
          <w:noProof/>
          <w:sz w:val="16"/>
          <w:szCs w:val="16"/>
          <w:lang w:val="bg-BG"/>
        </w:rPr>
        <w:t>6</w:t>
      </w:r>
      <w:r w:rsidR="002F1CA5" w:rsidRPr="007375EB">
        <w:rPr>
          <w:sz w:val="16"/>
          <w:szCs w:val="16"/>
          <w:lang w:val="bg-BG"/>
        </w:rPr>
        <w:fldChar w:fldCharType="end"/>
      </w:r>
      <w:r w:rsidR="002F1CA5" w:rsidRPr="007375EB">
        <w:rPr>
          <w:sz w:val="16"/>
          <w:szCs w:val="16"/>
          <w:lang w:val="bg-BG"/>
        </w:rPr>
        <w:noBreakHyphen/>
      </w:r>
      <w:r w:rsidR="002F1CA5" w:rsidRPr="007375EB">
        <w:rPr>
          <w:sz w:val="16"/>
          <w:szCs w:val="16"/>
          <w:lang w:val="bg-BG"/>
        </w:rPr>
        <w:fldChar w:fldCharType="begin"/>
      </w:r>
      <w:r w:rsidR="002F1CA5" w:rsidRPr="007375EB">
        <w:rPr>
          <w:sz w:val="16"/>
          <w:szCs w:val="16"/>
          <w:lang w:val="bg-BG"/>
        </w:rPr>
        <w:instrText xml:space="preserve"> SEQ Tabel_ \* ARABIC \s 1 </w:instrText>
      </w:r>
      <w:r w:rsidR="002F1CA5" w:rsidRPr="007375EB">
        <w:rPr>
          <w:sz w:val="16"/>
          <w:szCs w:val="16"/>
          <w:lang w:val="bg-BG"/>
        </w:rPr>
        <w:fldChar w:fldCharType="separate"/>
      </w:r>
      <w:r w:rsidR="00D715BC" w:rsidRPr="007375EB">
        <w:rPr>
          <w:noProof/>
          <w:sz w:val="16"/>
          <w:szCs w:val="16"/>
          <w:lang w:val="bg-BG"/>
        </w:rPr>
        <w:t>6</w:t>
      </w:r>
      <w:r w:rsidR="002F1CA5" w:rsidRPr="007375EB">
        <w:rPr>
          <w:sz w:val="16"/>
          <w:szCs w:val="16"/>
          <w:lang w:val="bg-BG"/>
        </w:rPr>
        <w:fldChar w:fldCharType="end"/>
      </w:r>
      <w:r w:rsidR="002F1CA5" w:rsidRPr="007375EB">
        <w:rPr>
          <w:sz w:val="16"/>
          <w:szCs w:val="16"/>
          <w:lang w:val="bg-BG"/>
        </w:rPr>
        <w:t xml:space="preserve"> </w:t>
      </w:r>
      <w:r w:rsidRPr="007375EB">
        <w:rPr>
          <w:rFonts w:eastAsia="EuroRoman"/>
          <w:color w:val="00B0F0"/>
          <w:sz w:val="16"/>
          <w:szCs w:val="16"/>
          <w:lang w:val="bg-BG"/>
        </w:rPr>
        <w:t xml:space="preserve">Оценка на ефектите от неизпълнението </w:t>
      </w:r>
      <w:r w:rsidR="00DD09A5" w:rsidRPr="007375EB">
        <w:rPr>
          <w:rFonts w:eastAsia="EuroRoman"/>
          <w:color w:val="00B0F0"/>
          <w:sz w:val="16"/>
          <w:szCs w:val="16"/>
          <w:lang w:val="bg-BG"/>
        </w:rPr>
        <w:t>PUZ</w:t>
      </w:r>
    </w:p>
    <w:tbl>
      <w:tblPr>
        <w:tblStyle w:val="LightGrid-Accent112"/>
        <w:tblW w:w="9776" w:type="dxa"/>
        <w:tblInd w:w="0"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1856"/>
        <w:gridCol w:w="3239"/>
        <w:gridCol w:w="600"/>
        <w:gridCol w:w="4081"/>
      </w:tblGrid>
      <w:tr w:rsidR="00153771" w:rsidRPr="007375EB" w14:paraId="0DC13818" w14:textId="5A85786D" w:rsidTr="009A0A59">
        <w:trPr>
          <w:cantSplit/>
          <w:trHeight w:val="1134"/>
          <w:tblHeader/>
        </w:trPr>
        <w:tc>
          <w:tcPr>
            <w:tcW w:w="1551" w:type="dxa"/>
            <w:shd w:val="clear" w:color="auto" w:fill="00B0F0"/>
            <w:vAlign w:val="center"/>
          </w:tcPr>
          <w:p w14:paraId="505846C0" w14:textId="453B6D14" w:rsidR="00153771" w:rsidRPr="007375EB" w:rsidRDefault="006B7D28" w:rsidP="00B17FB8">
            <w:pPr>
              <w:spacing w:after="0" w:line="240" w:lineRule="auto"/>
              <w:jc w:val="center"/>
              <w:rPr>
                <w:rFonts w:ascii="Verdana" w:hAnsi="Verdana"/>
                <w:b/>
                <w:bCs/>
                <w:color w:val="FFFFFF" w:themeColor="background1"/>
                <w:sz w:val="14"/>
                <w:szCs w:val="14"/>
                <w:lang w:val="bg-BG"/>
              </w:rPr>
            </w:pPr>
            <w:r w:rsidRPr="007375EB">
              <w:rPr>
                <w:rFonts w:ascii="Verdana" w:hAnsi="Verdana"/>
                <w:b/>
                <w:bCs/>
                <w:color w:val="FFFFFF" w:themeColor="background1"/>
                <w:sz w:val="14"/>
                <w:szCs w:val="14"/>
                <w:lang w:val="bg-BG"/>
              </w:rPr>
              <w:lastRenderedPageBreak/>
              <w:t>Съответни аспекти на околната среда</w:t>
            </w:r>
          </w:p>
        </w:tc>
        <w:tc>
          <w:tcPr>
            <w:tcW w:w="3288" w:type="dxa"/>
            <w:shd w:val="clear" w:color="auto" w:fill="00B0F0"/>
            <w:vAlign w:val="center"/>
          </w:tcPr>
          <w:p w14:paraId="659F0D23" w14:textId="035A589D" w:rsidR="00153771" w:rsidRPr="007375EB" w:rsidRDefault="006B7D28" w:rsidP="00B17FB8">
            <w:pPr>
              <w:spacing w:after="0" w:line="240" w:lineRule="auto"/>
              <w:jc w:val="center"/>
              <w:rPr>
                <w:rFonts w:ascii="Verdana" w:hAnsi="Verdana"/>
                <w:b/>
                <w:bCs/>
                <w:color w:val="FFFFFF" w:themeColor="background1"/>
                <w:sz w:val="14"/>
                <w:szCs w:val="14"/>
                <w:lang w:val="bg-BG"/>
              </w:rPr>
            </w:pPr>
            <w:r w:rsidRPr="007375EB">
              <w:rPr>
                <w:rFonts w:ascii="Verdana" w:hAnsi="Verdana"/>
                <w:b/>
                <w:bCs/>
                <w:color w:val="FFFFFF" w:themeColor="background1"/>
                <w:sz w:val="14"/>
                <w:szCs w:val="14"/>
                <w:lang w:val="bg-BG"/>
              </w:rPr>
              <w:t xml:space="preserve">Екологични цели, свързани с </w:t>
            </w:r>
            <w:r w:rsidR="00153771" w:rsidRPr="007375EB">
              <w:rPr>
                <w:rFonts w:ascii="Verdana" w:hAnsi="Verdana"/>
                <w:b/>
                <w:bCs/>
                <w:color w:val="FFFFFF" w:themeColor="background1"/>
                <w:sz w:val="14"/>
                <w:szCs w:val="14"/>
                <w:lang w:val="bg-BG"/>
              </w:rPr>
              <w:t>PUZ</w:t>
            </w:r>
          </w:p>
        </w:tc>
        <w:tc>
          <w:tcPr>
            <w:tcW w:w="622" w:type="dxa"/>
            <w:shd w:val="clear" w:color="auto" w:fill="00B0F0"/>
            <w:textDirection w:val="btLr"/>
          </w:tcPr>
          <w:p w14:paraId="06968827" w14:textId="2A037366" w:rsidR="00153771" w:rsidRPr="007375EB" w:rsidRDefault="006B7D28" w:rsidP="00B17FB8">
            <w:pPr>
              <w:spacing w:after="0" w:line="240" w:lineRule="auto"/>
              <w:ind w:left="113" w:right="113"/>
              <w:jc w:val="center"/>
              <w:rPr>
                <w:rFonts w:ascii="Verdana" w:hAnsi="Verdana"/>
                <w:b/>
                <w:color w:val="FFFFFF" w:themeColor="background1"/>
                <w:sz w:val="14"/>
                <w:szCs w:val="14"/>
                <w:lang w:val="bg-BG"/>
              </w:rPr>
            </w:pPr>
            <w:r w:rsidRPr="007375EB">
              <w:rPr>
                <w:rFonts w:ascii="Verdana" w:hAnsi="Verdana"/>
                <w:b/>
                <w:bCs/>
                <w:color w:val="FFFFFF" w:themeColor="background1"/>
                <w:sz w:val="14"/>
                <w:szCs w:val="14"/>
                <w:lang w:val="bg-BG"/>
              </w:rPr>
              <w:t>Оценка на ефектите</w:t>
            </w:r>
          </w:p>
        </w:tc>
        <w:tc>
          <w:tcPr>
            <w:tcW w:w="4315" w:type="dxa"/>
            <w:shd w:val="clear" w:color="auto" w:fill="00B0F0"/>
            <w:vAlign w:val="center"/>
          </w:tcPr>
          <w:p w14:paraId="4D69C989" w14:textId="58A4C1DC" w:rsidR="00153771" w:rsidRPr="007375EB" w:rsidRDefault="006B7D28" w:rsidP="00B17FB8">
            <w:pPr>
              <w:spacing w:after="0" w:line="240" w:lineRule="auto"/>
              <w:jc w:val="center"/>
              <w:rPr>
                <w:rFonts w:ascii="Verdana" w:hAnsi="Verdana"/>
                <w:b/>
                <w:color w:val="FFFFFF" w:themeColor="background1"/>
                <w:sz w:val="14"/>
                <w:szCs w:val="14"/>
                <w:lang w:val="bg-BG"/>
              </w:rPr>
            </w:pPr>
            <w:r w:rsidRPr="007375EB">
              <w:rPr>
                <w:rFonts w:ascii="Verdana" w:hAnsi="Verdana"/>
                <w:b/>
                <w:bCs/>
                <w:color w:val="FFFFFF" w:themeColor="background1"/>
                <w:sz w:val="14"/>
                <w:szCs w:val="14"/>
                <w:lang w:val="bg-BG"/>
              </w:rPr>
              <w:t>Обосновка</w:t>
            </w:r>
          </w:p>
        </w:tc>
      </w:tr>
      <w:tr w:rsidR="00153771" w:rsidRPr="007375EB" w14:paraId="7ADB5599" w14:textId="7AB66689" w:rsidTr="009A0A59">
        <w:tc>
          <w:tcPr>
            <w:tcW w:w="1551" w:type="dxa"/>
          </w:tcPr>
          <w:p w14:paraId="48919655" w14:textId="3760A72D" w:rsidR="00153771" w:rsidRPr="007375EB" w:rsidRDefault="006B7D28" w:rsidP="00B17FB8">
            <w:pPr>
              <w:spacing w:after="0" w:line="240" w:lineRule="auto"/>
              <w:rPr>
                <w:rFonts w:ascii="Verdana" w:hAnsi="Verdana"/>
                <w:b/>
                <w:bCs/>
                <w:sz w:val="16"/>
                <w:szCs w:val="16"/>
                <w:lang w:val="bg-BG"/>
              </w:rPr>
            </w:pPr>
            <w:r w:rsidRPr="007375EB">
              <w:rPr>
                <w:rFonts w:ascii="Verdana" w:hAnsi="Verdana"/>
                <w:b/>
                <w:bCs/>
                <w:sz w:val="16"/>
                <w:szCs w:val="16"/>
                <w:lang w:val="bg-BG"/>
              </w:rPr>
              <w:t>Вода</w:t>
            </w:r>
          </w:p>
        </w:tc>
        <w:tc>
          <w:tcPr>
            <w:tcW w:w="3288" w:type="dxa"/>
          </w:tcPr>
          <w:p w14:paraId="14411BC4" w14:textId="09044D91" w:rsidR="00153771" w:rsidRPr="007375EB" w:rsidRDefault="006B7D28" w:rsidP="0041531F">
            <w:pPr>
              <w:pStyle w:val="ListParagraph"/>
              <w:numPr>
                <w:ilvl w:val="0"/>
                <w:numId w:val="73"/>
              </w:numPr>
              <w:tabs>
                <w:tab w:val="left" w:pos="746"/>
              </w:tabs>
              <w:spacing w:after="0" w:line="240" w:lineRule="auto"/>
              <w:ind w:left="604" w:hanging="567"/>
              <w:contextualSpacing w:val="0"/>
              <w:jc w:val="both"/>
              <w:rPr>
                <w:rFonts w:ascii="Verdana" w:hAnsi="Verdana"/>
                <w:sz w:val="16"/>
                <w:szCs w:val="16"/>
                <w:lang w:val="bg-BG"/>
              </w:rPr>
            </w:pPr>
            <w:r w:rsidRPr="007375EB">
              <w:rPr>
                <w:rFonts w:ascii="Verdana" w:hAnsi="Verdana"/>
                <w:sz w:val="16"/>
                <w:szCs w:val="16"/>
                <w:lang w:val="bg-BG"/>
              </w:rPr>
              <w:t>Поддържане и подобряване на екологичното състояние/екологичния потенциал и химичното състояние на повърхностните и подземните водни тела</w:t>
            </w:r>
          </w:p>
        </w:tc>
        <w:tc>
          <w:tcPr>
            <w:tcW w:w="622" w:type="dxa"/>
            <w:shd w:val="clear" w:color="auto" w:fill="FFFF00"/>
          </w:tcPr>
          <w:p w14:paraId="4AB35021" w14:textId="0C8FBF85" w:rsidR="00153771" w:rsidRPr="007375EB" w:rsidRDefault="00516C61" w:rsidP="00B17FB8">
            <w:pPr>
              <w:tabs>
                <w:tab w:val="left" w:pos="746"/>
              </w:tabs>
              <w:spacing w:after="0" w:line="240" w:lineRule="auto"/>
              <w:jc w:val="both"/>
              <w:rPr>
                <w:rFonts w:ascii="Verdana" w:hAnsi="Verdana"/>
                <w:sz w:val="16"/>
                <w:szCs w:val="16"/>
                <w:lang w:val="bg-BG"/>
              </w:rPr>
            </w:pPr>
            <w:r w:rsidRPr="007375EB">
              <w:rPr>
                <w:rFonts w:ascii="Verdana" w:hAnsi="Verdana"/>
                <w:sz w:val="16"/>
                <w:szCs w:val="16"/>
                <w:lang w:val="bg-BG"/>
              </w:rPr>
              <w:t>0</w:t>
            </w:r>
          </w:p>
        </w:tc>
        <w:tc>
          <w:tcPr>
            <w:tcW w:w="4315" w:type="dxa"/>
          </w:tcPr>
          <w:p w14:paraId="3A8AAE6F" w14:textId="77777777" w:rsidR="006B7D28" w:rsidRPr="007375EB" w:rsidRDefault="006B7D28" w:rsidP="006B7D28">
            <w:pPr>
              <w:tabs>
                <w:tab w:val="left" w:pos="746"/>
              </w:tabs>
              <w:spacing w:line="240" w:lineRule="auto"/>
              <w:jc w:val="both"/>
              <w:rPr>
                <w:rFonts w:ascii="Verdana" w:hAnsi="Verdana"/>
                <w:sz w:val="16"/>
                <w:szCs w:val="16"/>
                <w:lang w:val="bg-BG"/>
              </w:rPr>
            </w:pPr>
            <w:r w:rsidRPr="007375EB">
              <w:rPr>
                <w:rFonts w:ascii="Verdana" w:hAnsi="Verdana"/>
                <w:sz w:val="16"/>
                <w:szCs w:val="16"/>
                <w:lang w:val="bg-BG"/>
              </w:rPr>
              <w:t>Неизпълнението на анализирания PUZ няма да доведе до влошаване на качеството на повърхностните и дълбоките води. Поради своята специфика планът не оказва влияние върху качеството на водните обекти в района на изпълнение.</w:t>
            </w:r>
          </w:p>
          <w:p w14:paraId="42889F57" w14:textId="345EF931" w:rsidR="00153771" w:rsidRPr="007375EB" w:rsidRDefault="006B7D28" w:rsidP="006B7D28">
            <w:pPr>
              <w:tabs>
                <w:tab w:val="left" w:pos="746"/>
              </w:tabs>
              <w:spacing w:line="240" w:lineRule="auto"/>
              <w:jc w:val="both"/>
              <w:rPr>
                <w:rFonts w:ascii="Verdana" w:hAnsi="Verdana"/>
                <w:sz w:val="16"/>
                <w:szCs w:val="16"/>
                <w:lang w:val="bg-BG"/>
              </w:rPr>
            </w:pPr>
            <w:r w:rsidRPr="007375EB">
              <w:rPr>
                <w:rFonts w:ascii="Verdana" w:hAnsi="Verdana"/>
                <w:sz w:val="16"/>
                <w:szCs w:val="16"/>
                <w:lang w:val="bg-BG"/>
              </w:rPr>
              <w:t>Като се има предвид, че екологичните цели през 2027 г. за водните тела са добро химично състояние, вероятната еволюция на качеството на водните тела в зоната на изпълнение при липса на PUZ е подобряването</w:t>
            </w:r>
            <w:r w:rsidR="002F1CA5" w:rsidRPr="007375EB">
              <w:rPr>
                <w:rFonts w:ascii="Verdana" w:hAnsi="Verdana"/>
                <w:sz w:val="16"/>
                <w:szCs w:val="16"/>
                <w:lang w:val="bg-BG"/>
              </w:rPr>
              <w:t>.</w:t>
            </w:r>
          </w:p>
        </w:tc>
      </w:tr>
      <w:tr w:rsidR="00153771" w:rsidRPr="007375EB" w14:paraId="741B273B" w14:textId="3C80DACF" w:rsidTr="009A0A59">
        <w:tc>
          <w:tcPr>
            <w:tcW w:w="1551" w:type="dxa"/>
          </w:tcPr>
          <w:p w14:paraId="4B6FD4A1" w14:textId="5479007C" w:rsidR="00153771" w:rsidRPr="007375EB" w:rsidRDefault="006B7D28" w:rsidP="00B17FB8">
            <w:pPr>
              <w:spacing w:after="0" w:line="240" w:lineRule="auto"/>
              <w:rPr>
                <w:rFonts w:ascii="Verdana" w:hAnsi="Verdana"/>
                <w:b/>
                <w:bCs/>
                <w:sz w:val="16"/>
                <w:szCs w:val="16"/>
                <w:lang w:val="bg-BG"/>
              </w:rPr>
            </w:pPr>
            <w:r w:rsidRPr="007375EB">
              <w:rPr>
                <w:rFonts w:ascii="Verdana" w:hAnsi="Verdana"/>
                <w:b/>
                <w:bCs/>
                <w:sz w:val="16"/>
                <w:szCs w:val="16"/>
                <w:lang w:val="bg-BG"/>
              </w:rPr>
              <w:t>Въздух</w:t>
            </w:r>
          </w:p>
        </w:tc>
        <w:tc>
          <w:tcPr>
            <w:tcW w:w="3288" w:type="dxa"/>
          </w:tcPr>
          <w:p w14:paraId="1C3CFCAE" w14:textId="1CBB25ED" w:rsidR="00153771" w:rsidRPr="007375EB" w:rsidRDefault="006B7D28" w:rsidP="0041531F">
            <w:pPr>
              <w:pStyle w:val="ListParagraph"/>
              <w:numPr>
                <w:ilvl w:val="0"/>
                <w:numId w:val="73"/>
              </w:numPr>
              <w:tabs>
                <w:tab w:val="left" w:pos="746"/>
              </w:tabs>
              <w:spacing w:after="0" w:line="240" w:lineRule="auto"/>
              <w:ind w:left="604" w:hanging="567"/>
              <w:contextualSpacing w:val="0"/>
              <w:jc w:val="both"/>
              <w:rPr>
                <w:rFonts w:ascii="Verdana" w:hAnsi="Verdana"/>
                <w:sz w:val="16"/>
                <w:szCs w:val="16"/>
                <w:lang w:val="bg-BG"/>
              </w:rPr>
            </w:pPr>
            <w:r w:rsidRPr="007375EB">
              <w:rPr>
                <w:rFonts w:ascii="Verdana" w:hAnsi="Verdana"/>
                <w:sz w:val="16"/>
                <w:szCs w:val="16"/>
                <w:lang w:val="bg-BG"/>
              </w:rPr>
              <w:t>Поддържане на качеството на въздуха чрез намаляване на емисиите, генерирани от дейности в енергийния сектор</w:t>
            </w:r>
          </w:p>
        </w:tc>
        <w:tc>
          <w:tcPr>
            <w:tcW w:w="622" w:type="dxa"/>
            <w:shd w:val="clear" w:color="auto" w:fill="FFCFBB" w:themeFill="accent5" w:themeFillTint="66"/>
          </w:tcPr>
          <w:p w14:paraId="5AA0E6C2" w14:textId="72599819" w:rsidR="00153771" w:rsidRPr="007375EB" w:rsidRDefault="002C73D8" w:rsidP="00B17FB8">
            <w:pPr>
              <w:tabs>
                <w:tab w:val="left" w:pos="746"/>
              </w:tabs>
              <w:spacing w:after="0" w:line="240" w:lineRule="auto"/>
              <w:ind w:left="37"/>
              <w:jc w:val="both"/>
              <w:rPr>
                <w:rFonts w:ascii="Verdana" w:hAnsi="Verdana"/>
                <w:sz w:val="16"/>
                <w:szCs w:val="16"/>
                <w:lang w:val="bg-BG"/>
              </w:rPr>
            </w:pPr>
            <w:r w:rsidRPr="007375EB">
              <w:rPr>
                <w:rFonts w:ascii="Verdana" w:hAnsi="Verdana"/>
                <w:sz w:val="16"/>
                <w:szCs w:val="16"/>
                <w:lang w:val="bg-BG"/>
              </w:rPr>
              <w:t>-1</w:t>
            </w:r>
          </w:p>
        </w:tc>
        <w:tc>
          <w:tcPr>
            <w:tcW w:w="4315" w:type="dxa"/>
          </w:tcPr>
          <w:p w14:paraId="3657171C" w14:textId="4623863C" w:rsidR="00153771" w:rsidRPr="007375EB" w:rsidRDefault="006B7D28" w:rsidP="00B17FB8">
            <w:pPr>
              <w:tabs>
                <w:tab w:val="left" w:pos="746"/>
              </w:tabs>
              <w:spacing w:after="0" w:line="240" w:lineRule="auto"/>
              <w:jc w:val="both"/>
              <w:rPr>
                <w:rFonts w:ascii="Verdana" w:hAnsi="Verdana"/>
                <w:sz w:val="16"/>
                <w:szCs w:val="16"/>
                <w:lang w:val="bg-BG"/>
              </w:rPr>
            </w:pPr>
            <w:r w:rsidRPr="007375EB">
              <w:rPr>
                <w:rFonts w:ascii="Verdana" w:hAnsi="Verdana"/>
                <w:sz w:val="16"/>
                <w:szCs w:val="16"/>
                <w:lang w:val="bg-BG"/>
              </w:rPr>
              <w:t>Неизпълнението на анализирания PUZ няма да доведе пряко до влошаване на качеството на въздуха в района на площадката, но предвид целта на Плана за създаване на източник на възобновяема електроенергия, който да замени класическите източници за производство на електроенергия, може да бъде заключава, че неизпълнението на PUZ косвено води до влошаване на качеството на въздуха</w:t>
            </w:r>
            <w:r w:rsidR="00D456D2" w:rsidRPr="007375EB">
              <w:rPr>
                <w:rFonts w:ascii="Verdana" w:hAnsi="Verdana"/>
                <w:sz w:val="16"/>
                <w:szCs w:val="16"/>
                <w:lang w:val="bg-BG"/>
              </w:rPr>
              <w:t>.</w:t>
            </w:r>
          </w:p>
        </w:tc>
      </w:tr>
      <w:tr w:rsidR="00153771" w:rsidRPr="007375EB" w14:paraId="2EB27A23" w14:textId="7993C137" w:rsidTr="009A0A59">
        <w:tc>
          <w:tcPr>
            <w:tcW w:w="1551" w:type="dxa"/>
          </w:tcPr>
          <w:p w14:paraId="50BCEEC7" w14:textId="20C288C7" w:rsidR="00153771" w:rsidRPr="007375EB" w:rsidRDefault="006B7D28" w:rsidP="00B17FB8">
            <w:pPr>
              <w:spacing w:after="0" w:line="240" w:lineRule="auto"/>
              <w:rPr>
                <w:rFonts w:ascii="Verdana" w:hAnsi="Verdana"/>
                <w:b/>
                <w:bCs/>
                <w:sz w:val="16"/>
                <w:szCs w:val="16"/>
                <w:lang w:val="bg-BG"/>
              </w:rPr>
            </w:pPr>
            <w:r w:rsidRPr="007375EB">
              <w:rPr>
                <w:rFonts w:ascii="Verdana" w:hAnsi="Verdana"/>
                <w:b/>
                <w:bCs/>
                <w:sz w:val="16"/>
                <w:szCs w:val="16"/>
                <w:lang w:val="bg-BG"/>
              </w:rPr>
              <w:t>Почва/подпочва</w:t>
            </w:r>
          </w:p>
        </w:tc>
        <w:tc>
          <w:tcPr>
            <w:tcW w:w="3288" w:type="dxa"/>
          </w:tcPr>
          <w:p w14:paraId="7B213B4E" w14:textId="5C40F5AC" w:rsidR="00153771" w:rsidRPr="007375EB" w:rsidRDefault="006B7D28" w:rsidP="0041531F">
            <w:pPr>
              <w:pStyle w:val="ListParagraph"/>
              <w:numPr>
                <w:ilvl w:val="0"/>
                <w:numId w:val="73"/>
              </w:numPr>
              <w:tabs>
                <w:tab w:val="left" w:pos="746"/>
              </w:tabs>
              <w:spacing w:after="0" w:line="240" w:lineRule="auto"/>
              <w:ind w:left="604" w:hanging="567"/>
              <w:contextualSpacing w:val="0"/>
              <w:jc w:val="both"/>
              <w:rPr>
                <w:rFonts w:ascii="Verdana" w:hAnsi="Verdana"/>
                <w:sz w:val="16"/>
                <w:szCs w:val="16"/>
                <w:lang w:val="bg-BG"/>
              </w:rPr>
            </w:pPr>
            <w:r w:rsidRPr="007375EB">
              <w:rPr>
                <w:rFonts w:ascii="Verdana" w:hAnsi="Verdana"/>
                <w:sz w:val="16"/>
                <w:szCs w:val="16"/>
                <w:lang w:val="bg-BG"/>
              </w:rPr>
              <w:t>Ограничаване на замърсяването на почвата и деградацията на земните повърхности</w:t>
            </w:r>
            <w:r w:rsidR="00153771" w:rsidRPr="007375EB">
              <w:rPr>
                <w:rFonts w:ascii="Verdana" w:hAnsi="Verdana"/>
                <w:sz w:val="16"/>
                <w:szCs w:val="16"/>
                <w:lang w:val="bg-BG"/>
              </w:rPr>
              <w:t>.</w:t>
            </w:r>
          </w:p>
        </w:tc>
        <w:tc>
          <w:tcPr>
            <w:tcW w:w="622" w:type="dxa"/>
            <w:shd w:val="clear" w:color="auto" w:fill="FFFF00"/>
          </w:tcPr>
          <w:p w14:paraId="31B44EED" w14:textId="05A95949" w:rsidR="00153771" w:rsidRPr="007375EB" w:rsidRDefault="00932F0F" w:rsidP="00B17FB8">
            <w:pPr>
              <w:tabs>
                <w:tab w:val="left" w:pos="746"/>
              </w:tabs>
              <w:spacing w:after="0" w:line="240" w:lineRule="auto"/>
              <w:ind w:left="37"/>
              <w:jc w:val="both"/>
              <w:rPr>
                <w:rFonts w:ascii="Verdana" w:hAnsi="Verdana"/>
                <w:sz w:val="16"/>
                <w:szCs w:val="16"/>
                <w:lang w:val="bg-BG"/>
              </w:rPr>
            </w:pPr>
            <w:r w:rsidRPr="007375EB">
              <w:rPr>
                <w:rFonts w:ascii="Verdana" w:hAnsi="Verdana"/>
                <w:sz w:val="16"/>
                <w:szCs w:val="16"/>
                <w:lang w:val="bg-BG"/>
              </w:rPr>
              <w:t>0</w:t>
            </w:r>
          </w:p>
        </w:tc>
        <w:tc>
          <w:tcPr>
            <w:tcW w:w="4315" w:type="dxa"/>
          </w:tcPr>
          <w:p w14:paraId="0807FD13" w14:textId="77777777" w:rsidR="006B7D28" w:rsidRPr="007375EB" w:rsidRDefault="006B7D28" w:rsidP="006B7D28">
            <w:pPr>
              <w:tabs>
                <w:tab w:val="left" w:pos="746"/>
              </w:tabs>
              <w:spacing w:line="240" w:lineRule="auto"/>
              <w:jc w:val="both"/>
              <w:rPr>
                <w:rFonts w:ascii="Verdana" w:hAnsi="Verdana"/>
                <w:sz w:val="16"/>
                <w:szCs w:val="16"/>
                <w:lang w:val="bg-BG"/>
              </w:rPr>
            </w:pPr>
            <w:r w:rsidRPr="007375EB">
              <w:rPr>
                <w:rFonts w:ascii="Verdana" w:hAnsi="Verdana"/>
                <w:sz w:val="16"/>
                <w:szCs w:val="16"/>
                <w:lang w:val="bg-BG"/>
              </w:rPr>
              <w:t>Що се отнася до качеството на почвата, тенденцията е да се запазят сегашните характеристики. Почвата в района на изпълнение на PUZ се класифицира като клас на качество III (по скала от I до V), т.е. средно плодородна почва, умерено засегната от деградация</w:t>
            </w:r>
          </w:p>
          <w:p w14:paraId="346862C0" w14:textId="35848710" w:rsidR="00380720" w:rsidRPr="007375EB" w:rsidRDefault="006B7D28" w:rsidP="006B7D28">
            <w:pPr>
              <w:tabs>
                <w:tab w:val="left" w:pos="746"/>
              </w:tabs>
              <w:spacing w:after="0" w:line="240" w:lineRule="auto"/>
              <w:jc w:val="both"/>
              <w:rPr>
                <w:rFonts w:ascii="Verdana" w:hAnsi="Verdana"/>
                <w:sz w:val="16"/>
                <w:szCs w:val="16"/>
                <w:lang w:val="bg-BG"/>
              </w:rPr>
            </w:pPr>
            <w:r w:rsidRPr="007375EB">
              <w:rPr>
                <w:rFonts w:ascii="Verdana" w:hAnsi="Verdana"/>
                <w:sz w:val="16"/>
                <w:szCs w:val="16"/>
                <w:lang w:val="bg-BG"/>
              </w:rPr>
              <w:t>Ако този план не бъде изпълнен, се очаква да няма промени в качеството на почвата</w:t>
            </w:r>
            <w:r w:rsidR="00660418" w:rsidRPr="007375EB">
              <w:rPr>
                <w:rFonts w:ascii="Verdana" w:hAnsi="Verdana"/>
                <w:sz w:val="16"/>
                <w:szCs w:val="16"/>
                <w:lang w:val="bg-BG"/>
              </w:rPr>
              <w:t>.</w:t>
            </w:r>
          </w:p>
        </w:tc>
      </w:tr>
      <w:tr w:rsidR="00153771" w:rsidRPr="007375EB" w14:paraId="458FF42C" w14:textId="0C4C6000" w:rsidTr="009A0A59">
        <w:trPr>
          <w:trHeight w:val="670"/>
        </w:trPr>
        <w:tc>
          <w:tcPr>
            <w:tcW w:w="1551" w:type="dxa"/>
            <w:vMerge w:val="restart"/>
          </w:tcPr>
          <w:p w14:paraId="10045A39" w14:textId="3F399104" w:rsidR="00153771" w:rsidRPr="007375EB" w:rsidRDefault="000F79B5" w:rsidP="00B17FB8">
            <w:pPr>
              <w:spacing w:after="0" w:line="240" w:lineRule="auto"/>
              <w:rPr>
                <w:rFonts w:ascii="Verdana" w:hAnsi="Verdana"/>
                <w:b/>
                <w:bCs/>
                <w:sz w:val="16"/>
                <w:szCs w:val="16"/>
                <w:lang w:val="bg-BG"/>
              </w:rPr>
            </w:pPr>
            <w:r w:rsidRPr="007375EB">
              <w:rPr>
                <w:rFonts w:ascii="Verdana" w:hAnsi="Verdana"/>
                <w:b/>
                <w:bCs/>
                <w:sz w:val="16"/>
                <w:szCs w:val="16"/>
                <w:lang w:val="bg-BG"/>
              </w:rPr>
              <w:t>Използване на природни ресурси</w:t>
            </w:r>
          </w:p>
        </w:tc>
        <w:tc>
          <w:tcPr>
            <w:tcW w:w="3288" w:type="dxa"/>
          </w:tcPr>
          <w:p w14:paraId="1205F774" w14:textId="28B3E43F" w:rsidR="00153771" w:rsidRPr="007375EB" w:rsidRDefault="006B7D28" w:rsidP="0041531F">
            <w:pPr>
              <w:pStyle w:val="ListParagraph"/>
              <w:numPr>
                <w:ilvl w:val="0"/>
                <w:numId w:val="73"/>
              </w:numPr>
              <w:tabs>
                <w:tab w:val="left" w:pos="746"/>
              </w:tabs>
              <w:spacing w:after="0" w:line="240" w:lineRule="auto"/>
              <w:ind w:left="604" w:hanging="567"/>
              <w:contextualSpacing w:val="0"/>
              <w:jc w:val="both"/>
              <w:rPr>
                <w:rFonts w:ascii="Verdana" w:hAnsi="Verdana"/>
                <w:sz w:val="16"/>
                <w:szCs w:val="16"/>
                <w:lang w:val="bg-BG"/>
              </w:rPr>
            </w:pPr>
            <w:r w:rsidRPr="007375EB">
              <w:rPr>
                <w:rFonts w:ascii="Verdana" w:hAnsi="Verdana"/>
                <w:sz w:val="16"/>
                <w:szCs w:val="16"/>
                <w:lang w:val="bg-BG"/>
              </w:rPr>
              <w:t>Намаляване на експлоатацията на изчерпаеми ресурси и улесняване на експлоатацията на възобновяеми</w:t>
            </w:r>
          </w:p>
        </w:tc>
        <w:tc>
          <w:tcPr>
            <w:tcW w:w="622" w:type="dxa"/>
            <w:shd w:val="clear" w:color="auto" w:fill="FF0000"/>
          </w:tcPr>
          <w:p w14:paraId="551459CB" w14:textId="7F0ABCD9" w:rsidR="00153771" w:rsidRPr="007375EB" w:rsidRDefault="00932F0F" w:rsidP="00B17FB8">
            <w:pPr>
              <w:tabs>
                <w:tab w:val="left" w:pos="746"/>
              </w:tabs>
              <w:spacing w:after="0" w:line="240" w:lineRule="auto"/>
              <w:ind w:left="37"/>
              <w:jc w:val="both"/>
              <w:rPr>
                <w:rFonts w:ascii="Verdana" w:hAnsi="Verdana"/>
                <w:sz w:val="16"/>
                <w:szCs w:val="16"/>
                <w:lang w:val="bg-BG"/>
              </w:rPr>
            </w:pPr>
            <w:r w:rsidRPr="007375EB">
              <w:rPr>
                <w:rFonts w:ascii="Verdana" w:hAnsi="Verdana"/>
                <w:sz w:val="16"/>
                <w:szCs w:val="16"/>
                <w:lang w:val="bg-BG"/>
              </w:rPr>
              <w:t>-2</w:t>
            </w:r>
          </w:p>
        </w:tc>
        <w:tc>
          <w:tcPr>
            <w:tcW w:w="4315" w:type="dxa"/>
          </w:tcPr>
          <w:p w14:paraId="690BA169" w14:textId="5521FDEE" w:rsidR="00153771" w:rsidRPr="007375EB" w:rsidRDefault="000F79B5" w:rsidP="00B17FB8">
            <w:pPr>
              <w:tabs>
                <w:tab w:val="left" w:pos="746"/>
              </w:tabs>
              <w:spacing w:after="0" w:line="240" w:lineRule="auto"/>
              <w:ind w:left="40"/>
              <w:jc w:val="both"/>
              <w:rPr>
                <w:rFonts w:ascii="Verdana" w:hAnsi="Verdana"/>
                <w:sz w:val="16"/>
                <w:szCs w:val="16"/>
                <w:lang w:val="bg-BG"/>
              </w:rPr>
            </w:pPr>
            <w:r w:rsidRPr="007375EB">
              <w:rPr>
                <w:rFonts w:ascii="Verdana" w:hAnsi="Verdana"/>
                <w:sz w:val="16"/>
                <w:szCs w:val="16"/>
                <w:lang w:val="bg-BG"/>
              </w:rPr>
              <w:t>Неизпълнението на PUZ предполага продължаване на експлоатацията на изчерпаеми ресурси (въглища, природен газ) за производство на електроенергия с въздействие върху емисиите на замърсители във въздуха, водата, почвата и намалява потенциала за капитализиране на използването на възобновяеми енергийни източници. ресурси (вятър)</w:t>
            </w:r>
          </w:p>
        </w:tc>
      </w:tr>
      <w:tr w:rsidR="00153771" w:rsidRPr="007375EB" w14:paraId="20D57BD2" w14:textId="199EB2C6" w:rsidTr="009A0A59">
        <w:trPr>
          <w:trHeight w:val="541"/>
        </w:trPr>
        <w:tc>
          <w:tcPr>
            <w:tcW w:w="1551" w:type="dxa"/>
            <w:vMerge/>
          </w:tcPr>
          <w:p w14:paraId="3E970830" w14:textId="77777777" w:rsidR="00153771" w:rsidRPr="007375EB" w:rsidRDefault="00153771" w:rsidP="00B17FB8">
            <w:pPr>
              <w:spacing w:after="0" w:line="240" w:lineRule="auto"/>
              <w:rPr>
                <w:rFonts w:ascii="Verdana" w:hAnsi="Verdana"/>
                <w:b/>
                <w:bCs/>
                <w:sz w:val="16"/>
                <w:szCs w:val="16"/>
                <w:lang w:val="bg-BG"/>
              </w:rPr>
            </w:pPr>
          </w:p>
        </w:tc>
        <w:tc>
          <w:tcPr>
            <w:tcW w:w="3288" w:type="dxa"/>
          </w:tcPr>
          <w:p w14:paraId="4321E8DD" w14:textId="5EAF83BB" w:rsidR="00153771" w:rsidRPr="007375EB" w:rsidRDefault="00B754CA" w:rsidP="0041531F">
            <w:pPr>
              <w:pStyle w:val="ListParagraph"/>
              <w:numPr>
                <w:ilvl w:val="0"/>
                <w:numId w:val="73"/>
              </w:numPr>
              <w:tabs>
                <w:tab w:val="left" w:pos="746"/>
              </w:tabs>
              <w:spacing w:after="0" w:line="240" w:lineRule="auto"/>
              <w:ind w:left="607" w:hanging="567"/>
              <w:contextualSpacing w:val="0"/>
              <w:jc w:val="both"/>
              <w:rPr>
                <w:rFonts w:ascii="Verdana" w:hAnsi="Verdana"/>
                <w:sz w:val="16"/>
                <w:szCs w:val="16"/>
                <w:lang w:val="bg-BG"/>
              </w:rPr>
            </w:pPr>
            <w:r w:rsidRPr="007375EB">
              <w:rPr>
                <w:rFonts w:ascii="Verdana" w:hAnsi="Verdana"/>
                <w:sz w:val="16"/>
                <w:szCs w:val="16"/>
                <w:lang w:val="bg-BG"/>
              </w:rPr>
              <w:t>Насърчаване на прехода към към кръгова икономика и ефективно използване на ресурсите</w:t>
            </w:r>
          </w:p>
        </w:tc>
        <w:tc>
          <w:tcPr>
            <w:tcW w:w="622" w:type="dxa"/>
            <w:shd w:val="clear" w:color="auto" w:fill="FFCFBB" w:themeFill="accent5" w:themeFillTint="66"/>
          </w:tcPr>
          <w:p w14:paraId="1043136D" w14:textId="7F3A82AF" w:rsidR="00153771" w:rsidRPr="007375EB" w:rsidRDefault="00DC0435" w:rsidP="00B17FB8">
            <w:pPr>
              <w:tabs>
                <w:tab w:val="left" w:pos="746"/>
              </w:tabs>
              <w:spacing w:after="0" w:line="240" w:lineRule="auto"/>
              <w:ind w:left="40"/>
              <w:jc w:val="both"/>
              <w:rPr>
                <w:rFonts w:ascii="Verdana" w:hAnsi="Verdana"/>
                <w:sz w:val="16"/>
                <w:szCs w:val="16"/>
                <w:lang w:val="bg-BG"/>
              </w:rPr>
            </w:pPr>
            <w:r w:rsidRPr="007375EB">
              <w:rPr>
                <w:rFonts w:ascii="Verdana" w:hAnsi="Verdana"/>
                <w:sz w:val="16"/>
                <w:szCs w:val="16"/>
                <w:lang w:val="bg-BG"/>
              </w:rPr>
              <w:t>-1</w:t>
            </w:r>
          </w:p>
        </w:tc>
        <w:tc>
          <w:tcPr>
            <w:tcW w:w="4315" w:type="dxa"/>
          </w:tcPr>
          <w:p w14:paraId="783D25CD" w14:textId="1A066BB4" w:rsidR="00153771" w:rsidRPr="007375EB" w:rsidRDefault="00B754CA" w:rsidP="00B17FB8">
            <w:pPr>
              <w:tabs>
                <w:tab w:val="left" w:pos="746"/>
              </w:tabs>
              <w:spacing w:after="0" w:line="240" w:lineRule="auto"/>
              <w:ind w:left="40"/>
              <w:jc w:val="both"/>
              <w:rPr>
                <w:rFonts w:ascii="Verdana" w:hAnsi="Verdana"/>
                <w:sz w:val="16"/>
                <w:szCs w:val="16"/>
                <w:lang w:val="bg-BG"/>
              </w:rPr>
            </w:pPr>
            <w:r w:rsidRPr="007375EB">
              <w:rPr>
                <w:rFonts w:ascii="Verdana" w:hAnsi="Verdana"/>
                <w:sz w:val="16"/>
                <w:szCs w:val="16"/>
                <w:lang w:val="bg-BG"/>
              </w:rPr>
              <w:t>При липса на прилагане на PUZ няма тласък за преход към кръгова икономика и ефективно използване на ресурсите</w:t>
            </w:r>
          </w:p>
        </w:tc>
      </w:tr>
      <w:tr w:rsidR="00153771" w:rsidRPr="007375EB" w14:paraId="736C24B5" w14:textId="616D4759" w:rsidTr="009A0A59">
        <w:tc>
          <w:tcPr>
            <w:tcW w:w="1551" w:type="dxa"/>
          </w:tcPr>
          <w:p w14:paraId="38FBE7CE" w14:textId="2B2F0629" w:rsidR="00153771" w:rsidRPr="007375EB" w:rsidRDefault="00B754CA" w:rsidP="00B17FB8">
            <w:pPr>
              <w:spacing w:after="0" w:line="240" w:lineRule="auto"/>
              <w:rPr>
                <w:rFonts w:ascii="Verdana" w:hAnsi="Verdana"/>
                <w:b/>
                <w:bCs/>
                <w:sz w:val="16"/>
                <w:szCs w:val="16"/>
                <w:lang w:val="bg-BG"/>
              </w:rPr>
            </w:pPr>
            <w:r w:rsidRPr="007375EB">
              <w:rPr>
                <w:rFonts w:ascii="Verdana" w:hAnsi="Verdana"/>
                <w:b/>
                <w:bCs/>
                <w:sz w:val="16"/>
                <w:szCs w:val="16"/>
                <w:lang w:val="bg-BG"/>
              </w:rPr>
              <w:t>Управление на отпадъците</w:t>
            </w:r>
          </w:p>
        </w:tc>
        <w:tc>
          <w:tcPr>
            <w:tcW w:w="3288" w:type="dxa"/>
          </w:tcPr>
          <w:p w14:paraId="32F88C60" w14:textId="52EF8A3D" w:rsidR="00153771" w:rsidRPr="007375EB" w:rsidRDefault="00B754CA" w:rsidP="0041531F">
            <w:pPr>
              <w:pStyle w:val="ListParagraph"/>
              <w:numPr>
                <w:ilvl w:val="0"/>
                <w:numId w:val="73"/>
              </w:numPr>
              <w:tabs>
                <w:tab w:val="left" w:pos="746"/>
              </w:tabs>
              <w:spacing w:after="0" w:line="240" w:lineRule="auto"/>
              <w:ind w:left="604" w:hanging="567"/>
              <w:contextualSpacing w:val="0"/>
              <w:jc w:val="both"/>
              <w:rPr>
                <w:rFonts w:ascii="Verdana" w:hAnsi="Verdana"/>
                <w:sz w:val="16"/>
                <w:szCs w:val="16"/>
                <w:lang w:val="bg-BG"/>
              </w:rPr>
            </w:pPr>
            <w:r w:rsidRPr="007375EB">
              <w:rPr>
                <w:rFonts w:ascii="Verdana" w:hAnsi="Verdana"/>
                <w:sz w:val="16"/>
                <w:szCs w:val="16"/>
                <w:lang w:val="bg-BG"/>
              </w:rPr>
              <w:t>Намаляване на количеството генерирани и изхвърлени отпадъци чрез съхранение на Eva (съответстващи депа за отпадъци</w:t>
            </w:r>
            <w:r w:rsidR="00153771" w:rsidRPr="007375EB">
              <w:rPr>
                <w:rFonts w:ascii="Verdana" w:hAnsi="Verdana"/>
                <w:sz w:val="16"/>
                <w:szCs w:val="16"/>
                <w:lang w:val="bg-BG"/>
              </w:rPr>
              <w:t>)</w:t>
            </w:r>
          </w:p>
        </w:tc>
        <w:tc>
          <w:tcPr>
            <w:tcW w:w="622" w:type="dxa"/>
            <w:shd w:val="clear" w:color="auto" w:fill="FFFF00"/>
          </w:tcPr>
          <w:p w14:paraId="798AC15A" w14:textId="33BD6A47" w:rsidR="00153771" w:rsidRPr="007375EB" w:rsidRDefault="001763A4" w:rsidP="00B17FB8">
            <w:pPr>
              <w:tabs>
                <w:tab w:val="left" w:pos="746"/>
              </w:tabs>
              <w:spacing w:after="0" w:line="240" w:lineRule="auto"/>
              <w:ind w:left="37"/>
              <w:jc w:val="both"/>
              <w:rPr>
                <w:rFonts w:ascii="Verdana" w:hAnsi="Verdana"/>
                <w:sz w:val="16"/>
                <w:szCs w:val="16"/>
                <w:lang w:val="bg-BG"/>
              </w:rPr>
            </w:pPr>
            <w:r w:rsidRPr="007375EB">
              <w:rPr>
                <w:rFonts w:ascii="Verdana" w:hAnsi="Verdana"/>
                <w:sz w:val="16"/>
                <w:szCs w:val="16"/>
                <w:lang w:val="bg-BG"/>
              </w:rPr>
              <w:t>0</w:t>
            </w:r>
          </w:p>
        </w:tc>
        <w:tc>
          <w:tcPr>
            <w:tcW w:w="4315" w:type="dxa"/>
          </w:tcPr>
          <w:p w14:paraId="38571758" w14:textId="51293F48" w:rsidR="00153771" w:rsidRPr="007375EB" w:rsidRDefault="00B754CA" w:rsidP="00B17FB8">
            <w:pPr>
              <w:tabs>
                <w:tab w:val="left" w:pos="746"/>
              </w:tabs>
              <w:spacing w:after="0" w:line="240" w:lineRule="auto"/>
              <w:ind w:left="37"/>
              <w:jc w:val="both"/>
              <w:rPr>
                <w:rFonts w:ascii="Verdana" w:hAnsi="Verdana"/>
                <w:sz w:val="16"/>
                <w:szCs w:val="16"/>
                <w:lang w:val="bg-BG"/>
              </w:rPr>
            </w:pPr>
            <w:r w:rsidRPr="007375EB">
              <w:rPr>
                <w:rFonts w:ascii="Verdana" w:hAnsi="Verdana"/>
                <w:sz w:val="16"/>
                <w:szCs w:val="16"/>
                <w:lang w:val="bg-BG"/>
              </w:rPr>
              <w:t>Не се очакват значителни промени в управлението на отпадъците без прилагането на PUZ, като по този начин се запазва сегашното състояние</w:t>
            </w:r>
            <w:r w:rsidR="00D57621" w:rsidRPr="007375EB">
              <w:rPr>
                <w:rFonts w:ascii="Verdana" w:hAnsi="Verdana"/>
                <w:sz w:val="16"/>
                <w:szCs w:val="16"/>
                <w:lang w:val="bg-BG"/>
              </w:rPr>
              <w:t>.</w:t>
            </w:r>
          </w:p>
        </w:tc>
      </w:tr>
      <w:tr w:rsidR="00153771" w:rsidRPr="007375EB" w14:paraId="041C4604" w14:textId="51744FB3" w:rsidTr="009A0A59">
        <w:tc>
          <w:tcPr>
            <w:tcW w:w="1551" w:type="dxa"/>
          </w:tcPr>
          <w:p w14:paraId="16C926EC" w14:textId="6C6F8BE2" w:rsidR="00153771" w:rsidRPr="007375EB" w:rsidRDefault="00B754CA" w:rsidP="00B17FB8">
            <w:pPr>
              <w:spacing w:after="0" w:line="240" w:lineRule="auto"/>
              <w:rPr>
                <w:rFonts w:ascii="Verdana" w:hAnsi="Verdana"/>
                <w:b/>
                <w:bCs/>
                <w:sz w:val="16"/>
                <w:szCs w:val="16"/>
                <w:lang w:val="bg-BG"/>
              </w:rPr>
            </w:pPr>
            <w:r w:rsidRPr="007375EB">
              <w:rPr>
                <w:rFonts w:ascii="Verdana" w:hAnsi="Verdana"/>
                <w:b/>
                <w:bCs/>
                <w:sz w:val="16"/>
                <w:szCs w:val="16"/>
                <w:lang w:val="bg-BG"/>
              </w:rPr>
              <w:t>Шум и вибрации</w:t>
            </w:r>
          </w:p>
        </w:tc>
        <w:tc>
          <w:tcPr>
            <w:tcW w:w="3288" w:type="dxa"/>
          </w:tcPr>
          <w:p w14:paraId="3DE6E641" w14:textId="0FA422EC" w:rsidR="00153771" w:rsidRPr="007375EB" w:rsidRDefault="00B754CA" w:rsidP="0041531F">
            <w:pPr>
              <w:pStyle w:val="ListParagraph"/>
              <w:numPr>
                <w:ilvl w:val="0"/>
                <w:numId w:val="73"/>
              </w:numPr>
              <w:tabs>
                <w:tab w:val="left" w:pos="746"/>
              </w:tabs>
              <w:spacing w:after="0" w:line="240" w:lineRule="auto"/>
              <w:ind w:left="604" w:hanging="567"/>
              <w:contextualSpacing w:val="0"/>
              <w:jc w:val="both"/>
              <w:rPr>
                <w:rFonts w:ascii="Verdana" w:hAnsi="Verdana"/>
                <w:sz w:val="16"/>
                <w:szCs w:val="16"/>
                <w:lang w:val="bg-BG"/>
              </w:rPr>
            </w:pPr>
            <w:r w:rsidRPr="007375EB">
              <w:rPr>
                <w:rFonts w:ascii="Verdana" w:hAnsi="Verdana"/>
                <w:sz w:val="16"/>
                <w:szCs w:val="16"/>
                <w:lang w:val="bg-BG"/>
              </w:rPr>
              <w:t>Ограничаване на източника на шумово замърсяване в зони с чувствителни към шум рецептори. Ограничение на нивата на вибрации</w:t>
            </w:r>
          </w:p>
        </w:tc>
        <w:tc>
          <w:tcPr>
            <w:tcW w:w="622" w:type="dxa"/>
            <w:shd w:val="clear" w:color="auto" w:fill="FFFF00"/>
          </w:tcPr>
          <w:p w14:paraId="2C86044B" w14:textId="04A2E82F" w:rsidR="00153771" w:rsidRPr="007375EB" w:rsidRDefault="001763A4" w:rsidP="00B17FB8">
            <w:pPr>
              <w:tabs>
                <w:tab w:val="left" w:pos="746"/>
              </w:tabs>
              <w:spacing w:after="0" w:line="240" w:lineRule="auto"/>
              <w:ind w:left="37"/>
              <w:jc w:val="both"/>
              <w:rPr>
                <w:rFonts w:ascii="Verdana" w:hAnsi="Verdana"/>
                <w:sz w:val="16"/>
                <w:szCs w:val="16"/>
                <w:lang w:val="bg-BG"/>
              </w:rPr>
            </w:pPr>
            <w:r w:rsidRPr="007375EB">
              <w:rPr>
                <w:rFonts w:ascii="Verdana" w:hAnsi="Verdana"/>
                <w:sz w:val="16"/>
                <w:szCs w:val="16"/>
                <w:lang w:val="bg-BG"/>
              </w:rPr>
              <w:t>0</w:t>
            </w:r>
          </w:p>
        </w:tc>
        <w:tc>
          <w:tcPr>
            <w:tcW w:w="4315" w:type="dxa"/>
          </w:tcPr>
          <w:p w14:paraId="762272BC" w14:textId="1A6921F4" w:rsidR="00153771" w:rsidRPr="007375EB" w:rsidRDefault="00B754CA" w:rsidP="00B17FB8">
            <w:pPr>
              <w:tabs>
                <w:tab w:val="left" w:pos="746"/>
              </w:tabs>
              <w:spacing w:after="0" w:line="240" w:lineRule="auto"/>
              <w:ind w:left="37"/>
              <w:jc w:val="both"/>
              <w:rPr>
                <w:rFonts w:ascii="Verdana" w:hAnsi="Verdana"/>
                <w:sz w:val="16"/>
                <w:szCs w:val="16"/>
                <w:lang w:val="bg-BG"/>
              </w:rPr>
            </w:pPr>
            <w:r w:rsidRPr="007375EB">
              <w:rPr>
                <w:rFonts w:ascii="Verdana" w:hAnsi="Verdana"/>
                <w:sz w:val="16"/>
                <w:szCs w:val="16"/>
                <w:lang w:val="bg-BG"/>
              </w:rPr>
              <w:t>Без внедряването на PUZ няма да има допълнителни източници на шум и вибрации, нито ще бъдат премахнати съществуващите.</w:t>
            </w:r>
          </w:p>
        </w:tc>
      </w:tr>
      <w:tr w:rsidR="00153771" w:rsidRPr="007375EB" w14:paraId="0D7D6DD4" w14:textId="72A56FBC" w:rsidTr="009A0A59">
        <w:trPr>
          <w:trHeight w:val="504"/>
        </w:trPr>
        <w:tc>
          <w:tcPr>
            <w:tcW w:w="1551" w:type="dxa"/>
            <w:vMerge w:val="restart"/>
          </w:tcPr>
          <w:p w14:paraId="4BB6C51E" w14:textId="1B7526A2" w:rsidR="00153771" w:rsidRPr="007375EB" w:rsidRDefault="00B754CA" w:rsidP="00B17FB8">
            <w:pPr>
              <w:spacing w:after="0" w:line="240" w:lineRule="auto"/>
              <w:rPr>
                <w:rFonts w:ascii="Verdana" w:hAnsi="Verdana"/>
                <w:b/>
                <w:bCs/>
                <w:sz w:val="16"/>
                <w:szCs w:val="16"/>
                <w:lang w:val="bg-BG"/>
              </w:rPr>
            </w:pPr>
            <w:r w:rsidRPr="007375EB">
              <w:rPr>
                <w:rFonts w:ascii="Verdana" w:hAnsi="Verdana"/>
                <w:b/>
                <w:bCs/>
                <w:sz w:val="16"/>
                <w:szCs w:val="16"/>
                <w:lang w:val="bg-BG"/>
              </w:rPr>
              <w:t xml:space="preserve">Биоразнообразие </w:t>
            </w:r>
          </w:p>
        </w:tc>
        <w:tc>
          <w:tcPr>
            <w:tcW w:w="3288" w:type="dxa"/>
          </w:tcPr>
          <w:p w14:paraId="3DB4FC8C" w14:textId="470E1C0E" w:rsidR="00153771" w:rsidRPr="007375EB" w:rsidRDefault="00B754CA" w:rsidP="0041531F">
            <w:pPr>
              <w:pStyle w:val="ListParagraph"/>
              <w:numPr>
                <w:ilvl w:val="0"/>
                <w:numId w:val="73"/>
              </w:numPr>
              <w:tabs>
                <w:tab w:val="left" w:pos="746"/>
              </w:tabs>
              <w:spacing w:after="0" w:line="240" w:lineRule="auto"/>
              <w:ind w:left="604" w:hanging="567"/>
              <w:contextualSpacing w:val="0"/>
              <w:jc w:val="both"/>
              <w:rPr>
                <w:rFonts w:ascii="Verdana" w:hAnsi="Verdana"/>
                <w:sz w:val="16"/>
                <w:szCs w:val="16"/>
                <w:lang w:val="bg-BG"/>
              </w:rPr>
            </w:pPr>
            <w:r w:rsidRPr="007375EB">
              <w:rPr>
                <w:rFonts w:ascii="Verdana" w:hAnsi="Verdana"/>
                <w:sz w:val="16"/>
                <w:szCs w:val="16"/>
                <w:lang w:val="bg-BG"/>
              </w:rPr>
              <w:t>Опазване на природни местообитания и видове от флората и фауната от обществено значение</w:t>
            </w:r>
          </w:p>
        </w:tc>
        <w:tc>
          <w:tcPr>
            <w:tcW w:w="622" w:type="dxa"/>
            <w:shd w:val="clear" w:color="auto" w:fill="FFFF00"/>
          </w:tcPr>
          <w:p w14:paraId="10F9A517" w14:textId="78B20400" w:rsidR="00153771" w:rsidRPr="007375EB" w:rsidRDefault="001763A4" w:rsidP="00B17FB8">
            <w:pPr>
              <w:tabs>
                <w:tab w:val="left" w:pos="746"/>
              </w:tabs>
              <w:spacing w:after="0" w:line="240" w:lineRule="auto"/>
              <w:ind w:left="37"/>
              <w:jc w:val="both"/>
              <w:rPr>
                <w:rFonts w:ascii="Verdana" w:hAnsi="Verdana"/>
                <w:sz w:val="16"/>
                <w:szCs w:val="16"/>
                <w:lang w:val="bg-BG"/>
              </w:rPr>
            </w:pPr>
            <w:r w:rsidRPr="007375EB">
              <w:rPr>
                <w:rFonts w:ascii="Verdana" w:hAnsi="Verdana"/>
                <w:sz w:val="16"/>
                <w:szCs w:val="16"/>
                <w:lang w:val="bg-BG"/>
              </w:rPr>
              <w:t>0</w:t>
            </w:r>
          </w:p>
        </w:tc>
        <w:tc>
          <w:tcPr>
            <w:tcW w:w="4315" w:type="dxa"/>
          </w:tcPr>
          <w:p w14:paraId="4FBC6892" w14:textId="7713BB3D" w:rsidR="00153771" w:rsidRPr="007375EB" w:rsidRDefault="00B754CA" w:rsidP="00B17FB8">
            <w:pPr>
              <w:tabs>
                <w:tab w:val="left" w:pos="746"/>
              </w:tabs>
              <w:spacing w:after="0" w:line="240" w:lineRule="auto"/>
              <w:ind w:left="40"/>
              <w:jc w:val="both"/>
              <w:rPr>
                <w:rFonts w:ascii="Verdana" w:hAnsi="Verdana"/>
                <w:sz w:val="16"/>
                <w:szCs w:val="16"/>
                <w:lang w:val="bg-BG"/>
              </w:rPr>
            </w:pPr>
            <w:r w:rsidRPr="007375EB">
              <w:rPr>
                <w:rFonts w:ascii="Verdana" w:hAnsi="Verdana"/>
                <w:sz w:val="16"/>
                <w:szCs w:val="16"/>
                <w:lang w:val="bg-BG"/>
              </w:rPr>
              <w:t>Сегашното състояние се запазва, без допълнително нарушаване на местообитанията, но няма да се предприемат нови мерки за опазване на биоразнообразието</w:t>
            </w:r>
            <w:r w:rsidR="006C10B9" w:rsidRPr="007375EB">
              <w:rPr>
                <w:rFonts w:ascii="Verdana" w:hAnsi="Verdana"/>
                <w:sz w:val="16"/>
                <w:szCs w:val="16"/>
                <w:lang w:val="bg-BG"/>
              </w:rPr>
              <w:t>.</w:t>
            </w:r>
          </w:p>
        </w:tc>
      </w:tr>
      <w:tr w:rsidR="00153771" w:rsidRPr="007375EB" w14:paraId="68F0D278" w14:textId="3C0644F2" w:rsidTr="009A0A59">
        <w:tc>
          <w:tcPr>
            <w:tcW w:w="1551" w:type="dxa"/>
            <w:vMerge/>
          </w:tcPr>
          <w:p w14:paraId="1FEB1730" w14:textId="77777777" w:rsidR="00153771" w:rsidRPr="007375EB" w:rsidRDefault="00153771" w:rsidP="00B17FB8">
            <w:pPr>
              <w:spacing w:after="0" w:line="240" w:lineRule="auto"/>
              <w:rPr>
                <w:rFonts w:ascii="Verdana" w:hAnsi="Verdana"/>
                <w:b/>
                <w:bCs/>
                <w:sz w:val="16"/>
                <w:szCs w:val="16"/>
                <w:lang w:val="bg-BG"/>
              </w:rPr>
            </w:pPr>
          </w:p>
        </w:tc>
        <w:tc>
          <w:tcPr>
            <w:tcW w:w="3288" w:type="dxa"/>
          </w:tcPr>
          <w:p w14:paraId="18E5569F" w14:textId="76F7DEAB" w:rsidR="00153771" w:rsidRPr="007375EB" w:rsidRDefault="00B754CA" w:rsidP="0041531F">
            <w:pPr>
              <w:pStyle w:val="ListParagraph"/>
              <w:numPr>
                <w:ilvl w:val="0"/>
                <w:numId w:val="73"/>
              </w:numPr>
              <w:tabs>
                <w:tab w:val="left" w:pos="746"/>
              </w:tabs>
              <w:spacing w:after="0" w:line="240" w:lineRule="auto"/>
              <w:ind w:left="604" w:hanging="567"/>
              <w:contextualSpacing w:val="0"/>
              <w:jc w:val="both"/>
              <w:rPr>
                <w:rFonts w:ascii="Verdana" w:hAnsi="Verdana"/>
                <w:sz w:val="16"/>
                <w:szCs w:val="16"/>
                <w:lang w:val="bg-BG"/>
              </w:rPr>
            </w:pPr>
            <w:r w:rsidRPr="007375EB">
              <w:rPr>
                <w:rFonts w:ascii="Verdana" w:hAnsi="Verdana"/>
                <w:sz w:val="16"/>
                <w:szCs w:val="16"/>
                <w:lang w:val="bg-BG"/>
              </w:rPr>
              <w:t>Поддържане на мрежата от защитени територии Природа 2000</w:t>
            </w:r>
            <w:r w:rsidR="00153771" w:rsidRPr="007375EB">
              <w:rPr>
                <w:rFonts w:ascii="Verdana" w:hAnsi="Verdana"/>
                <w:sz w:val="16"/>
                <w:szCs w:val="16"/>
                <w:lang w:val="bg-BG"/>
              </w:rPr>
              <w:t>.</w:t>
            </w:r>
          </w:p>
        </w:tc>
        <w:tc>
          <w:tcPr>
            <w:tcW w:w="622" w:type="dxa"/>
            <w:shd w:val="clear" w:color="auto" w:fill="FFFF00"/>
          </w:tcPr>
          <w:p w14:paraId="5CC8A2B3" w14:textId="6050654A" w:rsidR="00153771" w:rsidRPr="007375EB" w:rsidRDefault="001763A4" w:rsidP="00B17FB8">
            <w:pPr>
              <w:tabs>
                <w:tab w:val="left" w:pos="746"/>
              </w:tabs>
              <w:spacing w:after="0" w:line="240" w:lineRule="auto"/>
              <w:ind w:left="37"/>
              <w:jc w:val="both"/>
              <w:rPr>
                <w:rFonts w:ascii="Verdana" w:hAnsi="Verdana"/>
                <w:sz w:val="16"/>
                <w:szCs w:val="16"/>
                <w:lang w:val="bg-BG"/>
              </w:rPr>
            </w:pPr>
            <w:r w:rsidRPr="007375EB">
              <w:rPr>
                <w:rFonts w:ascii="Verdana" w:hAnsi="Verdana"/>
                <w:sz w:val="16"/>
                <w:szCs w:val="16"/>
                <w:lang w:val="bg-BG"/>
              </w:rPr>
              <w:t>0</w:t>
            </w:r>
          </w:p>
        </w:tc>
        <w:tc>
          <w:tcPr>
            <w:tcW w:w="4315" w:type="dxa"/>
          </w:tcPr>
          <w:p w14:paraId="089D4FAB" w14:textId="77777777" w:rsidR="00B754CA" w:rsidRPr="007375EB" w:rsidRDefault="00B754CA" w:rsidP="00B754CA">
            <w:pPr>
              <w:tabs>
                <w:tab w:val="left" w:pos="746"/>
              </w:tabs>
              <w:spacing w:line="240" w:lineRule="auto"/>
              <w:ind w:left="40"/>
              <w:jc w:val="both"/>
              <w:rPr>
                <w:rFonts w:ascii="Verdana" w:hAnsi="Verdana"/>
                <w:sz w:val="16"/>
                <w:szCs w:val="16"/>
                <w:lang w:val="bg-BG"/>
              </w:rPr>
            </w:pPr>
            <w:r w:rsidRPr="007375EB">
              <w:rPr>
                <w:rFonts w:ascii="Verdana" w:hAnsi="Verdana"/>
                <w:sz w:val="16"/>
                <w:szCs w:val="16"/>
                <w:lang w:val="bg-BG"/>
              </w:rPr>
              <w:t>Неизпълнението на плана няма да повлияе на местното биоразнообразие в района.</w:t>
            </w:r>
          </w:p>
          <w:p w14:paraId="578FC790" w14:textId="16060C12" w:rsidR="00153771" w:rsidRPr="007375EB" w:rsidRDefault="00B754CA" w:rsidP="00B754CA">
            <w:pPr>
              <w:tabs>
                <w:tab w:val="left" w:pos="746"/>
              </w:tabs>
              <w:spacing w:after="0" w:line="240" w:lineRule="auto"/>
              <w:ind w:left="40"/>
              <w:jc w:val="both"/>
              <w:rPr>
                <w:rFonts w:ascii="Verdana" w:hAnsi="Verdana"/>
                <w:sz w:val="16"/>
                <w:szCs w:val="16"/>
                <w:lang w:val="bg-BG"/>
              </w:rPr>
            </w:pPr>
            <w:r w:rsidRPr="007375EB">
              <w:rPr>
                <w:rFonts w:ascii="Verdana" w:hAnsi="Verdana"/>
                <w:sz w:val="16"/>
                <w:szCs w:val="16"/>
                <w:lang w:val="bg-BG"/>
              </w:rPr>
              <w:t>Но като се има предвид непрекъснатата урбанизация и необходимостта от внедряване на нови инфраструктурни елементи, както и като се вземат предвид отрицателните ефекти от развитието на изменението на климата, флората и фауната на ниво проект могат да бъдат отрицателно засегнати, което води до загуба или евентуално изчезване на някои елементи естествено. Въпреки това, тази хипотеза трябва да бъде потвърдена с времето чрез строг мониторинг на елементи, потенциално чувствителни към тези фактори.</w:t>
            </w:r>
          </w:p>
        </w:tc>
      </w:tr>
      <w:tr w:rsidR="00153771" w:rsidRPr="007375EB" w14:paraId="24B80F9E" w14:textId="156380CC" w:rsidTr="009A0A59">
        <w:trPr>
          <w:trHeight w:val="62"/>
        </w:trPr>
        <w:tc>
          <w:tcPr>
            <w:tcW w:w="1551" w:type="dxa"/>
            <w:vMerge w:val="restart"/>
          </w:tcPr>
          <w:p w14:paraId="79C7389B" w14:textId="39FE11CB" w:rsidR="00153771" w:rsidRPr="007375EB" w:rsidRDefault="00B754CA" w:rsidP="00B17FB8">
            <w:pPr>
              <w:spacing w:after="0" w:line="240" w:lineRule="auto"/>
              <w:rPr>
                <w:rFonts w:ascii="Verdana" w:hAnsi="Verdana"/>
                <w:b/>
                <w:bCs/>
                <w:sz w:val="16"/>
                <w:szCs w:val="16"/>
                <w:lang w:val="bg-BG"/>
              </w:rPr>
            </w:pPr>
            <w:r w:rsidRPr="007375EB">
              <w:rPr>
                <w:rFonts w:ascii="Verdana" w:hAnsi="Verdana"/>
                <w:b/>
                <w:bCs/>
                <w:sz w:val="16"/>
                <w:szCs w:val="16"/>
                <w:lang w:val="bg-BG"/>
              </w:rPr>
              <w:t>Население и здраве на хората</w:t>
            </w:r>
          </w:p>
        </w:tc>
        <w:tc>
          <w:tcPr>
            <w:tcW w:w="3288" w:type="dxa"/>
          </w:tcPr>
          <w:p w14:paraId="6AD38B8A" w14:textId="36F6AC35" w:rsidR="00153771" w:rsidRPr="007375EB" w:rsidRDefault="00B754CA" w:rsidP="0041531F">
            <w:pPr>
              <w:pStyle w:val="ListParagraph"/>
              <w:numPr>
                <w:ilvl w:val="0"/>
                <w:numId w:val="73"/>
              </w:numPr>
              <w:tabs>
                <w:tab w:val="left" w:pos="746"/>
              </w:tabs>
              <w:spacing w:after="0" w:line="240" w:lineRule="auto"/>
              <w:ind w:left="604" w:hanging="567"/>
              <w:contextualSpacing w:val="0"/>
              <w:jc w:val="both"/>
              <w:rPr>
                <w:rFonts w:ascii="Verdana" w:hAnsi="Verdana"/>
                <w:sz w:val="16"/>
                <w:szCs w:val="16"/>
                <w:lang w:val="bg-BG"/>
              </w:rPr>
            </w:pPr>
            <w:r w:rsidRPr="007375EB">
              <w:rPr>
                <w:rFonts w:ascii="Verdana" w:hAnsi="Verdana"/>
                <w:sz w:val="16"/>
                <w:szCs w:val="16"/>
                <w:lang w:val="bg-BG"/>
              </w:rPr>
              <w:t>Поддържане на качеството на факторите на околната среда в рамките на законовите разпоредби за опазване на околната среда и здравето на населението</w:t>
            </w:r>
          </w:p>
        </w:tc>
        <w:tc>
          <w:tcPr>
            <w:tcW w:w="622" w:type="dxa"/>
            <w:shd w:val="clear" w:color="auto" w:fill="FFFF00"/>
          </w:tcPr>
          <w:p w14:paraId="32E7491C" w14:textId="074ABA4D" w:rsidR="00153771" w:rsidRPr="007375EB" w:rsidRDefault="001763A4" w:rsidP="00B17FB8">
            <w:pPr>
              <w:tabs>
                <w:tab w:val="left" w:pos="746"/>
              </w:tabs>
              <w:spacing w:after="0" w:line="240" w:lineRule="auto"/>
              <w:ind w:left="37"/>
              <w:jc w:val="both"/>
              <w:rPr>
                <w:rFonts w:ascii="Verdana" w:hAnsi="Verdana"/>
                <w:sz w:val="16"/>
                <w:szCs w:val="16"/>
                <w:lang w:val="bg-BG"/>
              </w:rPr>
            </w:pPr>
            <w:r w:rsidRPr="007375EB">
              <w:rPr>
                <w:rFonts w:ascii="Verdana" w:hAnsi="Verdana"/>
                <w:sz w:val="16"/>
                <w:szCs w:val="16"/>
                <w:lang w:val="bg-BG"/>
              </w:rPr>
              <w:t>0</w:t>
            </w:r>
          </w:p>
        </w:tc>
        <w:tc>
          <w:tcPr>
            <w:tcW w:w="4315" w:type="dxa"/>
          </w:tcPr>
          <w:p w14:paraId="2550CA15" w14:textId="7CD6967A" w:rsidR="00153771" w:rsidRPr="007375EB" w:rsidRDefault="00B754CA" w:rsidP="00B17FB8">
            <w:pPr>
              <w:tabs>
                <w:tab w:val="left" w:pos="746"/>
              </w:tabs>
              <w:spacing w:after="0" w:line="240" w:lineRule="auto"/>
              <w:ind w:left="40"/>
              <w:jc w:val="both"/>
              <w:rPr>
                <w:rFonts w:ascii="Verdana" w:hAnsi="Verdana"/>
                <w:sz w:val="16"/>
                <w:szCs w:val="16"/>
                <w:lang w:val="bg-BG"/>
              </w:rPr>
            </w:pPr>
            <w:r w:rsidRPr="007375EB">
              <w:rPr>
                <w:rFonts w:ascii="Verdana" w:hAnsi="Verdana"/>
                <w:sz w:val="16"/>
                <w:szCs w:val="16"/>
                <w:lang w:val="bg-BG"/>
              </w:rPr>
              <w:t xml:space="preserve">Здравословното състояние на населението няма да се повлияе от неприлагането на </w:t>
            </w:r>
            <w:r w:rsidR="00837000" w:rsidRPr="007375EB">
              <w:rPr>
                <w:rFonts w:ascii="Verdana" w:hAnsi="Verdana"/>
                <w:sz w:val="16"/>
                <w:szCs w:val="16"/>
                <w:lang w:val="bg-BG"/>
              </w:rPr>
              <w:t>PUZ.</w:t>
            </w:r>
          </w:p>
        </w:tc>
      </w:tr>
      <w:tr w:rsidR="00153771" w:rsidRPr="007375EB" w14:paraId="11B8374B" w14:textId="53A313B2" w:rsidTr="009A0A59">
        <w:trPr>
          <w:trHeight w:val="62"/>
        </w:trPr>
        <w:tc>
          <w:tcPr>
            <w:tcW w:w="1551" w:type="dxa"/>
            <w:vMerge/>
          </w:tcPr>
          <w:p w14:paraId="443BD6F2" w14:textId="77777777" w:rsidR="00153771" w:rsidRPr="007375EB" w:rsidRDefault="00153771" w:rsidP="00B17FB8">
            <w:pPr>
              <w:spacing w:after="0" w:line="240" w:lineRule="auto"/>
              <w:rPr>
                <w:rFonts w:ascii="Verdana" w:hAnsi="Verdana"/>
                <w:sz w:val="16"/>
                <w:szCs w:val="16"/>
                <w:lang w:val="bg-BG"/>
              </w:rPr>
            </w:pPr>
          </w:p>
        </w:tc>
        <w:tc>
          <w:tcPr>
            <w:tcW w:w="3288" w:type="dxa"/>
          </w:tcPr>
          <w:p w14:paraId="46B1E4BF" w14:textId="1E4ED71A" w:rsidR="00153771" w:rsidRPr="007375EB" w:rsidRDefault="00B754CA" w:rsidP="0041531F">
            <w:pPr>
              <w:pStyle w:val="ListParagraph"/>
              <w:numPr>
                <w:ilvl w:val="0"/>
                <w:numId w:val="73"/>
              </w:numPr>
              <w:tabs>
                <w:tab w:val="left" w:pos="746"/>
              </w:tabs>
              <w:spacing w:after="0" w:line="240" w:lineRule="auto"/>
              <w:ind w:left="604" w:hanging="567"/>
              <w:contextualSpacing w:val="0"/>
              <w:jc w:val="both"/>
              <w:rPr>
                <w:rFonts w:ascii="Verdana" w:hAnsi="Verdana"/>
                <w:sz w:val="16"/>
                <w:szCs w:val="16"/>
                <w:lang w:val="bg-BG"/>
              </w:rPr>
            </w:pPr>
            <w:r w:rsidRPr="007375EB">
              <w:rPr>
                <w:rFonts w:ascii="Verdana" w:hAnsi="Verdana"/>
                <w:sz w:val="16"/>
                <w:szCs w:val="16"/>
                <w:lang w:val="bg-BG"/>
              </w:rPr>
              <w:t>Подобряване на стандарта на живот и социалните условия на населението</w:t>
            </w:r>
          </w:p>
        </w:tc>
        <w:tc>
          <w:tcPr>
            <w:tcW w:w="622" w:type="dxa"/>
            <w:shd w:val="clear" w:color="auto" w:fill="FFCFBB" w:themeFill="accent5" w:themeFillTint="66"/>
          </w:tcPr>
          <w:p w14:paraId="0E9C4351" w14:textId="184595C0" w:rsidR="00153771" w:rsidRPr="007375EB" w:rsidRDefault="004A68D0" w:rsidP="00B17FB8">
            <w:pPr>
              <w:tabs>
                <w:tab w:val="left" w:pos="746"/>
              </w:tabs>
              <w:spacing w:after="0" w:line="240" w:lineRule="auto"/>
              <w:ind w:left="37"/>
              <w:jc w:val="both"/>
              <w:rPr>
                <w:rFonts w:ascii="Verdana" w:hAnsi="Verdana"/>
                <w:sz w:val="16"/>
                <w:szCs w:val="16"/>
                <w:lang w:val="bg-BG"/>
              </w:rPr>
            </w:pPr>
            <w:r w:rsidRPr="007375EB">
              <w:rPr>
                <w:rFonts w:ascii="Verdana" w:hAnsi="Verdana"/>
                <w:sz w:val="16"/>
                <w:szCs w:val="16"/>
                <w:lang w:val="bg-BG"/>
              </w:rPr>
              <w:t>-1</w:t>
            </w:r>
          </w:p>
        </w:tc>
        <w:tc>
          <w:tcPr>
            <w:tcW w:w="4315" w:type="dxa"/>
          </w:tcPr>
          <w:p w14:paraId="3237724D" w14:textId="0B79D7ED" w:rsidR="00153771" w:rsidRPr="007375EB" w:rsidRDefault="00B754CA" w:rsidP="00B17FB8">
            <w:pPr>
              <w:tabs>
                <w:tab w:val="left" w:pos="746"/>
              </w:tabs>
              <w:spacing w:after="0" w:line="240" w:lineRule="auto"/>
              <w:ind w:left="40"/>
              <w:jc w:val="both"/>
              <w:rPr>
                <w:rFonts w:ascii="Verdana" w:hAnsi="Verdana"/>
                <w:sz w:val="16"/>
                <w:szCs w:val="16"/>
                <w:lang w:val="bg-BG"/>
              </w:rPr>
            </w:pPr>
            <w:r w:rsidRPr="007375EB">
              <w:rPr>
                <w:rFonts w:ascii="Verdana" w:hAnsi="Verdana"/>
                <w:sz w:val="16"/>
                <w:szCs w:val="16"/>
                <w:lang w:val="bg-BG"/>
              </w:rPr>
              <w:t>Неизпълнението на анализирания PUZ ще запази сегашното състояние на липса на работни места, продължаващо обезлюдяване и намалена привлекателност на района за устойчиви инвестиции.</w:t>
            </w:r>
          </w:p>
        </w:tc>
      </w:tr>
      <w:tr w:rsidR="00153771" w:rsidRPr="007375EB" w14:paraId="3EBD60C7" w14:textId="3F363419" w:rsidTr="009A0A59">
        <w:trPr>
          <w:trHeight w:val="62"/>
        </w:trPr>
        <w:tc>
          <w:tcPr>
            <w:tcW w:w="1551" w:type="dxa"/>
          </w:tcPr>
          <w:p w14:paraId="632DE6B3" w14:textId="730A10CD" w:rsidR="00153771" w:rsidRPr="007375EB" w:rsidRDefault="00A23136" w:rsidP="00B17FB8">
            <w:pPr>
              <w:spacing w:after="0" w:line="240" w:lineRule="auto"/>
              <w:rPr>
                <w:rFonts w:ascii="Verdana" w:hAnsi="Verdana"/>
                <w:b/>
                <w:bCs/>
                <w:sz w:val="16"/>
                <w:szCs w:val="16"/>
                <w:lang w:val="bg-BG"/>
              </w:rPr>
            </w:pPr>
            <w:r w:rsidRPr="007375EB">
              <w:rPr>
                <w:rFonts w:ascii="Verdana" w:hAnsi="Verdana"/>
                <w:b/>
                <w:bCs/>
                <w:sz w:val="16"/>
                <w:szCs w:val="16"/>
                <w:lang w:val="bg-BG"/>
              </w:rPr>
              <w:t>Ландшафт</w:t>
            </w:r>
          </w:p>
        </w:tc>
        <w:tc>
          <w:tcPr>
            <w:tcW w:w="3288" w:type="dxa"/>
          </w:tcPr>
          <w:p w14:paraId="72F8528A" w14:textId="0402AD1B" w:rsidR="00153771" w:rsidRPr="007375EB" w:rsidRDefault="00B754CA" w:rsidP="0041531F">
            <w:pPr>
              <w:pStyle w:val="ListParagraph"/>
              <w:numPr>
                <w:ilvl w:val="0"/>
                <w:numId w:val="73"/>
              </w:numPr>
              <w:tabs>
                <w:tab w:val="left" w:pos="746"/>
              </w:tabs>
              <w:spacing w:after="0" w:line="240" w:lineRule="auto"/>
              <w:ind w:left="604" w:hanging="567"/>
              <w:contextualSpacing w:val="0"/>
              <w:jc w:val="both"/>
              <w:rPr>
                <w:rFonts w:ascii="Verdana" w:hAnsi="Verdana"/>
                <w:sz w:val="16"/>
                <w:szCs w:val="16"/>
                <w:lang w:val="bg-BG"/>
              </w:rPr>
            </w:pPr>
            <w:r w:rsidRPr="007375EB">
              <w:rPr>
                <w:rFonts w:ascii="Verdana" w:hAnsi="Verdana"/>
                <w:sz w:val="16"/>
                <w:szCs w:val="16"/>
                <w:lang w:val="bg-BG"/>
              </w:rPr>
              <w:t>Осигуряване на опазване на природния ландшафт и намаляване на въздействието върху природния ландшафт</w:t>
            </w:r>
          </w:p>
        </w:tc>
        <w:tc>
          <w:tcPr>
            <w:tcW w:w="622" w:type="dxa"/>
            <w:shd w:val="clear" w:color="auto" w:fill="FFFF00"/>
          </w:tcPr>
          <w:p w14:paraId="14A6FC07" w14:textId="3911C844" w:rsidR="00153771" w:rsidRPr="007375EB" w:rsidRDefault="001763A4" w:rsidP="00B17FB8">
            <w:pPr>
              <w:tabs>
                <w:tab w:val="left" w:pos="746"/>
              </w:tabs>
              <w:spacing w:after="0" w:line="240" w:lineRule="auto"/>
              <w:ind w:left="37"/>
              <w:jc w:val="both"/>
              <w:rPr>
                <w:rFonts w:ascii="Verdana" w:hAnsi="Verdana"/>
                <w:sz w:val="16"/>
                <w:szCs w:val="16"/>
                <w:lang w:val="bg-BG"/>
              </w:rPr>
            </w:pPr>
            <w:r w:rsidRPr="007375EB">
              <w:rPr>
                <w:rFonts w:ascii="Verdana" w:hAnsi="Verdana"/>
                <w:sz w:val="16"/>
                <w:szCs w:val="16"/>
                <w:lang w:val="bg-BG"/>
              </w:rPr>
              <w:t>0</w:t>
            </w:r>
          </w:p>
        </w:tc>
        <w:tc>
          <w:tcPr>
            <w:tcW w:w="4315" w:type="dxa"/>
          </w:tcPr>
          <w:p w14:paraId="1D7973A2" w14:textId="730D49B8" w:rsidR="00153771" w:rsidRPr="007375EB" w:rsidRDefault="00A23136" w:rsidP="00B17FB8">
            <w:pPr>
              <w:tabs>
                <w:tab w:val="left" w:pos="746"/>
              </w:tabs>
              <w:spacing w:after="0" w:line="240" w:lineRule="auto"/>
              <w:ind w:left="40"/>
              <w:jc w:val="both"/>
              <w:rPr>
                <w:rFonts w:ascii="Verdana" w:hAnsi="Verdana"/>
                <w:sz w:val="16"/>
                <w:szCs w:val="16"/>
                <w:lang w:val="bg-BG"/>
              </w:rPr>
            </w:pPr>
            <w:r w:rsidRPr="007375EB">
              <w:rPr>
                <w:rFonts w:ascii="Verdana" w:hAnsi="Verdana"/>
                <w:sz w:val="16"/>
                <w:szCs w:val="16"/>
                <w:lang w:val="bg-BG"/>
              </w:rPr>
              <w:t>Липсата на визия за устойчиво развитие на община Черкезу ще допринесе за продължаващото влошаване на естествения ландшафт и разширяването на урбанизацията</w:t>
            </w:r>
            <w:r w:rsidR="004A68D0" w:rsidRPr="007375EB">
              <w:rPr>
                <w:rFonts w:ascii="Verdana" w:hAnsi="Verdana"/>
                <w:sz w:val="16"/>
                <w:szCs w:val="16"/>
                <w:lang w:val="bg-BG"/>
              </w:rPr>
              <w:t>.</w:t>
            </w:r>
          </w:p>
        </w:tc>
      </w:tr>
      <w:tr w:rsidR="00153771" w:rsidRPr="007375EB" w14:paraId="0E1A1E79" w14:textId="40B23311" w:rsidTr="009A0A59">
        <w:trPr>
          <w:trHeight w:val="62"/>
        </w:trPr>
        <w:tc>
          <w:tcPr>
            <w:tcW w:w="1551" w:type="dxa"/>
            <w:vMerge w:val="restart"/>
          </w:tcPr>
          <w:p w14:paraId="023691C1" w14:textId="1916A48D" w:rsidR="00153771" w:rsidRPr="007375EB" w:rsidRDefault="00A23136" w:rsidP="00B17FB8">
            <w:pPr>
              <w:spacing w:after="0" w:line="240" w:lineRule="auto"/>
              <w:rPr>
                <w:rFonts w:ascii="Verdana" w:hAnsi="Verdana"/>
                <w:b/>
                <w:bCs/>
                <w:sz w:val="16"/>
                <w:szCs w:val="16"/>
                <w:lang w:val="bg-BG"/>
              </w:rPr>
            </w:pPr>
            <w:r w:rsidRPr="007375EB">
              <w:rPr>
                <w:rFonts w:ascii="Verdana" w:hAnsi="Verdana"/>
                <w:b/>
                <w:bCs/>
                <w:sz w:val="16"/>
                <w:szCs w:val="16"/>
                <w:lang w:val="bg-BG"/>
              </w:rPr>
              <w:t>Изменение на климата</w:t>
            </w:r>
          </w:p>
        </w:tc>
        <w:tc>
          <w:tcPr>
            <w:tcW w:w="3288" w:type="dxa"/>
          </w:tcPr>
          <w:p w14:paraId="02825C54" w14:textId="58C5F972" w:rsidR="00153771" w:rsidRPr="007375EB" w:rsidRDefault="00A23136" w:rsidP="0041531F">
            <w:pPr>
              <w:pStyle w:val="ListParagraph"/>
              <w:numPr>
                <w:ilvl w:val="0"/>
                <w:numId w:val="73"/>
              </w:numPr>
              <w:tabs>
                <w:tab w:val="left" w:pos="746"/>
              </w:tabs>
              <w:spacing w:after="0" w:line="240" w:lineRule="auto"/>
              <w:ind w:left="604" w:hanging="567"/>
              <w:contextualSpacing w:val="0"/>
              <w:jc w:val="both"/>
              <w:rPr>
                <w:rFonts w:ascii="Verdana" w:hAnsi="Verdana"/>
                <w:sz w:val="16"/>
                <w:szCs w:val="16"/>
                <w:lang w:val="bg-BG"/>
              </w:rPr>
            </w:pPr>
            <w:r w:rsidRPr="007375EB">
              <w:rPr>
                <w:rFonts w:ascii="Verdana" w:hAnsi="Verdana"/>
                <w:sz w:val="16"/>
                <w:szCs w:val="16"/>
                <w:lang w:val="bg-BG"/>
              </w:rPr>
              <w:t>Намаляване на количеството емисии на ПГ от енергийния сектор</w:t>
            </w:r>
          </w:p>
        </w:tc>
        <w:tc>
          <w:tcPr>
            <w:tcW w:w="622" w:type="dxa"/>
            <w:shd w:val="clear" w:color="auto" w:fill="FF0000"/>
          </w:tcPr>
          <w:p w14:paraId="251586A6" w14:textId="57124FA9" w:rsidR="00153771" w:rsidRPr="007375EB" w:rsidRDefault="001763A4" w:rsidP="00B17FB8">
            <w:pPr>
              <w:tabs>
                <w:tab w:val="left" w:pos="746"/>
              </w:tabs>
              <w:spacing w:after="0" w:line="240" w:lineRule="auto"/>
              <w:ind w:left="37"/>
              <w:jc w:val="both"/>
              <w:rPr>
                <w:rFonts w:ascii="Verdana" w:hAnsi="Verdana"/>
                <w:sz w:val="16"/>
                <w:szCs w:val="16"/>
                <w:lang w:val="bg-BG"/>
              </w:rPr>
            </w:pPr>
            <w:r w:rsidRPr="007375EB">
              <w:rPr>
                <w:rFonts w:ascii="Verdana" w:hAnsi="Verdana"/>
                <w:sz w:val="16"/>
                <w:szCs w:val="16"/>
                <w:lang w:val="bg-BG"/>
              </w:rPr>
              <w:t>-2</w:t>
            </w:r>
          </w:p>
        </w:tc>
        <w:tc>
          <w:tcPr>
            <w:tcW w:w="4315" w:type="dxa"/>
          </w:tcPr>
          <w:p w14:paraId="1BDF07B7" w14:textId="3B46AFA0" w:rsidR="00A23136" w:rsidRPr="007375EB" w:rsidRDefault="00A23136" w:rsidP="00A23136">
            <w:pPr>
              <w:tabs>
                <w:tab w:val="left" w:pos="746"/>
              </w:tabs>
              <w:spacing w:line="240" w:lineRule="auto"/>
              <w:ind w:left="40"/>
              <w:jc w:val="both"/>
              <w:rPr>
                <w:rFonts w:ascii="Verdana" w:hAnsi="Verdana"/>
                <w:sz w:val="16"/>
                <w:szCs w:val="16"/>
                <w:lang w:val="bg-BG"/>
              </w:rPr>
            </w:pPr>
            <w:r w:rsidRPr="007375EB">
              <w:rPr>
                <w:rFonts w:ascii="Verdana" w:hAnsi="Verdana"/>
                <w:sz w:val="16"/>
                <w:szCs w:val="16"/>
                <w:lang w:val="bg-BG"/>
              </w:rPr>
              <w:t xml:space="preserve">С неприлагането на </w:t>
            </w:r>
            <w:r w:rsidR="0078389B" w:rsidRPr="007375EB">
              <w:rPr>
                <w:rFonts w:ascii="Verdana" w:hAnsi="Verdana"/>
                <w:sz w:val="16"/>
                <w:szCs w:val="16"/>
                <w:lang w:val="bg-BG"/>
              </w:rPr>
              <w:t>PUZ</w:t>
            </w:r>
            <w:r w:rsidRPr="007375EB">
              <w:rPr>
                <w:rFonts w:ascii="Verdana" w:hAnsi="Verdana"/>
                <w:sz w:val="16"/>
                <w:szCs w:val="16"/>
                <w:lang w:val="bg-BG"/>
              </w:rPr>
              <w:t xml:space="preserve"> ще се запази сегашната структура на производство на електроенергия от изкопаеми горива, което има пряк ефект за генериране на емисии на ПГ.</w:t>
            </w:r>
          </w:p>
          <w:p w14:paraId="0F5DED9E" w14:textId="5637BD63" w:rsidR="00764E43" w:rsidRPr="007375EB" w:rsidRDefault="00A23136" w:rsidP="00A23136">
            <w:pPr>
              <w:tabs>
                <w:tab w:val="left" w:pos="746"/>
              </w:tabs>
              <w:spacing w:after="0" w:line="240" w:lineRule="auto"/>
              <w:ind w:left="40"/>
              <w:jc w:val="both"/>
              <w:rPr>
                <w:rFonts w:ascii="Verdana" w:hAnsi="Verdana"/>
                <w:sz w:val="16"/>
                <w:szCs w:val="16"/>
                <w:lang w:val="bg-BG"/>
              </w:rPr>
            </w:pPr>
            <w:r w:rsidRPr="007375EB">
              <w:rPr>
                <w:rFonts w:ascii="Verdana" w:hAnsi="Verdana"/>
                <w:sz w:val="16"/>
                <w:szCs w:val="16"/>
                <w:lang w:val="bg-BG"/>
              </w:rPr>
              <w:t>В условията на нарастване на търсенето на електроенергия, ако се запази сегашният начин на производство на електроенергия, емисиите на парникови газове ще се увеличат, което ще доведе до увеличаване на явленията, свързани с изменението на климата</w:t>
            </w:r>
            <w:r w:rsidR="0052671E" w:rsidRPr="007375EB">
              <w:rPr>
                <w:rFonts w:ascii="Verdana" w:hAnsi="Verdana"/>
                <w:sz w:val="16"/>
                <w:szCs w:val="16"/>
                <w:lang w:val="bg-BG"/>
              </w:rPr>
              <w:t>.</w:t>
            </w:r>
          </w:p>
        </w:tc>
      </w:tr>
      <w:tr w:rsidR="00153771" w:rsidRPr="007375EB" w14:paraId="6819BD35" w14:textId="28DC7E4D" w:rsidTr="009A0A59">
        <w:trPr>
          <w:trHeight w:val="62"/>
        </w:trPr>
        <w:tc>
          <w:tcPr>
            <w:tcW w:w="1551" w:type="dxa"/>
            <w:vMerge/>
          </w:tcPr>
          <w:p w14:paraId="1B0FC76D" w14:textId="77777777" w:rsidR="00153771" w:rsidRPr="007375EB" w:rsidRDefault="00153771" w:rsidP="00B17FB8">
            <w:pPr>
              <w:tabs>
                <w:tab w:val="left" w:pos="746"/>
              </w:tabs>
              <w:spacing w:after="0" w:line="240" w:lineRule="auto"/>
              <w:jc w:val="both"/>
              <w:rPr>
                <w:rFonts w:ascii="Verdana" w:hAnsi="Verdana"/>
                <w:sz w:val="16"/>
                <w:szCs w:val="16"/>
                <w:lang w:val="bg-BG"/>
              </w:rPr>
            </w:pPr>
          </w:p>
        </w:tc>
        <w:tc>
          <w:tcPr>
            <w:tcW w:w="3288" w:type="dxa"/>
          </w:tcPr>
          <w:p w14:paraId="47624E4E" w14:textId="2EAF91DC" w:rsidR="00153771" w:rsidRPr="007375EB" w:rsidRDefault="00A23136" w:rsidP="0041531F">
            <w:pPr>
              <w:pStyle w:val="ListParagraph"/>
              <w:numPr>
                <w:ilvl w:val="0"/>
                <w:numId w:val="73"/>
              </w:numPr>
              <w:tabs>
                <w:tab w:val="left" w:pos="746"/>
              </w:tabs>
              <w:spacing w:after="0" w:line="240" w:lineRule="auto"/>
              <w:ind w:left="604" w:hanging="567"/>
              <w:contextualSpacing w:val="0"/>
              <w:jc w:val="both"/>
              <w:rPr>
                <w:rFonts w:ascii="Verdana" w:hAnsi="Verdana"/>
                <w:sz w:val="16"/>
                <w:szCs w:val="16"/>
                <w:lang w:val="bg-BG"/>
              </w:rPr>
            </w:pPr>
            <w:r w:rsidRPr="007375EB">
              <w:rPr>
                <w:rFonts w:ascii="Verdana" w:hAnsi="Verdana"/>
                <w:sz w:val="16"/>
                <w:szCs w:val="16"/>
                <w:lang w:val="bg-BG"/>
              </w:rPr>
              <w:t>Минимални рискове от изменение на климата (адаптация)</w:t>
            </w:r>
          </w:p>
        </w:tc>
        <w:tc>
          <w:tcPr>
            <w:tcW w:w="622" w:type="dxa"/>
            <w:shd w:val="clear" w:color="auto" w:fill="FFCFBB" w:themeFill="accent5" w:themeFillTint="66"/>
          </w:tcPr>
          <w:p w14:paraId="130F02FB" w14:textId="0D269485" w:rsidR="00153771" w:rsidRPr="007375EB" w:rsidRDefault="00550089" w:rsidP="00B17FB8">
            <w:pPr>
              <w:tabs>
                <w:tab w:val="left" w:pos="746"/>
              </w:tabs>
              <w:spacing w:after="0" w:line="240" w:lineRule="auto"/>
              <w:ind w:left="37"/>
              <w:jc w:val="both"/>
              <w:rPr>
                <w:rFonts w:ascii="Verdana" w:hAnsi="Verdana"/>
                <w:sz w:val="16"/>
                <w:szCs w:val="16"/>
                <w:lang w:val="bg-BG"/>
              </w:rPr>
            </w:pPr>
            <w:r w:rsidRPr="007375EB">
              <w:rPr>
                <w:rFonts w:ascii="Verdana" w:hAnsi="Verdana"/>
                <w:sz w:val="16"/>
                <w:szCs w:val="16"/>
                <w:lang w:val="bg-BG"/>
              </w:rPr>
              <w:t>-1</w:t>
            </w:r>
          </w:p>
        </w:tc>
        <w:tc>
          <w:tcPr>
            <w:tcW w:w="4315" w:type="dxa"/>
          </w:tcPr>
          <w:p w14:paraId="2DE625EB" w14:textId="39991849" w:rsidR="00153771" w:rsidRPr="007375EB" w:rsidRDefault="00A23136" w:rsidP="00B17FB8">
            <w:pPr>
              <w:tabs>
                <w:tab w:val="left" w:pos="746"/>
              </w:tabs>
              <w:spacing w:after="0" w:line="240" w:lineRule="auto"/>
              <w:ind w:left="40"/>
              <w:jc w:val="both"/>
              <w:rPr>
                <w:rFonts w:ascii="Verdana" w:hAnsi="Verdana"/>
                <w:sz w:val="16"/>
                <w:szCs w:val="16"/>
                <w:lang w:val="bg-BG"/>
              </w:rPr>
            </w:pPr>
            <w:r w:rsidRPr="007375EB">
              <w:rPr>
                <w:rFonts w:ascii="Verdana" w:hAnsi="Verdana"/>
                <w:sz w:val="16"/>
                <w:szCs w:val="16"/>
                <w:lang w:val="bg-BG"/>
              </w:rPr>
              <w:t>Без прилагането на PUZ няма да има принос за смекчаване на изменението на климата, поддържане на настоящите рискове</w:t>
            </w:r>
            <w:r w:rsidR="000359A3" w:rsidRPr="007375EB">
              <w:rPr>
                <w:rFonts w:ascii="Verdana" w:hAnsi="Verdana"/>
                <w:sz w:val="16"/>
                <w:szCs w:val="16"/>
                <w:lang w:val="bg-BG"/>
              </w:rPr>
              <w:t>.</w:t>
            </w:r>
          </w:p>
        </w:tc>
      </w:tr>
      <w:tr w:rsidR="00153771" w:rsidRPr="007375EB" w14:paraId="555DE235" w14:textId="17464232" w:rsidTr="009A0A59">
        <w:tc>
          <w:tcPr>
            <w:tcW w:w="1551" w:type="dxa"/>
          </w:tcPr>
          <w:p w14:paraId="3E7C985C" w14:textId="796B99FD" w:rsidR="00153771" w:rsidRPr="007375EB" w:rsidRDefault="00A23136" w:rsidP="00B17FB8">
            <w:pPr>
              <w:spacing w:after="0" w:line="240" w:lineRule="auto"/>
              <w:rPr>
                <w:rFonts w:ascii="Verdana" w:hAnsi="Verdana"/>
                <w:b/>
                <w:bCs/>
                <w:sz w:val="16"/>
                <w:szCs w:val="16"/>
                <w:lang w:val="bg-BG"/>
              </w:rPr>
            </w:pPr>
            <w:r w:rsidRPr="007375EB">
              <w:rPr>
                <w:rFonts w:ascii="Verdana" w:hAnsi="Verdana"/>
                <w:b/>
                <w:bCs/>
                <w:sz w:val="16"/>
                <w:szCs w:val="16"/>
                <w:lang w:val="bg-BG"/>
              </w:rPr>
              <w:t>Културно наследство</w:t>
            </w:r>
          </w:p>
        </w:tc>
        <w:tc>
          <w:tcPr>
            <w:tcW w:w="3288" w:type="dxa"/>
          </w:tcPr>
          <w:p w14:paraId="4CEDCFCC" w14:textId="7C585073" w:rsidR="00153771" w:rsidRPr="007375EB" w:rsidRDefault="00A23136" w:rsidP="0041531F">
            <w:pPr>
              <w:pStyle w:val="ListParagraph"/>
              <w:numPr>
                <w:ilvl w:val="0"/>
                <w:numId w:val="73"/>
              </w:numPr>
              <w:tabs>
                <w:tab w:val="left" w:pos="746"/>
              </w:tabs>
              <w:spacing w:after="0" w:line="240" w:lineRule="auto"/>
              <w:ind w:left="604" w:hanging="567"/>
              <w:contextualSpacing w:val="0"/>
              <w:jc w:val="both"/>
              <w:rPr>
                <w:rFonts w:ascii="Verdana" w:hAnsi="Verdana"/>
                <w:sz w:val="16"/>
                <w:szCs w:val="16"/>
                <w:lang w:val="bg-BG"/>
              </w:rPr>
            </w:pPr>
            <w:r w:rsidRPr="007375EB">
              <w:rPr>
                <w:rFonts w:ascii="Verdana" w:hAnsi="Verdana"/>
                <w:sz w:val="16"/>
                <w:szCs w:val="16"/>
                <w:lang w:val="bg-BG"/>
              </w:rPr>
              <w:t>Опазване и опазване на елементите на културното наследство</w:t>
            </w:r>
          </w:p>
        </w:tc>
        <w:tc>
          <w:tcPr>
            <w:tcW w:w="622" w:type="dxa"/>
            <w:shd w:val="clear" w:color="auto" w:fill="FFFF00"/>
          </w:tcPr>
          <w:p w14:paraId="22EBB40E" w14:textId="13FB42AA" w:rsidR="00153771" w:rsidRPr="007375EB" w:rsidRDefault="001763A4" w:rsidP="00B17FB8">
            <w:pPr>
              <w:tabs>
                <w:tab w:val="left" w:pos="746"/>
              </w:tabs>
              <w:spacing w:after="0" w:line="240" w:lineRule="auto"/>
              <w:ind w:left="37"/>
              <w:jc w:val="both"/>
              <w:rPr>
                <w:rFonts w:ascii="Verdana" w:hAnsi="Verdana"/>
                <w:sz w:val="16"/>
                <w:szCs w:val="16"/>
                <w:lang w:val="bg-BG"/>
              </w:rPr>
            </w:pPr>
            <w:r w:rsidRPr="007375EB">
              <w:rPr>
                <w:rFonts w:ascii="Verdana" w:hAnsi="Verdana"/>
                <w:sz w:val="16"/>
                <w:szCs w:val="16"/>
                <w:lang w:val="bg-BG"/>
              </w:rPr>
              <w:t>0</w:t>
            </w:r>
          </w:p>
        </w:tc>
        <w:tc>
          <w:tcPr>
            <w:tcW w:w="4315" w:type="dxa"/>
          </w:tcPr>
          <w:p w14:paraId="7D664231" w14:textId="2FA33DB8" w:rsidR="00153771" w:rsidRPr="007375EB" w:rsidRDefault="00A23136" w:rsidP="00B17FB8">
            <w:pPr>
              <w:tabs>
                <w:tab w:val="left" w:pos="746"/>
              </w:tabs>
              <w:spacing w:after="0" w:line="240" w:lineRule="auto"/>
              <w:ind w:left="40"/>
              <w:jc w:val="both"/>
              <w:rPr>
                <w:rFonts w:ascii="Verdana" w:hAnsi="Verdana"/>
                <w:sz w:val="16"/>
                <w:szCs w:val="16"/>
                <w:lang w:val="bg-BG"/>
              </w:rPr>
            </w:pPr>
            <w:r w:rsidRPr="007375EB">
              <w:rPr>
                <w:rFonts w:ascii="Verdana" w:hAnsi="Verdana"/>
                <w:sz w:val="16"/>
                <w:szCs w:val="16"/>
                <w:lang w:val="bg-BG"/>
              </w:rPr>
              <w:t>Не се очаква значително въздействие върху културното наследство без изпълнението на PUZ</w:t>
            </w:r>
            <w:r w:rsidR="008E063D" w:rsidRPr="007375EB">
              <w:rPr>
                <w:rFonts w:ascii="Verdana" w:hAnsi="Verdana"/>
                <w:sz w:val="16"/>
                <w:szCs w:val="16"/>
                <w:lang w:val="bg-BG"/>
              </w:rPr>
              <w:t>.</w:t>
            </w:r>
          </w:p>
        </w:tc>
      </w:tr>
    </w:tbl>
    <w:p w14:paraId="562785AE" w14:textId="77777777" w:rsidR="00D57419" w:rsidRPr="007375EB" w:rsidRDefault="00D57419" w:rsidP="006E5B3F">
      <w:pPr>
        <w:spacing w:after="120" w:line="360" w:lineRule="auto"/>
        <w:jc w:val="both"/>
        <w:rPr>
          <w:lang w:val="bg-BG" w:eastAsia="ro-RO"/>
        </w:rPr>
      </w:pPr>
    </w:p>
    <w:p w14:paraId="6EAE9D4D" w14:textId="7901F14E" w:rsidR="00D37F05" w:rsidRPr="007375EB" w:rsidRDefault="00C55FD2" w:rsidP="0041531F">
      <w:pPr>
        <w:pStyle w:val="ListParagraph"/>
        <w:numPr>
          <w:ilvl w:val="1"/>
          <w:numId w:val="77"/>
        </w:numPr>
        <w:spacing w:after="120" w:line="360" w:lineRule="auto"/>
        <w:outlineLvl w:val="1"/>
        <w:rPr>
          <w:b/>
          <w:i/>
          <w:color w:val="009DF0"/>
          <w:lang w:val="bg-BG" w:eastAsia="ro-RO"/>
        </w:rPr>
      </w:pPr>
      <w:bookmarkStart w:id="36" w:name="_Toc167697419"/>
      <w:r w:rsidRPr="007375EB">
        <w:rPr>
          <w:b/>
          <w:i/>
          <w:color w:val="009DF0"/>
          <w:lang w:val="bg-BG" w:eastAsia="ro-RO"/>
        </w:rPr>
        <w:t xml:space="preserve">Потенциални значителни въздействия на алтернативите с прилагането на </w:t>
      </w:r>
      <w:r w:rsidR="00D37F05" w:rsidRPr="007375EB">
        <w:rPr>
          <w:b/>
          <w:i/>
          <w:color w:val="009DF0"/>
          <w:lang w:val="bg-BG" w:eastAsia="ro-RO"/>
        </w:rPr>
        <w:t xml:space="preserve">PUZ </w:t>
      </w:r>
      <w:bookmarkEnd w:id="36"/>
    </w:p>
    <w:p w14:paraId="680BA6AC" w14:textId="5B0A5BBE" w:rsidR="00FE1FFD" w:rsidRPr="007375EB" w:rsidRDefault="00FE1FFD" w:rsidP="00FE1FFD">
      <w:pPr>
        <w:spacing w:after="120" w:line="360" w:lineRule="auto"/>
        <w:jc w:val="both"/>
        <w:rPr>
          <w:lang w:val="bg-BG"/>
        </w:rPr>
      </w:pPr>
      <w:r w:rsidRPr="007375EB">
        <w:rPr>
          <w:lang w:val="bg-BG"/>
        </w:rPr>
        <w:t>Целта на този етап е да се идентифицират и опишат ефектите на алтернативите на PUZ върху целите на околната среда.</w:t>
      </w:r>
    </w:p>
    <w:p w14:paraId="2206130A" w14:textId="77777777" w:rsidR="00FE1FFD" w:rsidRPr="007375EB" w:rsidRDefault="00FE1FFD" w:rsidP="00FE1FFD">
      <w:pPr>
        <w:spacing w:after="120" w:line="360" w:lineRule="auto"/>
        <w:jc w:val="both"/>
        <w:rPr>
          <w:lang w:val="bg-BG"/>
        </w:rPr>
      </w:pPr>
      <w:r w:rsidRPr="007375EB">
        <w:rPr>
          <w:lang w:val="bg-BG"/>
        </w:rPr>
        <w:t>Идентифицирайте и опишете в доклада за околната среда потенциалните екологични въздействия на всеки от очакваните резултати за всяка алтернатива.</w:t>
      </w:r>
    </w:p>
    <w:p w14:paraId="07556B88" w14:textId="5E153874" w:rsidR="004652BC" w:rsidRPr="007375EB" w:rsidRDefault="00FE1FFD" w:rsidP="00FE1FFD">
      <w:pPr>
        <w:spacing w:after="120" w:line="360" w:lineRule="auto"/>
        <w:jc w:val="both"/>
        <w:rPr>
          <w:lang w:val="bg-BG"/>
        </w:rPr>
      </w:pPr>
      <w:r w:rsidRPr="007375EB">
        <w:rPr>
          <w:lang w:val="bg-BG"/>
        </w:rPr>
        <w:lastRenderedPageBreak/>
        <w:t>След като се идентифицират очакваните резултати за всяка алтернатива за развитие, трябва да се предвидят и опишат техните потенциални екологични ефекти. Въз основа на оценката и на алтернативите ще бъде избрана екологичната алтернатива</w:t>
      </w:r>
      <w:r w:rsidR="004652BC" w:rsidRPr="007375EB">
        <w:rPr>
          <w:lang w:val="bg-BG"/>
        </w:rPr>
        <w:t xml:space="preserve">. </w:t>
      </w:r>
    </w:p>
    <w:p w14:paraId="490CD9F6" w14:textId="77777777" w:rsidR="00773D43" w:rsidRPr="007375EB" w:rsidRDefault="00773D43" w:rsidP="006E5B3F">
      <w:pPr>
        <w:spacing w:after="120" w:line="360" w:lineRule="auto"/>
        <w:jc w:val="both"/>
        <w:rPr>
          <w:lang w:val="bg-BG" w:eastAsia="ro-RO"/>
        </w:rPr>
      </w:pPr>
    </w:p>
    <w:p w14:paraId="14EBF0E1" w14:textId="77777777" w:rsidR="009D77FA" w:rsidRPr="007375EB" w:rsidRDefault="009D77FA" w:rsidP="006E5B3F">
      <w:pPr>
        <w:spacing w:after="120" w:line="360" w:lineRule="auto"/>
        <w:jc w:val="both"/>
        <w:rPr>
          <w:lang w:val="bg-BG" w:eastAsia="ro-RO"/>
        </w:rPr>
      </w:pPr>
    </w:p>
    <w:p w14:paraId="64D8656F" w14:textId="77777777" w:rsidR="009D77FA" w:rsidRPr="007375EB" w:rsidRDefault="009D77FA" w:rsidP="006E5B3F">
      <w:pPr>
        <w:spacing w:after="120" w:line="360" w:lineRule="auto"/>
        <w:jc w:val="both"/>
        <w:rPr>
          <w:lang w:val="bg-BG" w:eastAsia="ro-RO"/>
        </w:rPr>
        <w:sectPr w:rsidR="009D77FA" w:rsidRPr="007375EB" w:rsidSect="0072540F">
          <w:pgSz w:w="11906" w:h="16838" w:code="9"/>
          <w:pgMar w:top="1560" w:right="1416" w:bottom="1276" w:left="1191" w:header="839" w:footer="680" w:gutter="0"/>
          <w:cols w:space="708"/>
          <w:docGrid w:linePitch="360"/>
        </w:sectPr>
      </w:pPr>
    </w:p>
    <w:p w14:paraId="3A6D4500" w14:textId="26B5F53A" w:rsidR="00E77A61" w:rsidRPr="007375EB" w:rsidRDefault="006B7D28" w:rsidP="00E77A61">
      <w:pPr>
        <w:pStyle w:val="Caption"/>
        <w:rPr>
          <w:rFonts w:eastAsia="EuroRoman"/>
          <w:color w:val="00B0F0"/>
          <w:sz w:val="16"/>
          <w:szCs w:val="16"/>
          <w:lang w:val="bg-BG"/>
        </w:rPr>
      </w:pPr>
      <w:r w:rsidRPr="007375EB">
        <w:rPr>
          <w:sz w:val="16"/>
          <w:szCs w:val="16"/>
          <w:lang w:val="bg-BG"/>
        </w:rPr>
        <w:lastRenderedPageBreak/>
        <w:t>Таблица</w:t>
      </w:r>
      <w:r w:rsidR="00E77A61" w:rsidRPr="007375EB">
        <w:rPr>
          <w:sz w:val="16"/>
          <w:szCs w:val="16"/>
          <w:lang w:val="bg-BG"/>
        </w:rPr>
        <w:t xml:space="preserve">  </w:t>
      </w:r>
      <w:r w:rsidR="00E77A61" w:rsidRPr="007375EB">
        <w:rPr>
          <w:sz w:val="16"/>
          <w:szCs w:val="16"/>
          <w:lang w:val="bg-BG"/>
        </w:rPr>
        <w:fldChar w:fldCharType="begin"/>
      </w:r>
      <w:r w:rsidR="00E77A61" w:rsidRPr="007375EB">
        <w:rPr>
          <w:sz w:val="16"/>
          <w:szCs w:val="16"/>
          <w:lang w:val="bg-BG"/>
        </w:rPr>
        <w:instrText xml:space="preserve"> STYLEREF 1 \s </w:instrText>
      </w:r>
      <w:r w:rsidR="00E77A61" w:rsidRPr="007375EB">
        <w:rPr>
          <w:sz w:val="16"/>
          <w:szCs w:val="16"/>
          <w:lang w:val="bg-BG"/>
        </w:rPr>
        <w:fldChar w:fldCharType="separate"/>
      </w:r>
      <w:r w:rsidR="00E77A61" w:rsidRPr="007375EB">
        <w:rPr>
          <w:noProof/>
          <w:sz w:val="16"/>
          <w:szCs w:val="16"/>
          <w:lang w:val="bg-BG"/>
        </w:rPr>
        <w:t>6</w:t>
      </w:r>
      <w:r w:rsidR="00E77A61" w:rsidRPr="007375EB">
        <w:rPr>
          <w:sz w:val="16"/>
          <w:szCs w:val="16"/>
          <w:lang w:val="bg-BG"/>
        </w:rPr>
        <w:fldChar w:fldCharType="end"/>
      </w:r>
      <w:r w:rsidR="00E77A61" w:rsidRPr="007375EB">
        <w:rPr>
          <w:sz w:val="16"/>
          <w:szCs w:val="16"/>
          <w:lang w:val="bg-BG"/>
        </w:rPr>
        <w:noBreakHyphen/>
      </w:r>
      <w:r w:rsidR="00E77A61" w:rsidRPr="007375EB">
        <w:rPr>
          <w:sz w:val="16"/>
          <w:szCs w:val="16"/>
          <w:lang w:val="bg-BG"/>
        </w:rPr>
        <w:fldChar w:fldCharType="begin"/>
      </w:r>
      <w:r w:rsidR="00E77A61" w:rsidRPr="007375EB">
        <w:rPr>
          <w:sz w:val="16"/>
          <w:szCs w:val="16"/>
          <w:lang w:val="bg-BG"/>
        </w:rPr>
        <w:instrText xml:space="preserve"> SEQ Tabel_ \* ARABIC \s 1 </w:instrText>
      </w:r>
      <w:r w:rsidR="00E77A61" w:rsidRPr="007375EB">
        <w:rPr>
          <w:sz w:val="16"/>
          <w:szCs w:val="16"/>
          <w:lang w:val="bg-BG"/>
        </w:rPr>
        <w:fldChar w:fldCharType="separate"/>
      </w:r>
      <w:r w:rsidR="00D715BC" w:rsidRPr="007375EB">
        <w:rPr>
          <w:noProof/>
          <w:sz w:val="16"/>
          <w:szCs w:val="16"/>
          <w:lang w:val="bg-BG"/>
        </w:rPr>
        <w:t>7</w:t>
      </w:r>
      <w:r w:rsidR="00E77A61" w:rsidRPr="007375EB">
        <w:rPr>
          <w:sz w:val="16"/>
          <w:szCs w:val="16"/>
          <w:lang w:val="bg-BG"/>
        </w:rPr>
        <w:fldChar w:fldCharType="end"/>
      </w:r>
      <w:r w:rsidR="00E77A61" w:rsidRPr="007375EB">
        <w:rPr>
          <w:sz w:val="16"/>
          <w:szCs w:val="16"/>
          <w:lang w:val="bg-BG"/>
        </w:rPr>
        <w:t xml:space="preserve"> </w:t>
      </w:r>
      <w:r w:rsidRPr="007375EB">
        <w:rPr>
          <w:rFonts w:eastAsia="EuroRoman"/>
          <w:color w:val="00B0F0"/>
          <w:sz w:val="16"/>
          <w:szCs w:val="16"/>
          <w:lang w:val="bg-BG"/>
        </w:rPr>
        <w:t>Оценка на ефектите от алтернатива I PUZ, започната през 2011 г. при липса на мерки за намаляване</w:t>
      </w:r>
    </w:p>
    <w:tbl>
      <w:tblPr>
        <w:tblW w:w="21541"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ayout w:type="fixed"/>
        <w:tblLook w:val="04A0" w:firstRow="1" w:lastRow="0" w:firstColumn="1" w:lastColumn="0" w:noHBand="0" w:noVBand="1"/>
      </w:tblPr>
      <w:tblGrid>
        <w:gridCol w:w="1696"/>
        <w:gridCol w:w="2072"/>
        <w:gridCol w:w="625"/>
        <w:gridCol w:w="848"/>
        <w:gridCol w:w="539"/>
        <w:gridCol w:w="1173"/>
        <w:gridCol w:w="630"/>
        <w:gridCol w:w="646"/>
        <w:gridCol w:w="709"/>
        <w:gridCol w:w="425"/>
        <w:gridCol w:w="43"/>
        <w:gridCol w:w="512"/>
        <w:gridCol w:w="425"/>
        <w:gridCol w:w="94"/>
        <w:gridCol w:w="615"/>
        <w:gridCol w:w="567"/>
        <w:gridCol w:w="850"/>
        <w:gridCol w:w="708"/>
        <w:gridCol w:w="709"/>
        <w:gridCol w:w="709"/>
        <w:gridCol w:w="993"/>
        <w:gridCol w:w="571"/>
        <w:gridCol w:w="24"/>
        <w:gridCol w:w="5358"/>
      </w:tblGrid>
      <w:tr w:rsidR="004726FA" w:rsidRPr="007375EB" w14:paraId="5B5EF653" w14:textId="77777777" w:rsidTr="006E0FC3">
        <w:trPr>
          <w:trHeight w:val="315"/>
          <w:tblHeader/>
        </w:trPr>
        <w:tc>
          <w:tcPr>
            <w:tcW w:w="1696" w:type="dxa"/>
            <w:vMerge w:val="restart"/>
            <w:shd w:val="clear" w:color="000000" w:fill="00B0F0"/>
            <w:vAlign w:val="center"/>
            <w:hideMark/>
          </w:tcPr>
          <w:p w14:paraId="11EEB230" w14:textId="2DA830E5" w:rsidR="004726FA" w:rsidRPr="007375EB" w:rsidRDefault="00A23136" w:rsidP="00A07C37">
            <w:pPr>
              <w:spacing w:line="240" w:lineRule="auto"/>
              <w:jc w:val="center"/>
              <w:rPr>
                <w:rFonts w:eastAsia="Times New Roman" w:cs="Calibri"/>
                <w:b/>
                <w:bCs/>
                <w:color w:val="FFFFFF"/>
                <w:sz w:val="16"/>
                <w:szCs w:val="16"/>
                <w:lang w:val="bg-BG" w:eastAsia="ro-RO"/>
              </w:rPr>
            </w:pPr>
            <w:r w:rsidRPr="007375EB">
              <w:rPr>
                <w:rFonts w:eastAsia="Times New Roman" w:cs="Calibri"/>
                <w:b/>
                <w:bCs/>
                <w:color w:val="FFFFFF"/>
                <w:sz w:val="16"/>
                <w:szCs w:val="16"/>
                <w:lang w:val="bg-BG" w:eastAsia="ro-RO"/>
              </w:rPr>
              <w:t>Съответни аспекти на околната среда</w:t>
            </w:r>
          </w:p>
        </w:tc>
        <w:tc>
          <w:tcPr>
            <w:tcW w:w="2072" w:type="dxa"/>
            <w:vMerge w:val="restart"/>
            <w:shd w:val="clear" w:color="000000" w:fill="00B0F0"/>
            <w:vAlign w:val="center"/>
            <w:hideMark/>
          </w:tcPr>
          <w:p w14:paraId="0D3690F1" w14:textId="79802C47" w:rsidR="004726FA" w:rsidRPr="007375EB" w:rsidRDefault="00A23136" w:rsidP="00A07C37">
            <w:pPr>
              <w:spacing w:line="240" w:lineRule="auto"/>
              <w:jc w:val="center"/>
              <w:rPr>
                <w:rFonts w:eastAsia="Times New Roman" w:cs="Calibri"/>
                <w:b/>
                <w:bCs/>
                <w:color w:val="FFFFFF"/>
                <w:sz w:val="16"/>
                <w:szCs w:val="16"/>
                <w:lang w:val="bg-BG" w:eastAsia="ro-RO"/>
              </w:rPr>
            </w:pPr>
            <w:r w:rsidRPr="007375EB">
              <w:rPr>
                <w:rFonts w:eastAsia="Times New Roman" w:cs="Calibri"/>
                <w:b/>
                <w:bCs/>
                <w:color w:val="FFFFFF"/>
                <w:sz w:val="16"/>
                <w:szCs w:val="16"/>
                <w:lang w:val="bg-BG" w:eastAsia="ro-RO"/>
              </w:rPr>
              <w:t>Екологични цели, свързани с PUZ</w:t>
            </w:r>
          </w:p>
        </w:tc>
        <w:tc>
          <w:tcPr>
            <w:tcW w:w="5638" w:type="dxa"/>
            <w:gridSpan w:val="9"/>
            <w:shd w:val="clear" w:color="000000" w:fill="00B0F0"/>
            <w:vAlign w:val="center"/>
            <w:hideMark/>
          </w:tcPr>
          <w:p w14:paraId="01631531" w14:textId="35652782" w:rsidR="004726FA" w:rsidRPr="007375EB" w:rsidRDefault="000F79B5" w:rsidP="00A07C37">
            <w:pPr>
              <w:spacing w:line="240" w:lineRule="auto"/>
              <w:jc w:val="center"/>
              <w:rPr>
                <w:rFonts w:eastAsia="Times New Roman" w:cs="Calibri"/>
                <w:b/>
                <w:bCs/>
                <w:color w:val="FFFFFF"/>
                <w:sz w:val="14"/>
                <w:szCs w:val="14"/>
                <w:lang w:val="bg-BG" w:eastAsia="ro-RO"/>
              </w:rPr>
            </w:pPr>
            <w:r w:rsidRPr="007375EB">
              <w:rPr>
                <w:rFonts w:eastAsia="Times New Roman" w:cs="Calibri"/>
                <w:b/>
                <w:bCs/>
                <w:color w:val="FFFFFF"/>
                <w:sz w:val="14"/>
                <w:szCs w:val="14"/>
                <w:lang w:val="bg-BG" w:eastAsia="ro-RO"/>
              </w:rPr>
              <w:t>Период на изпълнение</w:t>
            </w:r>
          </w:p>
        </w:tc>
        <w:tc>
          <w:tcPr>
            <w:tcW w:w="1031" w:type="dxa"/>
            <w:gridSpan w:val="3"/>
            <w:shd w:val="clear" w:color="000000" w:fill="00B0F0"/>
            <w:vAlign w:val="center"/>
            <w:hideMark/>
          </w:tcPr>
          <w:p w14:paraId="5130AFA6" w14:textId="2A3CDF10" w:rsidR="004726FA" w:rsidRPr="007375EB" w:rsidRDefault="000F79B5" w:rsidP="00A07C37">
            <w:pPr>
              <w:spacing w:line="240" w:lineRule="auto"/>
              <w:jc w:val="center"/>
              <w:rPr>
                <w:rFonts w:eastAsia="Times New Roman" w:cs="Calibri"/>
                <w:b/>
                <w:bCs/>
                <w:color w:val="FFFFFF"/>
                <w:sz w:val="14"/>
                <w:szCs w:val="14"/>
                <w:lang w:val="bg-BG" w:eastAsia="ro-RO"/>
              </w:rPr>
            </w:pPr>
            <w:r w:rsidRPr="007375EB">
              <w:rPr>
                <w:rFonts w:eastAsia="Times New Roman" w:cs="Calibri"/>
                <w:b/>
                <w:bCs/>
                <w:color w:val="FFFFFF"/>
                <w:sz w:val="14"/>
                <w:szCs w:val="14"/>
                <w:lang w:val="bg-BG" w:eastAsia="ro-RO"/>
              </w:rPr>
              <w:t>Период на работа</w:t>
            </w:r>
          </w:p>
        </w:tc>
        <w:tc>
          <w:tcPr>
            <w:tcW w:w="5746" w:type="dxa"/>
            <w:gridSpan w:val="9"/>
            <w:shd w:val="clear" w:color="000000" w:fill="00B0F0"/>
            <w:vAlign w:val="center"/>
            <w:hideMark/>
          </w:tcPr>
          <w:p w14:paraId="53CF4BA5" w14:textId="44E5572D" w:rsidR="004726FA" w:rsidRPr="007375EB" w:rsidRDefault="000F79B5" w:rsidP="00A07C37">
            <w:pPr>
              <w:spacing w:line="240" w:lineRule="auto"/>
              <w:jc w:val="center"/>
              <w:rPr>
                <w:rFonts w:eastAsia="Times New Roman" w:cs="Calibri"/>
                <w:b/>
                <w:bCs/>
                <w:color w:val="FFFFFF"/>
                <w:sz w:val="14"/>
                <w:szCs w:val="14"/>
                <w:lang w:val="bg-BG" w:eastAsia="ro-RO"/>
              </w:rPr>
            </w:pPr>
            <w:r w:rsidRPr="007375EB">
              <w:rPr>
                <w:rFonts w:eastAsia="Times New Roman" w:cs="Calibri"/>
                <w:b/>
                <w:bCs/>
                <w:color w:val="FFFFFF"/>
                <w:sz w:val="14"/>
                <w:szCs w:val="14"/>
                <w:lang w:val="bg-BG" w:eastAsia="ro-RO"/>
              </w:rPr>
              <w:t>Период на извеждане от експлоатация</w:t>
            </w:r>
          </w:p>
        </w:tc>
        <w:tc>
          <w:tcPr>
            <w:tcW w:w="5358" w:type="dxa"/>
            <w:shd w:val="clear" w:color="000000" w:fill="00B0F0"/>
            <w:vAlign w:val="center"/>
            <w:hideMark/>
          </w:tcPr>
          <w:p w14:paraId="5295E42A" w14:textId="4F4F6AA9" w:rsidR="004726FA" w:rsidRPr="007375EB" w:rsidRDefault="00A23136" w:rsidP="00A07C37">
            <w:pPr>
              <w:spacing w:line="240" w:lineRule="auto"/>
              <w:jc w:val="center"/>
              <w:rPr>
                <w:rFonts w:eastAsia="Times New Roman" w:cs="Calibri"/>
                <w:b/>
                <w:bCs/>
                <w:color w:val="FFFFFF"/>
                <w:sz w:val="16"/>
                <w:szCs w:val="16"/>
                <w:lang w:val="bg-BG" w:eastAsia="ro-RO"/>
              </w:rPr>
            </w:pPr>
            <w:r w:rsidRPr="007375EB">
              <w:rPr>
                <w:rFonts w:eastAsia="Times New Roman" w:cs="Calibri"/>
                <w:b/>
                <w:bCs/>
                <w:color w:val="FFFFFF"/>
                <w:sz w:val="16"/>
                <w:szCs w:val="16"/>
                <w:lang w:val="bg-BG" w:eastAsia="ro-RO"/>
              </w:rPr>
              <w:t>Обосновка</w:t>
            </w:r>
          </w:p>
        </w:tc>
      </w:tr>
      <w:tr w:rsidR="004726FA" w:rsidRPr="007375EB" w14:paraId="6E200249" w14:textId="77777777" w:rsidTr="006E0FC3">
        <w:trPr>
          <w:trHeight w:val="1674"/>
          <w:tblHeader/>
        </w:trPr>
        <w:tc>
          <w:tcPr>
            <w:tcW w:w="1696" w:type="dxa"/>
            <w:vMerge/>
            <w:tcBorders>
              <w:bottom w:val="dotted" w:sz="4" w:space="0" w:color="A6A6A6" w:themeColor="background1" w:themeShade="A6"/>
            </w:tcBorders>
            <w:vAlign w:val="center"/>
            <w:hideMark/>
          </w:tcPr>
          <w:p w14:paraId="651CAA89" w14:textId="77777777" w:rsidR="004726FA" w:rsidRPr="007375EB" w:rsidRDefault="004726FA" w:rsidP="00A07C37">
            <w:pPr>
              <w:spacing w:line="240" w:lineRule="auto"/>
              <w:rPr>
                <w:rFonts w:eastAsia="Times New Roman" w:cs="Calibri"/>
                <w:b/>
                <w:bCs/>
                <w:color w:val="FFFFFF"/>
                <w:sz w:val="16"/>
                <w:szCs w:val="16"/>
                <w:lang w:val="bg-BG" w:eastAsia="ro-RO"/>
              </w:rPr>
            </w:pPr>
          </w:p>
        </w:tc>
        <w:tc>
          <w:tcPr>
            <w:tcW w:w="2072" w:type="dxa"/>
            <w:vMerge/>
            <w:tcBorders>
              <w:bottom w:val="dotted" w:sz="4" w:space="0" w:color="A6A6A6" w:themeColor="background1" w:themeShade="A6"/>
            </w:tcBorders>
            <w:vAlign w:val="center"/>
            <w:hideMark/>
          </w:tcPr>
          <w:p w14:paraId="17C7488D" w14:textId="77777777" w:rsidR="004726FA" w:rsidRPr="007375EB" w:rsidRDefault="004726FA" w:rsidP="00A07C37">
            <w:pPr>
              <w:spacing w:line="240" w:lineRule="auto"/>
              <w:rPr>
                <w:rFonts w:eastAsia="Times New Roman" w:cs="Calibri"/>
                <w:b/>
                <w:bCs/>
                <w:color w:val="FFFFFF"/>
                <w:sz w:val="16"/>
                <w:szCs w:val="16"/>
                <w:lang w:val="bg-BG" w:eastAsia="ro-RO"/>
              </w:rPr>
            </w:pPr>
          </w:p>
        </w:tc>
        <w:tc>
          <w:tcPr>
            <w:tcW w:w="625" w:type="dxa"/>
            <w:tcBorders>
              <w:bottom w:val="dotted" w:sz="4" w:space="0" w:color="A6A6A6" w:themeColor="background1" w:themeShade="A6"/>
            </w:tcBorders>
            <w:shd w:val="clear" w:color="000000" w:fill="00B0F0"/>
            <w:textDirection w:val="btLr"/>
            <w:vAlign w:val="center"/>
            <w:hideMark/>
          </w:tcPr>
          <w:p w14:paraId="53370996" w14:textId="4280FEF9"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Изграждане на пътища за достъп</w:t>
            </w:r>
          </w:p>
        </w:tc>
        <w:tc>
          <w:tcPr>
            <w:tcW w:w="848" w:type="dxa"/>
            <w:tcBorders>
              <w:bottom w:val="dotted" w:sz="4" w:space="0" w:color="A6A6A6" w:themeColor="background1" w:themeShade="A6"/>
            </w:tcBorders>
            <w:shd w:val="clear" w:color="000000" w:fill="00B0F0"/>
            <w:textDirection w:val="btLr"/>
            <w:vAlign w:val="center"/>
            <w:hideMark/>
          </w:tcPr>
          <w:p w14:paraId="01779A76" w14:textId="5D51B384"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Реализация на технологични платформи и основи</w:t>
            </w:r>
          </w:p>
        </w:tc>
        <w:tc>
          <w:tcPr>
            <w:tcW w:w="539" w:type="dxa"/>
            <w:tcBorders>
              <w:bottom w:val="dotted" w:sz="4" w:space="0" w:color="A6A6A6" w:themeColor="background1" w:themeShade="A6"/>
            </w:tcBorders>
            <w:shd w:val="clear" w:color="000000" w:fill="00B0F0"/>
            <w:textDirection w:val="btLr"/>
            <w:vAlign w:val="center"/>
            <w:hideMark/>
          </w:tcPr>
          <w:p w14:paraId="646D419C" w14:textId="5A5536F2"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Монтаж на вятърни електроцентрали</w:t>
            </w:r>
          </w:p>
        </w:tc>
        <w:tc>
          <w:tcPr>
            <w:tcW w:w="1173" w:type="dxa"/>
            <w:tcBorders>
              <w:bottom w:val="dotted" w:sz="4" w:space="0" w:color="A6A6A6" w:themeColor="background1" w:themeShade="A6"/>
            </w:tcBorders>
            <w:shd w:val="clear" w:color="000000" w:fill="00B0F0"/>
            <w:textDirection w:val="btLr"/>
            <w:vAlign w:val="center"/>
            <w:hideMark/>
          </w:tcPr>
          <w:p w14:paraId="4E7AE5F9" w14:textId="68D1505A"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Извършване на електрически връзки и полагане на подземни кабели между ветрогенераторните групи</w:t>
            </w:r>
          </w:p>
        </w:tc>
        <w:tc>
          <w:tcPr>
            <w:tcW w:w="630" w:type="dxa"/>
            <w:tcBorders>
              <w:bottom w:val="dotted" w:sz="4" w:space="0" w:color="A6A6A6" w:themeColor="background1" w:themeShade="A6"/>
            </w:tcBorders>
            <w:shd w:val="clear" w:color="000000" w:fill="00B0F0"/>
            <w:textDirection w:val="btLr"/>
            <w:vAlign w:val="center"/>
            <w:hideMark/>
          </w:tcPr>
          <w:p w14:paraId="5BD560C4" w14:textId="0D9ED138"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Изграждане на трафопостове</w:t>
            </w:r>
          </w:p>
        </w:tc>
        <w:tc>
          <w:tcPr>
            <w:tcW w:w="646" w:type="dxa"/>
            <w:tcBorders>
              <w:bottom w:val="dotted" w:sz="4" w:space="0" w:color="A6A6A6" w:themeColor="background1" w:themeShade="A6"/>
            </w:tcBorders>
            <w:shd w:val="clear" w:color="000000" w:fill="00B0F0"/>
            <w:textDirection w:val="btLr"/>
            <w:vAlign w:val="center"/>
            <w:hideMark/>
          </w:tcPr>
          <w:p w14:paraId="23EE1AD8" w14:textId="546839BE"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Организация на площадката</w:t>
            </w:r>
            <w:r w:rsidR="004726FA" w:rsidRPr="007375EB">
              <w:rPr>
                <w:rFonts w:eastAsia="Times New Roman" w:cs="Calibri"/>
                <w:b/>
                <w:bCs/>
                <w:color w:val="FFFFFF"/>
                <w:sz w:val="12"/>
                <w:szCs w:val="12"/>
                <w:lang w:val="bg-BG" w:eastAsia="ro-RO"/>
              </w:rPr>
              <w:t xml:space="preserve"> </w:t>
            </w:r>
          </w:p>
        </w:tc>
        <w:tc>
          <w:tcPr>
            <w:tcW w:w="709" w:type="dxa"/>
            <w:tcBorders>
              <w:bottom w:val="dotted" w:sz="4" w:space="0" w:color="A6A6A6" w:themeColor="background1" w:themeShade="A6"/>
            </w:tcBorders>
            <w:shd w:val="clear" w:color="000000" w:fill="00B0F0"/>
            <w:textDirection w:val="btLr"/>
            <w:vAlign w:val="center"/>
            <w:hideMark/>
          </w:tcPr>
          <w:p w14:paraId="00888991" w14:textId="1BEAD6B6"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Рекултивация на земята в края на строителството</w:t>
            </w:r>
          </w:p>
        </w:tc>
        <w:tc>
          <w:tcPr>
            <w:tcW w:w="425" w:type="dxa"/>
            <w:tcBorders>
              <w:bottom w:val="dotted" w:sz="4" w:space="0" w:color="A6A6A6" w:themeColor="background1" w:themeShade="A6"/>
            </w:tcBorders>
            <w:shd w:val="clear" w:color="000000" w:fill="A6A6A6"/>
            <w:textDirection w:val="btLr"/>
            <w:vAlign w:val="center"/>
            <w:hideMark/>
          </w:tcPr>
          <w:p w14:paraId="111242E4" w14:textId="01A4B0B7"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Крайна оценка</w:t>
            </w:r>
          </w:p>
        </w:tc>
        <w:tc>
          <w:tcPr>
            <w:tcW w:w="555" w:type="dxa"/>
            <w:gridSpan w:val="2"/>
            <w:tcBorders>
              <w:bottom w:val="dotted" w:sz="4" w:space="0" w:color="A6A6A6" w:themeColor="background1" w:themeShade="A6"/>
            </w:tcBorders>
            <w:shd w:val="clear" w:color="000000" w:fill="00B0F0"/>
            <w:textDirection w:val="btLr"/>
            <w:vAlign w:val="center"/>
            <w:hideMark/>
          </w:tcPr>
          <w:p w14:paraId="049CD5B0" w14:textId="633405BE"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Поддръжка и ремонти</w:t>
            </w:r>
          </w:p>
        </w:tc>
        <w:tc>
          <w:tcPr>
            <w:tcW w:w="425" w:type="dxa"/>
            <w:tcBorders>
              <w:bottom w:val="dotted" w:sz="4" w:space="0" w:color="A6A6A6" w:themeColor="background1" w:themeShade="A6"/>
            </w:tcBorders>
            <w:shd w:val="clear" w:color="000000" w:fill="A6A6A6"/>
            <w:textDirection w:val="btLr"/>
            <w:vAlign w:val="center"/>
            <w:hideMark/>
          </w:tcPr>
          <w:p w14:paraId="0FBE6A0A" w14:textId="4AA65A5D"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Крайна оценка</w:t>
            </w:r>
          </w:p>
        </w:tc>
        <w:tc>
          <w:tcPr>
            <w:tcW w:w="709" w:type="dxa"/>
            <w:gridSpan w:val="2"/>
            <w:tcBorders>
              <w:bottom w:val="dotted" w:sz="4" w:space="0" w:color="A6A6A6" w:themeColor="background1" w:themeShade="A6"/>
            </w:tcBorders>
            <w:shd w:val="clear" w:color="000000" w:fill="00B0F0"/>
            <w:textDirection w:val="btLr"/>
            <w:vAlign w:val="center"/>
            <w:hideMark/>
          </w:tcPr>
          <w:p w14:paraId="16F6BA18" w14:textId="57B84128"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Организация на строителната площадка</w:t>
            </w:r>
          </w:p>
        </w:tc>
        <w:tc>
          <w:tcPr>
            <w:tcW w:w="567" w:type="dxa"/>
            <w:tcBorders>
              <w:bottom w:val="dotted" w:sz="4" w:space="0" w:color="A6A6A6" w:themeColor="background1" w:themeShade="A6"/>
            </w:tcBorders>
            <w:shd w:val="clear" w:color="000000" w:fill="00B0F0"/>
            <w:textDirection w:val="btLr"/>
            <w:vAlign w:val="center"/>
            <w:hideMark/>
          </w:tcPr>
          <w:p w14:paraId="124DEC3F" w14:textId="3EDDCC36"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Демонтаж на вятърни електроцентрали</w:t>
            </w:r>
          </w:p>
        </w:tc>
        <w:tc>
          <w:tcPr>
            <w:tcW w:w="850" w:type="dxa"/>
            <w:tcBorders>
              <w:bottom w:val="dotted" w:sz="4" w:space="0" w:color="A6A6A6" w:themeColor="background1" w:themeShade="A6"/>
            </w:tcBorders>
            <w:shd w:val="clear" w:color="000000" w:fill="00B0F0"/>
            <w:textDirection w:val="btLr"/>
            <w:vAlign w:val="center"/>
            <w:hideMark/>
          </w:tcPr>
          <w:p w14:paraId="526CED96" w14:textId="6BC3E48D"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Извеждане от експлоатация на технологични платформи и фундаменти</w:t>
            </w:r>
          </w:p>
        </w:tc>
        <w:tc>
          <w:tcPr>
            <w:tcW w:w="708" w:type="dxa"/>
            <w:tcBorders>
              <w:bottom w:val="dotted" w:sz="4" w:space="0" w:color="A6A6A6" w:themeColor="background1" w:themeShade="A6"/>
            </w:tcBorders>
            <w:shd w:val="clear" w:color="000000" w:fill="00B0F0"/>
            <w:textDirection w:val="btLr"/>
            <w:vAlign w:val="center"/>
            <w:hideMark/>
          </w:tcPr>
          <w:p w14:paraId="37E37AA2" w14:textId="1205D0AA"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Извеждане от експлоатация на електрически връзки и премахване на подземни кабели</w:t>
            </w:r>
          </w:p>
        </w:tc>
        <w:tc>
          <w:tcPr>
            <w:tcW w:w="709" w:type="dxa"/>
            <w:tcBorders>
              <w:bottom w:val="dotted" w:sz="4" w:space="0" w:color="A6A6A6" w:themeColor="background1" w:themeShade="A6"/>
            </w:tcBorders>
            <w:shd w:val="clear" w:color="000000" w:fill="00B0F0"/>
            <w:textDirection w:val="btLr"/>
            <w:vAlign w:val="center"/>
            <w:hideMark/>
          </w:tcPr>
          <w:p w14:paraId="2CE460A2" w14:textId="51C129F5"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Извеждане от експлоатация на трафопостове</w:t>
            </w:r>
          </w:p>
        </w:tc>
        <w:tc>
          <w:tcPr>
            <w:tcW w:w="709" w:type="dxa"/>
            <w:tcBorders>
              <w:bottom w:val="dotted" w:sz="4" w:space="0" w:color="A6A6A6" w:themeColor="background1" w:themeShade="A6"/>
            </w:tcBorders>
            <w:shd w:val="clear" w:color="000000" w:fill="00B0F0"/>
            <w:textDirection w:val="btLr"/>
            <w:vAlign w:val="center"/>
            <w:hideMark/>
          </w:tcPr>
          <w:p w14:paraId="505C0124" w14:textId="68961B26"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Извеждане от експлоатация на експлоатационни пътища</w:t>
            </w:r>
          </w:p>
        </w:tc>
        <w:tc>
          <w:tcPr>
            <w:tcW w:w="993" w:type="dxa"/>
            <w:tcBorders>
              <w:bottom w:val="dotted" w:sz="4" w:space="0" w:color="A6A6A6" w:themeColor="background1" w:themeShade="A6"/>
            </w:tcBorders>
            <w:shd w:val="clear" w:color="000000" w:fill="00B0F0"/>
            <w:textDirection w:val="btLr"/>
            <w:vAlign w:val="center"/>
            <w:hideMark/>
          </w:tcPr>
          <w:p w14:paraId="74A49732" w14:textId="55877CB2"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Мелиоративни работи след завършване на строителството</w:t>
            </w:r>
          </w:p>
        </w:tc>
        <w:tc>
          <w:tcPr>
            <w:tcW w:w="571" w:type="dxa"/>
            <w:tcBorders>
              <w:bottom w:val="dotted" w:sz="4" w:space="0" w:color="A6A6A6" w:themeColor="background1" w:themeShade="A6"/>
            </w:tcBorders>
            <w:shd w:val="clear" w:color="000000" w:fill="A6A6A6"/>
            <w:textDirection w:val="btLr"/>
            <w:vAlign w:val="center"/>
            <w:hideMark/>
          </w:tcPr>
          <w:p w14:paraId="69494030" w14:textId="7D4F7364" w:rsidR="004726FA" w:rsidRPr="007375EB" w:rsidRDefault="00A23136" w:rsidP="00A07C37">
            <w:pPr>
              <w:spacing w:line="240" w:lineRule="auto"/>
              <w:jc w:val="center"/>
              <w:rPr>
                <w:rFonts w:eastAsia="Times New Roman" w:cs="Calibri"/>
                <w:b/>
                <w:bCs/>
                <w:color w:val="FFFFFF"/>
                <w:sz w:val="12"/>
                <w:szCs w:val="12"/>
                <w:lang w:val="bg-BG" w:eastAsia="ro-RO"/>
              </w:rPr>
            </w:pPr>
            <w:r w:rsidRPr="007375EB">
              <w:rPr>
                <w:rFonts w:eastAsia="Times New Roman" w:cs="Calibri"/>
                <w:b/>
                <w:bCs/>
                <w:color w:val="FFFFFF"/>
                <w:sz w:val="12"/>
                <w:szCs w:val="12"/>
                <w:lang w:val="bg-BG" w:eastAsia="ro-RO"/>
              </w:rPr>
              <w:t>Крайна оценка</w:t>
            </w:r>
          </w:p>
        </w:tc>
        <w:tc>
          <w:tcPr>
            <w:tcW w:w="5382" w:type="dxa"/>
            <w:gridSpan w:val="2"/>
            <w:tcBorders>
              <w:bottom w:val="dotted" w:sz="4" w:space="0" w:color="A6A6A6" w:themeColor="background1" w:themeShade="A6"/>
            </w:tcBorders>
            <w:shd w:val="clear" w:color="auto" w:fill="00B0F0"/>
            <w:vAlign w:val="center"/>
            <w:hideMark/>
          </w:tcPr>
          <w:p w14:paraId="3A306859" w14:textId="77777777" w:rsidR="004726FA" w:rsidRPr="007375EB" w:rsidRDefault="004726FA" w:rsidP="00A07C37">
            <w:pPr>
              <w:spacing w:line="240" w:lineRule="auto"/>
              <w:rPr>
                <w:rFonts w:eastAsia="Times New Roman" w:cs="Calibri"/>
                <w:b/>
                <w:bCs/>
                <w:color w:val="FFFFFF"/>
                <w:sz w:val="16"/>
                <w:szCs w:val="16"/>
                <w:lang w:val="bg-BG" w:eastAsia="ro-RO"/>
              </w:rPr>
            </w:pPr>
          </w:p>
        </w:tc>
      </w:tr>
      <w:tr w:rsidR="004726FA" w:rsidRPr="007375EB" w14:paraId="5A798273" w14:textId="77777777" w:rsidTr="006E0FC3">
        <w:trPr>
          <w:trHeight w:val="1275"/>
        </w:trPr>
        <w:tc>
          <w:tcPr>
            <w:tcW w:w="1696" w:type="dxa"/>
            <w:shd w:val="clear" w:color="auto" w:fill="auto"/>
            <w:vAlign w:val="center"/>
            <w:hideMark/>
          </w:tcPr>
          <w:p w14:paraId="0521D417" w14:textId="0BAC486D" w:rsidR="00AF5FA2" w:rsidRPr="007375EB" w:rsidRDefault="006B7D28"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Вода</w:t>
            </w:r>
          </w:p>
        </w:tc>
        <w:tc>
          <w:tcPr>
            <w:tcW w:w="2072" w:type="dxa"/>
            <w:shd w:val="clear" w:color="auto" w:fill="auto"/>
            <w:vAlign w:val="center"/>
            <w:hideMark/>
          </w:tcPr>
          <w:p w14:paraId="7DD21718" w14:textId="76587C48" w:rsidR="00AF5FA2" w:rsidRPr="007375EB" w:rsidRDefault="00AF5FA2"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OM1.</w:t>
            </w:r>
            <w:r w:rsidRPr="007375EB">
              <w:rPr>
                <w:rFonts w:ascii="Times New Roman" w:eastAsia="Times New Roman" w:hAnsi="Times New Roman" w:cs="Times New Roman"/>
                <w:b/>
                <w:bCs/>
                <w:color w:val="000000"/>
                <w:sz w:val="14"/>
                <w:szCs w:val="14"/>
                <w:lang w:val="bg-BG" w:eastAsia="ro-RO"/>
              </w:rPr>
              <w:t xml:space="preserve">   </w:t>
            </w:r>
            <w:r w:rsidR="006B7D28" w:rsidRPr="007375EB">
              <w:rPr>
                <w:sz w:val="16"/>
                <w:szCs w:val="16"/>
                <w:lang w:val="bg-BG"/>
              </w:rPr>
              <w:t>Поддържане и подобряване на екологичното състояние/екологичния потенциал и химичното състояние на повърхностните и подземните водни тела</w:t>
            </w:r>
          </w:p>
        </w:tc>
        <w:tc>
          <w:tcPr>
            <w:tcW w:w="625" w:type="dxa"/>
            <w:shd w:val="clear" w:color="000000" w:fill="FF0000"/>
            <w:noWrap/>
            <w:vAlign w:val="center"/>
            <w:hideMark/>
          </w:tcPr>
          <w:p w14:paraId="7FCD0261"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848" w:type="dxa"/>
            <w:shd w:val="clear" w:color="000000" w:fill="FF0000"/>
            <w:noWrap/>
            <w:vAlign w:val="center"/>
            <w:hideMark/>
          </w:tcPr>
          <w:p w14:paraId="76E13D71"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539" w:type="dxa"/>
            <w:shd w:val="clear" w:color="000000" w:fill="F8CBAD"/>
            <w:noWrap/>
            <w:vAlign w:val="center"/>
            <w:hideMark/>
          </w:tcPr>
          <w:p w14:paraId="39FF2225"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1173" w:type="dxa"/>
            <w:shd w:val="clear" w:color="auto" w:fill="F8CBAD"/>
            <w:noWrap/>
            <w:vAlign w:val="center"/>
            <w:hideMark/>
          </w:tcPr>
          <w:p w14:paraId="0BCDB64B" w14:textId="1CC2B031"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w:t>
            </w:r>
            <w:r w:rsidR="00324D2C" w:rsidRPr="007375EB">
              <w:rPr>
                <w:rFonts w:eastAsia="Times New Roman" w:cs="Calibri"/>
                <w:color w:val="000000"/>
                <w:sz w:val="16"/>
                <w:szCs w:val="16"/>
                <w:lang w:val="bg-BG" w:eastAsia="ro-RO"/>
              </w:rPr>
              <w:t>1</w:t>
            </w:r>
          </w:p>
        </w:tc>
        <w:tc>
          <w:tcPr>
            <w:tcW w:w="630" w:type="dxa"/>
            <w:shd w:val="clear" w:color="000000" w:fill="F8CBAD"/>
            <w:noWrap/>
            <w:vAlign w:val="center"/>
            <w:hideMark/>
          </w:tcPr>
          <w:p w14:paraId="6DD70E58"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46" w:type="dxa"/>
            <w:shd w:val="clear" w:color="000000" w:fill="F8CBAD"/>
            <w:noWrap/>
            <w:vAlign w:val="center"/>
            <w:hideMark/>
          </w:tcPr>
          <w:p w14:paraId="6E4E4186"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FFF00"/>
            <w:noWrap/>
            <w:vAlign w:val="center"/>
            <w:hideMark/>
          </w:tcPr>
          <w:p w14:paraId="4B349FC0"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425" w:type="dxa"/>
            <w:shd w:val="clear" w:color="auto" w:fill="F8CBAD"/>
            <w:noWrap/>
            <w:vAlign w:val="center"/>
            <w:hideMark/>
          </w:tcPr>
          <w:p w14:paraId="3CE15C25" w14:textId="0F0C5F18"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w:t>
            </w:r>
            <w:r w:rsidR="00324D2C" w:rsidRPr="007375EB">
              <w:rPr>
                <w:rFonts w:eastAsia="Times New Roman" w:cs="Calibri"/>
                <w:b/>
                <w:bCs/>
                <w:color w:val="000000"/>
                <w:sz w:val="16"/>
                <w:szCs w:val="16"/>
                <w:lang w:val="bg-BG" w:eastAsia="ro-RO"/>
              </w:rPr>
              <w:t>1</w:t>
            </w:r>
          </w:p>
        </w:tc>
        <w:tc>
          <w:tcPr>
            <w:tcW w:w="555" w:type="dxa"/>
            <w:gridSpan w:val="2"/>
            <w:shd w:val="clear" w:color="000000" w:fill="FFFF00"/>
            <w:noWrap/>
            <w:vAlign w:val="center"/>
            <w:hideMark/>
          </w:tcPr>
          <w:p w14:paraId="2C98D7A7"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425" w:type="dxa"/>
            <w:shd w:val="clear" w:color="000000" w:fill="FFFF00"/>
            <w:noWrap/>
            <w:vAlign w:val="center"/>
            <w:hideMark/>
          </w:tcPr>
          <w:p w14:paraId="7E95DDD5"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0</w:t>
            </w:r>
          </w:p>
        </w:tc>
        <w:tc>
          <w:tcPr>
            <w:tcW w:w="709" w:type="dxa"/>
            <w:gridSpan w:val="2"/>
            <w:shd w:val="clear" w:color="000000" w:fill="F8CBAD"/>
            <w:noWrap/>
            <w:vAlign w:val="center"/>
            <w:hideMark/>
          </w:tcPr>
          <w:p w14:paraId="566C2F1C"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67" w:type="dxa"/>
            <w:shd w:val="clear" w:color="000000" w:fill="F8CBAD"/>
            <w:noWrap/>
            <w:vAlign w:val="center"/>
            <w:hideMark/>
          </w:tcPr>
          <w:p w14:paraId="0F583365"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850" w:type="dxa"/>
            <w:shd w:val="clear" w:color="000000" w:fill="F8CBAD"/>
            <w:noWrap/>
            <w:vAlign w:val="center"/>
            <w:hideMark/>
          </w:tcPr>
          <w:p w14:paraId="45B86496"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8" w:type="dxa"/>
            <w:shd w:val="clear" w:color="auto" w:fill="F8CBAD"/>
            <w:noWrap/>
            <w:vAlign w:val="center"/>
            <w:hideMark/>
          </w:tcPr>
          <w:p w14:paraId="4DF79F7D" w14:textId="4B6311EB"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w:t>
            </w:r>
            <w:r w:rsidR="00053160" w:rsidRPr="007375EB">
              <w:rPr>
                <w:rFonts w:eastAsia="Times New Roman" w:cs="Calibri"/>
                <w:color w:val="000000"/>
                <w:sz w:val="16"/>
                <w:szCs w:val="16"/>
                <w:lang w:val="bg-BG" w:eastAsia="ro-RO"/>
              </w:rPr>
              <w:t>1</w:t>
            </w:r>
          </w:p>
        </w:tc>
        <w:tc>
          <w:tcPr>
            <w:tcW w:w="709" w:type="dxa"/>
            <w:shd w:val="clear" w:color="000000" w:fill="FF0000"/>
            <w:noWrap/>
            <w:vAlign w:val="center"/>
            <w:hideMark/>
          </w:tcPr>
          <w:p w14:paraId="2FAE65D0"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709" w:type="dxa"/>
            <w:shd w:val="clear" w:color="000000" w:fill="FF0000"/>
            <w:noWrap/>
            <w:vAlign w:val="center"/>
            <w:hideMark/>
          </w:tcPr>
          <w:p w14:paraId="5084A983"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993" w:type="dxa"/>
            <w:shd w:val="clear" w:color="000000" w:fill="C6E0B4"/>
            <w:noWrap/>
            <w:vAlign w:val="center"/>
            <w:hideMark/>
          </w:tcPr>
          <w:p w14:paraId="0C67F556"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71" w:type="dxa"/>
            <w:shd w:val="clear" w:color="auto" w:fill="F8CBAD"/>
            <w:noWrap/>
            <w:vAlign w:val="center"/>
            <w:hideMark/>
          </w:tcPr>
          <w:p w14:paraId="0B3BA98E" w14:textId="24886B36"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w:t>
            </w:r>
            <w:r w:rsidR="00053160" w:rsidRPr="007375EB">
              <w:rPr>
                <w:rFonts w:eastAsia="Times New Roman" w:cs="Calibri"/>
                <w:b/>
                <w:bCs/>
                <w:color w:val="000000"/>
                <w:sz w:val="16"/>
                <w:szCs w:val="16"/>
                <w:lang w:val="bg-BG" w:eastAsia="ro-RO"/>
              </w:rPr>
              <w:t>1</w:t>
            </w:r>
          </w:p>
        </w:tc>
        <w:tc>
          <w:tcPr>
            <w:tcW w:w="5382" w:type="dxa"/>
            <w:gridSpan w:val="2"/>
            <w:shd w:val="clear" w:color="auto" w:fill="auto"/>
            <w:noWrap/>
            <w:vAlign w:val="center"/>
            <w:hideMark/>
          </w:tcPr>
          <w:p w14:paraId="30B927AA" w14:textId="77777777" w:rsidR="000F79B5" w:rsidRPr="007375EB" w:rsidRDefault="000F79B5" w:rsidP="000F79B5">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 xml:space="preserve">В етапа на строителство, </w:t>
            </w:r>
            <w:r w:rsidRPr="007375EB">
              <w:rPr>
                <w:rFonts w:eastAsia="Times New Roman" w:cs="Calibri"/>
                <w:color w:val="000000"/>
                <w:sz w:val="16"/>
                <w:szCs w:val="16"/>
                <w:lang w:val="bg-BG" w:eastAsia="ro-RO"/>
              </w:rPr>
              <w:t>за тази алтернатива, по време на изготвянето на проекта не са предвидени дейности по подминаване на водно течение.</w:t>
            </w:r>
          </w:p>
          <w:p w14:paraId="548DEB29" w14:textId="4A33645F" w:rsidR="00EB77BA" w:rsidRPr="007375EB" w:rsidRDefault="000F79B5" w:rsidP="000F79B5">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Основните източници на въздействие са: възможни течове на използвани строителни материали или горива/смазочни материали от машините, участващи в изграждането на обектови организации, пътища за достъп, технологични площадки, електрически връзки и полагане на кабели, при монтаж на турбини и възстановяване на земята в края на изпълнението</w:t>
            </w:r>
            <w:r w:rsidR="00EB77BA" w:rsidRPr="007375EB">
              <w:rPr>
                <w:rFonts w:eastAsia="Times New Roman" w:cs="Calibri"/>
                <w:color w:val="000000"/>
                <w:sz w:val="16"/>
                <w:szCs w:val="16"/>
                <w:lang w:val="bg-BG" w:eastAsia="ro-RO"/>
              </w:rPr>
              <w:t xml:space="preserve">. </w:t>
            </w:r>
          </w:p>
          <w:p w14:paraId="5C4FB5B7" w14:textId="77777777" w:rsidR="000F79B5" w:rsidRPr="007375EB" w:rsidRDefault="000F79B5" w:rsidP="000F79B5">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Ерозията, причинена от изкопни работи, е друг фактор, който може да промени качеството на повърхностните водни тела в района на изпълнение чрез увеличаване на мътността.</w:t>
            </w:r>
          </w:p>
          <w:p w14:paraId="78FB1C5F" w14:textId="77777777" w:rsidR="000F79B5" w:rsidRPr="007375EB" w:rsidRDefault="000F79B5" w:rsidP="000F79B5">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 xml:space="preserve">За PUZ не се предвижда вземане на проби от вода от подземни или повърхностни източници от района на площадката, така че няма да има въздействие върху хидрологията на района, нито ще бъдат засегнати други дейности, зависещи от този ресурс. </w:t>
            </w:r>
          </w:p>
          <w:p w14:paraId="32A5E37D" w14:textId="547C621F" w:rsidR="00EB77BA" w:rsidRPr="007375EB" w:rsidRDefault="000F79B5" w:rsidP="000F79B5">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Потенциалното въздействие се усеща локално, обикновено ограничено до периметъра на турбините и работните фронтове. По принцип такива работи се извършват на етапи, което включва периодично движение на работните фронтове и съответно на зоните с отрицателно въздействие. Въздействието ще бъде временно (по време на строителния период). Строителните работи няма да имат значително дългосрочно въздействие върху качеството на водните тела</w:t>
            </w:r>
            <w:r w:rsidR="00EB77BA" w:rsidRPr="007375EB">
              <w:rPr>
                <w:rFonts w:eastAsia="Times New Roman" w:cs="Calibri"/>
                <w:color w:val="000000"/>
                <w:sz w:val="16"/>
                <w:szCs w:val="16"/>
                <w:lang w:val="bg-BG" w:eastAsia="ro-RO"/>
              </w:rPr>
              <w:t>.</w:t>
            </w:r>
          </w:p>
          <w:p w14:paraId="0692CDA3" w14:textId="77777777" w:rsidR="00A23136" w:rsidRPr="007375EB" w:rsidRDefault="00A23136" w:rsidP="00A23136">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 xml:space="preserve">По време на етапа на експлоатация </w:t>
            </w:r>
            <w:r w:rsidRPr="007375EB">
              <w:rPr>
                <w:rFonts w:eastAsia="Times New Roman" w:cs="Calibri"/>
                <w:color w:val="000000"/>
                <w:sz w:val="16"/>
                <w:szCs w:val="16"/>
                <w:lang w:val="bg-BG" w:eastAsia="ro-RO"/>
              </w:rPr>
              <w:t xml:space="preserve">на вятърния парк не се генерират отпадъчни води. Работите по поддръжката и ремонта ще се извършват съгласно програмите, съответно плана за поддръжка и ремонт, без да се засягат факторите на околната среда. </w:t>
            </w:r>
          </w:p>
          <w:p w14:paraId="0AE460BD" w14:textId="48E7AB39" w:rsidR="00AF5FA2" w:rsidRPr="007375EB" w:rsidRDefault="00A23136" w:rsidP="00A23136">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 xml:space="preserve">В етапа на извеждане от експлоатация на инвестициите, </w:t>
            </w:r>
            <w:r w:rsidRPr="007375EB">
              <w:rPr>
                <w:rFonts w:eastAsia="Times New Roman" w:cs="Calibri"/>
                <w:color w:val="000000"/>
                <w:sz w:val="16"/>
                <w:szCs w:val="16"/>
                <w:lang w:val="bg-BG" w:eastAsia="ro-RO"/>
              </w:rPr>
              <w:t>предоставени от PUZ, очакваното въздействие е подобно на това в етапа на строителство</w:t>
            </w:r>
            <w:r w:rsidR="00EB77BA" w:rsidRPr="007375EB">
              <w:rPr>
                <w:rFonts w:eastAsia="Times New Roman" w:cs="Calibri"/>
                <w:color w:val="000000"/>
                <w:sz w:val="16"/>
                <w:szCs w:val="16"/>
                <w:lang w:val="bg-BG" w:eastAsia="ro-RO"/>
              </w:rPr>
              <w:t>.</w:t>
            </w:r>
            <w:r w:rsidR="00AF5FA2" w:rsidRPr="007375EB">
              <w:rPr>
                <w:rFonts w:eastAsia="Times New Roman" w:cs="Calibri"/>
                <w:color w:val="000000"/>
                <w:sz w:val="16"/>
                <w:szCs w:val="16"/>
                <w:lang w:val="bg-BG" w:eastAsia="ro-RO"/>
              </w:rPr>
              <w:t> </w:t>
            </w:r>
          </w:p>
        </w:tc>
      </w:tr>
      <w:tr w:rsidR="004726FA" w:rsidRPr="007375EB" w14:paraId="67423463" w14:textId="77777777" w:rsidTr="007476BB">
        <w:trPr>
          <w:trHeight w:val="5370"/>
        </w:trPr>
        <w:tc>
          <w:tcPr>
            <w:tcW w:w="1696" w:type="dxa"/>
            <w:shd w:val="clear" w:color="auto" w:fill="auto"/>
            <w:vAlign w:val="center"/>
            <w:hideMark/>
          </w:tcPr>
          <w:p w14:paraId="028E6DE4" w14:textId="145860BE" w:rsidR="00AF5FA2" w:rsidRPr="007375EB" w:rsidRDefault="00906C0A"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lastRenderedPageBreak/>
              <w:t>Въздух</w:t>
            </w:r>
          </w:p>
        </w:tc>
        <w:tc>
          <w:tcPr>
            <w:tcW w:w="2072" w:type="dxa"/>
            <w:shd w:val="clear" w:color="auto" w:fill="auto"/>
            <w:vAlign w:val="center"/>
            <w:hideMark/>
          </w:tcPr>
          <w:p w14:paraId="2D1A7DD3" w14:textId="1A889CC8" w:rsidR="00AF5FA2" w:rsidRPr="007375EB" w:rsidRDefault="00AF5FA2"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OM2.</w:t>
            </w:r>
            <w:r w:rsidRPr="007375EB">
              <w:rPr>
                <w:rFonts w:ascii="Times New Roman" w:eastAsia="Times New Roman" w:hAnsi="Times New Roman" w:cs="Times New Roman"/>
                <w:b/>
                <w:bCs/>
                <w:color w:val="000000"/>
                <w:sz w:val="14"/>
                <w:szCs w:val="14"/>
                <w:lang w:val="bg-BG" w:eastAsia="ro-RO"/>
              </w:rPr>
              <w:t xml:space="preserve">   </w:t>
            </w:r>
            <w:r w:rsidR="00E42F74" w:rsidRPr="007375EB">
              <w:rPr>
                <w:rFonts w:eastAsia="Times New Roman" w:cs="Calibri"/>
                <w:color w:val="000000"/>
                <w:sz w:val="16"/>
                <w:szCs w:val="16"/>
                <w:lang w:val="bg-BG" w:eastAsia="ro-RO"/>
              </w:rPr>
              <w:t>Поддържане на качеството на въздуха чрез намаляване на емисиите, генерирани от дейности в енергийния сектор</w:t>
            </w:r>
          </w:p>
        </w:tc>
        <w:tc>
          <w:tcPr>
            <w:tcW w:w="625" w:type="dxa"/>
            <w:shd w:val="clear" w:color="000000" w:fill="FF0000"/>
            <w:noWrap/>
            <w:vAlign w:val="center"/>
            <w:hideMark/>
          </w:tcPr>
          <w:p w14:paraId="6C59D1C2"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848" w:type="dxa"/>
            <w:shd w:val="clear" w:color="000000" w:fill="FF0000"/>
            <w:noWrap/>
            <w:vAlign w:val="center"/>
            <w:hideMark/>
          </w:tcPr>
          <w:p w14:paraId="4CD0E29B"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539" w:type="dxa"/>
            <w:shd w:val="clear" w:color="000000" w:fill="F8CBAD"/>
            <w:noWrap/>
            <w:vAlign w:val="center"/>
            <w:hideMark/>
          </w:tcPr>
          <w:p w14:paraId="04923A24"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1173" w:type="dxa"/>
            <w:shd w:val="clear" w:color="000000" w:fill="FF0000"/>
            <w:noWrap/>
            <w:vAlign w:val="center"/>
            <w:hideMark/>
          </w:tcPr>
          <w:p w14:paraId="78CD24C8"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630" w:type="dxa"/>
            <w:shd w:val="clear" w:color="000000" w:fill="FF0000"/>
            <w:noWrap/>
            <w:vAlign w:val="center"/>
            <w:hideMark/>
          </w:tcPr>
          <w:p w14:paraId="71090537"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646" w:type="dxa"/>
            <w:shd w:val="clear" w:color="000000" w:fill="F8CBAD"/>
            <w:noWrap/>
            <w:vAlign w:val="center"/>
            <w:hideMark/>
          </w:tcPr>
          <w:p w14:paraId="0219F2DD"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FFF00"/>
            <w:noWrap/>
            <w:vAlign w:val="center"/>
            <w:hideMark/>
          </w:tcPr>
          <w:p w14:paraId="3886C0B5"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425" w:type="dxa"/>
            <w:shd w:val="clear" w:color="000000" w:fill="FF0000"/>
            <w:noWrap/>
            <w:vAlign w:val="center"/>
            <w:hideMark/>
          </w:tcPr>
          <w:p w14:paraId="249BB0FB"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-2</w:t>
            </w:r>
          </w:p>
        </w:tc>
        <w:tc>
          <w:tcPr>
            <w:tcW w:w="555" w:type="dxa"/>
            <w:gridSpan w:val="2"/>
            <w:shd w:val="clear" w:color="auto" w:fill="00B050"/>
            <w:noWrap/>
            <w:vAlign w:val="center"/>
            <w:hideMark/>
          </w:tcPr>
          <w:p w14:paraId="03E153C5" w14:textId="18C1CECA" w:rsidR="00AF5FA2" w:rsidRPr="007375EB" w:rsidRDefault="007476B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425" w:type="dxa"/>
            <w:shd w:val="clear" w:color="auto" w:fill="00B050"/>
            <w:noWrap/>
            <w:vAlign w:val="center"/>
            <w:hideMark/>
          </w:tcPr>
          <w:p w14:paraId="76576416" w14:textId="10FD498E" w:rsidR="00AF5FA2" w:rsidRPr="007375EB" w:rsidRDefault="007476BB"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2</w:t>
            </w:r>
          </w:p>
        </w:tc>
        <w:tc>
          <w:tcPr>
            <w:tcW w:w="709" w:type="dxa"/>
            <w:gridSpan w:val="2"/>
            <w:shd w:val="clear" w:color="000000" w:fill="F8CBAD"/>
            <w:noWrap/>
            <w:vAlign w:val="center"/>
            <w:hideMark/>
          </w:tcPr>
          <w:p w14:paraId="11A790B0"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67" w:type="dxa"/>
            <w:shd w:val="clear" w:color="000000" w:fill="F8CBAD"/>
            <w:noWrap/>
            <w:vAlign w:val="center"/>
            <w:hideMark/>
          </w:tcPr>
          <w:p w14:paraId="64666A9B"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850" w:type="dxa"/>
            <w:shd w:val="clear" w:color="000000" w:fill="FF0000"/>
            <w:noWrap/>
            <w:vAlign w:val="center"/>
            <w:hideMark/>
          </w:tcPr>
          <w:p w14:paraId="48149EC4"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708" w:type="dxa"/>
            <w:shd w:val="clear" w:color="000000" w:fill="FF0000"/>
            <w:noWrap/>
            <w:vAlign w:val="center"/>
            <w:hideMark/>
          </w:tcPr>
          <w:p w14:paraId="5A1B929A"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709" w:type="dxa"/>
            <w:shd w:val="clear" w:color="000000" w:fill="FF0000"/>
            <w:noWrap/>
            <w:vAlign w:val="center"/>
            <w:hideMark/>
          </w:tcPr>
          <w:p w14:paraId="6ED41022"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709" w:type="dxa"/>
            <w:shd w:val="clear" w:color="000000" w:fill="FF0000"/>
            <w:noWrap/>
            <w:vAlign w:val="center"/>
            <w:hideMark/>
          </w:tcPr>
          <w:p w14:paraId="587BE1A9"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993" w:type="dxa"/>
            <w:shd w:val="clear" w:color="000000" w:fill="F8CBAD"/>
            <w:noWrap/>
            <w:vAlign w:val="center"/>
            <w:hideMark/>
          </w:tcPr>
          <w:p w14:paraId="238CED3C"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71" w:type="dxa"/>
            <w:shd w:val="clear" w:color="000000" w:fill="FF0000"/>
            <w:noWrap/>
            <w:vAlign w:val="center"/>
            <w:hideMark/>
          </w:tcPr>
          <w:p w14:paraId="7075CC4B"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-2</w:t>
            </w:r>
          </w:p>
        </w:tc>
        <w:tc>
          <w:tcPr>
            <w:tcW w:w="5382" w:type="dxa"/>
            <w:gridSpan w:val="2"/>
            <w:shd w:val="clear" w:color="auto" w:fill="auto"/>
            <w:vAlign w:val="center"/>
            <w:hideMark/>
          </w:tcPr>
          <w:p w14:paraId="042E2948" w14:textId="77777777" w:rsidR="00E42F74" w:rsidRPr="007375EB" w:rsidRDefault="00E42F74" w:rsidP="00E42F74">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 xml:space="preserve">В етапа на строителство </w:t>
            </w:r>
            <w:r w:rsidRPr="007375EB">
              <w:rPr>
                <w:rFonts w:eastAsia="Times New Roman" w:cs="Calibri"/>
                <w:color w:val="000000"/>
                <w:sz w:val="16"/>
                <w:szCs w:val="16"/>
                <w:lang w:val="bg-BG" w:eastAsia="ro-RO"/>
              </w:rPr>
              <w:t>източниците на емисии са представени от прахови емисии от изкопни работи, транспортиране и въвеждане в експлоатация на строителни материали, както и емисии на замърсители, специфични за изгарянето на изкопаеми горива, свързани със строителни машини/оборудване и транспортни средства.</w:t>
            </w:r>
          </w:p>
          <w:p w14:paraId="45AB4FAD" w14:textId="77777777" w:rsidR="00E42F74" w:rsidRPr="007375EB" w:rsidRDefault="00E42F74" w:rsidP="00E42F74">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Ерозията, причинена от изкопни работи, е друг фактор, който може да определи промяната в качеството на въздуха в зоната на изпълнение.</w:t>
            </w:r>
            <w:r w:rsidR="00AF5FA2" w:rsidRPr="007375EB">
              <w:rPr>
                <w:rFonts w:eastAsia="Times New Roman" w:cs="Calibri"/>
                <w:color w:val="000000"/>
                <w:sz w:val="16"/>
                <w:szCs w:val="16"/>
                <w:lang w:val="bg-BG" w:eastAsia="ro-RO"/>
              </w:rPr>
              <w:br/>
            </w:r>
            <w:r w:rsidRPr="007375EB">
              <w:rPr>
                <w:rFonts w:eastAsia="Times New Roman" w:cs="Calibri"/>
                <w:color w:val="000000"/>
                <w:sz w:val="16"/>
                <w:szCs w:val="16"/>
                <w:lang w:val="bg-BG" w:eastAsia="ro-RO"/>
              </w:rPr>
              <w:t xml:space="preserve">Нивото на емисиите на прах и замърсяващи вещества зависи от нивото на ежедневна активност, от спецификата на работите, като варира значително от ден на ден, от една фаза на друга на строителния процес, от метеорологичните условия. </w:t>
            </w:r>
          </w:p>
          <w:p w14:paraId="3AD493BE" w14:textId="77777777" w:rsidR="00E42F74" w:rsidRPr="007375EB" w:rsidRDefault="00E42F74" w:rsidP="00E42F74">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Като се има предвид големият брой турбини, осигурени от PUZ (117 вятърни турбини са планирани за изпълнение), дори и в условията на поетапно изпълнение (устройство на пътя, насипи, изпълнение на основите, инсталация на турбина) може да се оцени, че този екологичен фактор ще ще бъдат засегнати значително отрицателно, но потенциалното въздействие е временно, усеща се локално, обикновено ограничено до периметъра на обектите и работните фронтове.</w:t>
            </w:r>
          </w:p>
          <w:p w14:paraId="0838AEEC" w14:textId="77777777" w:rsidR="00E42F74" w:rsidRPr="007375EB" w:rsidRDefault="00E42F74" w:rsidP="00E42F74">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 xml:space="preserve">По време на експлоатационния етап </w:t>
            </w:r>
            <w:r w:rsidRPr="007375EB">
              <w:rPr>
                <w:rFonts w:eastAsia="Times New Roman" w:cs="Calibri"/>
                <w:color w:val="000000"/>
                <w:sz w:val="16"/>
                <w:szCs w:val="16"/>
                <w:lang w:val="bg-BG" w:eastAsia="ro-RO"/>
              </w:rPr>
              <w:t>вятърните турбини допринасят за намаляване както на емисиите на парникови газове, така и на емисиите на замърсители, свързани с производството на електроенергия, като изместват количество електроенергия, равно на капацитета на вятърния парк, произведен от изкопаеми горива, като допринасят за смекчаване на изменението на климата и имат значително положително въздействие върху качеството на въздуха.</w:t>
            </w:r>
          </w:p>
          <w:p w14:paraId="722B4D9B" w14:textId="611561EF" w:rsidR="00AF5FA2" w:rsidRPr="007375EB" w:rsidRDefault="00E42F74" w:rsidP="00E42F74">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В етапа на извеждане от експлоатация на инвестициите, предоставени от PUZ, очакваното въздействие е подобно на това в етапа на строителство.</w:t>
            </w:r>
          </w:p>
        </w:tc>
      </w:tr>
      <w:tr w:rsidR="004726FA" w:rsidRPr="007375EB" w14:paraId="7579BB01" w14:textId="77777777" w:rsidTr="006E0FC3">
        <w:trPr>
          <w:trHeight w:val="1478"/>
        </w:trPr>
        <w:tc>
          <w:tcPr>
            <w:tcW w:w="1696" w:type="dxa"/>
            <w:shd w:val="clear" w:color="auto" w:fill="auto"/>
            <w:vAlign w:val="center"/>
            <w:hideMark/>
          </w:tcPr>
          <w:p w14:paraId="71E09C92" w14:textId="54CCE30A" w:rsidR="00AF5FA2" w:rsidRPr="007375EB" w:rsidRDefault="00906C0A"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Почва/подпочва</w:t>
            </w:r>
          </w:p>
        </w:tc>
        <w:tc>
          <w:tcPr>
            <w:tcW w:w="2072" w:type="dxa"/>
            <w:shd w:val="clear" w:color="auto" w:fill="auto"/>
            <w:vAlign w:val="center"/>
            <w:hideMark/>
          </w:tcPr>
          <w:p w14:paraId="50E37F61" w14:textId="06911428" w:rsidR="00AF5FA2" w:rsidRPr="007375EB" w:rsidRDefault="00AF5FA2"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OM3.</w:t>
            </w:r>
            <w:r w:rsidRPr="007375EB">
              <w:rPr>
                <w:rFonts w:ascii="Times New Roman" w:eastAsia="Times New Roman" w:hAnsi="Times New Roman" w:cs="Times New Roman"/>
                <w:b/>
                <w:bCs/>
                <w:color w:val="000000"/>
                <w:sz w:val="14"/>
                <w:szCs w:val="14"/>
                <w:lang w:val="bg-BG" w:eastAsia="ro-RO"/>
              </w:rPr>
              <w:t xml:space="preserve">   </w:t>
            </w:r>
            <w:r w:rsidR="00BF178B" w:rsidRPr="007375EB">
              <w:rPr>
                <w:rFonts w:eastAsia="Times New Roman" w:cs="Calibri"/>
                <w:color w:val="000000"/>
                <w:sz w:val="16"/>
                <w:szCs w:val="16"/>
                <w:lang w:val="bg-BG" w:eastAsia="ro-RO"/>
              </w:rPr>
              <w:t>Ограничаване на замърсяването на почвата и деградацията на земните повърхности</w:t>
            </w:r>
          </w:p>
        </w:tc>
        <w:tc>
          <w:tcPr>
            <w:tcW w:w="625" w:type="dxa"/>
            <w:shd w:val="clear" w:color="000000" w:fill="FF0000"/>
            <w:noWrap/>
            <w:vAlign w:val="center"/>
            <w:hideMark/>
          </w:tcPr>
          <w:p w14:paraId="429A8D45"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848" w:type="dxa"/>
            <w:shd w:val="clear" w:color="000000" w:fill="FF0000"/>
            <w:noWrap/>
            <w:vAlign w:val="center"/>
            <w:hideMark/>
          </w:tcPr>
          <w:p w14:paraId="3E2A7286"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539" w:type="dxa"/>
            <w:shd w:val="clear" w:color="000000" w:fill="F8CBAD"/>
            <w:noWrap/>
            <w:vAlign w:val="center"/>
            <w:hideMark/>
          </w:tcPr>
          <w:p w14:paraId="7D784C14"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1173" w:type="dxa"/>
            <w:shd w:val="clear" w:color="000000" w:fill="FF0000"/>
            <w:noWrap/>
            <w:vAlign w:val="center"/>
            <w:hideMark/>
          </w:tcPr>
          <w:p w14:paraId="0B0B8D76"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630" w:type="dxa"/>
            <w:shd w:val="clear" w:color="000000" w:fill="FF0000"/>
            <w:noWrap/>
            <w:vAlign w:val="center"/>
            <w:hideMark/>
          </w:tcPr>
          <w:p w14:paraId="553E9473"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646" w:type="dxa"/>
            <w:shd w:val="clear" w:color="000000" w:fill="F8CBAD"/>
            <w:noWrap/>
            <w:vAlign w:val="center"/>
            <w:hideMark/>
          </w:tcPr>
          <w:p w14:paraId="5CD1DC8A"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FFF00"/>
            <w:noWrap/>
            <w:vAlign w:val="center"/>
            <w:hideMark/>
          </w:tcPr>
          <w:p w14:paraId="7A066F06"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425" w:type="dxa"/>
            <w:shd w:val="clear" w:color="000000" w:fill="FF0000"/>
            <w:noWrap/>
            <w:vAlign w:val="center"/>
            <w:hideMark/>
          </w:tcPr>
          <w:p w14:paraId="63DE31AA"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-2</w:t>
            </w:r>
          </w:p>
        </w:tc>
        <w:tc>
          <w:tcPr>
            <w:tcW w:w="555" w:type="dxa"/>
            <w:gridSpan w:val="2"/>
            <w:shd w:val="clear" w:color="000000" w:fill="FFFF00"/>
            <w:noWrap/>
            <w:vAlign w:val="center"/>
            <w:hideMark/>
          </w:tcPr>
          <w:p w14:paraId="5E242398"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425" w:type="dxa"/>
            <w:shd w:val="clear" w:color="000000" w:fill="FFFF00"/>
            <w:noWrap/>
            <w:vAlign w:val="center"/>
            <w:hideMark/>
          </w:tcPr>
          <w:p w14:paraId="2B765A15"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0</w:t>
            </w:r>
          </w:p>
        </w:tc>
        <w:tc>
          <w:tcPr>
            <w:tcW w:w="709" w:type="dxa"/>
            <w:gridSpan w:val="2"/>
            <w:shd w:val="clear" w:color="000000" w:fill="F8CBAD"/>
            <w:noWrap/>
            <w:vAlign w:val="center"/>
            <w:hideMark/>
          </w:tcPr>
          <w:p w14:paraId="766AA5A0"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67" w:type="dxa"/>
            <w:shd w:val="clear" w:color="000000" w:fill="F8CBAD"/>
            <w:noWrap/>
            <w:vAlign w:val="center"/>
            <w:hideMark/>
          </w:tcPr>
          <w:p w14:paraId="7460EEB2"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850" w:type="dxa"/>
            <w:shd w:val="clear" w:color="000000" w:fill="F8CBAD"/>
            <w:noWrap/>
            <w:vAlign w:val="center"/>
            <w:hideMark/>
          </w:tcPr>
          <w:p w14:paraId="45B2215E"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8" w:type="dxa"/>
            <w:shd w:val="clear" w:color="000000" w:fill="F8CBAD"/>
            <w:noWrap/>
            <w:vAlign w:val="center"/>
            <w:hideMark/>
          </w:tcPr>
          <w:p w14:paraId="5DB6F2FB"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8CBAD"/>
            <w:noWrap/>
            <w:vAlign w:val="center"/>
            <w:hideMark/>
          </w:tcPr>
          <w:p w14:paraId="4E946D3C"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8CBAD"/>
            <w:noWrap/>
            <w:vAlign w:val="center"/>
            <w:hideMark/>
          </w:tcPr>
          <w:p w14:paraId="2F2F7FC6"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993" w:type="dxa"/>
            <w:shd w:val="clear" w:color="000000" w:fill="C6E0B4"/>
            <w:noWrap/>
            <w:vAlign w:val="center"/>
            <w:hideMark/>
          </w:tcPr>
          <w:p w14:paraId="4C4594C3"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71" w:type="dxa"/>
            <w:shd w:val="clear" w:color="000000" w:fill="F8CBAD"/>
            <w:noWrap/>
            <w:vAlign w:val="center"/>
            <w:hideMark/>
          </w:tcPr>
          <w:p w14:paraId="2468E1C5"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-1</w:t>
            </w:r>
          </w:p>
        </w:tc>
        <w:tc>
          <w:tcPr>
            <w:tcW w:w="5382" w:type="dxa"/>
            <w:gridSpan w:val="2"/>
            <w:shd w:val="clear" w:color="auto" w:fill="auto"/>
            <w:vAlign w:val="center"/>
            <w:hideMark/>
          </w:tcPr>
          <w:p w14:paraId="1F018776" w14:textId="77777777" w:rsidR="00E42F74" w:rsidRPr="007375EB" w:rsidRDefault="00E42F74" w:rsidP="00E42F74">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 xml:space="preserve">В етапа на изпълнение </w:t>
            </w:r>
            <w:r w:rsidRPr="007375EB">
              <w:rPr>
                <w:rFonts w:eastAsia="Times New Roman" w:cs="Calibri"/>
                <w:color w:val="000000"/>
                <w:sz w:val="16"/>
                <w:szCs w:val="16"/>
                <w:lang w:val="bg-BG" w:eastAsia="ro-RO"/>
              </w:rPr>
              <w:t>основните форми на въздействие върху почвата са временно и постоянно заемане на някои повърхности и промяна на тяхното предназначение.</w:t>
            </w:r>
          </w:p>
          <w:p w14:paraId="55954D76" w14:textId="77777777" w:rsidR="00E42F74" w:rsidRPr="007375EB" w:rsidRDefault="00E42F74" w:rsidP="00E42F74">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В случая на алтернатива I, общата площ, заета от проекта, е 476,99 ха, от които 473,090 ха са временно заети и 3,8998 ха са постоянно заети от отпечатъка на турбините и трафопостовете. От тази площ 5 ха ще бъдат изведени от земеделския кръг.</w:t>
            </w:r>
          </w:p>
          <w:p w14:paraId="26F28837" w14:textId="77777777" w:rsidR="00E42F74" w:rsidRPr="007375EB" w:rsidRDefault="00E42F74" w:rsidP="00E42F74">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Почвите в периметрите, върху които ще се извършват строително-монтажните работи на вятърни турбини, мрежови връзки и трафопостове, ще бъдат засегнати от:</w:t>
            </w:r>
          </w:p>
          <w:p w14:paraId="416070C2" w14:textId="77777777" w:rsidR="00E42F74" w:rsidRPr="007375EB" w:rsidRDefault="00E42F74" w:rsidP="00E42F74">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§загуба на горния почвен слой;</w:t>
            </w:r>
          </w:p>
          <w:p w14:paraId="2BD2A6F5" w14:textId="77777777" w:rsidR="00E42F74" w:rsidRPr="007375EB" w:rsidRDefault="00E42F74" w:rsidP="00E42F74">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§промяна на структурата на почвата;</w:t>
            </w:r>
          </w:p>
          <w:p w14:paraId="32810DFA" w14:textId="77777777" w:rsidR="00E42F74" w:rsidRPr="007375EB" w:rsidRDefault="00E42F74" w:rsidP="00E42F74">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§промяна на режима на инфилтрация на валежни води, особено в периметрите на основите, като ефект от изграждането на бетонови конструкции.</w:t>
            </w:r>
          </w:p>
          <w:p w14:paraId="40DD84E8" w14:textId="11EBE158" w:rsidR="0093068D" w:rsidRPr="007375EB" w:rsidRDefault="00BF178B" w:rsidP="00E42F74">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С разкриването и съхранението на почвата, количество хранителни вещества се отстраняват от естествената верига, които ще бъдат реинтегрирани във веригата, тъй като съхраняваният растителен слой почва ще се използва за екологично възстановяване на територията. Тези промени в почвата са обратими в случай на временно обитавани повърхности, почвата може да бъде върната в първоначалното си състояние след приключване на изпълнението</w:t>
            </w:r>
            <w:r w:rsidR="0093068D" w:rsidRPr="007375EB">
              <w:rPr>
                <w:rFonts w:eastAsia="Times New Roman" w:cs="Calibri"/>
                <w:color w:val="000000"/>
                <w:sz w:val="16"/>
                <w:szCs w:val="16"/>
                <w:lang w:val="bg-BG" w:eastAsia="ro-RO"/>
              </w:rPr>
              <w:t>.</w:t>
            </w:r>
          </w:p>
          <w:p w14:paraId="6522E84B" w14:textId="77777777" w:rsidR="00BF178B" w:rsidRPr="007375EB" w:rsidRDefault="00BF178B" w:rsidP="00BF178B">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lastRenderedPageBreak/>
              <w:t xml:space="preserve">Потенциален източник на замърсяване на почвите и подпочвените слоеве е дейността на транспортни средства и машини в работните фронтове. Замърсителите от емисиите в крайна сметка се утаяват на земята и могат да бъдат пренесени под земята чрез дъждовна вода чрез инфилтрация. </w:t>
            </w:r>
          </w:p>
          <w:p w14:paraId="07366336" w14:textId="77777777" w:rsidR="00BF178B" w:rsidRPr="007375EB" w:rsidRDefault="00BF178B" w:rsidP="00BF178B">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 xml:space="preserve">Почвата и подпочвата могат да бъдат замърсени и от случайни загуби/изтичания на опасни вещества (масла, горива, смазочни материали) и/или отпадъчни води, както и от неправилно съхранение на суровини, материали и отпадъци. </w:t>
            </w:r>
          </w:p>
          <w:p w14:paraId="4C88B98D" w14:textId="77777777" w:rsidR="00BF178B" w:rsidRPr="007375EB" w:rsidRDefault="00BF178B" w:rsidP="00BF178B">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 xml:space="preserve">По време на етапа на експлоатация на ветроенергийния парк, възможното въздействие върху почвата се изразява в промяна на предназначението на земите, които в момента имат друго предназначение, към което се добавят дейности по поддръжката и ремонта. </w:t>
            </w:r>
          </w:p>
          <w:p w14:paraId="66AA0FBE" w14:textId="6D4779E3" w:rsidR="00AF5FA2" w:rsidRPr="007375EB" w:rsidRDefault="00BF178B" w:rsidP="00BF178B">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В етапа на извеждане от експлоатация</w:t>
            </w:r>
            <w:r w:rsidRPr="007375EB">
              <w:rPr>
                <w:rFonts w:eastAsia="Times New Roman" w:cs="Calibri"/>
                <w:color w:val="000000"/>
                <w:sz w:val="16"/>
                <w:szCs w:val="16"/>
                <w:lang w:val="bg-BG" w:eastAsia="ro-RO"/>
              </w:rPr>
              <w:t xml:space="preserve"> на инвестициите, осигурени от PUZ, прогнозното въздействие е незначително, с уточнението, че възстановителните работи връщат обекта в първоначалното му състояние, връщайки го към сегашната му функционалност (обработваема земя).</w:t>
            </w:r>
          </w:p>
        </w:tc>
      </w:tr>
      <w:tr w:rsidR="00724D22" w:rsidRPr="007375EB" w14:paraId="060BF974" w14:textId="77777777" w:rsidTr="00EA45B2">
        <w:trPr>
          <w:trHeight w:val="1065"/>
        </w:trPr>
        <w:tc>
          <w:tcPr>
            <w:tcW w:w="1696" w:type="dxa"/>
            <w:vMerge w:val="restart"/>
            <w:shd w:val="clear" w:color="auto" w:fill="auto"/>
            <w:hideMark/>
          </w:tcPr>
          <w:p w14:paraId="5A08175D" w14:textId="2F2158DA" w:rsidR="00724D22" w:rsidRPr="007375EB" w:rsidRDefault="00724D22" w:rsidP="00724D22">
            <w:pPr>
              <w:spacing w:line="240" w:lineRule="auto"/>
              <w:rPr>
                <w:rFonts w:eastAsia="Times New Roman" w:cs="Calibri"/>
                <w:b/>
                <w:bCs/>
                <w:color w:val="000000"/>
                <w:sz w:val="16"/>
                <w:szCs w:val="16"/>
                <w:lang w:val="bg-BG" w:eastAsia="ro-RO"/>
              </w:rPr>
            </w:pPr>
            <w:r w:rsidRPr="007375EB">
              <w:rPr>
                <w:b/>
                <w:bCs/>
                <w:sz w:val="16"/>
                <w:szCs w:val="16"/>
                <w:lang w:val="bg-BG"/>
              </w:rPr>
              <w:lastRenderedPageBreak/>
              <w:t xml:space="preserve">Използване на природните ресурси </w:t>
            </w:r>
          </w:p>
        </w:tc>
        <w:tc>
          <w:tcPr>
            <w:tcW w:w="2072" w:type="dxa"/>
            <w:shd w:val="clear" w:color="auto" w:fill="auto"/>
            <w:vAlign w:val="center"/>
            <w:hideMark/>
          </w:tcPr>
          <w:p w14:paraId="03752A53" w14:textId="51117A80" w:rsidR="00724D22" w:rsidRPr="007375EB" w:rsidRDefault="00724D22" w:rsidP="00724D22">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OM4.</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Намаляване на експлоатацията на изчерпаемите ресурси и улесняване на експлоатацията на възобновяемите</w:t>
            </w:r>
          </w:p>
        </w:tc>
        <w:tc>
          <w:tcPr>
            <w:tcW w:w="625" w:type="dxa"/>
            <w:shd w:val="clear" w:color="000000" w:fill="FF0000"/>
            <w:noWrap/>
            <w:vAlign w:val="center"/>
            <w:hideMark/>
          </w:tcPr>
          <w:p w14:paraId="40E555F8"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848" w:type="dxa"/>
            <w:shd w:val="clear" w:color="000000" w:fill="FF0000"/>
            <w:noWrap/>
            <w:vAlign w:val="center"/>
            <w:hideMark/>
          </w:tcPr>
          <w:p w14:paraId="391FDE31"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539" w:type="dxa"/>
            <w:shd w:val="clear" w:color="000000" w:fill="FFFF00"/>
            <w:noWrap/>
            <w:vAlign w:val="center"/>
            <w:hideMark/>
          </w:tcPr>
          <w:p w14:paraId="169BC223"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1173" w:type="dxa"/>
            <w:shd w:val="clear" w:color="auto" w:fill="FF0000"/>
            <w:noWrap/>
            <w:vAlign w:val="center"/>
            <w:hideMark/>
          </w:tcPr>
          <w:p w14:paraId="7073855D" w14:textId="19E96DBC"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630" w:type="dxa"/>
            <w:shd w:val="clear" w:color="000000" w:fill="F8CBAD"/>
            <w:noWrap/>
            <w:vAlign w:val="center"/>
            <w:hideMark/>
          </w:tcPr>
          <w:p w14:paraId="1AD03A06"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46" w:type="dxa"/>
            <w:shd w:val="clear" w:color="000000" w:fill="F8CBAD"/>
            <w:noWrap/>
            <w:vAlign w:val="center"/>
            <w:hideMark/>
          </w:tcPr>
          <w:p w14:paraId="414EA7C2"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8CBAD"/>
            <w:noWrap/>
            <w:vAlign w:val="center"/>
            <w:hideMark/>
          </w:tcPr>
          <w:p w14:paraId="0186A46F"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425" w:type="dxa"/>
            <w:shd w:val="clear" w:color="auto" w:fill="FF0000"/>
            <w:noWrap/>
            <w:vAlign w:val="center"/>
            <w:hideMark/>
          </w:tcPr>
          <w:p w14:paraId="255ED978" w14:textId="44E48EF5" w:rsidR="00724D22" w:rsidRPr="007375EB" w:rsidRDefault="00724D22" w:rsidP="00724D22">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-2</w:t>
            </w:r>
          </w:p>
        </w:tc>
        <w:tc>
          <w:tcPr>
            <w:tcW w:w="555" w:type="dxa"/>
            <w:gridSpan w:val="2"/>
            <w:shd w:val="clear" w:color="000000" w:fill="00B050"/>
            <w:noWrap/>
            <w:vAlign w:val="center"/>
            <w:hideMark/>
          </w:tcPr>
          <w:p w14:paraId="42C98B57"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425" w:type="dxa"/>
            <w:shd w:val="clear" w:color="000000" w:fill="00B050"/>
            <w:noWrap/>
            <w:vAlign w:val="center"/>
            <w:hideMark/>
          </w:tcPr>
          <w:p w14:paraId="48F3572B" w14:textId="77777777" w:rsidR="00724D22" w:rsidRPr="007375EB" w:rsidRDefault="00724D22" w:rsidP="00724D22">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2</w:t>
            </w:r>
          </w:p>
        </w:tc>
        <w:tc>
          <w:tcPr>
            <w:tcW w:w="709" w:type="dxa"/>
            <w:gridSpan w:val="2"/>
            <w:shd w:val="clear" w:color="000000" w:fill="F8CBAD"/>
            <w:noWrap/>
            <w:vAlign w:val="center"/>
            <w:hideMark/>
          </w:tcPr>
          <w:p w14:paraId="3A63E496"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67" w:type="dxa"/>
            <w:shd w:val="clear" w:color="000000" w:fill="F8CBAD"/>
            <w:noWrap/>
            <w:vAlign w:val="center"/>
            <w:hideMark/>
          </w:tcPr>
          <w:p w14:paraId="254531C6"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850" w:type="dxa"/>
            <w:shd w:val="clear" w:color="000000" w:fill="F8CBAD"/>
            <w:noWrap/>
            <w:vAlign w:val="center"/>
            <w:hideMark/>
          </w:tcPr>
          <w:p w14:paraId="6A934641"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8" w:type="dxa"/>
            <w:shd w:val="clear" w:color="000000" w:fill="F8CBAD"/>
            <w:noWrap/>
            <w:vAlign w:val="center"/>
            <w:hideMark/>
          </w:tcPr>
          <w:p w14:paraId="2EFB16D6"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8CBAD"/>
            <w:noWrap/>
            <w:vAlign w:val="center"/>
            <w:hideMark/>
          </w:tcPr>
          <w:p w14:paraId="71A7E6CE"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8CBAD"/>
            <w:noWrap/>
            <w:vAlign w:val="center"/>
            <w:hideMark/>
          </w:tcPr>
          <w:p w14:paraId="514E6F96"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993" w:type="dxa"/>
            <w:shd w:val="clear" w:color="000000" w:fill="FF0000"/>
            <w:noWrap/>
            <w:vAlign w:val="center"/>
            <w:hideMark/>
          </w:tcPr>
          <w:p w14:paraId="491BA5FB"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571" w:type="dxa"/>
            <w:shd w:val="clear" w:color="000000" w:fill="F8CBAD"/>
            <w:noWrap/>
            <w:vAlign w:val="center"/>
            <w:hideMark/>
          </w:tcPr>
          <w:p w14:paraId="44BB7BE1" w14:textId="77777777" w:rsidR="00724D22" w:rsidRPr="007375EB" w:rsidRDefault="00724D22" w:rsidP="00724D22">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-1</w:t>
            </w:r>
          </w:p>
        </w:tc>
        <w:tc>
          <w:tcPr>
            <w:tcW w:w="5382" w:type="dxa"/>
            <w:gridSpan w:val="2"/>
            <w:shd w:val="clear" w:color="auto" w:fill="auto"/>
            <w:vAlign w:val="center"/>
            <w:hideMark/>
          </w:tcPr>
          <w:p w14:paraId="7E2BA9ED" w14:textId="77777777" w:rsidR="00724D22" w:rsidRPr="007375EB" w:rsidRDefault="00724D22" w:rsidP="00724D22">
            <w:pPr>
              <w:spacing w:line="240" w:lineRule="auto"/>
              <w:jc w:val="both"/>
              <w:rPr>
                <w:rFonts w:eastAsia="Times New Roman" w:cs="Calibri"/>
                <w:i/>
                <w:iCs/>
                <w:color w:val="000000"/>
                <w:sz w:val="16"/>
                <w:szCs w:val="16"/>
                <w:lang w:val="bg-BG" w:eastAsia="ro-RO"/>
              </w:rPr>
            </w:pPr>
            <w:r w:rsidRPr="007375EB">
              <w:rPr>
                <w:rFonts w:eastAsia="Times New Roman" w:cs="Calibri"/>
                <w:i/>
                <w:iCs/>
                <w:color w:val="000000"/>
                <w:sz w:val="16"/>
                <w:szCs w:val="16"/>
                <w:lang w:val="bg-BG" w:eastAsia="ro-RO"/>
              </w:rPr>
              <w:t xml:space="preserve">По време на изграждането на 117-те турбини и обслужващата ги инфраструктура </w:t>
            </w:r>
            <w:r w:rsidRPr="007375EB">
              <w:rPr>
                <w:rFonts w:eastAsia="Times New Roman" w:cs="Calibri"/>
                <w:color w:val="000000"/>
                <w:sz w:val="16"/>
                <w:szCs w:val="16"/>
                <w:lang w:val="bg-BG" w:eastAsia="ro-RO"/>
              </w:rPr>
              <w:t>използването на природни ресурси (пясък, камък, пръст) за строителството е неизбежно, но въздействието, макар и ограничено, е значително предвид големия брой турбини.</w:t>
            </w:r>
            <w:r w:rsidRPr="007375EB">
              <w:rPr>
                <w:rFonts w:eastAsia="Times New Roman" w:cs="Calibri"/>
                <w:i/>
                <w:iCs/>
                <w:color w:val="000000"/>
                <w:sz w:val="16"/>
                <w:szCs w:val="16"/>
                <w:lang w:val="bg-BG" w:eastAsia="ro-RO"/>
              </w:rPr>
              <w:t xml:space="preserve"> </w:t>
            </w:r>
          </w:p>
          <w:p w14:paraId="678C3D94" w14:textId="68617753" w:rsidR="00724D22" w:rsidRPr="007375EB" w:rsidRDefault="00724D22" w:rsidP="00724D22">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 xml:space="preserve">На етапа на експлоатация </w:t>
            </w:r>
            <w:r w:rsidRPr="007375EB">
              <w:rPr>
                <w:rFonts w:eastAsia="Times New Roman" w:cs="Calibri"/>
                <w:color w:val="000000"/>
                <w:sz w:val="16"/>
                <w:szCs w:val="16"/>
                <w:lang w:val="bg-BG" w:eastAsia="ro-RO"/>
              </w:rPr>
              <w:t>вятърният парк насърчава използването на възобновяеми ресурси и има положително въздействие. Освен това реализацията на вятърния парк ще замени същото количество електроенергия, произведено от невъзобновяеми източници (изкопаеми горива), като по този начин ще намали тяхната експлоатация.</w:t>
            </w:r>
          </w:p>
        </w:tc>
      </w:tr>
      <w:tr w:rsidR="00724D22" w:rsidRPr="007375EB" w14:paraId="01502C6E" w14:textId="77777777" w:rsidTr="00EA45B2">
        <w:trPr>
          <w:trHeight w:val="1065"/>
        </w:trPr>
        <w:tc>
          <w:tcPr>
            <w:tcW w:w="1696" w:type="dxa"/>
            <w:vMerge/>
            <w:hideMark/>
          </w:tcPr>
          <w:p w14:paraId="146D9662" w14:textId="77777777" w:rsidR="00724D22" w:rsidRPr="007375EB" w:rsidRDefault="00724D22" w:rsidP="00724D22">
            <w:pPr>
              <w:spacing w:line="240" w:lineRule="auto"/>
              <w:rPr>
                <w:rFonts w:eastAsia="Times New Roman" w:cs="Calibri"/>
                <w:b/>
                <w:bCs/>
                <w:color w:val="000000"/>
                <w:sz w:val="16"/>
                <w:szCs w:val="16"/>
                <w:lang w:val="bg-BG" w:eastAsia="ro-RO"/>
              </w:rPr>
            </w:pPr>
          </w:p>
        </w:tc>
        <w:tc>
          <w:tcPr>
            <w:tcW w:w="2072" w:type="dxa"/>
            <w:shd w:val="clear" w:color="auto" w:fill="auto"/>
            <w:vAlign w:val="center"/>
            <w:hideMark/>
          </w:tcPr>
          <w:p w14:paraId="4B2EECC4" w14:textId="338F2A92" w:rsidR="00724D22" w:rsidRPr="007375EB" w:rsidRDefault="00724D22" w:rsidP="00724D22">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OM5.</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Насърчаване на прехода към кръгова и ресурсно ефективна икономика</w:t>
            </w:r>
          </w:p>
        </w:tc>
        <w:tc>
          <w:tcPr>
            <w:tcW w:w="625" w:type="dxa"/>
            <w:shd w:val="clear" w:color="000000" w:fill="FFFF00"/>
            <w:noWrap/>
            <w:vAlign w:val="center"/>
            <w:hideMark/>
          </w:tcPr>
          <w:p w14:paraId="623DF9C3"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848" w:type="dxa"/>
            <w:shd w:val="clear" w:color="000000" w:fill="FFFF00"/>
            <w:noWrap/>
            <w:vAlign w:val="center"/>
            <w:hideMark/>
          </w:tcPr>
          <w:p w14:paraId="7EA39084"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539" w:type="dxa"/>
            <w:shd w:val="clear" w:color="000000" w:fill="C6E0B4"/>
            <w:noWrap/>
            <w:vAlign w:val="center"/>
            <w:hideMark/>
          </w:tcPr>
          <w:p w14:paraId="63EC209F"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1173" w:type="dxa"/>
            <w:shd w:val="clear" w:color="000000" w:fill="F8CBAD"/>
            <w:noWrap/>
            <w:vAlign w:val="center"/>
            <w:hideMark/>
          </w:tcPr>
          <w:p w14:paraId="74AC5996"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30" w:type="dxa"/>
            <w:shd w:val="clear" w:color="000000" w:fill="F8CBAD"/>
            <w:noWrap/>
            <w:vAlign w:val="center"/>
            <w:hideMark/>
          </w:tcPr>
          <w:p w14:paraId="12F5C9EE"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46" w:type="dxa"/>
            <w:shd w:val="clear" w:color="000000" w:fill="F8CBAD"/>
            <w:noWrap/>
            <w:vAlign w:val="center"/>
            <w:hideMark/>
          </w:tcPr>
          <w:p w14:paraId="7A505B71"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C6E0B4"/>
            <w:noWrap/>
            <w:vAlign w:val="center"/>
            <w:hideMark/>
          </w:tcPr>
          <w:p w14:paraId="77D0EFCA"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425" w:type="dxa"/>
            <w:shd w:val="clear" w:color="000000" w:fill="F8CBAD"/>
            <w:noWrap/>
            <w:vAlign w:val="center"/>
            <w:hideMark/>
          </w:tcPr>
          <w:p w14:paraId="258C0E66" w14:textId="77777777" w:rsidR="00724D22" w:rsidRPr="007375EB" w:rsidRDefault="00724D22" w:rsidP="00724D22">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-1</w:t>
            </w:r>
          </w:p>
        </w:tc>
        <w:tc>
          <w:tcPr>
            <w:tcW w:w="555" w:type="dxa"/>
            <w:gridSpan w:val="2"/>
            <w:shd w:val="clear" w:color="000000" w:fill="00B050"/>
            <w:noWrap/>
            <w:vAlign w:val="center"/>
            <w:hideMark/>
          </w:tcPr>
          <w:p w14:paraId="091115D5"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425" w:type="dxa"/>
            <w:shd w:val="clear" w:color="000000" w:fill="00B050"/>
            <w:noWrap/>
            <w:vAlign w:val="center"/>
            <w:hideMark/>
          </w:tcPr>
          <w:p w14:paraId="6F7F3763" w14:textId="77777777" w:rsidR="00724D22" w:rsidRPr="007375EB" w:rsidRDefault="00724D22" w:rsidP="00724D22">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2</w:t>
            </w:r>
          </w:p>
        </w:tc>
        <w:tc>
          <w:tcPr>
            <w:tcW w:w="709" w:type="dxa"/>
            <w:gridSpan w:val="2"/>
            <w:shd w:val="clear" w:color="000000" w:fill="FFFF00"/>
            <w:noWrap/>
            <w:vAlign w:val="center"/>
            <w:hideMark/>
          </w:tcPr>
          <w:p w14:paraId="7E7CB4D7"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567" w:type="dxa"/>
            <w:shd w:val="clear" w:color="000000" w:fill="FFFF00"/>
            <w:noWrap/>
            <w:vAlign w:val="center"/>
            <w:hideMark/>
          </w:tcPr>
          <w:p w14:paraId="1132A142"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850" w:type="dxa"/>
            <w:shd w:val="clear" w:color="000000" w:fill="FFFF00"/>
            <w:noWrap/>
            <w:vAlign w:val="center"/>
            <w:hideMark/>
          </w:tcPr>
          <w:p w14:paraId="5E610BE9"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708" w:type="dxa"/>
            <w:shd w:val="clear" w:color="000000" w:fill="FFFF00"/>
            <w:noWrap/>
            <w:vAlign w:val="center"/>
            <w:hideMark/>
          </w:tcPr>
          <w:p w14:paraId="4C12C68E"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709" w:type="dxa"/>
            <w:shd w:val="clear" w:color="000000" w:fill="FFFF00"/>
            <w:noWrap/>
            <w:vAlign w:val="center"/>
            <w:hideMark/>
          </w:tcPr>
          <w:p w14:paraId="0758186C"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709" w:type="dxa"/>
            <w:shd w:val="clear" w:color="000000" w:fill="FFFF00"/>
            <w:noWrap/>
            <w:vAlign w:val="center"/>
            <w:hideMark/>
          </w:tcPr>
          <w:p w14:paraId="59AD8AC0"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993" w:type="dxa"/>
            <w:shd w:val="clear" w:color="000000" w:fill="FFFF00"/>
            <w:noWrap/>
            <w:vAlign w:val="center"/>
            <w:hideMark/>
          </w:tcPr>
          <w:p w14:paraId="71B0C555"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571" w:type="dxa"/>
            <w:shd w:val="clear" w:color="000000" w:fill="FFFF00"/>
            <w:noWrap/>
            <w:vAlign w:val="center"/>
            <w:hideMark/>
          </w:tcPr>
          <w:p w14:paraId="258F4910" w14:textId="77777777" w:rsidR="00724D22" w:rsidRPr="007375EB" w:rsidRDefault="00724D22" w:rsidP="00724D22">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0</w:t>
            </w:r>
          </w:p>
        </w:tc>
        <w:tc>
          <w:tcPr>
            <w:tcW w:w="5382" w:type="dxa"/>
            <w:gridSpan w:val="2"/>
            <w:shd w:val="clear" w:color="auto" w:fill="auto"/>
            <w:vAlign w:val="center"/>
            <w:hideMark/>
          </w:tcPr>
          <w:p w14:paraId="5BF22855" w14:textId="77777777" w:rsidR="00724D22" w:rsidRPr="007375EB" w:rsidRDefault="00724D22" w:rsidP="00724D22">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Повторната употреба и рециклирането на продукти ще забави изчерпването на природните ресурси, ще намали въздействието върху ландшафта и естествените местообитания. Кръговата икономика води до намаляване на общите годишни емисии на парникови газове.</w:t>
            </w:r>
          </w:p>
          <w:p w14:paraId="04F2B5F8" w14:textId="74022FB9" w:rsidR="00724D22" w:rsidRPr="007375EB" w:rsidRDefault="00724D22" w:rsidP="00724D22">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Вятърните турбини и трансформаторните станции, които ще оборудват вятърния парк, ще отговарят на принципите на кръговата икономика, намалявайки въздействието върху потреблението на ресурси.</w:t>
            </w:r>
          </w:p>
        </w:tc>
      </w:tr>
      <w:tr w:rsidR="00724D22" w:rsidRPr="007375EB" w14:paraId="75D3FA1C" w14:textId="77777777" w:rsidTr="00EA45B2">
        <w:trPr>
          <w:trHeight w:val="1194"/>
        </w:trPr>
        <w:tc>
          <w:tcPr>
            <w:tcW w:w="1696" w:type="dxa"/>
            <w:shd w:val="clear" w:color="auto" w:fill="auto"/>
            <w:hideMark/>
          </w:tcPr>
          <w:p w14:paraId="7BC52331" w14:textId="2D5A6762" w:rsidR="00724D22" w:rsidRPr="007375EB" w:rsidRDefault="00724D22" w:rsidP="00724D22">
            <w:pPr>
              <w:spacing w:line="240" w:lineRule="auto"/>
              <w:rPr>
                <w:rFonts w:eastAsia="Times New Roman" w:cs="Calibri"/>
                <w:b/>
                <w:bCs/>
                <w:color w:val="000000"/>
                <w:sz w:val="16"/>
                <w:szCs w:val="16"/>
                <w:lang w:val="bg-BG" w:eastAsia="ro-RO"/>
              </w:rPr>
            </w:pPr>
            <w:r w:rsidRPr="007375EB">
              <w:rPr>
                <w:b/>
                <w:bCs/>
                <w:sz w:val="16"/>
                <w:szCs w:val="16"/>
                <w:lang w:val="bg-BG"/>
              </w:rPr>
              <w:t>Управление на отпадъците</w:t>
            </w:r>
          </w:p>
        </w:tc>
        <w:tc>
          <w:tcPr>
            <w:tcW w:w="2072" w:type="dxa"/>
            <w:shd w:val="clear" w:color="auto" w:fill="auto"/>
            <w:vAlign w:val="center"/>
            <w:hideMark/>
          </w:tcPr>
          <w:p w14:paraId="54E40796" w14:textId="2106B330" w:rsidR="00724D22" w:rsidRPr="007375EB" w:rsidRDefault="00724D22" w:rsidP="00724D22">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OM6.</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Намаляване на количеството генерирани и изхвърлени отпадъци чрез съхранение (съответстващи депа за отпадъци)</w:t>
            </w:r>
          </w:p>
        </w:tc>
        <w:tc>
          <w:tcPr>
            <w:tcW w:w="625" w:type="dxa"/>
            <w:shd w:val="clear" w:color="000000" w:fill="F8CBAD"/>
            <w:noWrap/>
            <w:vAlign w:val="center"/>
            <w:hideMark/>
          </w:tcPr>
          <w:p w14:paraId="4B03E361"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848" w:type="dxa"/>
            <w:shd w:val="clear" w:color="000000" w:fill="F8CBAD"/>
            <w:noWrap/>
            <w:vAlign w:val="center"/>
            <w:hideMark/>
          </w:tcPr>
          <w:p w14:paraId="6F36CA91"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39" w:type="dxa"/>
            <w:shd w:val="clear" w:color="000000" w:fill="F8CBAD"/>
            <w:noWrap/>
            <w:vAlign w:val="center"/>
            <w:hideMark/>
          </w:tcPr>
          <w:p w14:paraId="2405FDB6"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1173" w:type="dxa"/>
            <w:shd w:val="clear" w:color="000000" w:fill="F8CBAD"/>
            <w:noWrap/>
            <w:vAlign w:val="center"/>
            <w:hideMark/>
          </w:tcPr>
          <w:p w14:paraId="14E2EB4A"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30" w:type="dxa"/>
            <w:shd w:val="clear" w:color="000000" w:fill="F8CBAD"/>
            <w:noWrap/>
            <w:vAlign w:val="center"/>
            <w:hideMark/>
          </w:tcPr>
          <w:p w14:paraId="606923E3"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46" w:type="dxa"/>
            <w:shd w:val="clear" w:color="000000" w:fill="F8CBAD"/>
            <w:noWrap/>
            <w:vAlign w:val="center"/>
            <w:hideMark/>
          </w:tcPr>
          <w:p w14:paraId="3C92A989"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FFF00"/>
            <w:noWrap/>
            <w:vAlign w:val="center"/>
            <w:hideMark/>
          </w:tcPr>
          <w:p w14:paraId="617EC017"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425" w:type="dxa"/>
            <w:shd w:val="clear" w:color="000000" w:fill="F8CBAD"/>
            <w:noWrap/>
            <w:vAlign w:val="center"/>
            <w:hideMark/>
          </w:tcPr>
          <w:p w14:paraId="569C0B98" w14:textId="77777777" w:rsidR="00724D22" w:rsidRPr="007375EB" w:rsidRDefault="00724D22" w:rsidP="00724D22">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-1</w:t>
            </w:r>
          </w:p>
        </w:tc>
        <w:tc>
          <w:tcPr>
            <w:tcW w:w="555" w:type="dxa"/>
            <w:gridSpan w:val="2"/>
            <w:shd w:val="clear" w:color="auto" w:fill="FFFF00"/>
            <w:noWrap/>
            <w:vAlign w:val="center"/>
            <w:hideMark/>
          </w:tcPr>
          <w:p w14:paraId="3B75ACDF" w14:textId="4BE30E26"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425" w:type="dxa"/>
            <w:shd w:val="clear" w:color="auto" w:fill="FFFF00"/>
            <w:noWrap/>
            <w:vAlign w:val="center"/>
            <w:hideMark/>
          </w:tcPr>
          <w:p w14:paraId="2C75BB02" w14:textId="5A20089D" w:rsidR="00724D22" w:rsidRPr="007375EB" w:rsidRDefault="00724D22" w:rsidP="00724D22">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0</w:t>
            </w:r>
          </w:p>
        </w:tc>
        <w:tc>
          <w:tcPr>
            <w:tcW w:w="709" w:type="dxa"/>
            <w:gridSpan w:val="2"/>
            <w:shd w:val="clear" w:color="000000" w:fill="F8CBAD"/>
            <w:noWrap/>
            <w:vAlign w:val="center"/>
            <w:hideMark/>
          </w:tcPr>
          <w:p w14:paraId="3B9406F5"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67" w:type="dxa"/>
            <w:shd w:val="clear" w:color="000000" w:fill="FF0000"/>
            <w:noWrap/>
            <w:vAlign w:val="center"/>
            <w:hideMark/>
          </w:tcPr>
          <w:p w14:paraId="38DBA691"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850" w:type="dxa"/>
            <w:shd w:val="clear" w:color="000000" w:fill="FF0000"/>
            <w:noWrap/>
            <w:vAlign w:val="center"/>
            <w:hideMark/>
          </w:tcPr>
          <w:p w14:paraId="5D91E00A"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708" w:type="dxa"/>
            <w:shd w:val="clear" w:color="000000" w:fill="FF0000"/>
            <w:noWrap/>
            <w:vAlign w:val="center"/>
            <w:hideMark/>
          </w:tcPr>
          <w:p w14:paraId="404CD7E5"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709" w:type="dxa"/>
            <w:shd w:val="clear" w:color="000000" w:fill="FF0000"/>
            <w:noWrap/>
            <w:vAlign w:val="center"/>
            <w:hideMark/>
          </w:tcPr>
          <w:p w14:paraId="5F03341F"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709" w:type="dxa"/>
            <w:shd w:val="clear" w:color="000000" w:fill="F8CBAD"/>
            <w:noWrap/>
            <w:vAlign w:val="center"/>
            <w:hideMark/>
          </w:tcPr>
          <w:p w14:paraId="18F3717D"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993" w:type="dxa"/>
            <w:shd w:val="clear" w:color="000000" w:fill="FFFF00"/>
            <w:noWrap/>
            <w:vAlign w:val="center"/>
            <w:hideMark/>
          </w:tcPr>
          <w:p w14:paraId="4E559549" w14:textId="77777777" w:rsidR="00724D22" w:rsidRPr="007375EB" w:rsidRDefault="00724D22" w:rsidP="00724D22">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571" w:type="dxa"/>
            <w:shd w:val="clear" w:color="000000" w:fill="FF0000"/>
            <w:noWrap/>
            <w:vAlign w:val="center"/>
            <w:hideMark/>
          </w:tcPr>
          <w:p w14:paraId="444CF94C" w14:textId="77777777" w:rsidR="00724D22" w:rsidRPr="007375EB" w:rsidRDefault="00724D22" w:rsidP="00724D22">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-2</w:t>
            </w:r>
          </w:p>
        </w:tc>
        <w:tc>
          <w:tcPr>
            <w:tcW w:w="5382" w:type="dxa"/>
            <w:gridSpan w:val="2"/>
            <w:shd w:val="clear" w:color="auto" w:fill="auto"/>
            <w:vAlign w:val="center"/>
            <w:hideMark/>
          </w:tcPr>
          <w:p w14:paraId="06E0F183" w14:textId="77777777" w:rsidR="00724D22" w:rsidRPr="007375EB" w:rsidRDefault="00724D22" w:rsidP="00724D22">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 xml:space="preserve">На етапа на изпълнение </w:t>
            </w:r>
            <w:r w:rsidRPr="007375EB">
              <w:rPr>
                <w:rFonts w:eastAsia="Times New Roman" w:cs="Calibri"/>
                <w:color w:val="000000"/>
                <w:sz w:val="16"/>
                <w:szCs w:val="16"/>
                <w:lang w:val="bg-BG" w:eastAsia="ro-RO"/>
              </w:rPr>
              <w:t>е трудно да се оцени количеството генерирани отпадъци, това количество зависи от възприетите технологии, които определят естеството на отпадъците и количеството на отпадъците.</w:t>
            </w:r>
          </w:p>
          <w:p w14:paraId="7E9DE103" w14:textId="77777777" w:rsidR="00724D22" w:rsidRPr="007375EB" w:rsidRDefault="00724D22" w:rsidP="00724D22">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Събирането и временното съхраняване на отпадъците от строително-монтажните дейности на ветроенергийните паркове ще се извършва контролирано, в специално обособени зони, за да бъдат извозени/оползотворени от оторизирани оператори.</w:t>
            </w:r>
          </w:p>
          <w:p w14:paraId="07A6C05F" w14:textId="4F50A388" w:rsidR="00724D22" w:rsidRPr="007375EB" w:rsidRDefault="00724D22" w:rsidP="00724D22">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Инертните отпадъци, получени по време на периода на изпълнение (напр. почва от изкопи, смеси от пръст и камъни и т.н.), ще бъдат евакуирани до депо за инертни отпадъци в радиуса на окръг Констанца или повторно използвани като пълнежи в рамките на работите, предоставени от PUZ (напр.: за нови пътища за достъп като пълнеж, за основи и др.). Количествата отпадъци от този етап са намалени.</w:t>
            </w:r>
          </w:p>
          <w:p w14:paraId="4DF35C1A" w14:textId="232EA3DA" w:rsidR="00724D22" w:rsidRPr="007375EB" w:rsidRDefault="00724D22" w:rsidP="00724D22">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По време на периода на експлоатация</w:t>
            </w:r>
            <w:r w:rsidRPr="007375EB">
              <w:rPr>
                <w:rFonts w:eastAsia="Times New Roman" w:cs="Calibri"/>
                <w:color w:val="000000"/>
                <w:sz w:val="16"/>
                <w:szCs w:val="16"/>
                <w:lang w:val="bg-BG" w:eastAsia="ro-RO"/>
              </w:rPr>
              <w:t>, получените отпадъци идват от дейностите по поддръжката на вятърните турбини и преобразувателните станции.</w:t>
            </w:r>
          </w:p>
          <w:p w14:paraId="5804A20A" w14:textId="51DF07BE" w:rsidR="00724D22" w:rsidRPr="007375EB" w:rsidRDefault="00724D22" w:rsidP="00724D22">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lastRenderedPageBreak/>
              <w:t xml:space="preserve">По време на периода на извеждане от експлоатация </w:t>
            </w:r>
            <w:r w:rsidRPr="007375EB">
              <w:rPr>
                <w:rFonts w:eastAsia="Times New Roman" w:cs="Calibri"/>
                <w:color w:val="000000"/>
                <w:sz w:val="16"/>
                <w:szCs w:val="16"/>
                <w:lang w:val="bg-BG" w:eastAsia="ro-RO"/>
              </w:rPr>
              <w:t>генерираните отпадъци изискват адекватно управление за минимизиране на отрицателното въздействие, като въздействието е значително при липсата му. Освен това, за тази алтернатива количеството отпадъци е значително предвид големия брой турбини.</w:t>
            </w:r>
          </w:p>
        </w:tc>
      </w:tr>
      <w:tr w:rsidR="004726FA" w:rsidRPr="007375EB" w14:paraId="43206122" w14:textId="77777777" w:rsidTr="006E0FC3">
        <w:trPr>
          <w:trHeight w:val="2805"/>
        </w:trPr>
        <w:tc>
          <w:tcPr>
            <w:tcW w:w="1696" w:type="dxa"/>
            <w:shd w:val="clear" w:color="auto" w:fill="auto"/>
            <w:vAlign w:val="center"/>
            <w:hideMark/>
          </w:tcPr>
          <w:p w14:paraId="602EF370" w14:textId="6A1975F4" w:rsidR="00AF5FA2" w:rsidRPr="007375EB" w:rsidRDefault="00724D22"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lastRenderedPageBreak/>
              <w:t>Шум и вибрации</w:t>
            </w:r>
          </w:p>
        </w:tc>
        <w:tc>
          <w:tcPr>
            <w:tcW w:w="2072" w:type="dxa"/>
            <w:shd w:val="clear" w:color="auto" w:fill="auto"/>
            <w:vAlign w:val="center"/>
            <w:hideMark/>
          </w:tcPr>
          <w:p w14:paraId="043E05DA" w14:textId="152675BD" w:rsidR="00AF5FA2" w:rsidRPr="007375EB" w:rsidRDefault="00AF5FA2"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OM7.</w:t>
            </w:r>
            <w:r w:rsidRPr="007375EB">
              <w:rPr>
                <w:rFonts w:ascii="Times New Roman" w:eastAsia="Times New Roman" w:hAnsi="Times New Roman" w:cs="Times New Roman"/>
                <w:b/>
                <w:bCs/>
                <w:color w:val="000000"/>
                <w:sz w:val="14"/>
                <w:szCs w:val="14"/>
                <w:lang w:val="bg-BG" w:eastAsia="ro-RO"/>
              </w:rPr>
              <w:t xml:space="preserve">   </w:t>
            </w:r>
            <w:r w:rsidR="00EF7447" w:rsidRPr="007375EB">
              <w:rPr>
                <w:rFonts w:eastAsia="Times New Roman" w:cs="Calibri"/>
                <w:color w:val="000000"/>
                <w:sz w:val="16"/>
                <w:szCs w:val="16"/>
                <w:lang w:val="bg-BG" w:eastAsia="ro-RO"/>
              </w:rPr>
              <w:t>Ограничаване на източника на шумово замърсяване в зони с чувствителни към шум рецептори. Ограничение на нивата на вибрации</w:t>
            </w:r>
          </w:p>
        </w:tc>
        <w:tc>
          <w:tcPr>
            <w:tcW w:w="625" w:type="dxa"/>
            <w:shd w:val="clear" w:color="000000" w:fill="F8CBAD"/>
            <w:noWrap/>
            <w:vAlign w:val="center"/>
            <w:hideMark/>
          </w:tcPr>
          <w:p w14:paraId="5A7340D4"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848" w:type="dxa"/>
            <w:shd w:val="clear" w:color="000000" w:fill="F8CBAD"/>
            <w:noWrap/>
            <w:vAlign w:val="center"/>
            <w:hideMark/>
          </w:tcPr>
          <w:p w14:paraId="128AED8B"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39" w:type="dxa"/>
            <w:shd w:val="clear" w:color="000000" w:fill="F8CBAD"/>
            <w:noWrap/>
            <w:vAlign w:val="center"/>
            <w:hideMark/>
          </w:tcPr>
          <w:p w14:paraId="76C7AFE1"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1173" w:type="dxa"/>
            <w:shd w:val="clear" w:color="000000" w:fill="F8CBAD"/>
            <w:noWrap/>
            <w:vAlign w:val="center"/>
            <w:hideMark/>
          </w:tcPr>
          <w:p w14:paraId="65B34864"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30" w:type="dxa"/>
            <w:shd w:val="clear" w:color="000000" w:fill="F8CBAD"/>
            <w:noWrap/>
            <w:vAlign w:val="center"/>
            <w:hideMark/>
          </w:tcPr>
          <w:p w14:paraId="29ED15B2"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46" w:type="dxa"/>
            <w:shd w:val="clear" w:color="000000" w:fill="F8CBAD"/>
            <w:noWrap/>
            <w:vAlign w:val="center"/>
            <w:hideMark/>
          </w:tcPr>
          <w:p w14:paraId="076620B0"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FFF00"/>
            <w:noWrap/>
            <w:vAlign w:val="center"/>
            <w:hideMark/>
          </w:tcPr>
          <w:p w14:paraId="7400BD4D"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425" w:type="dxa"/>
            <w:shd w:val="clear" w:color="000000" w:fill="F8CBAD"/>
            <w:noWrap/>
            <w:vAlign w:val="center"/>
            <w:hideMark/>
          </w:tcPr>
          <w:p w14:paraId="5B6B2A1B"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-1</w:t>
            </w:r>
          </w:p>
        </w:tc>
        <w:tc>
          <w:tcPr>
            <w:tcW w:w="555" w:type="dxa"/>
            <w:gridSpan w:val="2"/>
            <w:shd w:val="clear" w:color="auto" w:fill="F8CBAD"/>
            <w:noWrap/>
            <w:vAlign w:val="center"/>
            <w:hideMark/>
          </w:tcPr>
          <w:p w14:paraId="393B46D2" w14:textId="0ECD7BE3" w:rsidR="00AF5FA2" w:rsidRPr="007375EB" w:rsidRDefault="00DC2C5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425" w:type="dxa"/>
            <w:shd w:val="clear" w:color="auto" w:fill="F8CBAD"/>
            <w:noWrap/>
            <w:vAlign w:val="center"/>
            <w:hideMark/>
          </w:tcPr>
          <w:p w14:paraId="3218A72E" w14:textId="428CB967" w:rsidR="00AF5FA2" w:rsidRPr="007375EB" w:rsidRDefault="00DC2C5B"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-1</w:t>
            </w:r>
          </w:p>
        </w:tc>
        <w:tc>
          <w:tcPr>
            <w:tcW w:w="709" w:type="dxa"/>
            <w:gridSpan w:val="2"/>
            <w:shd w:val="clear" w:color="000000" w:fill="F8CBAD"/>
            <w:noWrap/>
            <w:vAlign w:val="center"/>
            <w:hideMark/>
          </w:tcPr>
          <w:p w14:paraId="76D24EB9"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67" w:type="dxa"/>
            <w:shd w:val="clear" w:color="000000" w:fill="F8CBAD"/>
            <w:noWrap/>
            <w:vAlign w:val="center"/>
            <w:hideMark/>
          </w:tcPr>
          <w:p w14:paraId="7D230631" w14:textId="6864C4F0"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850" w:type="dxa"/>
            <w:shd w:val="clear" w:color="000000" w:fill="F8CBAD"/>
            <w:noWrap/>
            <w:vAlign w:val="center"/>
            <w:hideMark/>
          </w:tcPr>
          <w:p w14:paraId="43B170B9" w14:textId="7CE40AB8"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8" w:type="dxa"/>
            <w:shd w:val="clear" w:color="000000" w:fill="F8CBAD"/>
            <w:noWrap/>
            <w:vAlign w:val="center"/>
            <w:hideMark/>
          </w:tcPr>
          <w:p w14:paraId="093E4AD8" w14:textId="537C2563"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8CBAD"/>
            <w:noWrap/>
            <w:vAlign w:val="center"/>
            <w:hideMark/>
          </w:tcPr>
          <w:p w14:paraId="35C9E795"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FFF00"/>
            <w:noWrap/>
            <w:vAlign w:val="center"/>
            <w:hideMark/>
          </w:tcPr>
          <w:p w14:paraId="1DC611ED"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993" w:type="dxa"/>
            <w:shd w:val="clear" w:color="000000" w:fill="FFFF00"/>
            <w:noWrap/>
            <w:vAlign w:val="center"/>
            <w:hideMark/>
          </w:tcPr>
          <w:p w14:paraId="52AA7FEC"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571" w:type="dxa"/>
            <w:shd w:val="clear" w:color="000000" w:fill="F8CBAD"/>
            <w:noWrap/>
            <w:vAlign w:val="center"/>
            <w:hideMark/>
          </w:tcPr>
          <w:p w14:paraId="71FA5DDE" w14:textId="5CB31A35"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-1</w:t>
            </w:r>
          </w:p>
        </w:tc>
        <w:tc>
          <w:tcPr>
            <w:tcW w:w="5382" w:type="dxa"/>
            <w:gridSpan w:val="2"/>
            <w:shd w:val="clear" w:color="auto" w:fill="auto"/>
            <w:vAlign w:val="center"/>
            <w:hideMark/>
          </w:tcPr>
          <w:p w14:paraId="252EBB80" w14:textId="77777777" w:rsidR="00EF7447" w:rsidRPr="007375EB" w:rsidRDefault="00EF7447" w:rsidP="00EF7447">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 xml:space="preserve">По време на етапа на изпълнение </w:t>
            </w:r>
            <w:r w:rsidRPr="007375EB">
              <w:rPr>
                <w:rFonts w:eastAsia="Times New Roman" w:cs="Calibri"/>
                <w:color w:val="000000"/>
                <w:sz w:val="16"/>
                <w:szCs w:val="16"/>
                <w:lang w:val="bg-BG" w:eastAsia="ro-RO"/>
              </w:rPr>
              <w:t>използваните транспортни средства и машини, както и дейностите по фронта на работа представляват източник на шум и вибрации, така че през този период ще има повишаване на нивото на шума в резултат на дейността подкрепени от транспорта и от експлоатацията на машините, участващи в работите.</w:t>
            </w:r>
          </w:p>
          <w:p w14:paraId="228D4BF0" w14:textId="0CDBF64B" w:rsidR="0012180E" w:rsidRPr="007375EB" w:rsidRDefault="00EF7447" w:rsidP="00EF7447">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За тази алтернатива шумът се оценява като по-висок, отколкото при другите, като се вземе предвид значителният брой турбини, които определят пропорционален брой машини/машини/оборудване</w:t>
            </w:r>
            <w:r w:rsidR="0012180E" w:rsidRPr="007375EB">
              <w:rPr>
                <w:rFonts w:eastAsia="Times New Roman" w:cs="Calibri"/>
                <w:color w:val="000000"/>
                <w:sz w:val="16"/>
                <w:szCs w:val="16"/>
                <w:lang w:val="bg-BG" w:eastAsia="ro-RO"/>
              </w:rPr>
              <w:t>.</w:t>
            </w:r>
          </w:p>
          <w:p w14:paraId="195C9FD0" w14:textId="77777777" w:rsidR="00EF7447" w:rsidRPr="007375EB" w:rsidRDefault="00EF7447" w:rsidP="00EF7447">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Така ще се усеща дискомфорт главно поради шума и вибрациите, произвеждани от превозните средства, използваните машини и присъствието на работници, но предвид факта, че районът се пресича от местни пътища, експлоатационни пътища и в съседните земи се извършват земеделски работи сезонно с различни машини шумът няма да създаде значително въздействие, ще бъде локален и временен.</w:t>
            </w:r>
          </w:p>
          <w:p w14:paraId="396EB6AB" w14:textId="77777777" w:rsidR="00EF7447" w:rsidRPr="007375EB" w:rsidRDefault="00EF7447" w:rsidP="00EF7447">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В работния етап шумът, произвеждан от вятърната турбина, се увеличава със скоростта на вятъра и скоростта на въртене. Модерният дизайн на турбината включва изолация на гондолата за предотвратяване на механичен шум във въздуха. Гондолата също е изолирана, за да се предотвратят вибрации от движещи се части (лопатки, главина, скоростна кутия), които могат да се предадат към кулата и основата. Аеродинамичният шум на големите турбини е доста доминиращ в сравнение с механичния шум и зависи от скоростта на въртене на лопатките (скорост на вятъра).</w:t>
            </w:r>
          </w:p>
          <w:p w14:paraId="0ED92341" w14:textId="687777B4" w:rsidR="00C10ABC" w:rsidRPr="007375EB" w:rsidRDefault="00EF7447" w:rsidP="00EF7447">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Въпреки че капацитетът на турбината от 3 МВт прави шума, произвеждан от отделна турбина, по-нисък, големият брой турбини, предвидени от PUZ, увеличава вероятността от по-висок кумулативен шум.</w:t>
            </w:r>
          </w:p>
          <w:p w14:paraId="2CF00563" w14:textId="36FC91A4" w:rsidR="00AF5FA2" w:rsidRPr="007375EB" w:rsidRDefault="00EF7447" w:rsidP="00EF7447">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 xml:space="preserve">В етапа на извеждане от експлоатация </w:t>
            </w:r>
            <w:r w:rsidRPr="007375EB">
              <w:rPr>
                <w:rFonts w:eastAsia="Times New Roman" w:cs="Calibri"/>
                <w:color w:val="000000"/>
                <w:sz w:val="16"/>
                <w:szCs w:val="16"/>
                <w:lang w:val="bg-BG" w:eastAsia="ro-RO"/>
              </w:rPr>
              <w:t>въздействието на шума и вибрациите е подобно на това в етапа на строителство</w:t>
            </w:r>
            <w:r w:rsidR="00AF5FA2" w:rsidRPr="007375EB">
              <w:rPr>
                <w:rFonts w:eastAsia="Times New Roman" w:cs="Calibri"/>
                <w:color w:val="000000"/>
                <w:sz w:val="16"/>
                <w:szCs w:val="16"/>
                <w:lang w:val="bg-BG" w:eastAsia="ro-RO"/>
              </w:rPr>
              <w:t xml:space="preserve">.  </w:t>
            </w:r>
          </w:p>
        </w:tc>
      </w:tr>
      <w:tr w:rsidR="004726FA" w:rsidRPr="007375EB" w14:paraId="7E312DB3" w14:textId="77777777" w:rsidTr="00256BEB">
        <w:trPr>
          <w:trHeight w:val="1311"/>
        </w:trPr>
        <w:tc>
          <w:tcPr>
            <w:tcW w:w="1696" w:type="dxa"/>
            <w:vMerge w:val="restart"/>
            <w:shd w:val="clear" w:color="auto" w:fill="auto"/>
            <w:vAlign w:val="center"/>
            <w:hideMark/>
          </w:tcPr>
          <w:p w14:paraId="4C3B3DBA" w14:textId="0E685EF6" w:rsidR="00AF5FA2" w:rsidRPr="007375EB" w:rsidRDefault="00724D22"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 xml:space="preserve">Биоразнообразие </w:t>
            </w:r>
          </w:p>
        </w:tc>
        <w:tc>
          <w:tcPr>
            <w:tcW w:w="2072" w:type="dxa"/>
            <w:shd w:val="clear" w:color="auto" w:fill="auto"/>
            <w:vAlign w:val="center"/>
            <w:hideMark/>
          </w:tcPr>
          <w:p w14:paraId="17BBE363" w14:textId="31D5F075" w:rsidR="00AF5FA2" w:rsidRPr="007375EB" w:rsidRDefault="00AF5FA2"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OM8.</w:t>
            </w:r>
            <w:r w:rsidRPr="007375EB">
              <w:rPr>
                <w:rFonts w:ascii="Times New Roman" w:eastAsia="Times New Roman" w:hAnsi="Times New Roman" w:cs="Times New Roman"/>
                <w:b/>
                <w:bCs/>
                <w:color w:val="000000"/>
                <w:sz w:val="14"/>
                <w:szCs w:val="14"/>
                <w:lang w:val="bg-BG" w:eastAsia="ro-RO"/>
              </w:rPr>
              <w:t xml:space="preserve">   </w:t>
            </w:r>
            <w:r w:rsidR="00EF7447" w:rsidRPr="007375EB">
              <w:rPr>
                <w:rFonts w:eastAsia="Times New Roman" w:cs="Calibri"/>
                <w:color w:val="000000"/>
                <w:sz w:val="16"/>
                <w:szCs w:val="16"/>
                <w:lang w:val="bg-BG" w:eastAsia="ro-RO"/>
              </w:rPr>
              <w:t>Опазване на природни местообитания и видове от флората и фауната от обществено значение</w:t>
            </w:r>
          </w:p>
        </w:tc>
        <w:tc>
          <w:tcPr>
            <w:tcW w:w="625" w:type="dxa"/>
            <w:shd w:val="clear" w:color="000000" w:fill="F8CBAD"/>
            <w:noWrap/>
            <w:vAlign w:val="center"/>
            <w:hideMark/>
          </w:tcPr>
          <w:p w14:paraId="1E0F0623"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848" w:type="dxa"/>
            <w:shd w:val="clear" w:color="000000" w:fill="F8CBAD"/>
            <w:noWrap/>
            <w:vAlign w:val="center"/>
            <w:hideMark/>
          </w:tcPr>
          <w:p w14:paraId="416B36E5"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39" w:type="dxa"/>
            <w:shd w:val="clear" w:color="auto" w:fill="F8CBAD"/>
            <w:noWrap/>
            <w:vAlign w:val="center"/>
            <w:hideMark/>
          </w:tcPr>
          <w:p w14:paraId="4925C249" w14:textId="048053AA" w:rsidR="00AF5FA2" w:rsidRPr="007375EB" w:rsidRDefault="00020818"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1173" w:type="dxa"/>
            <w:shd w:val="clear" w:color="000000" w:fill="F8CBAD"/>
            <w:noWrap/>
            <w:vAlign w:val="center"/>
            <w:hideMark/>
          </w:tcPr>
          <w:p w14:paraId="489B5538"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30" w:type="dxa"/>
            <w:shd w:val="clear" w:color="000000" w:fill="F8CBAD"/>
            <w:noWrap/>
            <w:vAlign w:val="center"/>
            <w:hideMark/>
          </w:tcPr>
          <w:p w14:paraId="0A211200"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46" w:type="dxa"/>
            <w:shd w:val="clear" w:color="000000" w:fill="F8CBAD"/>
            <w:noWrap/>
            <w:vAlign w:val="center"/>
            <w:hideMark/>
          </w:tcPr>
          <w:p w14:paraId="31BC3682"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C6E0B4"/>
            <w:noWrap/>
            <w:vAlign w:val="center"/>
            <w:hideMark/>
          </w:tcPr>
          <w:p w14:paraId="1C83EF06"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425" w:type="dxa"/>
            <w:shd w:val="clear" w:color="000000" w:fill="F8CBAD"/>
            <w:noWrap/>
            <w:vAlign w:val="center"/>
            <w:hideMark/>
          </w:tcPr>
          <w:p w14:paraId="0C756BD6"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55" w:type="dxa"/>
            <w:gridSpan w:val="2"/>
            <w:shd w:val="clear" w:color="auto" w:fill="F8CBAD"/>
            <w:noWrap/>
            <w:vAlign w:val="center"/>
            <w:hideMark/>
          </w:tcPr>
          <w:p w14:paraId="0FB69C21" w14:textId="20B417DF" w:rsidR="00AF5FA2" w:rsidRPr="007375EB" w:rsidRDefault="00E70C06"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425" w:type="dxa"/>
            <w:shd w:val="clear" w:color="auto" w:fill="F8CBAD"/>
            <w:noWrap/>
            <w:vAlign w:val="center"/>
            <w:hideMark/>
          </w:tcPr>
          <w:p w14:paraId="6B9057FB" w14:textId="456A3D98" w:rsidR="00AF5FA2" w:rsidRPr="007375EB" w:rsidRDefault="00E70C06"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gridSpan w:val="2"/>
            <w:shd w:val="clear" w:color="000000" w:fill="F8CBAD"/>
            <w:noWrap/>
            <w:vAlign w:val="center"/>
            <w:hideMark/>
          </w:tcPr>
          <w:p w14:paraId="1B8C28A7"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67" w:type="dxa"/>
            <w:shd w:val="clear" w:color="000000" w:fill="F8CBAD"/>
            <w:noWrap/>
            <w:vAlign w:val="center"/>
            <w:hideMark/>
          </w:tcPr>
          <w:p w14:paraId="6B005ADE"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850" w:type="dxa"/>
            <w:shd w:val="clear" w:color="000000" w:fill="F8CBAD"/>
            <w:noWrap/>
            <w:vAlign w:val="center"/>
            <w:hideMark/>
          </w:tcPr>
          <w:p w14:paraId="07AAEC71"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8" w:type="dxa"/>
            <w:shd w:val="clear" w:color="000000" w:fill="F8CBAD"/>
            <w:noWrap/>
            <w:vAlign w:val="center"/>
            <w:hideMark/>
          </w:tcPr>
          <w:p w14:paraId="433D4CD8"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8CBAD"/>
            <w:noWrap/>
            <w:vAlign w:val="center"/>
            <w:hideMark/>
          </w:tcPr>
          <w:p w14:paraId="21B9D13D"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8CBAD"/>
            <w:noWrap/>
            <w:vAlign w:val="center"/>
            <w:hideMark/>
          </w:tcPr>
          <w:p w14:paraId="709CD1AC"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993" w:type="dxa"/>
            <w:shd w:val="clear" w:color="000000" w:fill="C6E0B4"/>
            <w:noWrap/>
            <w:vAlign w:val="center"/>
            <w:hideMark/>
          </w:tcPr>
          <w:p w14:paraId="4B249C62"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71" w:type="dxa"/>
            <w:shd w:val="clear" w:color="000000" w:fill="F8CBAD"/>
            <w:noWrap/>
            <w:vAlign w:val="center"/>
            <w:hideMark/>
          </w:tcPr>
          <w:p w14:paraId="569040D4"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382" w:type="dxa"/>
            <w:gridSpan w:val="2"/>
            <w:shd w:val="clear" w:color="auto" w:fill="auto"/>
            <w:vAlign w:val="center"/>
            <w:hideMark/>
          </w:tcPr>
          <w:p w14:paraId="4521CDB3" w14:textId="51B2C834" w:rsidR="00EF7447" w:rsidRPr="007375EB" w:rsidRDefault="00EF7447" w:rsidP="00EF7447">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 xml:space="preserve">Предложеният план не пресича защитени природни територии от мрежата Натура 2000, разположени на територията на страната, като разстоянието до най-близката зона е около 3,97 км, а на територията на България най-близката защитена зона от мрежата Природа 2000 се намира на ж. на около 410 м от най-близката вятърна турбина. </w:t>
            </w:r>
          </w:p>
          <w:p w14:paraId="385FA56A" w14:textId="3CDD2052" w:rsidR="005F5C19" w:rsidRPr="007375EB" w:rsidRDefault="00EF7447" w:rsidP="00EF7447">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Районът, изследван чрез PUZ, се намира върху земи със земеделско ползване, които обаче могат да представляват възможни благоприятни местообитания (хранене/размножаване/гнездене) за видове от интерес за общността, за които са определени местата. Потвърждаването на тази хипотеза ще стане чрез продължаване на теренния мониторинг за точно определяне на видовете, които използват терена на бъдещия парк</w:t>
            </w:r>
            <w:r w:rsidR="00C76D34" w:rsidRPr="007375EB">
              <w:rPr>
                <w:rFonts w:eastAsia="Times New Roman" w:cs="Calibri"/>
                <w:color w:val="000000"/>
                <w:sz w:val="16"/>
                <w:szCs w:val="16"/>
                <w:lang w:val="bg-BG" w:eastAsia="ro-RO"/>
              </w:rPr>
              <w:t>.</w:t>
            </w:r>
          </w:p>
          <w:p w14:paraId="2E7ABCE9" w14:textId="77777777" w:rsidR="00EF7447" w:rsidRPr="007375EB" w:rsidRDefault="00EF7447" w:rsidP="00EF7447">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 xml:space="preserve">По време на етапа на изпълнение </w:t>
            </w:r>
            <w:r w:rsidRPr="007375EB">
              <w:rPr>
                <w:rFonts w:eastAsia="Times New Roman" w:cs="Calibri"/>
                <w:color w:val="000000"/>
                <w:sz w:val="16"/>
                <w:szCs w:val="16"/>
                <w:lang w:val="bg-BG" w:eastAsia="ro-RO"/>
              </w:rPr>
              <w:t>замърсяването със суспендирана материя поради строителните работи може да повлияе негативно на растителността, като се отложи върху листния апарат, генерирайки частично или пълно затваряне на устицата и нарушаване на физиологичните и биохимичните процеси на растенията.</w:t>
            </w:r>
          </w:p>
          <w:p w14:paraId="342AF7B2" w14:textId="35ADFF40" w:rsidR="005F5C19" w:rsidRPr="007375EB" w:rsidRDefault="00EF7447" w:rsidP="00EF7447">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lastRenderedPageBreak/>
              <w:t>Други форми на въздействие от етапа на изпълнение, нарушаване на дейността на вида и възможно намаляване на числеността на популацията поради появата на поведенчески бариери за дивата природа</w:t>
            </w:r>
            <w:r w:rsidR="005F5C19" w:rsidRPr="007375EB">
              <w:rPr>
                <w:rFonts w:eastAsia="Times New Roman" w:cs="Calibri"/>
                <w:color w:val="000000"/>
                <w:sz w:val="16"/>
                <w:szCs w:val="16"/>
                <w:lang w:val="bg-BG" w:eastAsia="ro-RO"/>
              </w:rPr>
              <w:t xml:space="preserve">.  </w:t>
            </w:r>
          </w:p>
          <w:p w14:paraId="6F6D24E1" w14:textId="5BE0A5CC" w:rsidR="005F5C19" w:rsidRPr="007375EB" w:rsidRDefault="00EF7447" w:rsidP="00EF7447">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Строителните дейности и работите по извеждане от експлоатация могат временно да засегнат биоразнообразието, но възстановителните дейности ще доведат до подобряване на състоянието на засегнатите чувствителни елементи</w:t>
            </w:r>
            <w:r w:rsidR="005F5C19" w:rsidRPr="007375EB">
              <w:rPr>
                <w:rFonts w:eastAsia="Times New Roman" w:cs="Calibri"/>
                <w:color w:val="000000"/>
                <w:sz w:val="16"/>
                <w:szCs w:val="16"/>
                <w:lang w:val="bg-BG" w:eastAsia="ro-RO"/>
              </w:rPr>
              <w:t xml:space="preserve">. </w:t>
            </w:r>
          </w:p>
          <w:p w14:paraId="739AF516" w14:textId="77777777" w:rsidR="00BF178B" w:rsidRPr="007375EB" w:rsidRDefault="00BF178B" w:rsidP="00BF178B">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 xml:space="preserve">В етапа на експлоатация, </w:t>
            </w:r>
            <w:r w:rsidRPr="007375EB">
              <w:rPr>
                <w:rFonts w:eastAsia="Times New Roman" w:cs="Calibri"/>
                <w:color w:val="000000"/>
                <w:sz w:val="16"/>
                <w:szCs w:val="16"/>
                <w:lang w:val="bg-BG" w:eastAsia="ro-RO"/>
              </w:rPr>
              <w:t>като се има предвид броят на турбините, предложени чрез PUZ, но също така броят и видовете птици и криоптери, идентифицирани на площадката, чувствителни от гледна точка на проекти за вятърна енергия, въздействието може да се счита за отрицателно върху тях дори при условията на съответното им местоположение.</w:t>
            </w:r>
          </w:p>
          <w:p w14:paraId="7713EE10" w14:textId="1AB93811" w:rsidR="005A2787" w:rsidRPr="007375EB" w:rsidRDefault="00BF178B" w:rsidP="00BF178B">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 xml:space="preserve">В етапа на извеждане от експлоатация </w:t>
            </w:r>
            <w:r w:rsidRPr="007375EB">
              <w:rPr>
                <w:rFonts w:eastAsia="Times New Roman" w:cs="Calibri"/>
                <w:color w:val="000000"/>
                <w:sz w:val="16"/>
                <w:szCs w:val="16"/>
                <w:lang w:val="bg-BG" w:eastAsia="ro-RO"/>
              </w:rPr>
              <w:t>въздействието върху биоразнообразието е подобно на това в етапа на изпълнение</w:t>
            </w:r>
            <w:r w:rsidR="004F7963" w:rsidRPr="007375EB">
              <w:rPr>
                <w:rFonts w:eastAsia="Times New Roman" w:cs="Calibri"/>
                <w:color w:val="000000"/>
                <w:sz w:val="16"/>
                <w:szCs w:val="16"/>
                <w:lang w:val="bg-BG" w:eastAsia="ro-RO"/>
              </w:rPr>
              <w:t>.</w:t>
            </w:r>
          </w:p>
        </w:tc>
      </w:tr>
      <w:tr w:rsidR="004726FA" w:rsidRPr="007375EB" w14:paraId="0E9BD262" w14:textId="77777777" w:rsidTr="006E0FC3">
        <w:trPr>
          <w:trHeight w:val="645"/>
        </w:trPr>
        <w:tc>
          <w:tcPr>
            <w:tcW w:w="1696" w:type="dxa"/>
            <w:vMerge/>
            <w:vAlign w:val="center"/>
            <w:hideMark/>
          </w:tcPr>
          <w:p w14:paraId="3FB326E9" w14:textId="77777777" w:rsidR="00AF5FA2" w:rsidRPr="007375EB" w:rsidRDefault="00AF5FA2" w:rsidP="00A07C37">
            <w:pPr>
              <w:spacing w:line="240" w:lineRule="auto"/>
              <w:rPr>
                <w:rFonts w:eastAsia="Times New Roman" w:cs="Calibri"/>
                <w:b/>
                <w:bCs/>
                <w:color w:val="000000"/>
                <w:sz w:val="16"/>
                <w:szCs w:val="16"/>
                <w:lang w:val="bg-BG" w:eastAsia="ro-RO"/>
              </w:rPr>
            </w:pPr>
          </w:p>
        </w:tc>
        <w:tc>
          <w:tcPr>
            <w:tcW w:w="2072" w:type="dxa"/>
            <w:shd w:val="clear" w:color="auto" w:fill="auto"/>
            <w:vAlign w:val="center"/>
            <w:hideMark/>
          </w:tcPr>
          <w:p w14:paraId="56E88E49" w14:textId="036B9608" w:rsidR="00AF5FA2" w:rsidRPr="007375EB" w:rsidRDefault="00AF5FA2"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OM9.</w:t>
            </w:r>
            <w:r w:rsidRPr="007375EB">
              <w:rPr>
                <w:rFonts w:ascii="Times New Roman" w:eastAsia="Times New Roman" w:hAnsi="Times New Roman" w:cs="Times New Roman"/>
                <w:b/>
                <w:bCs/>
                <w:color w:val="000000"/>
                <w:sz w:val="14"/>
                <w:szCs w:val="14"/>
                <w:lang w:val="bg-BG" w:eastAsia="ro-RO"/>
              </w:rPr>
              <w:t xml:space="preserve">   </w:t>
            </w:r>
            <w:r w:rsidR="00CD07EA" w:rsidRPr="007375EB">
              <w:rPr>
                <w:rFonts w:eastAsia="Times New Roman" w:cs="Calibri"/>
                <w:color w:val="000000"/>
                <w:sz w:val="16"/>
                <w:szCs w:val="16"/>
                <w:lang w:val="bg-BG" w:eastAsia="ro-RO"/>
              </w:rPr>
              <w:t>Поддържане на мрежата от защитени зони Природа 2000</w:t>
            </w:r>
            <w:r w:rsidRPr="007375EB">
              <w:rPr>
                <w:rFonts w:eastAsia="Times New Roman" w:cs="Calibri"/>
                <w:color w:val="000000"/>
                <w:sz w:val="16"/>
                <w:szCs w:val="16"/>
                <w:lang w:val="bg-BG" w:eastAsia="ro-RO"/>
              </w:rPr>
              <w:t>.</w:t>
            </w:r>
          </w:p>
        </w:tc>
        <w:tc>
          <w:tcPr>
            <w:tcW w:w="625" w:type="dxa"/>
            <w:shd w:val="clear" w:color="000000" w:fill="FFFF00"/>
            <w:noWrap/>
            <w:vAlign w:val="center"/>
            <w:hideMark/>
          </w:tcPr>
          <w:p w14:paraId="32A777F6"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848" w:type="dxa"/>
            <w:shd w:val="clear" w:color="000000" w:fill="FFFF00"/>
            <w:noWrap/>
            <w:vAlign w:val="center"/>
            <w:hideMark/>
          </w:tcPr>
          <w:p w14:paraId="5DB1F25B"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539" w:type="dxa"/>
            <w:shd w:val="clear" w:color="000000" w:fill="FFFF00"/>
            <w:noWrap/>
            <w:vAlign w:val="center"/>
            <w:hideMark/>
          </w:tcPr>
          <w:p w14:paraId="0EAB6CAC"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1173" w:type="dxa"/>
            <w:shd w:val="clear" w:color="000000" w:fill="FFFF00"/>
            <w:noWrap/>
            <w:vAlign w:val="center"/>
            <w:hideMark/>
          </w:tcPr>
          <w:p w14:paraId="6174AD44"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630" w:type="dxa"/>
            <w:shd w:val="clear" w:color="000000" w:fill="FFFF00"/>
            <w:noWrap/>
            <w:vAlign w:val="center"/>
            <w:hideMark/>
          </w:tcPr>
          <w:p w14:paraId="5427FF0A"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646" w:type="dxa"/>
            <w:shd w:val="clear" w:color="000000" w:fill="FFFF00"/>
            <w:noWrap/>
            <w:vAlign w:val="center"/>
            <w:hideMark/>
          </w:tcPr>
          <w:p w14:paraId="1D700DB5"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709" w:type="dxa"/>
            <w:shd w:val="clear" w:color="000000" w:fill="FFFF00"/>
            <w:noWrap/>
            <w:vAlign w:val="center"/>
            <w:hideMark/>
          </w:tcPr>
          <w:p w14:paraId="6ECAA1E2"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425" w:type="dxa"/>
            <w:shd w:val="clear" w:color="000000" w:fill="FFFF00"/>
            <w:noWrap/>
            <w:vAlign w:val="center"/>
            <w:hideMark/>
          </w:tcPr>
          <w:p w14:paraId="6EB13FBA"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0</w:t>
            </w:r>
          </w:p>
        </w:tc>
        <w:tc>
          <w:tcPr>
            <w:tcW w:w="555" w:type="dxa"/>
            <w:gridSpan w:val="2"/>
            <w:shd w:val="clear" w:color="000000" w:fill="F8CBAD"/>
            <w:noWrap/>
            <w:vAlign w:val="center"/>
            <w:hideMark/>
          </w:tcPr>
          <w:p w14:paraId="20E6C0AD"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425" w:type="dxa"/>
            <w:shd w:val="clear" w:color="000000" w:fill="F8CBAD"/>
            <w:noWrap/>
            <w:vAlign w:val="center"/>
            <w:hideMark/>
          </w:tcPr>
          <w:p w14:paraId="4F7A7B4C"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gridSpan w:val="2"/>
            <w:shd w:val="clear" w:color="000000" w:fill="FFFF00"/>
            <w:noWrap/>
            <w:vAlign w:val="center"/>
            <w:hideMark/>
          </w:tcPr>
          <w:p w14:paraId="28D8F345"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567" w:type="dxa"/>
            <w:shd w:val="clear" w:color="000000" w:fill="FFFF00"/>
            <w:noWrap/>
            <w:vAlign w:val="center"/>
            <w:hideMark/>
          </w:tcPr>
          <w:p w14:paraId="25F95DAF"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850" w:type="dxa"/>
            <w:shd w:val="clear" w:color="000000" w:fill="FFFF00"/>
            <w:noWrap/>
            <w:vAlign w:val="center"/>
            <w:hideMark/>
          </w:tcPr>
          <w:p w14:paraId="6A8BBE37"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708" w:type="dxa"/>
            <w:shd w:val="clear" w:color="000000" w:fill="FFFF00"/>
            <w:noWrap/>
            <w:vAlign w:val="center"/>
            <w:hideMark/>
          </w:tcPr>
          <w:p w14:paraId="0E0D344D"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709" w:type="dxa"/>
            <w:shd w:val="clear" w:color="000000" w:fill="FFFF00"/>
            <w:noWrap/>
            <w:vAlign w:val="center"/>
            <w:hideMark/>
          </w:tcPr>
          <w:p w14:paraId="2B9C2C2A"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709" w:type="dxa"/>
            <w:shd w:val="clear" w:color="000000" w:fill="FFFF00"/>
            <w:noWrap/>
            <w:vAlign w:val="center"/>
            <w:hideMark/>
          </w:tcPr>
          <w:p w14:paraId="215717F5"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993" w:type="dxa"/>
            <w:shd w:val="clear" w:color="000000" w:fill="FFFF00"/>
            <w:noWrap/>
            <w:vAlign w:val="center"/>
            <w:hideMark/>
          </w:tcPr>
          <w:p w14:paraId="253EDD89"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571" w:type="dxa"/>
            <w:shd w:val="clear" w:color="000000" w:fill="FFFF00"/>
            <w:noWrap/>
            <w:vAlign w:val="center"/>
            <w:hideMark/>
          </w:tcPr>
          <w:p w14:paraId="77C587D7"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0</w:t>
            </w:r>
          </w:p>
        </w:tc>
        <w:tc>
          <w:tcPr>
            <w:tcW w:w="5382" w:type="dxa"/>
            <w:gridSpan w:val="2"/>
            <w:shd w:val="clear" w:color="auto" w:fill="auto"/>
            <w:vAlign w:val="center"/>
            <w:hideMark/>
          </w:tcPr>
          <w:p w14:paraId="6FF93059" w14:textId="6C2D1AF7" w:rsidR="00AF5FA2" w:rsidRPr="007375EB" w:rsidRDefault="00CD07EA" w:rsidP="00A07C37">
            <w:pPr>
              <w:spacing w:line="240" w:lineRule="auto"/>
              <w:rPr>
                <w:rFonts w:eastAsia="Times New Roman" w:cs="Calibri"/>
                <w:sz w:val="16"/>
                <w:szCs w:val="16"/>
                <w:lang w:val="bg-BG" w:eastAsia="ro-RO"/>
              </w:rPr>
            </w:pPr>
            <w:r w:rsidRPr="007375EB">
              <w:rPr>
                <w:rFonts w:eastAsia="Times New Roman" w:cs="Calibri"/>
                <w:sz w:val="16"/>
                <w:szCs w:val="16"/>
                <w:lang w:val="bg-BG" w:eastAsia="ro-RO"/>
              </w:rPr>
              <w:t>Предложеният план не е в близост до нито една защитена зона от мрежата Натура 2000 на националната територия, като разстоянието до най-близката защитена зона е около 3,97 км, но на българска територия най-близката защитена зона от мрежата Природа 2000 е на около 390 м от най-близката турбина.</w:t>
            </w:r>
          </w:p>
        </w:tc>
      </w:tr>
      <w:tr w:rsidR="004726FA" w:rsidRPr="007375EB" w14:paraId="461C3FC6" w14:textId="77777777" w:rsidTr="006E0FC3">
        <w:trPr>
          <w:trHeight w:val="3360"/>
        </w:trPr>
        <w:tc>
          <w:tcPr>
            <w:tcW w:w="1696" w:type="dxa"/>
            <w:vMerge w:val="restart"/>
            <w:shd w:val="clear" w:color="auto" w:fill="auto"/>
            <w:vAlign w:val="center"/>
            <w:hideMark/>
          </w:tcPr>
          <w:p w14:paraId="0AE2B480" w14:textId="0F61B75D" w:rsidR="00AF5FA2" w:rsidRPr="007375EB" w:rsidRDefault="00CD07EA"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Население и човешко здраве</w:t>
            </w:r>
          </w:p>
        </w:tc>
        <w:tc>
          <w:tcPr>
            <w:tcW w:w="2072" w:type="dxa"/>
            <w:shd w:val="clear" w:color="auto" w:fill="auto"/>
            <w:vAlign w:val="center"/>
            <w:hideMark/>
          </w:tcPr>
          <w:p w14:paraId="36333D23" w14:textId="52F589BB" w:rsidR="00AF5FA2" w:rsidRPr="007375EB" w:rsidRDefault="00AF5FA2"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OM10.</w:t>
            </w:r>
            <w:r w:rsidRPr="007375EB">
              <w:rPr>
                <w:rFonts w:ascii="Times New Roman" w:eastAsia="Times New Roman" w:hAnsi="Times New Roman" w:cs="Times New Roman"/>
                <w:b/>
                <w:bCs/>
                <w:color w:val="000000"/>
                <w:sz w:val="14"/>
                <w:szCs w:val="14"/>
                <w:lang w:val="bg-BG" w:eastAsia="ro-RO"/>
              </w:rPr>
              <w:t xml:space="preserve">    </w:t>
            </w:r>
            <w:r w:rsidR="00CD07EA" w:rsidRPr="007375EB">
              <w:rPr>
                <w:rFonts w:eastAsia="Times New Roman" w:cs="Calibri"/>
                <w:color w:val="000000"/>
                <w:sz w:val="16"/>
                <w:szCs w:val="16"/>
                <w:lang w:val="bg-BG" w:eastAsia="ro-RO"/>
              </w:rPr>
              <w:t>Поддържане на качеството на факторите на околната среда в рамките на законовите разпоредби за опазване на околната среда и общественото здраве</w:t>
            </w:r>
          </w:p>
        </w:tc>
        <w:tc>
          <w:tcPr>
            <w:tcW w:w="625" w:type="dxa"/>
            <w:shd w:val="clear" w:color="000000" w:fill="F8CBAD"/>
            <w:noWrap/>
            <w:vAlign w:val="center"/>
            <w:hideMark/>
          </w:tcPr>
          <w:p w14:paraId="66BD28C0"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848" w:type="dxa"/>
            <w:shd w:val="clear" w:color="000000" w:fill="F8CBAD"/>
            <w:noWrap/>
            <w:vAlign w:val="center"/>
            <w:hideMark/>
          </w:tcPr>
          <w:p w14:paraId="01D14112"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39" w:type="dxa"/>
            <w:shd w:val="clear" w:color="000000" w:fill="F8CBAD"/>
            <w:noWrap/>
            <w:vAlign w:val="center"/>
            <w:hideMark/>
          </w:tcPr>
          <w:p w14:paraId="53B9F18E"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1173" w:type="dxa"/>
            <w:shd w:val="clear" w:color="000000" w:fill="F8CBAD"/>
            <w:noWrap/>
            <w:vAlign w:val="center"/>
            <w:hideMark/>
          </w:tcPr>
          <w:p w14:paraId="1F74C043"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30" w:type="dxa"/>
            <w:shd w:val="clear" w:color="000000" w:fill="F8CBAD"/>
            <w:noWrap/>
            <w:vAlign w:val="center"/>
            <w:hideMark/>
          </w:tcPr>
          <w:p w14:paraId="5D00957E"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46" w:type="dxa"/>
            <w:shd w:val="clear" w:color="000000" w:fill="F8CBAD"/>
            <w:noWrap/>
            <w:vAlign w:val="center"/>
            <w:hideMark/>
          </w:tcPr>
          <w:p w14:paraId="7A73E3BA"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8CBAD"/>
            <w:noWrap/>
            <w:vAlign w:val="center"/>
            <w:hideMark/>
          </w:tcPr>
          <w:p w14:paraId="4AF4586C"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425" w:type="dxa"/>
            <w:shd w:val="clear" w:color="000000" w:fill="F8CBAD"/>
            <w:noWrap/>
            <w:vAlign w:val="center"/>
            <w:hideMark/>
          </w:tcPr>
          <w:p w14:paraId="1AF0F8D5"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-1</w:t>
            </w:r>
          </w:p>
        </w:tc>
        <w:tc>
          <w:tcPr>
            <w:tcW w:w="555" w:type="dxa"/>
            <w:gridSpan w:val="2"/>
            <w:shd w:val="clear" w:color="auto" w:fill="F8CBAD"/>
            <w:noWrap/>
            <w:vAlign w:val="center"/>
            <w:hideMark/>
          </w:tcPr>
          <w:p w14:paraId="2986D5CD" w14:textId="28A2D258" w:rsidR="00AF5FA2" w:rsidRPr="007375EB" w:rsidRDefault="00106CD7"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425" w:type="dxa"/>
            <w:shd w:val="clear" w:color="auto" w:fill="F8CBAD"/>
            <w:noWrap/>
            <w:vAlign w:val="center"/>
            <w:hideMark/>
          </w:tcPr>
          <w:p w14:paraId="34C4EBD2" w14:textId="702ED063" w:rsidR="00AF5FA2" w:rsidRPr="007375EB" w:rsidRDefault="00106CD7"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-1</w:t>
            </w:r>
          </w:p>
        </w:tc>
        <w:tc>
          <w:tcPr>
            <w:tcW w:w="709" w:type="dxa"/>
            <w:gridSpan w:val="2"/>
            <w:shd w:val="clear" w:color="000000" w:fill="F8CBAD"/>
            <w:noWrap/>
            <w:vAlign w:val="center"/>
            <w:hideMark/>
          </w:tcPr>
          <w:p w14:paraId="0197A2AC"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67" w:type="dxa"/>
            <w:shd w:val="clear" w:color="000000" w:fill="F8CBAD"/>
            <w:noWrap/>
            <w:vAlign w:val="center"/>
            <w:hideMark/>
          </w:tcPr>
          <w:p w14:paraId="3148499F"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850" w:type="dxa"/>
            <w:shd w:val="clear" w:color="000000" w:fill="F8CBAD"/>
            <w:noWrap/>
            <w:vAlign w:val="center"/>
            <w:hideMark/>
          </w:tcPr>
          <w:p w14:paraId="3D3D27E3"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8" w:type="dxa"/>
            <w:shd w:val="clear" w:color="000000" w:fill="F8CBAD"/>
            <w:noWrap/>
            <w:vAlign w:val="center"/>
            <w:hideMark/>
          </w:tcPr>
          <w:p w14:paraId="6E300D9C"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8CBAD"/>
            <w:noWrap/>
            <w:vAlign w:val="center"/>
            <w:hideMark/>
          </w:tcPr>
          <w:p w14:paraId="44870F9C"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FFF00"/>
            <w:noWrap/>
            <w:vAlign w:val="center"/>
            <w:hideMark/>
          </w:tcPr>
          <w:p w14:paraId="0C6EA9EB"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993" w:type="dxa"/>
            <w:shd w:val="clear" w:color="000000" w:fill="FFFF00"/>
            <w:noWrap/>
            <w:vAlign w:val="center"/>
            <w:hideMark/>
          </w:tcPr>
          <w:p w14:paraId="0C795279"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571" w:type="dxa"/>
            <w:shd w:val="clear" w:color="000000" w:fill="F8CBAD"/>
            <w:noWrap/>
            <w:vAlign w:val="center"/>
            <w:hideMark/>
          </w:tcPr>
          <w:p w14:paraId="255DA4FB"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-1</w:t>
            </w:r>
          </w:p>
        </w:tc>
        <w:tc>
          <w:tcPr>
            <w:tcW w:w="5382" w:type="dxa"/>
            <w:gridSpan w:val="2"/>
            <w:shd w:val="clear" w:color="auto" w:fill="auto"/>
            <w:vAlign w:val="center"/>
            <w:hideMark/>
          </w:tcPr>
          <w:p w14:paraId="5B76EFA6" w14:textId="77777777" w:rsidR="00CD07EA" w:rsidRPr="007375EB" w:rsidRDefault="00CD07EA" w:rsidP="00CD07EA">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По време на етапа на изпълнение</w:t>
            </w:r>
            <w:r w:rsidRPr="007375EB">
              <w:rPr>
                <w:rFonts w:eastAsia="Times New Roman" w:cs="Calibri"/>
                <w:color w:val="000000"/>
                <w:sz w:val="16"/>
                <w:szCs w:val="16"/>
                <w:lang w:val="bg-BG" w:eastAsia="ro-RO"/>
              </w:rPr>
              <w:t xml:space="preserve"> населението в района на прилагане на PUZ може да бъде засегнато от увеличения трафик по местните пътища и пътищата за достъп до населеното място, от емисиите на прах и замърсители, генерирани от работите по плана, от шума и вибрациите, причинени от машините и оборудването, участващи в работите. Тяхното въздействие е локално, временно и с ниска степен на значимост, като се има предвид, че районът на прилагане на PUZ е в покрайнините на населеното място, че това е селски район, който не е пренаселен със строителство и е с малък трафик. </w:t>
            </w:r>
          </w:p>
          <w:p w14:paraId="148EED6E" w14:textId="411F1551" w:rsidR="00AF5FA2" w:rsidRPr="007375EB" w:rsidRDefault="00CD07EA" w:rsidP="00CD07EA">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По време на етапа на експлоатация</w:t>
            </w:r>
            <w:r w:rsidRPr="007375EB">
              <w:rPr>
                <w:rFonts w:eastAsia="Times New Roman" w:cs="Calibri"/>
                <w:color w:val="000000"/>
                <w:sz w:val="16"/>
                <w:szCs w:val="16"/>
                <w:lang w:val="bg-BG" w:eastAsia="ro-RO"/>
              </w:rPr>
              <w:t xml:space="preserve"> на ветроенергийния парк въздействието върху населението и човешкото здраве се изразява в шума, произвеждан от работещите турбини, ефекта на засенчване и промяната на ландшафта.</w:t>
            </w:r>
            <w:r w:rsidR="00AF5FA2" w:rsidRPr="007375EB">
              <w:rPr>
                <w:rFonts w:eastAsia="Times New Roman" w:cs="Calibri"/>
                <w:color w:val="000000"/>
                <w:sz w:val="16"/>
                <w:szCs w:val="16"/>
                <w:lang w:val="bg-BG" w:eastAsia="ro-RO"/>
              </w:rPr>
              <w:br/>
            </w:r>
            <w:r w:rsidRPr="007375EB">
              <w:rPr>
                <w:rFonts w:eastAsia="Times New Roman" w:cs="Calibri"/>
                <w:color w:val="000000"/>
                <w:sz w:val="16"/>
                <w:szCs w:val="16"/>
                <w:lang w:val="bg-BG" w:eastAsia="ro-RO"/>
              </w:rPr>
              <w:t>Капацитетът на турбините от 3 МВт прави шума, произвеждан от отделна турбина, по-малък, но големият брой турбини увеличава вероятността от по-висок кумулативен шум, който би имал отрицателно въздействие върху населението. Като се има предвид големият брой турбини, предложени в проекта (117), който генерира по-висока плътност на турбините в границите на ТДУ „Черчезу“, може да се оцени отрицателно въздействие върху местното население по отношение на ефекта на засенчване. От гледна точка на визуалното въздействие върху населението, то е различно за отделните хора поради разликата във възприятието. Въпреки това големият брой турбини значително променя местния ландшафт</w:t>
            </w:r>
            <w:r w:rsidR="00AF5FA2" w:rsidRPr="007375EB">
              <w:rPr>
                <w:rFonts w:eastAsia="Times New Roman" w:cs="Calibri"/>
                <w:color w:val="000000"/>
                <w:sz w:val="16"/>
                <w:szCs w:val="16"/>
                <w:lang w:val="bg-BG" w:eastAsia="ro-RO"/>
              </w:rPr>
              <w:t>.</w:t>
            </w:r>
            <w:r w:rsidR="00AF5FA2" w:rsidRPr="007375EB">
              <w:rPr>
                <w:rFonts w:eastAsia="Times New Roman" w:cs="Calibri"/>
                <w:color w:val="000000"/>
                <w:sz w:val="16"/>
                <w:szCs w:val="16"/>
                <w:lang w:val="bg-BG" w:eastAsia="ro-RO"/>
              </w:rPr>
              <w:br/>
            </w:r>
            <w:r w:rsidRPr="007375EB">
              <w:rPr>
                <w:rFonts w:eastAsia="Times New Roman" w:cs="Calibri"/>
                <w:i/>
                <w:iCs/>
                <w:color w:val="000000"/>
                <w:sz w:val="16"/>
                <w:szCs w:val="16"/>
                <w:lang w:val="bg-BG" w:eastAsia="ro-RO"/>
              </w:rPr>
              <w:t xml:space="preserve">По време на етапа на извеждане от експлоатация </w:t>
            </w:r>
            <w:r w:rsidRPr="007375EB">
              <w:rPr>
                <w:rFonts w:eastAsia="Times New Roman" w:cs="Calibri"/>
                <w:color w:val="000000"/>
                <w:sz w:val="16"/>
                <w:szCs w:val="16"/>
                <w:lang w:val="bg-BG" w:eastAsia="ro-RO"/>
              </w:rPr>
              <w:t>въздействието върху населението в района на изпълнение на проекта е сходно с това по време на етапа на изпълнение</w:t>
            </w:r>
            <w:r w:rsidR="00AF5FA2" w:rsidRPr="007375EB">
              <w:rPr>
                <w:rFonts w:eastAsia="Times New Roman" w:cs="Calibri"/>
                <w:color w:val="000000"/>
                <w:sz w:val="16"/>
                <w:szCs w:val="16"/>
                <w:lang w:val="bg-BG" w:eastAsia="ro-RO"/>
              </w:rPr>
              <w:t>.</w:t>
            </w:r>
          </w:p>
        </w:tc>
      </w:tr>
      <w:tr w:rsidR="004726FA" w:rsidRPr="007375EB" w14:paraId="4FA49CBF" w14:textId="77777777" w:rsidTr="00CD07EA">
        <w:trPr>
          <w:trHeight w:val="911"/>
        </w:trPr>
        <w:tc>
          <w:tcPr>
            <w:tcW w:w="1696" w:type="dxa"/>
            <w:vMerge/>
            <w:vAlign w:val="center"/>
            <w:hideMark/>
          </w:tcPr>
          <w:p w14:paraId="44C762A0" w14:textId="77777777" w:rsidR="00AF5FA2" w:rsidRPr="007375EB" w:rsidRDefault="00AF5FA2" w:rsidP="00A07C37">
            <w:pPr>
              <w:spacing w:line="240" w:lineRule="auto"/>
              <w:rPr>
                <w:rFonts w:eastAsia="Times New Roman" w:cs="Calibri"/>
                <w:b/>
                <w:bCs/>
                <w:color w:val="000000"/>
                <w:sz w:val="16"/>
                <w:szCs w:val="16"/>
                <w:lang w:val="bg-BG" w:eastAsia="ro-RO"/>
              </w:rPr>
            </w:pPr>
          </w:p>
        </w:tc>
        <w:tc>
          <w:tcPr>
            <w:tcW w:w="2072" w:type="dxa"/>
            <w:shd w:val="clear" w:color="auto" w:fill="auto"/>
            <w:vAlign w:val="center"/>
            <w:hideMark/>
          </w:tcPr>
          <w:p w14:paraId="301F69D8" w14:textId="26A87BB5" w:rsidR="00AF5FA2" w:rsidRPr="007375EB" w:rsidRDefault="00AF5FA2"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OM11.</w:t>
            </w:r>
            <w:r w:rsidRPr="007375EB">
              <w:rPr>
                <w:rFonts w:ascii="Times New Roman" w:eastAsia="Times New Roman" w:hAnsi="Times New Roman" w:cs="Times New Roman"/>
                <w:b/>
                <w:bCs/>
                <w:color w:val="000000"/>
                <w:sz w:val="14"/>
                <w:szCs w:val="14"/>
                <w:lang w:val="bg-BG" w:eastAsia="ro-RO"/>
              </w:rPr>
              <w:t xml:space="preserve">    </w:t>
            </w:r>
            <w:r w:rsidR="00CD07EA" w:rsidRPr="007375EB">
              <w:rPr>
                <w:rFonts w:eastAsia="Times New Roman" w:cs="Calibri"/>
                <w:color w:val="000000"/>
                <w:sz w:val="16"/>
                <w:szCs w:val="16"/>
                <w:lang w:val="bg-BG" w:eastAsia="ro-RO"/>
              </w:rPr>
              <w:t>Подобряване на жизнения стандарт и социалните условия на населението</w:t>
            </w:r>
          </w:p>
        </w:tc>
        <w:tc>
          <w:tcPr>
            <w:tcW w:w="625" w:type="dxa"/>
            <w:shd w:val="clear" w:color="000000" w:fill="C6E0B4"/>
            <w:noWrap/>
            <w:vAlign w:val="center"/>
            <w:hideMark/>
          </w:tcPr>
          <w:p w14:paraId="402C5584"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848" w:type="dxa"/>
            <w:shd w:val="clear" w:color="000000" w:fill="C6E0B4"/>
            <w:noWrap/>
            <w:vAlign w:val="center"/>
            <w:hideMark/>
          </w:tcPr>
          <w:p w14:paraId="7FD97ED1"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39" w:type="dxa"/>
            <w:shd w:val="clear" w:color="000000" w:fill="C6E0B4"/>
            <w:noWrap/>
            <w:vAlign w:val="center"/>
            <w:hideMark/>
          </w:tcPr>
          <w:p w14:paraId="55E31E45"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1173" w:type="dxa"/>
            <w:shd w:val="clear" w:color="000000" w:fill="C6E0B4"/>
            <w:noWrap/>
            <w:vAlign w:val="center"/>
            <w:hideMark/>
          </w:tcPr>
          <w:p w14:paraId="050D3122"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30" w:type="dxa"/>
            <w:shd w:val="clear" w:color="000000" w:fill="C6E0B4"/>
            <w:noWrap/>
            <w:vAlign w:val="center"/>
            <w:hideMark/>
          </w:tcPr>
          <w:p w14:paraId="6622A6B0"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46" w:type="dxa"/>
            <w:shd w:val="clear" w:color="000000" w:fill="C6E0B4"/>
            <w:noWrap/>
            <w:vAlign w:val="center"/>
            <w:hideMark/>
          </w:tcPr>
          <w:p w14:paraId="5A6196C3"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C6E0B4"/>
            <w:noWrap/>
            <w:vAlign w:val="center"/>
            <w:hideMark/>
          </w:tcPr>
          <w:p w14:paraId="6CE19519"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425" w:type="dxa"/>
            <w:shd w:val="clear" w:color="000000" w:fill="C6E0B4"/>
            <w:noWrap/>
            <w:vAlign w:val="center"/>
            <w:hideMark/>
          </w:tcPr>
          <w:p w14:paraId="2521CD41"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1</w:t>
            </w:r>
          </w:p>
        </w:tc>
        <w:tc>
          <w:tcPr>
            <w:tcW w:w="555" w:type="dxa"/>
            <w:gridSpan w:val="2"/>
            <w:shd w:val="clear" w:color="000000" w:fill="00B050"/>
            <w:noWrap/>
            <w:vAlign w:val="center"/>
            <w:hideMark/>
          </w:tcPr>
          <w:p w14:paraId="1CCC031E"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425" w:type="dxa"/>
            <w:shd w:val="clear" w:color="000000" w:fill="00B050"/>
            <w:noWrap/>
            <w:vAlign w:val="center"/>
            <w:hideMark/>
          </w:tcPr>
          <w:p w14:paraId="59A05AD5"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2</w:t>
            </w:r>
          </w:p>
        </w:tc>
        <w:tc>
          <w:tcPr>
            <w:tcW w:w="709" w:type="dxa"/>
            <w:gridSpan w:val="2"/>
            <w:shd w:val="clear" w:color="000000" w:fill="C6E0B4"/>
            <w:noWrap/>
            <w:vAlign w:val="center"/>
            <w:hideMark/>
          </w:tcPr>
          <w:p w14:paraId="77C97B69"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67" w:type="dxa"/>
            <w:shd w:val="clear" w:color="000000" w:fill="C6E0B4"/>
            <w:noWrap/>
            <w:vAlign w:val="center"/>
            <w:hideMark/>
          </w:tcPr>
          <w:p w14:paraId="079069C7"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850" w:type="dxa"/>
            <w:shd w:val="clear" w:color="000000" w:fill="C6E0B4"/>
            <w:noWrap/>
            <w:vAlign w:val="center"/>
            <w:hideMark/>
          </w:tcPr>
          <w:p w14:paraId="4A36A9DF"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8" w:type="dxa"/>
            <w:shd w:val="clear" w:color="000000" w:fill="C6E0B4"/>
            <w:noWrap/>
            <w:vAlign w:val="center"/>
            <w:hideMark/>
          </w:tcPr>
          <w:p w14:paraId="2E1F9ACB"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C6E0B4"/>
            <w:noWrap/>
            <w:vAlign w:val="center"/>
            <w:hideMark/>
          </w:tcPr>
          <w:p w14:paraId="0D821BDD"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C6E0B4"/>
            <w:noWrap/>
            <w:vAlign w:val="center"/>
            <w:hideMark/>
          </w:tcPr>
          <w:p w14:paraId="5373B704"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993" w:type="dxa"/>
            <w:shd w:val="clear" w:color="000000" w:fill="C6E0B4"/>
            <w:noWrap/>
            <w:vAlign w:val="center"/>
            <w:hideMark/>
          </w:tcPr>
          <w:p w14:paraId="1940E41B"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71" w:type="dxa"/>
            <w:shd w:val="clear" w:color="000000" w:fill="C6E0B4"/>
            <w:noWrap/>
            <w:vAlign w:val="center"/>
            <w:hideMark/>
          </w:tcPr>
          <w:p w14:paraId="697B9681"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1</w:t>
            </w:r>
          </w:p>
        </w:tc>
        <w:tc>
          <w:tcPr>
            <w:tcW w:w="5382" w:type="dxa"/>
            <w:gridSpan w:val="2"/>
            <w:shd w:val="clear" w:color="auto" w:fill="auto"/>
            <w:vAlign w:val="center"/>
            <w:hideMark/>
          </w:tcPr>
          <w:p w14:paraId="4549C3A1" w14:textId="5F9D56B1" w:rsidR="00AF5FA2" w:rsidRPr="007375EB" w:rsidRDefault="00CD07EA" w:rsidP="00CD07EA">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 xml:space="preserve">По време на етапа на изпълнение/извеждане от експлоатация </w:t>
            </w:r>
            <w:r w:rsidRPr="007375EB">
              <w:rPr>
                <w:rFonts w:eastAsia="Times New Roman" w:cs="Calibri"/>
                <w:color w:val="000000"/>
                <w:sz w:val="16"/>
                <w:szCs w:val="16"/>
                <w:lang w:val="bg-BG" w:eastAsia="ro-RO"/>
              </w:rPr>
              <w:t>създаването на временни работни места може да има положително въздействие върху жизнения стандарт на местното население</w:t>
            </w:r>
            <w:r w:rsidRPr="007375EB">
              <w:rPr>
                <w:rFonts w:eastAsia="Times New Roman" w:cs="Calibri"/>
                <w:i/>
                <w:iCs/>
                <w:color w:val="000000"/>
                <w:sz w:val="16"/>
                <w:szCs w:val="16"/>
                <w:lang w:val="bg-BG" w:eastAsia="ro-RO"/>
              </w:rPr>
              <w:t>.</w:t>
            </w:r>
            <w:r w:rsidR="00AF5FA2" w:rsidRPr="007375EB">
              <w:rPr>
                <w:rFonts w:eastAsia="Times New Roman" w:cs="Calibri"/>
                <w:color w:val="000000"/>
                <w:sz w:val="16"/>
                <w:szCs w:val="16"/>
                <w:lang w:val="bg-BG" w:eastAsia="ro-RO"/>
              </w:rPr>
              <w:br/>
            </w:r>
            <w:r w:rsidRPr="007375EB">
              <w:rPr>
                <w:rFonts w:eastAsia="Times New Roman" w:cs="Calibri"/>
                <w:i/>
                <w:iCs/>
                <w:color w:val="000000"/>
                <w:sz w:val="16"/>
                <w:szCs w:val="16"/>
                <w:lang w:val="bg-BG" w:eastAsia="ro-RO"/>
              </w:rPr>
              <w:t>По време на етапа на експлоатация</w:t>
            </w:r>
            <w:r w:rsidRPr="007375EB">
              <w:rPr>
                <w:rFonts w:eastAsia="Times New Roman" w:cs="Calibri"/>
                <w:color w:val="000000"/>
                <w:sz w:val="16"/>
                <w:szCs w:val="16"/>
                <w:lang w:val="bg-BG" w:eastAsia="ro-RO"/>
              </w:rPr>
              <w:t xml:space="preserve"> проектът допринася за подобряване на стандарта на живот чрез осигуряване на чист </w:t>
            </w:r>
            <w:r w:rsidRPr="007375EB">
              <w:rPr>
                <w:rFonts w:eastAsia="Times New Roman" w:cs="Calibri"/>
                <w:color w:val="000000"/>
                <w:sz w:val="16"/>
                <w:szCs w:val="16"/>
                <w:lang w:val="bg-BG" w:eastAsia="ro-RO"/>
              </w:rPr>
              <w:lastRenderedPageBreak/>
              <w:t>и стабилен източник на енергия, който може да намали дългосрочните разходи за енергия, и чрез вноски в местния бюджет от права за наемане/отдаване под наем/ползване на земя</w:t>
            </w:r>
            <w:r w:rsidRPr="007375EB">
              <w:rPr>
                <w:rFonts w:eastAsia="Times New Roman" w:cs="Calibri"/>
                <w:i/>
                <w:iCs/>
                <w:color w:val="000000"/>
                <w:sz w:val="16"/>
                <w:szCs w:val="16"/>
                <w:lang w:val="bg-BG" w:eastAsia="ro-RO"/>
              </w:rPr>
              <w:t>.</w:t>
            </w:r>
          </w:p>
        </w:tc>
      </w:tr>
      <w:tr w:rsidR="004726FA" w:rsidRPr="007375EB" w14:paraId="0485E72A" w14:textId="77777777" w:rsidTr="00256BEB">
        <w:trPr>
          <w:trHeight w:val="886"/>
        </w:trPr>
        <w:tc>
          <w:tcPr>
            <w:tcW w:w="1696" w:type="dxa"/>
            <w:shd w:val="clear" w:color="auto" w:fill="auto"/>
            <w:vAlign w:val="center"/>
            <w:hideMark/>
          </w:tcPr>
          <w:p w14:paraId="791E1929" w14:textId="1515636A" w:rsidR="00AF5FA2" w:rsidRPr="007375EB" w:rsidRDefault="00CD07EA"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lastRenderedPageBreak/>
              <w:t>Ландшафт</w:t>
            </w:r>
          </w:p>
        </w:tc>
        <w:tc>
          <w:tcPr>
            <w:tcW w:w="2072" w:type="dxa"/>
            <w:shd w:val="clear" w:color="auto" w:fill="auto"/>
            <w:vAlign w:val="center"/>
            <w:hideMark/>
          </w:tcPr>
          <w:p w14:paraId="12B82891" w14:textId="41131B7C" w:rsidR="00AF5FA2" w:rsidRPr="007375EB" w:rsidRDefault="00AF5FA2"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OM12.</w:t>
            </w:r>
            <w:r w:rsidRPr="007375EB">
              <w:rPr>
                <w:rFonts w:ascii="Times New Roman" w:eastAsia="Times New Roman" w:hAnsi="Times New Roman" w:cs="Times New Roman"/>
                <w:b/>
                <w:bCs/>
                <w:color w:val="000000"/>
                <w:sz w:val="14"/>
                <w:szCs w:val="14"/>
                <w:lang w:val="bg-BG" w:eastAsia="ro-RO"/>
              </w:rPr>
              <w:t xml:space="preserve">    </w:t>
            </w:r>
            <w:r w:rsidR="00CD07EA" w:rsidRPr="007375EB">
              <w:rPr>
                <w:rFonts w:eastAsia="Times New Roman" w:cs="Calibri"/>
                <w:color w:val="000000"/>
                <w:sz w:val="16"/>
                <w:szCs w:val="16"/>
                <w:lang w:val="bg-BG" w:eastAsia="ro-RO"/>
              </w:rPr>
              <w:t>Осигуряване на защита на естествения ландшафт и свеждане до минимум на въздействието върху естествения ландшафт</w:t>
            </w:r>
          </w:p>
        </w:tc>
        <w:tc>
          <w:tcPr>
            <w:tcW w:w="625" w:type="dxa"/>
            <w:shd w:val="clear" w:color="000000" w:fill="F8CBAD"/>
            <w:noWrap/>
            <w:vAlign w:val="center"/>
            <w:hideMark/>
          </w:tcPr>
          <w:p w14:paraId="3DF90117"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848" w:type="dxa"/>
            <w:shd w:val="clear" w:color="000000" w:fill="F8CBAD"/>
            <w:noWrap/>
            <w:vAlign w:val="center"/>
            <w:hideMark/>
          </w:tcPr>
          <w:p w14:paraId="14ABB4F6"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39" w:type="dxa"/>
            <w:shd w:val="clear" w:color="000000" w:fill="FFFF00"/>
            <w:noWrap/>
            <w:vAlign w:val="center"/>
            <w:hideMark/>
          </w:tcPr>
          <w:p w14:paraId="1A4A0089"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1173" w:type="dxa"/>
            <w:shd w:val="clear" w:color="000000" w:fill="F8CBAD"/>
            <w:noWrap/>
            <w:vAlign w:val="center"/>
            <w:hideMark/>
          </w:tcPr>
          <w:p w14:paraId="24033FF8"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30" w:type="dxa"/>
            <w:shd w:val="clear" w:color="000000" w:fill="F8CBAD"/>
            <w:noWrap/>
            <w:vAlign w:val="center"/>
            <w:hideMark/>
          </w:tcPr>
          <w:p w14:paraId="2BB9C96A"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46" w:type="dxa"/>
            <w:shd w:val="clear" w:color="000000" w:fill="F8CBAD"/>
            <w:noWrap/>
            <w:vAlign w:val="center"/>
            <w:hideMark/>
          </w:tcPr>
          <w:p w14:paraId="1170A374"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FFF00"/>
            <w:noWrap/>
            <w:vAlign w:val="center"/>
            <w:hideMark/>
          </w:tcPr>
          <w:p w14:paraId="293B589B"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425" w:type="dxa"/>
            <w:shd w:val="clear" w:color="000000" w:fill="F8CBAD"/>
            <w:noWrap/>
            <w:vAlign w:val="center"/>
            <w:hideMark/>
          </w:tcPr>
          <w:p w14:paraId="64C30660"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-1</w:t>
            </w:r>
          </w:p>
        </w:tc>
        <w:tc>
          <w:tcPr>
            <w:tcW w:w="555" w:type="dxa"/>
            <w:gridSpan w:val="2"/>
            <w:shd w:val="clear" w:color="000000" w:fill="FFFF00"/>
            <w:noWrap/>
            <w:vAlign w:val="center"/>
            <w:hideMark/>
          </w:tcPr>
          <w:p w14:paraId="28D88970"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425" w:type="dxa"/>
            <w:shd w:val="clear" w:color="000000" w:fill="FFFF00"/>
            <w:noWrap/>
            <w:vAlign w:val="center"/>
            <w:hideMark/>
          </w:tcPr>
          <w:p w14:paraId="161D4B22"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0</w:t>
            </w:r>
          </w:p>
        </w:tc>
        <w:tc>
          <w:tcPr>
            <w:tcW w:w="709" w:type="dxa"/>
            <w:gridSpan w:val="2"/>
            <w:shd w:val="clear" w:color="000000" w:fill="F8CBAD"/>
            <w:noWrap/>
            <w:vAlign w:val="center"/>
            <w:hideMark/>
          </w:tcPr>
          <w:p w14:paraId="7CD808BA"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67" w:type="dxa"/>
            <w:shd w:val="clear" w:color="000000" w:fill="00B050"/>
            <w:noWrap/>
            <w:vAlign w:val="center"/>
            <w:hideMark/>
          </w:tcPr>
          <w:p w14:paraId="06D3BC50"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850" w:type="dxa"/>
            <w:shd w:val="clear" w:color="000000" w:fill="F8CBAD"/>
            <w:noWrap/>
            <w:vAlign w:val="center"/>
            <w:hideMark/>
          </w:tcPr>
          <w:p w14:paraId="03EBFC8B"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8" w:type="dxa"/>
            <w:shd w:val="clear" w:color="000000" w:fill="00B050"/>
            <w:noWrap/>
            <w:vAlign w:val="center"/>
            <w:hideMark/>
          </w:tcPr>
          <w:p w14:paraId="0F440BCF"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709" w:type="dxa"/>
            <w:shd w:val="clear" w:color="000000" w:fill="00B050"/>
            <w:noWrap/>
            <w:vAlign w:val="center"/>
            <w:hideMark/>
          </w:tcPr>
          <w:p w14:paraId="4085B73A"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709" w:type="dxa"/>
            <w:shd w:val="clear" w:color="000000" w:fill="F8CBAD"/>
            <w:noWrap/>
            <w:vAlign w:val="center"/>
            <w:hideMark/>
          </w:tcPr>
          <w:p w14:paraId="64D2FA4B"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993" w:type="dxa"/>
            <w:shd w:val="clear" w:color="000000" w:fill="C6E0B4"/>
            <w:noWrap/>
            <w:vAlign w:val="center"/>
            <w:hideMark/>
          </w:tcPr>
          <w:p w14:paraId="0CD9015E" w14:textId="77777777" w:rsidR="00AF5FA2" w:rsidRPr="007375EB" w:rsidRDefault="00AF5FA2"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71" w:type="dxa"/>
            <w:shd w:val="clear" w:color="000000" w:fill="00B050"/>
            <w:noWrap/>
            <w:vAlign w:val="center"/>
            <w:hideMark/>
          </w:tcPr>
          <w:p w14:paraId="7C1618C2" w14:textId="77777777" w:rsidR="00AF5FA2" w:rsidRPr="007375EB" w:rsidRDefault="00AF5FA2"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2</w:t>
            </w:r>
          </w:p>
        </w:tc>
        <w:tc>
          <w:tcPr>
            <w:tcW w:w="5382" w:type="dxa"/>
            <w:gridSpan w:val="2"/>
            <w:shd w:val="clear" w:color="auto" w:fill="auto"/>
            <w:vAlign w:val="center"/>
            <w:hideMark/>
          </w:tcPr>
          <w:p w14:paraId="76C0D1B8" w14:textId="14441F32" w:rsidR="00AF5FA2" w:rsidRPr="007375EB" w:rsidRDefault="00CD07EA" w:rsidP="00CD07EA">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Основното ландшафтно и визуално въздействие от прилагането на плана е промяната на селския ландшафт на района, характеризиращ се само със земеделско земеползване. Изграждането на вятърните турбини и свързаната с тях инфраструктура ще доведе до появата на видими строителни елементи, някои от които ще се виждат само от непосредствена близост, като например озеленените пътища и оградите на трафопостовете, а други, като силуетите на стълбовете и роторите на турбините, ще се виждат в по-голям, но все пак местен мащаб. Вятърните турбини могат да окажат дългосрочно визуално въздействие върху ландшафта, но това въздействие е сравнително незначително в сравнение с други форми на производство на енергия. Извеждането от експлоатация и възстановяването на земята в първоначалното ѝ състояние спомага за възстановяването на естествения ландшафт.</w:t>
            </w:r>
          </w:p>
        </w:tc>
      </w:tr>
      <w:tr w:rsidR="00256BEB" w:rsidRPr="007375EB" w14:paraId="1A06F2AA" w14:textId="77777777" w:rsidTr="006E0FC3">
        <w:trPr>
          <w:trHeight w:val="1050"/>
        </w:trPr>
        <w:tc>
          <w:tcPr>
            <w:tcW w:w="1696" w:type="dxa"/>
            <w:vMerge w:val="restart"/>
            <w:shd w:val="clear" w:color="auto" w:fill="auto"/>
            <w:vAlign w:val="center"/>
            <w:hideMark/>
          </w:tcPr>
          <w:p w14:paraId="2001DDD2" w14:textId="1DF7A09E" w:rsidR="00256BEB" w:rsidRPr="007375EB" w:rsidRDefault="00CD07EA"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Изменение на климата</w:t>
            </w:r>
            <w:r w:rsidR="00256BEB" w:rsidRPr="007375EB">
              <w:rPr>
                <w:rFonts w:eastAsia="Times New Roman" w:cs="Calibri"/>
                <w:b/>
                <w:bCs/>
                <w:color w:val="000000"/>
                <w:sz w:val="16"/>
                <w:szCs w:val="16"/>
                <w:lang w:val="bg-BG" w:eastAsia="ro-RO"/>
              </w:rPr>
              <w:t> </w:t>
            </w:r>
          </w:p>
        </w:tc>
        <w:tc>
          <w:tcPr>
            <w:tcW w:w="2072" w:type="dxa"/>
            <w:shd w:val="clear" w:color="auto" w:fill="auto"/>
            <w:vAlign w:val="center"/>
            <w:hideMark/>
          </w:tcPr>
          <w:p w14:paraId="02A79789" w14:textId="754DE421" w:rsidR="00256BEB" w:rsidRPr="007375EB" w:rsidRDefault="00256BEB"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OM13.</w:t>
            </w:r>
            <w:r w:rsidRPr="007375EB">
              <w:rPr>
                <w:rFonts w:ascii="Times New Roman" w:eastAsia="Times New Roman" w:hAnsi="Times New Roman" w:cs="Times New Roman"/>
                <w:b/>
                <w:bCs/>
                <w:color w:val="000000"/>
                <w:sz w:val="14"/>
                <w:szCs w:val="14"/>
                <w:lang w:val="bg-BG" w:eastAsia="ro-RO"/>
              </w:rPr>
              <w:t xml:space="preserve">    </w:t>
            </w:r>
            <w:r w:rsidR="00CD07EA" w:rsidRPr="007375EB">
              <w:rPr>
                <w:rFonts w:eastAsia="Times New Roman" w:cs="Calibri"/>
                <w:color w:val="000000"/>
                <w:sz w:val="16"/>
                <w:szCs w:val="16"/>
                <w:lang w:val="bg-BG" w:eastAsia="ro-RO"/>
              </w:rPr>
              <w:t>Намаляване на емисиите на парникови газове от енергийния сектор</w:t>
            </w:r>
          </w:p>
        </w:tc>
        <w:tc>
          <w:tcPr>
            <w:tcW w:w="625" w:type="dxa"/>
            <w:shd w:val="clear" w:color="000000" w:fill="F8CBAD"/>
            <w:noWrap/>
            <w:vAlign w:val="center"/>
            <w:hideMark/>
          </w:tcPr>
          <w:p w14:paraId="726D18DD"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848" w:type="dxa"/>
            <w:shd w:val="clear" w:color="000000" w:fill="F8CBAD"/>
            <w:noWrap/>
            <w:vAlign w:val="center"/>
            <w:hideMark/>
          </w:tcPr>
          <w:p w14:paraId="5E5FDC08"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39" w:type="dxa"/>
            <w:shd w:val="clear" w:color="000000" w:fill="F8CBAD"/>
            <w:noWrap/>
            <w:vAlign w:val="center"/>
            <w:hideMark/>
          </w:tcPr>
          <w:p w14:paraId="1E891884"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1173" w:type="dxa"/>
            <w:shd w:val="clear" w:color="000000" w:fill="F8CBAD"/>
            <w:noWrap/>
            <w:vAlign w:val="center"/>
            <w:hideMark/>
          </w:tcPr>
          <w:p w14:paraId="0C7E523A"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30" w:type="dxa"/>
            <w:shd w:val="clear" w:color="000000" w:fill="F8CBAD"/>
            <w:noWrap/>
            <w:vAlign w:val="center"/>
            <w:hideMark/>
          </w:tcPr>
          <w:p w14:paraId="65253F7A"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646" w:type="dxa"/>
            <w:shd w:val="clear" w:color="000000" w:fill="F8CBAD"/>
            <w:noWrap/>
            <w:vAlign w:val="center"/>
            <w:hideMark/>
          </w:tcPr>
          <w:p w14:paraId="6101254D"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FFF00"/>
            <w:noWrap/>
            <w:vAlign w:val="center"/>
            <w:hideMark/>
          </w:tcPr>
          <w:p w14:paraId="0400F017"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425" w:type="dxa"/>
            <w:shd w:val="clear" w:color="000000" w:fill="F8CBAD"/>
            <w:noWrap/>
            <w:vAlign w:val="center"/>
            <w:hideMark/>
          </w:tcPr>
          <w:p w14:paraId="33075229" w14:textId="77777777" w:rsidR="00256BEB" w:rsidRPr="007375EB" w:rsidRDefault="00256BEB"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-1</w:t>
            </w:r>
          </w:p>
        </w:tc>
        <w:tc>
          <w:tcPr>
            <w:tcW w:w="555" w:type="dxa"/>
            <w:gridSpan w:val="2"/>
            <w:shd w:val="clear" w:color="000000" w:fill="00B050"/>
            <w:noWrap/>
            <w:vAlign w:val="center"/>
            <w:hideMark/>
          </w:tcPr>
          <w:p w14:paraId="3AE7C463"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425" w:type="dxa"/>
            <w:shd w:val="clear" w:color="000000" w:fill="00B050"/>
            <w:noWrap/>
            <w:vAlign w:val="center"/>
            <w:hideMark/>
          </w:tcPr>
          <w:p w14:paraId="6865ED78" w14:textId="77777777" w:rsidR="00256BEB" w:rsidRPr="007375EB" w:rsidRDefault="00256BEB"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2</w:t>
            </w:r>
          </w:p>
        </w:tc>
        <w:tc>
          <w:tcPr>
            <w:tcW w:w="709" w:type="dxa"/>
            <w:gridSpan w:val="2"/>
            <w:shd w:val="clear" w:color="000000" w:fill="F8CBAD"/>
            <w:noWrap/>
            <w:vAlign w:val="center"/>
            <w:hideMark/>
          </w:tcPr>
          <w:p w14:paraId="2953F6D4"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567" w:type="dxa"/>
            <w:shd w:val="clear" w:color="000000" w:fill="F8CBAD"/>
            <w:noWrap/>
            <w:vAlign w:val="center"/>
            <w:hideMark/>
          </w:tcPr>
          <w:p w14:paraId="1530DB84"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850" w:type="dxa"/>
            <w:shd w:val="clear" w:color="000000" w:fill="F8CBAD"/>
            <w:noWrap/>
            <w:vAlign w:val="center"/>
            <w:hideMark/>
          </w:tcPr>
          <w:p w14:paraId="0E6208C9"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8" w:type="dxa"/>
            <w:shd w:val="clear" w:color="000000" w:fill="F8CBAD"/>
            <w:noWrap/>
            <w:vAlign w:val="center"/>
            <w:hideMark/>
          </w:tcPr>
          <w:p w14:paraId="61F7B27A"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8CBAD"/>
            <w:noWrap/>
            <w:vAlign w:val="center"/>
            <w:hideMark/>
          </w:tcPr>
          <w:p w14:paraId="7686D9A5"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709" w:type="dxa"/>
            <w:shd w:val="clear" w:color="000000" w:fill="F8CBAD"/>
            <w:noWrap/>
            <w:vAlign w:val="center"/>
            <w:hideMark/>
          </w:tcPr>
          <w:p w14:paraId="2E587B4A"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-1</w:t>
            </w:r>
          </w:p>
        </w:tc>
        <w:tc>
          <w:tcPr>
            <w:tcW w:w="993" w:type="dxa"/>
            <w:shd w:val="clear" w:color="000000" w:fill="FFFF00"/>
            <w:noWrap/>
            <w:vAlign w:val="center"/>
            <w:hideMark/>
          </w:tcPr>
          <w:p w14:paraId="137E928A"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571" w:type="dxa"/>
            <w:shd w:val="clear" w:color="000000" w:fill="F8CBAD"/>
            <w:noWrap/>
            <w:vAlign w:val="center"/>
            <w:hideMark/>
          </w:tcPr>
          <w:p w14:paraId="79C864A3" w14:textId="77777777" w:rsidR="00256BEB" w:rsidRPr="007375EB" w:rsidRDefault="00256BEB"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-1</w:t>
            </w:r>
          </w:p>
        </w:tc>
        <w:tc>
          <w:tcPr>
            <w:tcW w:w="5382" w:type="dxa"/>
            <w:gridSpan w:val="2"/>
            <w:shd w:val="clear" w:color="auto" w:fill="auto"/>
            <w:vAlign w:val="center"/>
            <w:hideMark/>
          </w:tcPr>
          <w:p w14:paraId="2B70B9D9" w14:textId="77777777" w:rsidR="00CD07EA" w:rsidRPr="007375EB" w:rsidRDefault="00CD07EA" w:rsidP="00CD07EA">
            <w:pPr>
              <w:spacing w:line="240" w:lineRule="auto"/>
              <w:jc w:val="both"/>
              <w:rPr>
                <w:rFonts w:eastAsia="Times New Roman" w:cs="Calibri"/>
                <w:i/>
                <w:iCs/>
                <w:color w:val="000000"/>
                <w:sz w:val="16"/>
                <w:szCs w:val="16"/>
                <w:lang w:val="bg-BG" w:eastAsia="ro-RO"/>
              </w:rPr>
            </w:pPr>
            <w:r w:rsidRPr="007375EB">
              <w:rPr>
                <w:rFonts w:eastAsia="Times New Roman" w:cs="Calibri"/>
                <w:i/>
                <w:iCs/>
                <w:color w:val="000000"/>
                <w:sz w:val="16"/>
                <w:szCs w:val="16"/>
                <w:lang w:val="bg-BG" w:eastAsia="ro-RO"/>
              </w:rPr>
              <w:t xml:space="preserve">По време на етапа на изпълнение </w:t>
            </w:r>
            <w:r w:rsidRPr="007375EB">
              <w:rPr>
                <w:rFonts w:eastAsia="Times New Roman" w:cs="Calibri"/>
                <w:color w:val="000000"/>
                <w:sz w:val="16"/>
                <w:szCs w:val="16"/>
                <w:lang w:val="bg-BG" w:eastAsia="ro-RO"/>
              </w:rPr>
              <w:t>на PUZ се генерират емисии на парникови газове, които биха могли да допринесат за явлението глобално затопляне, но предвид малките количества, влиянието е незначително.</w:t>
            </w:r>
            <w:r w:rsidRPr="007375EB">
              <w:rPr>
                <w:rFonts w:eastAsia="Times New Roman" w:cs="Calibri"/>
                <w:i/>
                <w:iCs/>
                <w:color w:val="000000"/>
                <w:sz w:val="16"/>
                <w:szCs w:val="16"/>
                <w:lang w:val="bg-BG" w:eastAsia="ro-RO"/>
              </w:rPr>
              <w:t xml:space="preserve"> </w:t>
            </w:r>
          </w:p>
          <w:p w14:paraId="17C9BD60" w14:textId="591F93AA" w:rsidR="00256BEB" w:rsidRPr="007375EB" w:rsidRDefault="00CD07EA" w:rsidP="00CD07EA">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 xml:space="preserve">Във фазата на експлоатация </w:t>
            </w:r>
            <w:r w:rsidRPr="007375EB">
              <w:rPr>
                <w:rFonts w:eastAsia="Times New Roman" w:cs="Calibri"/>
                <w:color w:val="000000"/>
                <w:sz w:val="16"/>
                <w:szCs w:val="16"/>
                <w:lang w:val="bg-BG" w:eastAsia="ro-RO"/>
              </w:rPr>
              <w:t>вятърният парк допринася значително за намаляване на емисиите на ПГ, като замества еквивалентно количество електроенергия, произведена от изкопаеми горива, допринасяйки за декарбонизацията на енергийния сектор. На етапа на извеждане от експлоатация въздействието е подобно на това на етапа на изграждане.</w:t>
            </w:r>
          </w:p>
        </w:tc>
      </w:tr>
      <w:tr w:rsidR="00256BEB" w:rsidRPr="007375EB" w14:paraId="11C29753" w14:textId="77777777" w:rsidTr="006E0FC3">
        <w:trPr>
          <w:trHeight w:val="840"/>
        </w:trPr>
        <w:tc>
          <w:tcPr>
            <w:tcW w:w="1696" w:type="dxa"/>
            <w:vMerge/>
            <w:shd w:val="clear" w:color="auto" w:fill="auto"/>
            <w:vAlign w:val="center"/>
            <w:hideMark/>
          </w:tcPr>
          <w:p w14:paraId="179819A2" w14:textId="36C7ABCE" w:rsidR="00256BEB" w:rsidRPr="007375EB" w:rsidRDefault="00256BEB" w:rsidP="00A07C37">
            <w:pPr>
              <w:spacing w:line="240" w:lineRule="auto"/>
              <w:rPr>
                <w:rFonts w:eastAsia="Times New Roman" w:cs="Calibri"/>
                <w:b/>
                <w:bCs/>
                <w:color w:val="000000"/>
                <w:sz w:val="16"/>
                <w:szCs w:val="16"/>
                <w:lang w:val="bg-BG" w:eastAsia="ro-RO"/>
              </w:rPr>
            </w:pPr>
          </w:p>
        </w:tc>
        <w:tc>
          <w:tcPr>
            <w:tcW w:w="2072" w:type="dxa"/>
            <w:shd w:val="clear" w:color="auto" w:fill="auto"/>
            <w:vAlign w:val="center"/>
            <w:hideMark/>
          </w:tcPr>
          <w:p w14:paraId="411C2655" w14:textId="201962DF" w:rsidR="00256BEB" w:rsidRPr="007375EB" w:rsidRDefault="00256BEB" w:rsidP="00A07C37">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OM14.</w:t>
            </w:r>
            <w:r w:rsidRPr="007375EB">
              <w:rPr>
                <w:rFonts w:ascii="Times New Roman" w:eastAsia="Times New Roman" w:hAnsi="Times New Roman" w:cs="Times New Roman"/>
                <w:b/>
                <w:bCs/>
                <w:color w:val="000000"/>
                <w:sz w:val="14"/>
                <w:szCs w:val="14"/>
                <w:lang w:val="bg-BG" w:eastAsia="ro-RO"/>
              </w:rPr>
              <w:t xml:space="preserve">    </w:t>
            </w:r>
            <w:r w:rsidR="00CD07EA" w:rsidRPr="007375EB">
              <w:rPr>
                <w:rFonts w:eastAsia="Times New Roman" w:cs="Calibri"/>
                <w:color w:val="000000"/>
                <w:sz w:val="16"/>
                <w:szCs w:val="16"/>
                <w:lang w:val="bg-BG" w:eastAsia="ro-RO"/>
              </w:rPr>
              <w:t>Намаляване на рисковете от изменението на климата (адаптация)</w:t>
            </w:r>
          </w:p>
        </w:tc>
        <w:tc>
          <w:tcPr>
            <w:tcW w:w="625" w:type="dxa"/>
            <w:shd w:val="clear" w:color="000000" w:fill="FFFF00"/>
            <w:noWrap/>
            <w:vAlign w:val="center"/>
            <w:hideMark/>
          </w:tcPr>
          <w:p w14:paraId="6FF7537B"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848" w:type="dxa"/>
            <w:shd w:val="clear" w:color="000000" w:fill="FFFF00"/>
            <w:noWrap/>
            <w:vAlign w:val="center"/>
            <w:hideMark/>
          </w:tcPr>
          <w:p w14:paraId="7E4A9642"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539" w:type="dxa"/>
            <w:shd w:val="clear" w:color="000000" w:fill="FFFF00"/>
            <w:noWrap/>
            <w:vAlign w:val="center"/>
            <w:hideMark/>
          </w:tcPr>
          <w:p w14:paraId="0E73567E"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1173" w:type="dxa"/>
            <w:shd w:val="clear" w:color="000000" w:fill="FFFF00"/>
            <w:noWrap/>
            <w:vAlign w:val="center"/>
            <w:hideMark/>
          </w:tcPr>
          <w:p w14:paraId="79C9E4A1"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630" w:type="dxa"/>
            <w:shd w:val="clear" w:color="000000" w:fill="FFFF00"/>
            <w:noWrap/>
            <w:vAlign w:val="center"/>
            <w:hideMark/>
          </w:tcPr>
          <w:p w14:paraId="5154F1EB"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646" w:type="dxa"/>
            <w:shd w:val="clear" w:color="000000" w:fill="FFFF00"/>
            <w:noWrap/>
            <w:vAlign w:val="center"/>
            <w:hideMark/>
          </w:tcPr>
          <w:p w14:paraId="42D1A0E8"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709" w:type="dxa"/>
            <w:shd w:val="clear" w:color="000000" w:fill="FFFF00"/>
            <w:noWrap/>
            <w:vAlign w:val="center"/>
            <w:hideMark/>
          </w:tcPr>
          <w:p w14:paraId="7F16CAA1"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425" w:type="dxa"/>
            <w:shd w:val="clear" w:color="000000" w:fill="FFFF00"/>
            <w:noWrap/>
            <w:vAlign w:val="center"/>
            <w:hideMark/>
          </w:tcPr>
          <w:p w14:paraId="28688757" w14:textId="77777777" w:rsidR="00256BEB" w:rsidRPr="007375EB" w:rsidRDefault="00256BEB"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0</w:t>
            </w:r>
          </w:p>
        </w:tc>
        <w:tc>
          <w:tcPr>
            <w:tcW w:w="555" w:type="dxa"/>
            <w:gridSpan w:val="2"/>
            <w:shd w:val="clear" w:color="000000" w:fill="00B050"/>
            <w:noWrap/>
            <w:vAlign w:val="center"/>
            <w:hideMark/>
          </w:tcPr>
          <w:p w14:paraId="4D1CCA07"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2</w:t>
            </w:r>
          </w:p>
        </w:tc>
        <w:tc>
          <w:tcPr>
            <w:tcW w:w="425" w:type="dxa"/>
            <w:shd w:val="clear" w:color="000000" w:fill="00B050"/>
            <w:noWrap/>
            <w:vAlign w:val="center"/>
            <w:hideMark/>
          </w:tcPr>
          <w:p w14:paraId="647F5BF0" w14:textId="77777777" w:rsidR="00256BEB" w:rsidRPr="007375EB" w:rsidRDefault="00256BEB"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2</w:t>
            </w:r>
          </w:p>
        </w:tc>
        <w:tc>
          <w:tcPr>
            <w:tcW w:w="709" w:type="dxa"/>
            <w:gridSpan w:val="2"/>
            <w:shd w:val="clear" w:color="000000" w:fill="FFFF00"/>
            <w:noWrap/>
            <w:vAlign w:val="center"/>
            <w:hideMark/>
          </w:tcPr>
          <w:p w14:paraId="04F6E786"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567" w:type="dxa"/>
            <w:shd w:val="clear" w:color="000000" w:fill="FFFF00"/>
            <w:noWrap/>
            <w:vAlign w:val="center"/>
            <w:hideMark/>
          </w:tcPr>
          <w:p w14:paraId="0F1CB149"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850" w:type="dxa"/>
            <w:shd w:val="clear" w:color="000000" w:fill="FFFF00"/>
            <w:noWrap/>
            <w:vAlign w:val="center"/>
            <w:hideMark/>
          </w:tcPr>
          <w:p w14:paraId="5AC9FA6F"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708" w:type="dxa"/>
            <w:shd w:val="clear" w:color="000000" w:fill="FFFF00"/>
            <w:noWrap/>
            <w:vAlign w:val="center"/>
            <w:hideMark/>
          </w:tcPr>
          <w:p w14:paraId="11996804"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709" w:type="dxa"/>
            <w:shd w:val="clear" w:color="000000" w:fill="FFFF00"/>
            <w:noWrap/>
            <w:vAlign w:val="center"/>
            <w:hideMark/>
          </w:tcPr>
          <w:p w14:paraId="45382650"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709" w:type="dxa"/>
            <w:shd w:val="clear" w:color="000000" w:fill="FFFF00"/>
            <w:noWrap/>
            <w:vAlign w:val="center"/>
            <w:hideMark/>
          </w:tcPr>
          <w:p w14:paraId="1622A222"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993" w:type="dxa"/>
            <w:shd w:val="clear" w:color="000000" w:fill="FFFF00"/>
            <w:noWrap/>
            <w:vAlign w:val="center"/>
            <w:hideMark/>
          </w:tcPr>
          <w:p w14:paraId="49B2A860" w14:textId="77777777" w:rsidR="00256BEB" w:rsidRPr="007375EB" w:rsidRDefault="00256BEB" w:rsidP="00A07C37">
            <w:pPr>
              <w:spacing w:line="240" w:lineRule="auto"/>
              <w:jc w:val="center"/>
              <w:rPr>
                <w:rFonts w:eastAsia="Times New Roman" w:cs="Calibri"/>
                <w:color w:val="000000"/>
                <w:sz w:val="16"/>
                <w:szCs w:val="16"/>
                <w:lang w:val="bg-BG" w:eastAsia="ro-RO"/>
              </w:rPr>
            </w:pPr>
            <w:r w:rsidRPr="007375EB">
              <w:rPr>
                <w:rFonts w:eastAsia="Times New Roman" w:cs="Calibri"/>
                <w:color w:val="000000"/>
                <w:sz w:val="16"/>
                <w:szCs w:val="16"/>
                <w:lang w:val="bg-BG" w:eastAsia="ro-RO"/>
              </w:rPr>
              <w:t>0</w:t>
            </w:r>
          </w:p>
        </w:tc>
        <w:tc>
          <w:tcPr>
            <w:tcW w:w="571" w:type="dxa"/>
            <w:shd w:val="clear" w:color="000000" w:fill="FFFF00"/>
            <w:noWrap/>
            <w:vAlign w:val="center"/>
            <w:hideMark/>
          </w:tcPr>
          <w:p w14:paraId="65F2434A" w14:textId="77777777" w:rsidR="00256BEB" w:rsidRPr="007375EB" w:rsidRDefault="00256BEB" w:rsidP="00A07C37">
            <w:pPr>
              <w:spacing w:line="240" w:lineRule="auto"/>
              <w:jc w:val="center"/>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0</w:t>
            </w:r>
          </w:p>
        </w:tc>
        <w:tc>
          <w:tcPr>
            <w:tcW w:w="5382" w:type="dxa"/>
            <w:gridSpan w:val="2"/>
            <w:shd w:val="clear" w:color="auto" w:fill="auto"/>
            <w:vAlign w:val="center"/>
            <w:hideMark/>
          </w:tcPr>
          <w:p w14:paraId="1A0C549D" w14:textId="7DD1D0A5" w:rsidR="00256BEB" w:rsidRPr="007375EB" w:rsidRDefault="00CD07EA" w:rsidP="00CD07EA">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Смята се, че предложението за PUZ няма да увеличи уязвимостта на района към изменението на климата. Работите ще бъдат извършени в съответствие със специфичните разпоредби за проектиране и проучванията на място. Вятърният парк подпомага адаптирането на енергийния сектор към изменението на климата чрез производството на енергия от възобновяеми източници, което намалява зависимостта от изкопаеми горива.</w:t>
            </w:r>
          </w:p>
        </w:tc>
      </w:tr>
      <w:tr w:rsidR="0041745F" w:rsidRPr="007375EB" w14:paraId="077D1DBA" w14:textId="77777777" w:rsidTr="006E0FC3">
        <w:trPr>
          <w:trHeight w:val="705"/>
        </w:trPr>
        <w:tc>
          <w:tcPr>
            <w:tcW w:w="1696" w:type="dxa"/>
            <w:shd w:val="clear" w:color="auto" w:fill="auto"/>
            <w:vAlign w:val="center"/>
            <w:hideMark/>
          </w:tcPr>
          <w:p w14:paraId="71340D16" w14:textId="664199F9" w:rsidR="0041745F" w:rsidRPr="007375EB" w:rsidRDefault="00CD07EA" w:rsidP="0041745F">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Културно наследство</w:t>
            </w:r>
          </w:p>
        </w:tc>
        <w:tc>
          <w:tcPr>
            <w:tcW w:w="2072" w:type="dxa"/>
            <w:shd w:val="clear" w:color="auto" w:fill="auto"/>
            <w:vAlign w:val="center"/>
            <w:hideMark/>
          </w:tcPr>
          <w:p w14:paraId="74E6FF33" w14:textId="5742C97B" w:rsidR="0041745F" w:rsidRPr="007375EB" w:rsidRDefault="0041745F" w:rsidP="0041745F">
            <w:pPr>
              <w:spacing w:line="240" w:lineRule="auto"/>
              <w:rPr>
                <w:rFonts w:eastAsia="Times New Roman" w:cs="Calibri"/>
                <w:b/>
                <w:bCs/>
                <w:color w:val="000000"/>
                <w:sz w:val="16"/>
                <w:szCs w:val="16"/>
                <w:lang w:val="bg-BG" w:eastAsia="ro-RO"/>
              </w:rPr>
            </w:pPr>
            <w:r w:rsidRPr="007375EB">
              <w:rPr>
                <w:rFonts w:eastAsia="Times New Roman" w:cs="Calibri"/>
                <w:b/>
                <w:bCs/>
                <w:color w:val="000000"/>
                <w:sz w:val="16"/>
                <w:szCs w:val="16"/>
                <w:lang w:val="bg-BG" w:eastAsia="ro-RO"/>
              </w:rPr>
              <w:t>OM15.</w:t>
            </w:r>
            <w:r w:rsidRPr="007375EB">
              <w:rPr>
                <w:rFonts w:ascii="Times New Roman" w:eastAsia="Times New Roman" w:hAnsi="Times New Roman" w:cs="Times New Roman"/>
                <w:b/>
                <w:bCs/>
                <w:color w:val="000000"/>
                <w:sz w:val="14"/>
                <w:szCs w:val="14"/>
                <w:lang w:val="bg-BG" w:eastAsia="ro-RO"/>
              </w:rPr>
              <w:t xml:space="preserve">    </w:t>
            </w:r>
            <w:r w:rsidR="00CD07EA" w:rsidRPr="007375EB">
              <w:rPr>
                <w:rFonts w:eastAsia="Times New Roman" w:cs="Calibri"/>
                <w:color w:val="000000"/>
                <w:sz w:val="16"/>
                <w:szCs w:val="16"/>
                <w:lang w:val="bg-BG" w:eastAsia="ro-RO"/>
              </w:rPr>
              <w:t>Защита и опазване на културното наследство</w:t>
            </w:r>
          </w:p>
        </w:tc>
        <w:tc>
          <w:tcPr>
            <w:tcW w:w="625" w:type="dxa"/>
            <w:shd w:val="clear" w:color="auto" w:fill="F8CBAD"/>
            <w:noWrap/>
            <w:vAlign w:val="center"/>
            <w:hideMark/>
          </w:tcPr>
          <w:p w14:paraId="5CD92B41" w14:textId="5D30F7A3" w:rsidR="0041745F" w:rsidRPr="007375EB" w:rsidRDefault="0041745F" w:rsidP="0041745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848" w:type="dxa"/>
            <w:shd w:val="clear" w:color="auto" w:fill="F8CBAD"/>
            <w:noWrap/>
            <w:vAlign w:val="center"/>
            <w:hideMark/>
          </w:tcPr>
          <w:p w14:paraId="125D53D4" w14:textId="1D94265E" w:rsidR="0041745F" w:rsidRPr="007375EB" w:rsidRDefault="0041745F" w:rsidP="0041745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539" w:type="dxa"/>
            <w:shd w:val="clear" w:color="000000" w:fill="FFFF00"/>
            <w:noWrap/>
            <w:vAlign w:val="center"/>
            <w:hideMark/>
          </w:tcPr>
          <w:p w14:paraId="21659F1E" w14:textId="655CD586" w:rsidR="0041745F" w:rsidRPr="007375EB" w:rsidRDefault="0041745F" w:rsidP="0041745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1173" w:type="dxa"/>
            <w:shd w:val="clear" w:color="auto" w:fill="F8CBAD"/>
            <w:noWrap/>
            <w:vAlign w:val="center"/>
            <w:hideMark/>
          </w:tcPr>
          <w:p w14:paraId="52961717" w14:textId="63E88EFA" w:rsidR="0041745F" w:rsidRPr="007375EB" w:rsidRDefault="0041745F" w:rsidP="0041745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630" w:type="dxa"/>
            <w:shd w:val="clear" w:color="000000" w:fill="FFFF00"/>
            <w:noWrap/>
            <w:vAlign w:val="center"/>
            <w:hideMark/>
          </w:tcPr>
          <w:p w14:paraId="6300BB59" w14:textId="0C83677D" w:rsidR="0041745F" w:rsidRPr="007375EB" w:rsidRDefault="0041745F" w:rsidP="0041745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646" w:type="dxa"/>
            <w:shd w:val="clear" w:color="000000" w:fill="FFFF00"/>
            <w:noWrap/>
            <w:vAlign w:val="center"/>
            <w:hideMark/>
          </w:tcPr>
          <w:p w14:paraId="2E20380C" w14:textId="4DEE391A" w:rsidR="0041745F" w:rsidRPr="007375EB" w:rsidRDefault="0041745F" w:rsidP="0041745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9" w:type="dxa"/>
            <w:shd w:val="clear" w:color="000000" w:fill="FFFF00"/>
            <w:noWrap/>
            <w:vAlign w:val="center"/>
            <w:hideMark/>
          </w:tcPr>
          <w:p w14:paraId="251301B9" w14:textId="070AFF24" w:rsidR="0041745F" w:rsidRPr="007375EB" w:rsidRDefault="0041745F" w:rsidP="0041745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25" w:type="dxa"/>
            <w:shd w:val="clear" w:color="auto" w:fill="F8CBAD"/>
            <w:noWrap/>
            <w:vAlign w:val="center"/>
            <w:hideMark/>
          </w:tcPr>
          <w:p w14:paraId="6535D61E" w14:textId="048F2644" w:rsidR="0041745F" w:rsidRPr="007375EB" w:rsidRDefault="0041745F" w:rsidP="0041745F">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hAnsiTheme="minorHAnsi" w:cs="Calibri"/>
                <w:b/>
                <w:bCs/>
                <w:color w:val="000000"/>
                <w:sz w:val="16"/>
                <w:szCs w:val="16"/>
                <w:lang w:val="bg-BG"/>
              </w:rPr>
              <w:t>-1</w:t>
            </w:r>
          </w:p>
        </w:tc>
        <w:tc>
          <w:tcPr>
            <w:tcW w:w="555" w:type="dxa"/>
            <w:gridSpan w:val="2"/>
            <w:shd w:val="clear" w:color="000000" w:fill="FFFF00"/>
            <w:noWrap/>
            <w:vAlign w:val="center"/>
            <w:hideMark/>
          </w:tcPr>
          <w:p w14:paraId="5D643AC7" w14:textId="752B2654" w:rsidR="0041745F" w:rsidRPr="007375EB" w:rsidRDefault="0041745F" w:rsidP="0041745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25" w:type="dxa"/>
            <w:shd w:val="clear" w:color="000000" w:fill="FFFF00"/>
            <w:noWrap/>
            <w:vAlign w:val="center"/>
            <w:hideMark/>
          </w:tcPr>
          <w:p w14:paraId="692FC420" w14:textId="733F542C" w:rsidR="0041745F" w:rsidRPr="007375EB" w:rsidRDefault="0041745F" w:rsidP="0041745F">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hAnsiTheme="minorHAnsi" w:cs="Calibri"/>
                <w:b/>
                <w:bCs/>
                <w:color w:val="000000"/>
                <w:sz w:val="16"/>
                <w:szCs w:val="16"/>
                <w:lang w:val="bg-BG"/>
              </w:rPr>
              <w:t>0</w:t>
            </w:r>
          </w:p>
        </w:tc>
        <w:tc>
          <w:tcPr>
            <w:tcW w:w="709" w:type="dxa"/>
            <w:gridSpan w:val="2"/>
            <w:shd w:val="clear" w:color="000000" w:fill="FFFF00"/>
            <w:noWrap/>
            <w:vAlign w:val="center"/>
            <w:hideMark/>
          </w:tcPr>
          <w:p w14:paraId="6883E5AD" w14:textId="414EA854" w:rsidR="0041745F" w:rsidRPr="007375EB" w:rsidRDefault="0041745F" w:rsidP="0041745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567" w:type="dxa"/>
            <w:shd w:val="clear" w:color="000000" w:fill="FFFF00"/>
            <w:noWrap/>
            <w:vAlign w:val="center"/>
            <w:hideMark/>
          </w:tcPr>
          <w:p w14:paraId="270F06D3" w14:textId="6A6330FF" w:rsidR="0041745F" w:rsidRPr="007375EB" w:rsidRDefault="0041745F" w:rsidP="0041745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850" w:type="dxa"/>
            <w:shd w:val="clear" w:color="auto" w:fill="F8CBAD"/>
            <w:noWrap/>
            <w:vAlign w:val="center"/>
            <w:hideMark/>
          </w:tcPr>
          <w:p w14:paraId="0685927D" w14:textId="266D6227" w:rsidR="0041745F" w:rsidRPr="007375EB" w:rsidRDefault="0041745F" w:rsidP="0041745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708" w:type="dxa"/>
            <w:shd w:val="clear" w:color="auto" w:fill="F8CBAD"/>
            <w:noWrap/>
            <w:vAlign w:val="center"/>
            <w:hideMark/>
          </w:tcPr>
          <w:p w14:paraId="4D5183FA" w14:textId="3F5ADE9C" w:rsidR="0041745F" w:rsidRPr="007375EB" w:rsidRDefault="0041745F" w:rsidP="0041745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709" w:type="dxa"/>
            <w:shd w:val="clear" w:color="000000" w:fill="FFFF00"/>
            <w:noWrap/>
            <w:vAlign w:val="center"/>
            <w:hideMark/>
          </w:tcPr>
          <w:p w14:paraId="4B40DAFF" w14:textId="4E858EDD" w:rsidR="0041745F" w:rsidRPr="007375EB" w:rsidRDefault="0041745F" w:rsidP="0041745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9" w:type="dxa"/>
            <w:shd w:val="clear" w:color="auto" w:fill="F8CBAD"/>
            <w:noWrap/>
            <w:vAlign w:val="center"/>
            <w:hideMark/>
          </w:tcPr>
          <w:p w14:paraId="121E45ED" w14:textId="02359D0F" w:rsidR="0041745F" w:rsidRPr="007375EB" w:rsidRDefault="0041745F" w:rsidP="0041745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993" w:type="dxa"/>
            <w:shd w:val="clear" w:color="000000" w:fill="FFFF00"/>
            <w:noWrap/>
            <w:vAlign w:val="center"/>
            <w:hideMark/>
          </w:tcPr>
          <w:p w14:paraId="2E6D4E0B" w14:textId="18C2A4D9" w:rsidR="0041745F" w:rsidRPr="007375EB" w:rsidRDefault="0041745F" w:rsidP="0041745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571" w:type="dxa"/>
            <w:shd w:val="clear" w:color="auto" w:fill="F8CBAD"/>
            <w:noWrap/>
            <w:vAlign w:val="center"/>
            <w:hideMark/>
          </w:tcPr>
          <w:p w14:paraId="3257D7A2" w14:textId="320D153E" w:rsidR="0041745F" w:rsidRPr="007375EB" w:rsidRDefault="0041745F" w:rsidP="0041745F">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hAnsiTheme="minorHAnsi" w:cs="Calibri"/>
                <w:b/>
                <w:bCs/>
                <w:color w:val="000000"/>
                <w:sz w:val="16"/>
                <w:szCs w:val="16"/>
                <w:lang w:val="bg-BG"/>
              </w:rPr>
              <w:t>-1</w:t>
            </w:r>
          </w:p>
        </w:tc>
        <w:tc>
          <w:tcPr>
            <w:tcW w:w="5382" w:type="dxa"/>
            <w:gridSpan w:val="2"/>
            <w:shd w:val="clear" w:color="auto" w:fill="auto"/>
            <w:vAlign w:val="center"/>
            <w:hideMark/>
          </w:tcPr>
          <w:p w14:paraId="43FD611B" w14:textId="500086D3" w:rsidR="00906C0A" w:rsidRPr="007375EB" w:rsidRDefault="00906C0A" w:rsidP="00CD07EA">
            <w:pPr>
              <w:spacing w:line="240" w:lineRule="auto"/>
              <w:jc w:val="both"/>
              <w:rPr>
                <w:rFonts w:eastAsia="Times New Roman" w:cs="Calibri"/>
                <w:i/>
                <w:iCs/>
                <w:color w:val="000000"/>
                <w:sz w:val="16"/>
                <w:szCs w:val="16"/>
                <w:lang w:val="bg-BG" w:eastAsia="ro-RO"/>
              </w:rPr>
            </w:pPr>
            <w:r w:rsidRPr="007375EB">
              <w:rPr>
                <w:rFonts w:eastAsia="Times New Roman" w:cs="Calibri"/>
                <w:i/>
                <w:iCs/>
                <w:color w:val="000000"/>
                <w:sz w:val="16"/>
                <w:szCs w:val="16"/>
                <w:lang w:val="bg-BG" w:eastAsia="ro-RO"/>
              </w:rPr>
              <w:t xml:space="preserve">По време на етапа на изпълнение и извеждане от експлоатация на работите, </w:t>
            </w:r>
            <w:r w:rsidRPr="007375EB">
              <w:rPr>
                <w:rFonts w:eastAsia="Times New Roman" w:cs="Calibri"/>
                <w:color w:val="000000"/>
                <w:sz w:val="16"/>
                <w:szCs w:val="16"/>
                <w:lang w:val="bg-BG" w:eastAsia="ro-RO"/>
              </w:rPr>
              <w:t xml:space="preserve">предвидени в PUZ, въздействието върху обектите на културното наследство и тези, включени в археологическия регистър, се оценява като незначително отрицателно, като се има предвид, че мястото на турбините се намира извън градската зона на населените места в района на изпълнение на PUZ, а най-близкият обект е Курганът на Късчоареле МОвила Баку, на разстояние около 226 м от двете турбини, предвидени в PUZ. </w:t>
            </w:r>
          </w:p>
          <w:p w14:paraId="6EF8414F" w14:textId="4BACEC98" w:rsidR="0041745F" w:rsidRPr="007375EB" w:rsidRDefault="00906C0A" w:rsidP="00CD07EA">
            <w:pPr>
              <w:spacing w:line="240" w:lineRule="auto"/>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Във фазата на експлоатация на вятърните паркове не се очаква въздействие върху обектите на културното наследство.</w:t>
            </w:r>
          </w:p>
        </w:tc>
      </w:tr>
    </w:tbl>
    <w:p w14:paraId="735CA8CA" w14:textId="77777777" w:rsidR="00B17FB8" w:rsidRPr="007375EB" w:rsidRDefault="00B17FB8" w:rsidP="006E5B3F">
      <w:pPr>
        <w:spacing w:after="120" w:line="360" w:lineRule="auto"/>
        <w:jc w:val="both"/>
        <w:rPr>
          <w:lang w:val="bg-BG" w:eastAsia="ro-RO"/>
        </w:rPr>
      </w:pPr>
    </w:p>
    <w:p w14:paraId="38A7F369" w14:textId="77777777" w:rsidR="00B17FB8" w:rsidRPr="007375EB" w:rsidRDefault="00B17FB8" w:rsidP="006E5B3F">
      <w:pPr>
        <w:spacing w:after="120" w:line="360" w:lineRule="auto"/>
        <w:jc w:val="both"/>
        <w:rPr>
          <w:lang w:val="bg-BG" w:eastAsia="ro-RO"/>
        </w:rPr>
      </w:pPr>
    </w:p>
    <w:p w14:paraId="59B8F32B" w14:textId="77777777" w:rsidR="00327831" w:rsidRPr="007375EB" w:rsidRDefault="00327831" w:rsidP="00B17FB8">
      <w:pPr>
        <w:spacing w:after="120" w:line="360" w:lineRule="auto"/>
        <w:jc w:val="both"/>
        <w:rPr>
          <w:lang w:val="bg-BG" w:eastAsia="ro-RO"/>
        </w:rPr>
        <w:sectPr w:rsidR="00327831" w:rsidRPr="007375EB" w:rsidSect="006B5C9E">
          <w:pgSz w:w="23811" w:h="16838" w:orient="landscape" w:code="8"/>
          <w:pgMar w:top="1191" w:right="2013" w:bottom="1416" w:left="1276" w:header="839" w:footer="680" w:gutter="0"/>
          <w:cols w:space="708"/>
          <w:docGrid w:linePitch="360"/>
        </w:sectPr>
      </w:pPr>
    </w:p>
    <w:p w14:paraId="3BBD22CF" w14:textId="68361047" w:rsidR="00B17FB8" w:rsidRPr="007375EB" w:rsidRDefault="00906C0A" w:rsidP="00B17FB8">
      <w:pPr>
        <w:pStyle w:val="Caption"/>
        <w:rPr>
          <w:rFonts w:eastAsia="EuroRoman"/>
          <w:color w:val="00B0F0"/>
          <w:sz w:val="16"/>
          <w:szCs w:val="16"/>
          <w:lang w:val="bg-BG"/>
        </w:rPr>
      </w:pPr>
      <w:r w:rsidRPr="007375EB">
        <w:rPr>
          <w:sz w:val="16"/>
          <w:szCs w:val="16"/>
          <w:lang w:val="bg-BG"/>
        </w:rPr>
        <w:lastRenderedPageBreak/>
        <w:t>Таблица</w:t>
      </w:r>
      <w:r w:rsidR="00B17FB8" w:rsidRPr="007375EB">
        <w:rPr>
          <w:sz w:val="16"/>
          <w:szCs w:val="16"/>
          <w:lang w:val="bg-BG"/>
        </w:rPr>
        <w:t xml:space="preserve">  </w:t>
      </w:r>
      <w:r w:rsidR="00B17FB8" w:rsidRPr="007375EB">
        <w:rPr>
          <w:sz w:val="16"/>
          <w:szCs w:val="16"/>
          <w:lang w:val="bg-BG"/>
        </w:rPr>
        <w:fldChar w:fldCharType="begin"/>
      </w:r>
      <w:r w:rsidR="00B17FB8" w:rsidRPr="007375EB">
        <w:rPr>
          <w:sz w:val="16"/>
          <w:szCs w:val="16"/>
          <w:lang w:val="bg-BG"/>
        </w:rPr>
        <w:instrText xml:space="preserve"> STYLEREF 1 \s </w:instrText>
      </w:r>
      <w:r w:rsidR="00B17FB8" w:rsidRPr="007375EB">
        <w:rPr>
          <w:sz w:val="16"/>
          <w:szCs w:val="16"/>
          <w:lang w:val="bg-BG"/>
        </w:rPr>
        <w:fldChar w:fldCharType="separate"/>
      </w:r>
      <w:r w:rsidR="00B17FB8" w:rsidRPr="007375EB">
        <w:rPr>
          <w:noProof/>
          <w:sz w:val="16"/>
          <w:szCs w:val="16"/>
          <w:lang w:val="bg-BG"/>
        </w:rPr>
        <w:t>6</w:t>
      </w:r>
      <w:r w:rsidR="00B17FB8" w:rsidRPr="007375EB">
        <w:rPr>
          <w:sz w:val="16"/>
          <w:szCs w:val="16"/>
          <w:lang w:val="bg-BG"/>
        </w:rPr>
        <w:fldChar w:fldCharType="end"/>
      </w:r>
      <w:r w:rsidR="00B17FB8" w:rsidRPr="007375EB">
        <w:rPr>
          <w:sz w:val="16"/>
          <w:szCs w:val="16"/>
          <w:lang w:val="bg-BG"/>
        </w:rPr>
        <w:noBreakHyphen/>
      </w:r>
      <w:r w:rsidR="00B17FB8" w:rsidRPr="007375EB">
        <w:rPr>
          <w:sz w:val="16"/>
          <w:szCs w:val="16"/>
          <w:lang w:val="bg-BG"/>
        </w:rPr>
        <w:fldChar w:fldCharType="begin"/>
      </w:r>
      <w:r w:rsidR="00B17FB8" w:rsidRPr="007375EB">
        <w:rPr>
          <w:sz w:val="16"/>
          <w:szCs w:val="16"/>
          <w:lang w:val="bg-BG"/>
        </w:rPr>
        <w:instrText xml:space="preserve"> SEQ Tabel_ \* ARABIC \s 1 </w:instrText>
      </w:r>
      <w:r w:rsidR="00B17FB8" w:rsidRPr="007375EB">
        <w:rPr>
          <w:sz w:val="16"/>
          <w:szCs w:val="16"/>
          <w:lang w:val="bg-BG"/>
        </w:rPr>
        <w:fldChar w:fldCharType="separate"/>
      </w:r>
      <w:r w:rsidR="00D715BC" w:rsidRPr="007375EB">
        <w:rPr>
          <w:noProof/>
          <w:sz w:val="16"/>
          <w:szCs w:val="16"/>
          <w:lang w:val="bg-BG"/>
        </w:rPr>
        <w:t>8</w:t>
      </w:r>
      <w:r w:rsidR="00B17FB8" w:rsidRPr="007375EB">
        <w:rPr>
          <w:sz w:val="16"/>
          <w:szCs w:val="16"/>
          <w:lang w:val="bg-BG"/>
        </w:rPr>
        <w:fldChar w:fldCharType="end"/>
      </w:r>
      <w:r w:rsidR="00B17FB8" w:rsidRPr="007375EB">
        <w:rPr>
          <w:sz w:val="16"/>
          <w:szCs w:val="16"/>
          <w:lang w:val="bg-BG"/>
        </w:rPr>
        <w:t xml:space="preserve"> </w:t>
      </w:r>
      <w:r w:rsidRPr="007375EB">
        <w:rPr>
          <w:rFonts w:eastAsia="EuroRoman"/>
          <w:color w:val="00B0F0"/>
          <w:sz w:val="16"/>
          <w:szCs w:val="16"/>
          <w:lang w:val="bg-BG"/>
        </w:rPr>
        <w:t>Оценка на въздействието на PUZ по Алтернатива II, стартирала през 2022 г. с 48 вятърни турбини при липса на смекчаващи мерки</w:t>
      </w:r>
    </w:p>
    <w:tbl>
      <w:tblPr>
        <w:tblW w:w="21824" w:type="dxa"/>
        <w:tblLayout w:type="fixed"/>
        <w:tblLook w:val="04A0" w:firstRow="1" w:lastRow="0" w:firstColumn="1" w:lastColumn="0" w:noHBand="0" w:noVBand="1"/>
      </w:tblPr>
      <w:tblGrid>
        <w:gridCol w:w="1525"/>
        <w:gridCol w:w="1767"/>
        <w:gridCol w:w="531"/>
        <w:gridCol w:w="708"/>
        <w:gridCol w:w="567"/>
        <w:gridCol w:w="1418"/>
        <w:gridCol w:w="567"/>
        <w:gridCol w:w="709"/>
        <w:gridCol w:w="708"/>
        <w:gridCol w:w="426"/>
        <w:gridCol w:w="50"/>
        <w:gridCol w:w="517"/>
        <w:gridCol w:w="567"/>
        <w:gridCol w:w="55"/>
        <w:gridCol w:w="653"/>
        <w:gridCol w:w="567"/>
        <w:gridCol w:w="851"/>
        <w:gridCol w:w="850"/>
        <w:gridCol w:w="709"/>
        <w:gridCol w:w="709"/>
        <w:gridCol w:w="851"/>
        <w:gridCol w:w="566"/>
        <w:gridCol w:w="5953"/>
      </w:tblGrid>
      <w:tr w:rsidR="00906C0A" w:rsidRPr="007375EB" w14:paraId="4D58A0E5" w14:textId="77777777" w:rsidTr="00DF0A28">
        <w:trPr>
          <w:trHeight w:val="315"/>
          <w:tblHeader/>
        </w:trPr>
        <w:tc>
          <w:tcPr>
            <w:tcW w:w="1525"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vAlign w:val="center"/>
            <w:hideMark/>
          </w:tcPr>
          <w:p w14:paraId="3989BD90" w14:textId="2292D3F1"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Съответни аспекти на околната среда</w:t>
            </w:r>
          </w:p>
        </w:tc>
        <w:tc>
          <w:tcPr>
            <w:tcW w:w="1767"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vAlign w:val="center"/>
            <w:hideMark/>
          </w:tcPr>
          <w:p w14:paraId="743A150D" w14:textId="3750C301"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Екологични цели, свързани с PUZ</w:t>
            </w:r>
          </w:p>
        </w:tc>
        <w:tc>
          <w:tcPr>
            <w:tcW w:w="5684" w:type="dxa"/>
            <w:gridSpan w:val="9"/>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vAlign w:val="center"/>
            <w:hideMark/>
          </w:tcPr>
          <w:p w14:paraId="73468875" w14:textId="072C2FC5"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Период на изпълнение</w:t>
            </w:r>
          </w:p>
        </w:tc>
        <w:tc>
          <w:tcPr>
            <w:tcW w:w="1139" w:type="dxa"/>
            <w:gridSpan w:val="3"/>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vAlign w:val="center"/>
            <w:hideMark/>
          </w:tcPr>
          <w:p w14:paraId="73EDF0B4" w14:textId="0E33BFB3"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Период на работа</w:t>
            </w:r>
          </w:p>
        </w:tc>
        <w:tc>
          <w:tcPr>
            <w:tcW w:w="5756" w:type="dxa"/>
            <w:gridSpan w:val="8"/>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vAlign w:val="center"/>
            <w:hideMark/>
          </w:tcPr>
          <w:p w14:paraId="0A382181" w14:textId="31E42CF5"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Период на извеждане от експлоатация</w:t>
            </w:r>
          </w:p>
        </w:tc>
        <w:tc>
          <w:tcPr>
            <w:tcW w:w="5953" w:type="dxa"/>
            <w:vMerge w:val="restart"/>
            <w:tcBorders>
              <w:top w:val="dotted" w:sz="4" w:space="0" w:color="A6A6A6" w:themeColor="background1" w:themeShade="A6"/>
              <w:left w:val="dotted" w:sz="4" w:space="0" w:color="A6A6A6" w:themeColor="background1" w:themeShade="A6"/>
              <w:right w:val="dotted" w:sz="4" w:space="0" w:color="A6A6A6" w:themeColor="background1" w:themeShade="A6"/>
            </w:tcBorders>
            <w:shd w:val="clear" w:color="000000" w:fill="00B0F0"/>
            <w:vAlign w:val="center"/>
            <w:hideMark/>
          </w:tcPr>
          <w:p w14:paraId="266A0BEF" w14:textId="4D2E00C2"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Обосновка</w:t>
            </w:r>
          </w:p>
        </w:tc>
      </w:tr>
      <w:tr w:rsidR="00906C0A" w:rsidRPr="007375EB" w14:paraId="06766E09" w14:textId="77777777" w:rsidTr="00DF0A28">
        <w:trPr>
          <w:trHeight w:val="300"/>
          <w:tblHeader/>
        </w:trPr>
        <w:tc>
          <w:tcPr>
            <w:tcW w:w="1525"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5C215F8F" w14:textId="77777777" w:rsidR="00906C0A" w:rsidRPr="007375EB" w:rsidRDefault="00906C0A" w:rsidP="00906C0A">
            <w:pPr>
              <w:spacing w:line="240" w:lineRule="auto"/>
              <w:rPr>
                <w:rFonts w:asciiTheme="minorHAnsi" w:eastAsia="Times New Roman" w:hAnsiTheme="minorHAnsi" w:cs="Calibri"/>
                <w:b/>
                <w:bCs/>
                <w:color w:val="FFFFFF"/>
                <w:sz w:val="12"/>
                <w:szCs w:val="12"/>
                <w:lang w:val="bg-BG" w:eastAsia="ro-RO"/>
              </w:rPr>
            </w:pPr>
          </w:p>
        </w:tc>
        <w:tc>
          <w:tcPr>
            <w:tcW w:w="1767"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075BE026" w14:textId="77777777" w:rsidR="00906C0A" w:rsidRPr="007375EB" w:rsidRDefault="00906C0A" w:rsidP="00906C0A">
            <w:pPr>
              <w:spacing w:line="240" w:lineRule="auto"/>
              <w:rPr>
                <w:rFonts w:asciiTheme="minorHAnsi" w:eastAsia="Times New Roman" w:hAnsiTheme="minorHAnsi" w:cs="Calibri"/>
                <w:b/>
                <w:bCs/>
                <w:color w:val="FFFFFF"/>
                <w:sz w:val="12"/>
                <w:szCs w:val="12"/>
                <w:lang w:val="bg-BG" w:eastAsia="ro-RO"/>
              </w:rPr>
            </w:pPr>
          </w:p>
        </w:tc>
        <w:tc>
          <w:tcPr>
            <w:tcW w:w="531"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6AB2B432" w14:textId="219C2CD4"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Изграждане на пътища за достъп</w:t>
            </w:r>
          </w:p>
        </w:tc>
        <w:tc>
          <w:tcPr>
            <w:tcW w:w="708"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64B7CA50" w14:textId="18CBA087"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Реализация на технологични платформи и основи</w:t>
            </w:r>
          </w:p>
        </w:tc>
        <w:tc>
          <w:tcPr>
            <w:tcW w:w="567"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79D94B55" w14:textId="0AB024D9"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Монтаж на вятърни електроцентрали</w:t>
            </w:r>
          </w:p>
        </w:tc>
        <w:tc>
          <w:tcPr>
            <w:tcW w:w="1418"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202BE7C7" w14:textId="7CAD793F"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Извършване на електрически връзки и полагане на подземни кабели между ветрогенераторните групи</w:t>
            </w:r>
          </w:p>
        </w:tc>
        <w:tc>
          <w:tcPr>
            <w:tcW w:w="567"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4F678659" w14:textId="44E1D378"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Изграждане на трафопостове</w:t>
            </w:r>
          </w:p>
        </w:tc>
        <w:tc>
          <w:tcPr>
            <w:tcW w:w="709"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5199E1FE" w14:textId="4401A020"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 xml:space="preserve">Организация на площадката </w:t>
            </w:r>
          </w:p>
        </w:tc>
        <w:tc>
          <w:tcPr>
            <w:tcW w:w="708"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177FA910" w14:textId="07F91192"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Рекултивация на земята в края на строителството</w:t>
            </w:r>
          </w:p>
        </w:tc>
        <w:tc>
          <w:tcPr>
            <w:tcW w:w="426"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A6A6A6"/>
            <w:textDirection w:val="btLr"/>
            <w:vAlign w:val="center"/>
            <w:hideMark/>
          </w:tcPr>
          <w:p w14:paraId="178591D9" w14:textId="6A2E68DC"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Крайна оценка</w:t>
            </w:r>
          </w:p>
        </w:tc>
        <w:tc>
          <w:tcPr>
            <w:tcW w:w="567" w:type="dxa"/>
            <w:gridSpan w:val="2"/>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7A38ECCC" w14:textId="7C94D724"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Поддръжка и ремонти</w:t>
            </w:r>
          </w:p>
        </w:tc>
        <w:tc>
          <w:tcPr>
            <w:tcW w:w="567"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A6A6A6"/>
            <w:textDirection w:val="btLr"/>
            <w:vAlign w:val="center"/>
            <w:hideMark/>
          </w:tcPr>
          <w:p w14:paraId="74E14C70" w14:textId="4792E4F5"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Крайна оценка</w:t>
            </w:r>
          </w:p>
        </w:tc>
        <w:tc>
          <w:tcPr>
            <w:tcW w:w="708" w:type="dxa"/>
            <w:gridSpan w:val="2"/>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023E481F" w14:textId="16715894"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Организация на строителната площадка</w:t>
            </w:r>
          </w:p>
        </w:tc>
        <w:tc>
          <w:tcPr>
            <w:tcW w:w="567"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2A61823D" w14:textId="18E473C9"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Демонтаж на вятърни електроцентрали</w:t>
            </w:r>
          </w:p>
        </w:tc>
        <w:tc>
          <w:tcPr>
            <w:tcW w:w="851"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79CE21BF" w14:textId="56E8A5C1"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Извеждане от експлоатация на технологични платформи и фундаменти</w:t>
            </w:r>
          </w:p>
        </w:tc>
        <w:tc>
          <w:tcPr>
            <w:tcW w:w="850"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73F18715" w14:textId="48C86146"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Извеждане от експлоатация на електрически връзки и премахване на подземни кабели</w:t>
            </w:r>
          </w:p>
        </w:tc>
        <w:tc>
          <w:tcPr>
            <w:tcW w:w="709"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13D823A6" w14:textId="5E9D9F07"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Извеждане от експлоатация на трафопостове</w:t>
            </w:r>
          </w:p>
        </w:tc>
        <w:tc>
          <w:tcPr>
            <w:tcW w:w="709"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65DC43E3" w14:textId="4BE63E71"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Извеждане от експлоатация на експлоатационни пътища</w:t>
            </w:r>
          </w:p>
        </w:tc>
        <w:tc>
          <w:tcPr>
            <w:tcW w:w="851"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4E25383A" w14:textId="35AD98F8"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Мелиоративни работи след завършване на строителството</w:t>
            </w:r>
          </w:p>
        </w:tc>
        <w:tc>
          <w:tcPr>
            <w:tcW w:w="566"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A6A6A6"/>
            <w:textDirection w:val="btLr"/>
            <w:vAlign w:val="center"/>
            <w:hideMark/>
          </w:tcPr>
          <w:p w14:paraId="04EADDF8" w14:textId="1BA33BEB" w:rsidR="00906C0A" w:rsidRPr="007375EB" w:rsidRDefault="00906C0A" w:rsidP="00906C0A">
            <w:pPr>
              <w:spacing w:line="240" w:lineRule="auto"/>
              <w:jc w:val="center"/>
              <w:rPr>
                <w:rFonts w:asciiTheme="minorHAnsi" w:eastAsia="Times New Roman" w:hAnsiTheme="minorHAnsi" w:cs="Calibri"/>
                <w:b/>
                <w:bCs/>
                <w:color w:val="FFFFFF"/>
                <w:sz w:val="12"/>
                <w:szCs w:val="12"/>
                <w:lang w:val="bg-BG" w:eastAsia="ro-RO"/>
              </w:rPr>
            </w:pPr>
            <w:r w:rsidRPr="007375EB">
              <w:rPr>
                <w:rFonts w:eastAsia="Times New Roman" w:cs="Calibri"/>
                <w:b/>
                <w:bCs/>
                <w:color w:val="FFFFFF"/>
                <w:sz w:val="12"/>
                <w:szCs w:val="12"/>
                <w:lang w:val="bg-BG" w:eastAsia="ro-RO"/>
              </w:rPr>
              <w:t>Крайна оценка</w:t>
            </w:r>
          </w:p>
        </w:tc>
        <w:tc>
          <w:tcPr>
            <w:tcW w:w="5953" w:type="dxa"/>
            <w:vMerge/>
            <w:tcBorders>
              <w:left w:val="dotted" w:sz="4" w:space="0" w:color="A6A6A6" w:themeColor="background1" w:themeShade="A6"/>
              <w:right w:val="dotted" w:sz="4" w:space="0" w:color="A6A6A6" w:themeColor="background1" w:themeShade="A6"/>
            </w:tcBorders>
            <w:vAlign w:val="center"/>
            <w:hideMark/>
          </w:tcPr>
          <w:p w14:paraId="41521EDA" w14:textId="77777777" w:rsidR="00906C0A" w:rsidRPr="007375EB" w:rsidRDefault="00906C0A" w:rsidP="00906C0A">
            <w:pPr>
              <w:spacing w:line="240" w:lineRule="auto"/>
              <w:rPr>
                <w:rFonts w:asciiTheme="minorHAnsi" w:eastAsia="Times New Roman" w:hAnsiTheme="minorHAnsi" w:cs="Calibri"/>
                <w:b/>
                <w:bCs/>
                <w:color w:val="FFFFFF"/>
                <w:sz w:val="16"/>
                <w:szCs w:val="16"/>
                <w:lang w:val="bg-BG" w:eastAsia="ro-RO"/>
              </w:rPr>
            </w:pPr>
          </w:p>
        </w:tc>
      </w:tr>
      <w:tr w:rsidR="000D1C38" w:rsidRPr="007375EB" w14:paraId="0B0C5B95" w14:textId="77777777" w:rsidTr="00DF0A28">
        <w:trPr>
          <w:trHeight w:val="1230"/>
          <w:tblHeader/>
        </w:trPr>
        <w:tc>
          <w:tcPr>
            <w:tcW w:w="1525"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086804C6"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1767"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198BC792"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531"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2273E2E4"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708"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52D3F6CE"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567"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28B01C99"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1418"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0745D24E"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567"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1CA1C112"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709"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04789500"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708"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20F8E317"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426"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072CA4C7"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567" w:type="dxa"/>
            <w:gridSpan w:val="2"/>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56BA1B57"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567"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3CB7C986"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708" w:type="dxa"/>
            <w:gridSpan w:val="2"/>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71BAE940"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567"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2A9338B5"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851"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6CF3465A"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850"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4BDED94A"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709"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3F42C99E"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709"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003D9528"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851"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558FE271"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566"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0BEEEAC3"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c>
          <w:tcPr>
            <w:tcW w:w="5953" w:type="dxa"/>
            <w:vMerge/>
            <w:tcBorders>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67B0F74E" w14:textId="77777777" w:rsidR="000D1C38" w:rsidRPr="007375EB" w:rsidRDefault="000D1C38">
            <w:pPr>
              <w:spacing w:line="240" w:lineRule="auto"/>
              <w:rPr>
                <w:rFonts w:asciiTheme="minorHAnsi" w:eastAsia="Times New Roman" w:hAnsiTheme="minorHAnsi" w:cs="Calibri"/>
                <w:b/>
                <w:bCs/>
                <w:color w:val="FFFFFF"/>
                <w:sz w:val="16"/>
                <w:szCs w:val="16"/>
                <w:lang w:val="bg-BG" w:eastAsia="ro-RO"/>
              </w:rPr>
            </w:pPr>
          </w:p>
        </w:tc>
      </w:tr>
      <w:tr w:rsidR="000D1C38" w:rsidRPr="007375EB" w14:paraId="62606FD8" w14:textId="77777777" w:rsidTr="00DF0A28">
        <w:trPr>
          <w:trHeight w:val="4022"/>
        </w:trPr>
        <w:tc>
          <w:tcPr>
            <w:tcW w:w="152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74221A59" w14:textId="3511B783" w:rsidR="000D1C38" w:rsidRPr="007375EB" w:rsidRDefault="00906C0A">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Вода</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5B59C383" w14:textId="0CD39DCD" w:rsidR="000D1C38" w:rsidRPr="007375EB" w:rsidRDefault="000D1C38">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OM1.</w:t>
            </w:r>
            <w:r w:rsidRPr="007375EB">
              <w:rPr>
                <w:rFonts w:asciiTheme="minorHAnsi" w:eastAsia="Times New Roman" w:hAnsiTheme="minorHAnsi" w:cs="Times New Roman"/>
                <w:b/>
                <w:bCs/>
                <w:color w:val="000000"/>
                <w:sz w:val="16"/>
                <w:szCs w:val="16"/>
                <w:lang w:val="bg-BG" w:eastAsia="ro-RO"/>
              </w:rPr>
              <w:t xml:space="preserve">   </w:t>
            </w:r>
            <w:r w:rsidR="00906C0A" w:rsidRPr="007375EB">
              <w:rPr>
                <w:sz w:val="16"/>
                <w:szCs w:val="16"/>
                <w:lang w:val="bg-BG"/>
              </w:rPr>
              <w:t>Поддържане и подобряване на екологичното състояние/екологичния потенциал и химичното състояние на повърхностните и подземните водни тела</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DAE6A1C"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7296EC4"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B8B30B1"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45D7C7D3"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219B51C"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F45A347"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D95A5CD"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1066D23" w14:textId="77777777" w:rsidR="000D1C38" w:rsidRPr="007375EB" w:rsidRDefault="000D1C38">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E958C04"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A29470E" w14:textId="77777777" w:rsidR="000D1C38" w:rsidRPr="007375EB" w:rsidRDefault="000D1C38">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C979024"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D81ADCA"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2F4E9D6"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48BB8D36"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E251B9E"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0A175C8"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5D305D62"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37B6FBD" w14:textId="77777777" w:rsidR="000D1C38" w:rsidRPr="007375EB" w:rsidRDefault="000D1C38">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6940C6D" w14:textId="0EA37CDD" w:rsidR="00906C0A" w:rsidRPr="007375EB" w:rsidRDefault="00906C0A" w:rsidP="00906C0A">
            <w:pPr>
              <w:spacing w:line="240" w:lineRule="auto"/>
              <w:jc w:val="both"/>
              <w:rPr>
                <w:rFonts w:asciiTheme="minorHAnsi" w:eastAsia="Times New Roman" w:hAnsiTheme="minorHAnsi" w:cs="Calibri"/>
                <w:i/>
                <w:iCs/>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В етапа на строителство </w:t>
            </w:r>
            <w:r w:rsidRPr="007375EB">
              <w:rPr>
                <w:rFonts w:asciiTheme="minorHAnsi" w:eastAsia="Times New Roman" w:hAnsiTheme="minorHAnsi" w:cs="Calibri"/>
                <w:color w:val="000000"/>
                <w:sz w:val="16"/>
                <w:szCs w:val="16"/>
                <w:lang w:val="bg-BG" w:eastAsia="ro-RO"/>
              </w:rPr>
              <w:t>настоящият PUZ предвижда пресичане на реките Черкез (2 пъти) и Мъгура (2 пъти), което ще се извърши чрез хоризонтално сондиране на дълбочина 1 метър между горния генератор на защитния тръбопровод и насипа на реката. След приключване на работите засегнатите зони ще бъдат възстановени в първоначалното им състояние. В допълнение към тези работи е възможно да има течове на използвани строителни материали или горива/смазочни материали от машините, участващи в работите по организиране на площадката, пътища за достъп, технологични платформи, електрически връзки и полагане на кабели, монтаж на турбината и възстановяване на терена в края на работите. Ерозията, причинена от изкопните работи, е друг фактор, който може да промени качеството на повърхностните водни обекти в района на изпълнение, като увеличи мътността</w:t>
            </w:r>
            <w:r w:rsidR="000D1C38" w:rsidRPr="007375EB">
              <w:rPr>
                <w:rFonts w:asciiTheme="minorHAnsi" w:eastAsia="Times New Roman" w:hAnsiTheme="minorHAnsi" w:cs="Calibri"/>
                <w:color w:val="000000"/>
                <w:sz w:val="16"/>
                <w:szCs w:val="16"/>
                <w:lang w:val="bg-BG" w:eastAsia="ro-RO"/>
              </w:rPr>
              <w:t>.</w:t>
            </w:r>
            <w:r w:rsidR="000D1C38" w:rsidRPr="007375EB">
              <w:rPr>
                <w:rFonts w:asciiTheme="minorHAnsi" w:eastAsia="Times New Roman" w:hAnsiTheme="minorHAnsi" w:cs="Calibri"/>
                <w:color w:val="000000"/>
                <w:sz w:val="16"/>
                <w:szCs w:val="16"/>
                <w:lang w:val="bg-BG" w:eastAsia="ro-RO"/>
              </w:rPr>
              <w:br/>
            </w:r>
            <w:r w:rsidRPr="007375EB">
              <w:rPr>
                <w:rFonts w:asciiTheme="minorHAnsi" w:eastAsia="Times New Roman" w:hAnsiTheme="minorHAnsi" w:cs="Calibri"/>
                <w:color w:val="000000"/>
                <w:sz w:val="16"/>
                <w:szCs w:val="16"/>
                <w:lang w:val="bg-BG" w:eastAsia="ro-RO"/>
              </w:rPr>
              <w:t>В PUZ не се предвижда добив на подземни или повърхностни води от района на обекта, така че няма да има въздействие върху хидрологията на района, нито пък ще бъдат засегнати вторично други дейности, зависещи от този ресурс. Потенциалното въздействие се усеща локално, като цяло ограничено до периметъра на площадките и работните фронтове. По принцип такива работи се извършват на етапи, което ще включва периодично изместване на работните фронтове и съответно на зоните на отрицателно въздействие. Въздействието ще бъде временно (за времето на работите). Работите по PUZ няма да имат значително дългосрочно въздействие върху качеството на водата</w:t>
            </w:r>
            <w:r w:rsidR="000D1C38" w:rsidRPr="007375EB">
              <w:rPr>
                <w:rFonts w:asciiTheme="minorHAnsi" w:eastAsia="Times New Roman" w:hAnsiTheme="minorHAnsi" w:cs="Calibri"/>
                <w:sz w:val="16"/>
                <w:szCs w:val="16"/>
                <w:lang w:val="bg-BG" w:eastAsia="ro-RO"/>
              </w:rPr>
              <w:t>.</w:t>
            </w:r>
            <w:r w:rsidR="000D1C38" w:rsidRPr="007375EB">
              <w:rPr>
                <w:rFonts w:asciiTheme="minorHAnsi" w:eastAsia="Times New Roman" w:hAnsiTheme="minorHAnsi" w:cs="Calibri"/>
                <w:color w:val="000000"/>
                <w:sz w:val="16"/>
                <w:szCs w:val="16"/>
                <w:lang w:val="bg-BG" w:eastAsia="ro-RO"/>
              </w:rPr>
              <w:br/>
            </w:r>
            <w:r w:rsidRPr="007375EB">
              <w:rPr>
                <w:rFonts w:asciiTheme="minorHAnsi" w:eastAsia="Times New Roman" w:hAnsiTheme="minorHAnsi" w:cs="Calibri"/>
                <w:i/>
                <w:iCs/>
                <w:color w:val="000000"/>
                <w:sz w:val="16"/>
                <w:szCs w:val="16"/>
                <w:lang w:val="bg-BG" w:eastAsia="ro-RO"/>
              </w:rPr>
              <w:t xml:space="preserve">По време на експлоатационната фаза </w:t>
            </w:r>
            <w:r w:rsidRPr="007375EB">
              <w:rPr>
                <w:rFonts w:asciiTheme="minorHAnsi" w:eastAsia="Times New Roman" w:hAnsiTheme="minorHAnsi" w:cs="Calibri"/>
                <w:color w:val="000000"/>
                <w:sz w:val="16"/>
                <w:szCs w:val="16"/>
                <w:lang w:val="bg-BG" w:eastAsia="ro-RO"/>
              </w:rPr>
              <w:t>на вятърния парк не се генерират отпадъчни води. Работите по поддръжката и ремонта ще се извършват в съответствие с програмите и плана за поддръжка и ремонт, без да се засягат факторите на околната среда.</w:t>
            </w:r>
            <w:r w:rsidRPr="007375EB">
              <w:rPr>
                <w:rFonts w:asciiTheme="minorHAnsi" w:eastAsia="Times New Roman" w:hAnsiTheme="minorHAnsi" w:cs="Calibri"/>
                <w:i/>
                <w:iCs/>
                <w:color w:val="000000"/>
                <w:sz w:val="16"/>
                <w:szCs w:val="16"/>
                <w:lang w:val="bg-BG" w:eastAsia="ro-RO"/>
              </w:rPr>
              <w:t xml:space="preserve"> </w:t>
            </w:r>
          </w:p>
          <w:p w14:paraId="517A7828" w14:textId="7F6974BB" w:rsidR="000D1C38" w:rsidRPr="007375EB" w:rsidRDefault="00906C0A" w:rsidP="00906C0A">
            <w:pPr>
              <w:spacing w:line="240" w:lineRule="auto"/>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В етапа на извеждане от експлоатация на инвестициите, </w:t>
            </w:r>
            <w:r w:rsidRPr="007375EB">
              <w:rPr>
                <w:rFonts w:asciiTheme="minorHAnsi" w:eastAsia="Times New Roman" w:hAnsiTheme="minorHAnsi" w:cs="Calibri"/>
                <w:color w:val="000000"/>
                <w:sz w:val="16"/>
                <w:szCs w:val="16"/>
                <w:lang w:val="bg-BG" w:eastAsia="ro-RO"/>
              </w:rPr>
              <w:t>предвидени от PUZ, очакваното въздействие е подобно на това на етапа на строителство</w:t>
            </w:r>
            <w:r w:rsidR="000D1C38" w:rsidRPr="007375EB">
              <w:rPr>
                <w:rFonts w:asciiTheme="minorHAnsi" w:eastAsia="Times New Roman" w:hAnsiTheme="minorHAnsi" w:cs="Calibri"/>
                <w:color w:val="000000"/>
                <w:sz w:val="16"/>
                <w:szCs w:val="16"/>
                <w:lang w:val="bg-BG" w:eastAsia="ro-RO"/>
              </w:rPr>
              <w:t>.</w:t>
            </w:r>
          </w:p>
        </w:tc>
      </w:tr>
      <w:tr w:rsidR="000D1C38" w:rsidRPr="007375EB" w14:paraId="6C4BDAF1" w14:textId="77777777" w:rsidTr="00DF0A28">
        <w:trPr>
          <w:trHeight w:val="3330"/>
        </w:trPr>
        <w:tc>
          <w:tcPr>
            <w:tcW w:w="152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8AF9F17" w14:textId="724CD977" w:rsidR="000D1C38" w:rsidRPr="007375EB" w:rsidRDefault="00906C0A">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Въздух</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7477053A" w14:textId="49255F6B" w:rsidR="000D1C38" w:rsidRPr="007375EB" w:rsidRDefault="000D1C38">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OM2.</w:t>
            </w:r>
            <w:r w:rsidRPr="007375EB">
              <w:rPr>
                <w:rFonts w:asciiTheme="minorHAnsi" w:eastAsia="Times New Roman" w:hAnsiTheme="minorHAnsi" w:cs="Times New Roman"/>
                <w:b/>
                <w:bCs/>
                <w:color w:val="000000"/>
                <w:sz w:val="16"/>
                <w:szCs w:val="16"/>
                <w:lang w:val="bg-BG" w:eastAsia="ro-RO"/>
              </w:rPr>
              <w:t xml:space="preserve">   </w:t>
            </w:r>
            <w:r w:rsidR="00906C0A" w:rsidRPr="007375EB">
              <w:rPr>
                <w:rFonts w:eastAsia="Times New Roman" w:cs="Calibri"/>
                <w:color w:val="000000"/>
                <w:sz w:val="16"/>
                <w:szCs w:val="16"/>
                <w:lang w:val="bg-BG" w:eastAsia="ro-RO"/>
              </w:rPr>
              <w:t>Поддържане на качеството на въздуха чрез намаляване на емисиите, генерирани от дейности в енергийния сектор</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510740A"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34061C0"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7F2CC7B"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89B5A55"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AE54BF2"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99F26F5"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9A646A5"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AF0DFEA" w14:textId="77777777" w:rsidR="000D1C38" w:rsidRPr="007375EB" w:rsidRDefault="000D1C38">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50"/>
            <w:noWrap/>
            <w:vAlign w:val="center"/>
            <w:hideMark/>
          </w:tcPr>
          <w:p w14:paraId="15CAE1C9" w14:textId="3B9D67B7" w:rsidR="000D1C38" w:rsidRPr="007375EB" w:rsidRDefault="000D38B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50"/>
            <w:noWrap/>
            <w:vAlign w:val="center"/>
            <w:hideMark/>
          </w:tcPr>
          <w:p w14:paraId="2344A454" w14:textId="4DC85F18" w:rsidR="000D1C38" w:rsidRPr="007375EB" w:rsidRDefault="000D38BC">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2</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B60E8DC"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FD1F831"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52B5973"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B136F1D"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39A7950"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82CBA5F"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06F68CDB"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B8665D5" w14:textId="77777777" w:rsidR="000D1C38" w:rsidRPr="007375EB" w:rsidRDefault="000D1C38">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DFD5FAA" w14:textId="29771E25" w:rsidR="000D1C38" w:rsidRPr="007375EB" w:rsidRDefault="00724D22" w:rsidP="00724D22">
            <w:pPr>
              <w:spacing w:line="240" w:lineRule="auto"/>
              <w:jc w:val="both"/>
              <w:rPr>
                <w:rFonts w:asciiTheme="minorHAnsi" w:eastAsia="Times New Roman" w:hAnsiTheme="minorHAnsi" w:cs="Calibri"/>
                <w:sz w:val="16"/>
                <w:szCs w:val="16"/>
                <w:lang w:val="bg-BG" w:eastAsia="ro-RO"/>
              </w:rPr>
            </w:pPr>
            <w:r w:rsidRPr="007375EB">
              <w:rPr>
                <w:rFonts w:asciiTheme="minorHAnsi" w:eastAsia="Times New Roman" w:hAnsiTheme="minorHAnsi" w:cs="Calibri"/>
                <w:i/>
                <w:iCs/>
                <w:sz w:val="16"/>
                <w:szCs w:val="16"/>
                <w:lang w:val="bg-BG" w:eastAsia="ro-RO"/>
              </w:rPr>
              <w:t xml:space="preserve">На етапа на строителството </w:t>
            </w:r>
            <w:r w:rsidRPr="007375EB">
              <w:rPr>
                <w:rFonts w:asciiTheme="minorHAnsi" w:eastAsia="Times New Roman" w:hAnsiTheme="minorHAnsi" w:cs="Calibri"/>
                <w:sz w:val="16"/>
                <w:szCs w:val="16"/>
                <w:lang w:val="bg-BG" w:eastAsia="ro-RO"/>
              </w:rPr>
              <w:t>източниците на емисии са прахови емисии от изкопни работи, работа с превозни средства и строителни материали, както и емисии на замърсители, характерни за изгарянето на изкопаеми горива, свързани със строителните машини/оборудване и транспорт. Ерозията, причинена от изкопните работи, е друг фактор, който може да доведе до промяна на качеството на въздуха в района на изпълнение. Нивото на емисиите на прах и замърсители зависи от нивото на ежедневната дейност, спецификата на работите, като варира значително през отделните дни, от една фаза на строителния процес до друга, както и от метеорологичните условия</w:t>
            </w:r>
            <w:r w:rsidRPr="007375EB">
              <w:rPr>
                <w:rFonts w:asciiTheme="minorHAnsi" w:eastAsia="Times New Roman" w:hAnsiTheme="minorHAnsi" w:cs="Calibri"/>
                <w:i/>
                <w:iCs/>
                <w:sz w:val="16"/>
                <w:szCs w:val="16"/>
                <w:lang w:val="bg-BG" w:eastAsia="ro-RO"/>
              </w:rPr>
              <w:t>.</w:t>
            </w:r>
            <w:r w:rsidR="000D1C38" w:rsidRPr="007375EB">
              <w:rPr>
                <w:rFonts w:asciiTheme="minorHAnsi" w:eastAsia="Times New Roman" w:hAnsiTheme="minorHAnsi" w:cs="Calibri"/>
                <w:sz w:val="16"/>
                <w:szCs w:val="16"/>
                <w:lang w:val="bg-BG" w:eastAsia="ro-RO"/>
              </w:rPr>
              <w:br/>
            </w:r>
            <w:r w:rsidRPr="007375EB">
              <w:rPr>
                <w:rFonts w:asciiTheme="minorHAnsi" w:eastAsia="Times New Roman" w:hAnsiTheme="minorHAnsi" w:cs="Calibri"/>
                <w:sz w:val="16"/>
                <w:szCs w:val="16"/>
                <w:lang w:val="bg-BG" w:eastAsia="ro-RO"/>
              </w:rPr>
              <w:t>Като се има предвид, че работите се извършват на етапи (подобряване на пътя, земни работи, изпълнение на основите, монтаж на турбината), може да се прецени, че този екологичен фактор няма да бъде засегнат значително, като потенциалното въздействие е временно, локално, ограничено до периметъра на площадките и работните повърхности. На етапа на експлоатация вятърните турбини допринасят за намаляване на емисиите на парникови газове, като изместват количество електроенергия, равно на капацитета на вятърния парк, произведено от изкопаеми горива, допринасят за смекчаване на изменението на климата и имат значително положително въздействие върху качеството на въздуха.</w:t>
            </w:r>
            <w:r w:rsidR="000D1C38" w:rsidRPr="007375EB">
              <w:rPr>
                <w:rFonts w:asciiTheme="minorHAnsi" w:eastAsia="Times New Roman" w:hAnsiTheme="minorHAnsi" w:cs="Calibri"/>
                <w:sz w:val="16"/>
                <w:szCs w:val="16"/>
                <w:lang w:val="bg-BG" w:eastAsia="ro-RO"/>
              </w:rPr>
              <w:br/>
            </w:r>
            <w:r w:rsidRPr="007375EB">
              <w:rPr>
                <w:rFonts w:asciiTheme="minorHAnsi" w:eastAsia="Times New Roman" w:hAnsiTheme="minorHAnsi" w:cs="Calibri"/>
                <w:i/>
                <w:iCs/>
                <w:sz w:val="16"/>
                <w:szCs w:val="16"/>
                <w:lang w:val="bg-BG" w:eastAsia="ro-RO"/>
              </w:rPr>
              <w:t xml:space="preserve">В етапа на извеждане от експлоатация на инвестициите, </w:t>
            </w:r>
            <w:r w:rsidRPr="007375EB">
              <w:rPr>
                <w:rFonts w:asciiTheme="minorHAnsi" w:eastAsia="Times New Roman" w:hAnsiTheme="minorHAnsi" w:cs="Calibri"/>
                <w:sz w:val="16"/>
                <w:szCs w:val="16"/>
                <w:lang w:val="bg-BG" w:eastAsia="ro-RO"/>
              </w:rPr>
              <w:t>предвидени в PUZ, очакваното въздействие е подобно на това от етапа на строителство, с уточнението, че работите по рекултивация на земята в края на етапа ще допринесат положително за качеството на въздуха.</w:t>
            </w:r>
          </w:p>
        </w:tc>
      </w:tr>
      <w:tr w:rsidR="000D1C38" w:rsidRPr="007375EB" w14:paraId="4B8B97AD" w14:textId="77777777" w:rsidTr="00DF0A28">
        <w:trPr>
          <w:trHeight w:val="5265"/>
        </w:trPr>
        <w:tc>
          <w:tcPr>
            <w:tcW w:w="152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351B35C1" w14:textId="0C867326" w:rsidR="000D1C38" w:rsidRPr="007375EB" w:rsidRDefault="00724D22">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lastRenderedPageBreak/>
              <w:t>Почва/подпочва</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6FE9FDA9" w14:textId="3EE007E0" w:rsidR="000D1C38" w:rsidRPr="007375EB" w:rsidRDefault="000D1C38">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OM3.</w:t>
            </w:r>
            <w:r w:rsidRPr="007375EB">
              <w:rPr>
                <w:rFonts w:asciiTheme="minorHAnsi" w:eastAsia="Times New Roman" w:hAnsiTheme="minorHAnsi" w:cs="Times New Roman"/>
                <w:b/>
                <w:bCs/>
                <w:color w:val="000000"/>
                <w:sz w:val="16"/>
                <w:szCs w:val="16"/>
                <w:lang w:val="bg-BG" w:eastAsia="ro-RO"/>
              </w:rPr>
              <w:t xml:space="preserve">   </w:t>
            </w:r>
            <w:r w:rsidR="00724D22" w:rsidRPr="007375EB">
              <w:rPr>
                <w:rFonts w:eastAsia="Times New Roman" w:cs="Calibri"/>
                <w:color w:val="000000"/>
                <w:sz w:val="16"/>
                <w:szCs w:val="16"/>
                <w:lang w:val="bg-BG" w:eastAsia="ro-RO"/>
              </w:rPr>
              <w:t>Ограничаване на замърсяването на почвата и деградацията на земните повърхности</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7EB52058"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05A6DC2A"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D58E509"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65789CD"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74E36F1"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E9EA19B"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66AA79EB"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35141892" w14:textId="77777777" w:rsidR="000D1C38" w:rsidRPr="007375EB" w:rsidRDefault="000D1C38">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-2</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FFF00"/>
            <w:noWrap/>
            <w:vAlign w:val="center"/>
            <w:hideMark/>
          </w:tcPr>
          <w:p w14:paraId="5EFF579A" w14:textId="3E15367C" w:rsidR="000D1C38" w:rsidRPr="007375EB" w:rsidRDefault="00FA260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FFF00"/>
            <w:noWrap/>
            <w:vAlign w:val="center"/>
            <w:hideMark/>
          </w:tcPr>
          <w:p w14:paraId="04D0A27D" w14:textId="52E32195" w:rsidR="000D1C38" w:rsidRPr="007375EB" w:rsidRDefault="00FA2609">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2F64C55"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DDB3830"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E076513"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CBD695D"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97FD824"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893E898"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1D4EF174" w14:textId="77777777" w:rsidR="000D1C38" w:rsidRPr="007375EB" w:rsidRDefault="000D1C3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891A7A2" w14:textId="77777777" w:rsidR="000D1C38" w:rsidRPr="007375EB" w:rsidRDefault="000D1C38">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0E5DF1CB" w14:textId="77777777" w:rsidR="00196A79" w:rsidRPr="007375EB" w:rsidRDefault="00196A79" w:rsidP="00196A79">
            <w:pPr>
              <w:spacing w:line="240" w:lineRule="auto"/>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На етапа на изпълнение </w:t>
            </w:r>
            <w:r w:rsidRPr="007375EB">
              <w:rPr>
                <w:rFonts w:asciiTheme="minorHAnsi" w:eastAsia="Times New Roman" w:hAnsiTheme="minorHAnsi" w:cs="Calibri"/>
                <w:color w:val="000000"/>
                <w:sz w:val="16"/>
                <w:szCs w:val="16"/>
                <w:lang w:val="bg-BG" w:eastAsia="ro-RO"/>
              </w:rPr>
              <w:t xml:space="preserve">основните форми на въздействие върху почвата са временното и постоянното заемане на определени площи и промяната на тяхното предназначение. В случая на алтернатива II общата площ, заета от проекта, е 3 027,77 ха, от които 2 718,43 ха са временно заети, а 309,34 ha са постоянно заети от отпечатъка на турбините и трансформаторните станции. От тях 309,34 ха ще бъдат изключени от земеделско ползване. Почвата в периметъра, където ще се извършва строителството и монтажът на вятърните турбини, мрежовите връзки и трансформаторните станции, ще бъде засегната от: </w:t>
            </w:r>
          </w:p>
          <w:p w14:paraId="51314214" w14:textId="77777777" w:rsidR="00196A79" w:rsidRPr="007375EB" w:rsidRDefault="00196A79" w:rsidP="00196A79">
            <w:pPr>
              <w:spacing w:line="240" w:lineRule="auto"/>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 xml:space="preserve">§ Загуба на горния почвен слой; </w:t>
            </w:r>
          </w:p>
          <w:p w14:paraId="06D8F069" w14:textId="64FB769C" w:rsidR="000D1C38" w:rsidRPr="007375EB" w:rsidRDefault="00196A79" w:rsidP="00196A79">
            <w:pPr>
              <w:spacing w:line="240" w:lineRule="auto"/>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 промяна на структурата на почвата</w:t>
            </w:r>
            <w:r w:rsidR="000D1C38" w:rsidRPr="007375EB">
              <w:rPr>
                <w:rFonts w:asciiTheme="minorHAnsi" w:eastAsia="Times New Roman" w:hAnsiTheme="minorHAnsi" w:cs="Calibri"/>
                <w:color w:val="000000"/>
                <w:sz w:val="16"/>
                <w:szCs w:val="16"/>
                <w:lang w:val="bg-BG" w:eastAsia="ro-RO"/>
              </w:rPr>
              <w:t>;</w:t>
            </w:r>
            <w:r w:rsidR="000D1C38" w:rsidRPr="007375EB">
              <w:rPr>
                <w:rFonts w:asciiTheme="minorHAnsi" w:eastAsia="Times New Roman" w:hAnsiTheme="minorHAnsi" w:cs="Calibri"/>
                <w:color w:val="000000"/>
                <w:sz w:val="16"/>
                <w:szCs w:val="16"/>
                <w:lang w:val="bg-BG" w:eastAsia="ro-RO"/>
              </w:rPr>
              <w:br/>
              <w:t>§</w:t>
            </w:r>
            <w:r w:rsidRPr="007375EB">
              <w:rPr>
                <w:rFonts w:asciiTheme="minorHAnsi" w:eastAsia="Times New Roman" w:hAnsiTheme="minorHAnsi" w:cs="Calibri"/>
                <w:color w:val="000000"/>
                <w:sz w:val="16"/>
                <w:szCs w:val="16"/>
                <w:lang w:val="bg-BG" w:eastAsia="ro-RO"/>
              </w:rPr>
              <w:t xml:space="preserve"> промяна на режима на инфилтрация на валежните води, особено в периметъра на основите, в резултат на изграждането на бетонни конструкции. При разчистването и депонирането на почвата от естествения кръговрат се изземва известно количество хранителни вещества, които ще бъдат отново включени в кръговрата, когато депонираният горен почвен слой се използва за екологично възстановяване на земята. Тези промени в почвата са обратими в случай на временно заети площи и почвата може да бъде върната в първоначалното си състояние след приключване на работата.</w:t>
            </w:r>
            <w:r w:rsidR="000D1C38" w:rsidRPr="007375EB">
              <w:rPr>
                <w:rFonts w:asciiTheme="minorHAnsi" w:eastAsia="Times New Roman" w:hAnsiTheme="minorHAnsi" w:cs="Calibri"/>
                <w:color w:val="000000"/>
                <w:sz w:val="16"/>
                <w:szCs w:val="16"/>
                <w:lang w:val="bg-BG" w:eastAsia="ro-RO"/>
              </w:rPr>
              <w:br/>
            </w:r>
            <w:r w:rsidRPr="007375EB">
              <w:rPr>
                <w:rFonts w:asciiTheme="minorHAnsi" w:eastAsia="Times New Roman" w:hAnsiTheme="minorHAnsi" w:cs="Calibri"/>
                <w:color w:val="000000"/>
                <w:sz w:val="16"/>
                <w:szCs w:val="16"/>
                <w:lang w:val="bg-BG" w:eastAsia="ro-RO"/>
              </w:rPr>
              <w:t>Потенциален източник на замърсяване на почвата и земните недра е дейността на превозни средства и машини в работните зони. Замърсяващите частици от емисиите се утаяват в почвата и могат да бъдат пренесени под земята чрез инфилтрация на дъждовна вода. Почвата и подпочвените слоеве могат да бъдат замърсени и от случайни загуби/течове на опасни вещества (масла, горива, смазочни материали) и/или отпадъчни води, както и от неправилно съхранение на суровини, материали и отпадъци</w:t>
            </w:r>
            <w:r w:rsidR="000D1C38" w:rsidRPr="007375EB">
              <w:rPr>
                <w:rFonts w:asciiTheme="minorHAnsi" w:eastAsia="Times New Roman" w:hAnsiTheme="minorHAnsi" w:cs="Calibri"/>
                <w:color w:val="000000"/>
                <w:sz w:val="16"/>
                <w:szCs w:val="16"/>
                <w:lang w:val="bg-BG" w:eastAsia="ro-RO"/>
              </w:rPr>
              <w:t xml:space="preserve">. </w:t>
            </w:r>
            <w:r w:rsidR="000D1C38" w:rsidRPr="007375EB">
              <w:rPr>
                <w:rFonts w:asciiTheme="minorHAnsi" w:eastAsia="Times New Roman" w:hAnsiTheme="minorHAnsi" w:cs="Calibri"/>
                <w:color w:val="000000"/>
                <w:sz w:val="16"/>
                <w:szCs w:val="16"/>
                <w:lang w:val="bg-BG" w:eastAsia="ro-RO"/>
              </w:rPr>
              <w:br/>
            </w:r>
            <w:r w:rsidRPr="007375EB">
              <w:rPr>
                <w:rFonts w:asciiTheme="minorHAnsi" w:eastAsia="Times New Roman" w:hAnsiTheme="minorHAnsi" w:cs="Calibri"/>
                <w:i/>
                <w:iCs/>
                <w:color w:val="000000"/>
                <w:sz w:val="16"/>
                <w:szCs w:val="16"/>
                <w:lang w:val="bg-BG" w:eastAsia="ro-RO"/>
              </w:rPr>
              <w:t xml:space="preserve">На етапа на експлоатация на ветроенергийния парк възможното въздействие върху почвата е промяната на </w:t>
            </w:r>
            <w:r w:rsidRPr="007375EB">
              <w:rPr>
                <w:rFonts w:asciiTheme="minorHAnsi" w:eastAsia="Times New Roman" w:hAnsiTheme="minorHAnsi" w:cs="Calibri"/>
                <w:color w:val="000000"/>
                <w:sz w:val="16"/>
                <w:szCs w:val="16"/>
                <w:lang w:val="bg-BG" w:eastAsia="ro-RO"/>
              </w:rPr>
              <w:t>предназначението на земята, която в момента е с друго предназначение, както и дейностите по поддръжка и ремонт. Във фазата на извеждане от експлоатация на инвестициите, предвидени от PUZ, очакваното въздействие е незначително, като се уточнява, че дейностите по възстановяване на земята ще възстановят първоначалното състояние на обекта, връщайки му сегашната функционалност (обработваема земя).</w:t>
            </w:r>
          </w:p>
        </w:tc>
      </w:tr>
      <w:tr w:rsidR="00196A79" w:rsidRPr="007375EB" w14:paraId="02A90F90" w14:textId="77777777" w:rsidTr="00EA45B2">
        <w:trPr>
          <w:trHeight w:val="1335"/>
        </w:trPr>
        <w:tc>
          <w:tcPr>
            <w:tcW w:w="1525"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hideMark/>
          </w:tcPr>
          <w:p w14:paraId="4546B624" w14:textId="6E42453C" w:rsidR="00196A79" w:rsidRPr="007375EB" w:rsidRDefault="00196A79" w:rsidP="00196A79">
            <w:pPr>
              <w:spacing w:line="240" w:lineRule="auto"/>
              <w:rPr>
                <w:rFonts w:asciiTheme="minorHAnsi" w:eastAsia="Times New Roman" w:hAnsiTheme="minorHAnsi" w:cs="Calibri"/>
                <w:b/>
                <w:bCs/>
                <w:color w:val="000000"/>
                <w:sz w:val="16"/>
                <w:szCs w:val="16"/>
                <w:lang w:val="bg-BG" w:eastAsia="ro-RO"/>
              </w:rPr>
            </w:pPr>
            <w:r w:rsidRPr="007375EB">
              <w:rPr>
                <w:b/>
                <w:bCs/>
                <w:sz w:val="16"/>
                <w:szCs w:val="16"/>
                <w:lang w:val="bg-BG"/>
              </w:rPr>
              <w:t xml:space="preserve">Използване на природните ресурси </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44C66B4E" w14:textId="2B42182A" w:rsidR="00196A79" w:rsidRPr="007375EB" w:rsidRDefault="00196A79" w:rsidP="00196A79">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OM4.</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Намаляване на експлоатацията на изчерпаемите ресурси и улесняване на експлоатацията на възобновяемите</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B0F5C37"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7516B64"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3991CB1F"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92A3E67"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4A8BC99"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85828D9"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192402EC"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590D567" w14:textId="77777777" w:rsidR="00196A79" w:rsidRPr="007375EB" w:rsidRDefault="00196A79" w:rsidP="00196A79">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705796B3"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6B3D3966" w14:textId="77777777" w:rsidR="00196A79" w:rsidRPr="007375EB" w:rsidRDefault="00196A79" w:rsidP="00196A79">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2</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6CFFF4F"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48239EA"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2F49308"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BB98F9E"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78C787F2"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9B7502B"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88B41D6"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1697BC6" w14:textId="77777777" w:rsidR="00196A79" w:rsidRPr="007375EB" w:rsidRDefault="00196A79" w:rsidP="00196A79">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45E6F374" w14:textId="77777777" w:rsidR="00196A79" w:rsidRPr="007375EB" w:rsidRDefault="00196A79" w:rsidP="00196A79">
            <w:pPr>
              <w:spacing w:line="240" w:lineRule="auto"/>
              <w:jc w:val="both"/>
              <w:rPr>
                <w:rFonts w:asciiTheme="minorHAnsi" w:eastAsia="Times New Roman" w:hAnsiTheme="minorHAnsi" w:cs="Calibri"/>
                <w:i/>
                <w:iCs/>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По време на строителния период </w:t>
            </w:r>
            <w:r w:rsidRPr="007375EB">
              <w:rPr>
                <w:rFonts w:asciiTheme="minorHAnsi" w:eastAsia="Times New Roman" w:hAnsiTheme="minorHAnsi" w:cs="Calibri"/>
                <w:color w:val="000000"/>
                <w:sz w:val="16"/>
                <w:szCs w:val="16"/>
                <w:lang w:val="bg-BG" w:eastAsia="ro-RO"/>
              </w:rPr>
              <w:t>използването на природни ресурси (пясък, камък, пръст) за изграждането на вятърния парк е неизбежно, но въздействието е ограничено.</w:t>
            </w:r>
          </w:p>
          <w:p w14:paraId="46BE03EA" w14:textId="5CDF006C" w:rsidR="00196A79" w:rsidRPr="007375EB" w:rsidRDefault="00196A79" w:rsidP="00196A79">
            <w:pPr>
              <w:spacing w:line="240" w:lineRule="auto"/>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На етапа на експлоатация </w:t>
            </w:r>
            <w:r w:rsidRPr="007375EB">
              <w:rPr>
                <w:rFonts w:asciiTheme="minorHAnsi" w:eastAsia="Times New Roman" w:hAnsiTheme="minorHAnsi" w:cs="Calibri"/>
                <w:color w:val="000000"/>
                <w:sz w:val="16"/>
                <w:szCs w:val="16"/>
                <w:lang w:val="bg-BG" w:eastAsia="ro-RO"/>
              </w:rPr>
              <w:t>вятърният парк насърчава използването на възобновяеми ресурси и има положително въздействие. Освен това реализацията на вятърния парк ще замени същото количество електроенергия, произведено от невъзобновяеми източници (изкопаеми горива), като по този начин ще намали тяхната експлоатация.</w:t>
            </w:r>
          </w:p>
        </w:tc>
      </w:tr>
      <w:tr w:rsidR="00196A79" w:rsidRPr="007375EB" w14:paraId="39D473C6" w14:textId="77777777" w:rsidTr="00EA45B2">
        <w:trPr>
          <w:trHeight w:val="1335"/>
        </w:trPr>
        <w:tc>
          <w:tcPr>
            <w:tcW w:w="1525"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hideMark/>
          </w:tcPr>
          <w:p w14:paraId="2AC6C74E" w14:textId="77777777" w:rsidR="00196A79" w:rsidRPr="007375EB" w:rsidRDefault="00196A79" w:rsidP="00196A79">
            <w:pPr>
              <w:spacing w:line="240" w:lineRule="auto"/>
              <w:rPr>
                <w:rFonts w:asciiTheme="minorHAnsi" w:eastAsia="Times New Roman" w:hAnsiTheme="minorHAnsi" w:cs="Calibri"/>
                <w:b/>
                <w:bCs/>
                <w:color w:val="000000"/>
                <w:sz w:val="16"/>
                <w:szCs w:val="16"/>
                <w:lang w:val="bg-BG" w:eastAsia="ro-RO"/>
              </w:rPr>
            </w:pP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6D8B376" w14:textId="731FD9C0" w:rsidR="00196A79" w:rsidRPr="007375EB" w:rsidRDefault="00196A79" w:rsidP="00196A79">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OM5.</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Насърчаване на прехода към кръгова и ресурсно ефективна икономика</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2698238"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4B57BB5"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41578EAB"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7090DA3"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15D060D"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8BDE06A"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6757051E"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06C3C19" w14:textId="77777777" w:rsidR="00196A79" w:rsidRPr="007375EB" w:rsidRDefault="00196A79" w:rsidP="00196A79">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234A49A6"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73F8327A" w14:textId="77777777" w:rsidR="00196A79" w:rsidRPr="007375EB" w:rsidRDefault="00196A79" w:rsidP="00196A79">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2</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3B575F9"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37B8A7B"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57C4CEE"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C9FFB70"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07DBB47"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2864020"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356E158"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70FBF04" w14:textId="77777777" w:rsidR="00196A79" w:rsidRPr="007375EB" w:rsidRDefault="00196A79" w:rsidP="00196A79">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21FD253" w14:textId="45ACDB25" w:rsidR="00196A79" w:rsidRPr="007375EB" w:rsidRDefault="00196A79" w:rsidP="00196A79">
            <w:pPr>
              <w:spacing w:line="240" w:lineRule="auto"/>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Повторната употреба и рециклирането на продуктите ще забавят изчерпването на природните ресурси, ще намалят въздействието върху ландшафта и природните местообитания. Кръговата икономика води до намаляване на общите годишни емисии на парникови газове. Вятърните турбини и трафопостовете, с които ще бъде оборудван вятърният парк, ще отговарят на принципите на кръговата икономика, като свеждат до минимум въздействието върху потреблението на ресурси.</w:t>
            </w:r>
          </w:p>
        </w:tc>
      </w:tr>
      <w:tr w:rsidR="00196A79" w:rsidRPr="007375EB" w14:paraId="0D84CF96" w14:textId="77777777" w:rsidTr="00EA45B2">
        <w:trPr>
          <w:trHeight w:val="2730"/>
        </w:trPr>
        <w:tc>
          <w:tcPr>
            <w:tcW w:w="152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hideMark/>
          </w:tcPr>
          <w:p w14:paraId="266A408F" w14:textId="3BCD34AF" w:rsidR="00196A79" w:rsidRPr="007375EB" w:rsidRDefault="00196A79" w:rsidP="00196A79">
            <w:pPr>
              <w:spacing w:line="240" w:lineRule="auto"/>
              <w:rPr>
                <w:rFonts w:asciiTheme="minorHAnsi" w:eastAsia="Times New Roman" w:hAnsiTheme="minorHAnsi" w:cs="Calibri"/>
                <w:b/>
                <w:bCs/>
                <w:color w:val="000000"/>
                <w:sz w:val="16"/>
                <w:szCs w:val="16"/>
                <w:lang w:val="bg-BG" w:eastAsia="ro-RO"/>
              </w:rPr>
            </w:pPr>
            <w:r w:rsidRPr="007375EB">
              <w:rPr>
                <w:b/>
                <w:bCs/>
                <w:sz w:val="16"/>
                <w:szCs w:val="16"/>
                <w:lang w:val="bg-BG"/>
              </w:rPr>
              <w:lastRenderedPageBreak/>
              <w:t>Управление на отпадъците</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553B6851" w14:textId="04187564" w:rsidR="00196A79" w:rsidRPr="007375EB" w:rsidRDefault="00196A79" w:rsidP="00196A79">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OM6.</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Намаляване на количеството генерирани и изхвърлени отпадъци чрез съхранение (съответстващи депа за отпадъци)</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31DD85F"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B029267"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CB71D61"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7EF19A3"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AB73E62"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2E109F8"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E485D2A"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92AE7A6" w14:textId="77777777" w:rsidR="00196A79" w:rsidRPr="007375EB" w:rsidRDefault="00196A79" w:rsidP="00196A79">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7E05D1DF"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05160E8" w14:textId="77777777" w:rsidR="00196A79" w:rsidRPr="007375EB" w:rsidRDefault="00196A79" w:rsidP="00196A79">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CFF78BB"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3FC7463F"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5ADEAE16"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2BC95B9C"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66CC2C70"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1D1AA71"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3847E27" w14:textId="77777777" w:rsidR="00196A79" w:rsidRPr="007375EB" w:rsidRDefault="00196A79" w:rsidP="00196A79">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2CE8747D" w14:textId="77777777" w:rsidR="00196A79" w:rsidRPr="007375EB" w:rsidRDefault="00196A79" w:rsidP="00196A79">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-2</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DDA9846" w14:textId="5C488C8D" w:rsidR="00196A79" w:rsidRPr="007375EB" w:rsidRDefault="00196A79" w:rsidP="00196A79">
            <w:pPr>
              <w:spacing w:line="240" w:lineRule="auto"/>
              <w:jc w:val="both"/>
              <w:rPr>
                <w:rFonts w:asciiTheme="minorHAnsi" w:eastAsia="Times New Roman" w:hAnsiTheme="minorHAnsi" w:cs="Calibri"/>
                <w:i/>
                <w:iCs/>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По време на етапа на изпълнение </w:t>
            </w:r>
            <w:r w:rsidRPr="007375EB">
              <w:rPr>
                <w:rFonts w:asciiTheme="minorHAnsi" w:eastAsia="Times New Roman" w:hAnsiTheme="minorHAnsi" w:cs="Calibri"/>
                <w:color w:val="000000"/>
                <w:sz w:val="16"/>
                <w:szCs w:val="16"/>
                <w:lang w:val="bg-BG" w:eastAsia="ro-RO"/>
              </w:rPr>
              <w:t xml:space="preserve">е трудно да се оцени количеството на генерираните отпадъци, това количество зависи от възприетите технологии, които определят естеството на отпадъците и тяхното количество. Събирането и временното съхраняване на отпадъците, получени в резултат на дейностите по изграждане и монтиране на вятърния парк, ще се извършва при контролирани условия, в специално определени зони, за обезвреждане/оползотворяване от оторизирани оператори. Инертните отпадъци, получени по време на изпълнението (напр. пръст от изкопи, смеси от пръст и камъни и т.н.), ще бъдат депонирани на депо за инертни отпадъци в окръг Констанца или ще бъдат използвани повторно като пълнеж за строителните работи, предвидени в </w:t>
            </w:r>
            <w:r w:rsidR="005B38AF" w:rsidRPr="007375EB">
              <w:rPr>
                <w:rFonts w:asciiTheme="minorHAnsi" w:eastAsia="Times New Roman" w:hAnsiTheme="minorHAnsi" w:cs="Calibri"/>
                <w:color w:val="000000"/>
                <w:sz w:val="16"/>
                <w:szCs w:val="16"/>
                <w:lang w:val="bg-BG" w:eastAsia="ro-RO"/>
              </w:rPr>
              <w:t>PUZ</w:t>
            </w:r>
            <w:r w:rsidRPr="007375EB">
              <w:rPr>
                <w:rFonts w:asciiTheme="minorHAnsi" w:eastAsia="Times New Roman" w:hAnsiTheme="minorHAnsi" w:cs="Calibri"/>
                <w:color w:val="000000"/>
                <w:sz w:val="16"/>
                <w:szCs w:val="16"/>
                <w:lang w:val="bg-BG" w:eastAsia="ro-RO"/>
              </w:rPr>
              <w:t xml:space="preserve"> (напр. за нови пътища за достъп като пълнеж, в основи и т.н.). Количествата на отпадъците на този етап са намалени.</w:t>
            </w:r>
          </w:p>
          <w:p w14:paraId="6CC99C79" w14:textId="4903758E" w:rsidR="00196A79" w:rsidRPr="007375EB" w:rsidRDefault="00196A79" w:rsidP="00196A79">
            <w:pPr>
              <w:spacing w:line="240" w:lineRule="auto"/>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По време на експлоатационния период </w:t>
            </w:r>
            <w:r w:rsidRPr="007375EB">
              <w:rPr>
                <w:rFonts w:asciiTheme="minorHAnsi" w:eastAsia="Times New Roman" w:hAnsiTheme="minorHAnsi" w:cs="Calibri"/>
                <w:color w:val="000000"/>
                <w:sz w:val="16"/>
                <w:szCs w:val="16"/>
                <w:lang w:val="bg-BG" w:eastAsia="ro-RO"/>
              </w:rPr>
              <w:t>отпадъците, които се получават, са от дейностите по поддръжка (турбинно масло) и от поддръжката на вятърните турбини</w:t>
            </w:r>
            <w:r w:rsidRPr="007375EB">
              <w:rPr>
                <w:rFonts w:asciiTheme="minorHAnsi" w:eastAsia="Times New Roman" w:hAnsiTheme="minorHAnsi" w:cs="Calibri"/>
                <w:i/>
                <w:iCs/>
                <w:color w:val="000000"/>
                <w:sz w:val="16"/>
                <w:szCs w:val="16"/>
                <w:lang w:val="bg-BG" w:eastAsia="ro-RO"/>
              </w:rPr>
              <w:t>.</w:t>
            </w:r>
            <w:r w:rsidRPr="007375EB">
              <w:rPr>
                <w:rFonts w:asciiTheme="minorHAnsi" w:eastAsia="Times New Roman" w:hAnsiTheme="minorHAnsi" w:cs="Calibri"/>
                <w:color w:val="000000"/>
                <w:sz w:val="16"/>
                <w:szCs w:val="16"/>
                <w:lang w:val="bg-BG" w:eastAsia="ro-RO"/>
              </w:rPr>
              <w:t xml:space="preserve"> </w:t>
            </w:r>
            <w:r w:rsidRPr="007375EB">
              <w:rPr>
                <w:rFonts w:asciiTheme="minorHAnsi" w:eastAsia="Times New Roman" w:hAnsiTheme="minorHAnsi" w:cs="Calibri"/>
                <w:color w:val="000000"/>
                <w:sz w:val="16"/>
                <w:szCs w:val="16"/>
                <w:lang w:val="bg-BG" w:eastAsia="ro-RO"/>
              </w:rPr>
              <w:br/>
            </w:r>
            <w:r w:rsidR="005B38AF" w:rsidRPr="007375EB">
              <w:rPr>
                <w:rFonts w:asciiTheme="minorHAnsi" w:eastAsia="Times New Roman" w:hAnsiTheme="minorHAnsi" w:cs="Calibri"/>
                <w:i/>
                <w:iCs/>
                <w:color w:val="000000"/>
                <w:sz w:val="16"/>
                <w:szCs w:val="16"/>
                <w:lang w:val="bg-BG" w:eastAsia="ro-RO"/>
              </w:rPr>
              <w:t xml:space="preserve">По време на периода на извеждане от експлоатация генерираните отпадъци изискват подходящо управление, за да </w:t>
            </w:r>
            <w:r w:rsidR="005B38AF" w:rsidRPr="007375EB">
              <w:rPr>
                <w:rFonts w:asciiTheme="minorHAnsi" w:eastAsia="Times New Roman" w:hAnsiTheme="minorHAnsi" w:cs="Calibri"/>
                <w:color w:val="000000"/>
                <w:sz w:val="16"/>
                <w:szCs w:val="16"/>
                <w:lang w:val="bg-BG" w:eastAsia="ro-RO"/>
              </w:rPr>
              <w:t>се сведат до минимум отрицателните въздействия, които биха били значителни при липса на такова управление</w:t>
            </w:r>
            <w:r w:rsidRPr="007375EB">
              <w:rPr>
                <w:rFonts w:asciiTheme="minorHAnsi" w:eastAsia="Times New Roman" w:hAnsiTheme="minorHAnsi" w:cs="Calibri"/>
                <w:color w:val="000000"/>
                <w:sz w:val="16"/>
                <w:szCs w:val="16"/>
                <w:lang w:val="bg-BG" w:eastAsia="ro-RO"/>
              </w:rPr>
              <w:t>.</w:t>
            </w:r>
          </w:p>
        </w:tc>
      </w:tr>
      <w:tr w:rsidR="005B38AF" w:rsidRPr="007375EB" w14:paraId="396AF93F" w14:textId="77777777" w:rsidTr="00DF0A28">
        <w:trPr>
          <w:trHeight w:val="3600"/>
        </w:trPr>
        <w:tc>
          <w:tcPr>
            <w:tcW w:w="152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3B1C6A42" w14:textId="0ECA176E" w:rsidR="005B38AF" w:rsidRPr="007375EB" w:rsidRDefault="005B38AF" w:rsidP="005B38AF">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Шум и вибрации</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4C254BBB" w14:textId="44BFE0AF" w:rsidR="005B38AF" w:rsidRPr="007375EB" w:rsidRDefault="005B38AF" w:rsidP="005B38AF">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OM7.</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Ограничаване на източника на шумово замърсяване в зони с чувствителни към шум рецептори. Ограничение на нивата на вибрации</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DD71209"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EDBB996"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E6B92EC"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FF042FF"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F47139F"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4C86C38"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7EC4F54"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FABF8B8" w14:textId="77777777" w:rsidR="005B38AF" w:rsidRPr="007375EB" w:rsidRDefault="005B38AF" w:rsidP="005B38AF">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3719551"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77A228A" w14:textId="77777777" w:rsidR="005B38AF" w:rsidRPr="007375EB" w:rsidRDefault="005B38AF" w:rsidP="005B38AF">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38BC101"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3781808"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13ECE7D"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184543F"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CA0CFA0"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04A05B2"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2C9259A"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9B457AA" w14:textId="77777777" w:rsidR="005B38AF" w:rsidRPr="007375EB" w:rsidRDefault="005B38AF" w:rsidP="005B38AF">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5B3726BB" w14:textId="77777777" w:rsidR="005B38AF" w:rsidRPr="007375EB" w:rsidRDefault="005B38AF" w:rsidP="005B38AF">
            <w:pPr>
              <w:spacing w:line="240" w:lineRule="auto"/>
              <w:jc w:val="both"/>
              <w:rPr>
                <w:rFonts w:asciiTheme="minorHAnsi" w:eastAsia="Times New Roman" w:hAnsiTheme="minorHAnsi" w:cs="Calibri"/>
                <w:i/>
                <w:iCs/>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По време на етапа на изпълнение </w:t>
            </w:r>
            <w:r w:rsidRPr="007375EB">
              <w:rPr>
                <w:rFonts w:asciiTheme="minorHAnsi" w:eastAsia="Times New Roman" w:hAnsiTheme="minorHAnsi" w:cs="Calibri"/>
                <w:color w:val="000000"/>
                <w:sz w:val="16"/>
                <w:szCs w:val="16"/>
                <w:lang w:val="bg-BG" w:eastAsia="ro-RO"/>
              </w:rPr>
              <w:t>използваните транспортни средства и машини, както и дейностите на работния фронт, са източник на шум и вибрации, така че през този период ще има увеличение на нивото на шума в резултат на продължителната транспортна дейност и работата на машините, включени в работите. Следователно ще има дискомфорт, дължащ се главно на шума и вибрациите, произвеждани от превозните средства, използваните машини и присъствието на работниците, но като се има предвид, че районът се пресича от местни пътища, селскостопански пътища и съседните земи, където сезонно се извършват селскостопански работи с различни видове машини, шумът няма да създаде значително въздействие, ще бъде локален и временен.</w:t>
            </w:r>
            <w:r w:rsidRPr="007375EB">
              <w:rPr>
                <w:rFonts w:asciiTheme="minorHAnsi" w:eastAsia="Times New Roman" w:hAnsiTheme="minorHAnsi" w:cs="Calibri"/>
                <w:i/>
                <w:iCs/>
                <w:color w:val="000000"/>
                <w:sz w:val="16"/>
                <w:szCs w:val="16"/>
                <w:lang w:val="bg-BG" w:eastAsia="ro-RO"/>
              </w:rPr>
              <w:t xml:space="preserve"> </w:t>
            </w:r>
          </w:p>
          <w:p w14:paraId="4694115D" w14:textId="5014ADE0" w:rsidR="005B38AF" w:rsidRPr="007375EB" w:rsidRDefault="005B38AF" w:rsidP="005B38AF">
            <w:pPr>
              <w:spacing w:line="240" w:lineRule="auto"/>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По време на експлоатационния период, </w:t>
            </w:r>
            <w:r w:rsidRPr="007375EB">
              <w:rPr>
                <w:rFonts w:asciiTheme="minorHAnsi" w:eastAsia="Times New Roman" w:hAnsiTheme="minorHAnsi" w:cs="Calibri"/>
                <w:color w:val="000000"/>
                <w:sz w:val="16"/>
                <w:szCs w:val="16"/>
                <w:lang w:val="bg-BG" w:eastAsia="ro-RO"/>
              </w:rPr>
              <w:t xml:space="preserve">шумът, произвеждан от вятърната турбина, се увеличава със скоростта на вятъра и скоростта на въртене. Съвременният дизайн на турбината включва изолация на гондолата, за да се предотврати предаването на механичен шум във въздуха. Гондолата също е изолирана, за да се предотврати предаването на вибрациите от движещите се части (лопатки, главина, редуктор) към кулата и фундамента. Аеродинамичният шум на големите турбини е преобладаващ в сравнение с механичния шум и зависи от скоростта на въртене на лопатките (скоростта на вятъра). Като цяло нивото на шума на една турбина варира между 92 и 107,7 дБ. За турбината с мощност 6,6 </w:t>
            </w:r>
            <w:r w:rsidR="00561A1B" w:rsidRPr="007375EB">
              <w:rPr>
                <w:rFonts w:asciiTheme="minorHAnsi" w:eastAsia="Times New Roman" w:hAnsiTheme="minorHAnsi" w:cs="Calibri"/>
                <w:color w:val="000000"/>
                <w:sz w:val="16"/>
                <w:szCs w:val="16"/>
                <w:lang w:val="bg-BG" w:eastAsia="ro-RO"/>
              </w:rPr>
              <w:t>МВт</w:t>
            </w:r>
            <w:r w:rsidRPr="007375EB">
              <w:rPr>
                <w:rFonts w:asciiTheme="minorHAnsi" w:eastAsia="Times New Roman" w:hAnsiTheme="minorHAnsi" w:cs="Calibri"/>
                <w:color w:val="000000"/>
                <w:sz w:val="16"/>
                <w:szCs w:val="16"/>
                <w:lang w:val="bg-BG" w:eastAsia="ro-RO"/>
              </w:rPr>
              <w:t xml:space="preserve"> при натоварване от 95 % максималното ниво на шума е 106,6 </w:t>
            </w:r>
            <w:r w:rsidR="00695609">
              <w:rPr>
                <w:rFonts w:asciiTheme="minorHAnsi" w:eastAsia="Times New Roman" w:hAnsiTheme="minorHAnsi" w:cs="Calibri"/>
                <w:color w:val="000000"/>
                <w:sz w:val="16"/>
                <w:szCs w:val="16"/>
                <w:lang w:val="bg-BG" w:eastAsia="ro-RO"/>
              </w:rPr>
              <w:t>дБ</w:t>
            </w:r>
            <w:r w:rsidRPr="007375EB">
              <w:rPr>
                <w:rFonts w:asciiTheme="minorHAnsi" w:eastAsia="Times New Roman" w:hAnsiTheme="minorHAnsi" w:cs="Calibri"/>
                <w:color w:val="000000"/>
                <w:sz w:val="16"/>
                <w:szCs w:val="16"/>
                <w:lang w:val="bg-BG" w:eastAsia="ro-RO"/>
              </w:rPr>
              <w:t xml:space="preserve"> (ниво според проучването на шума). От моделирането на шума в зоната на рецепторите (населените места в района на прилагане на PUZ) нивото на шума е по-малко от 40 дБ.</w:t>
            </w:r>
            <w:r w:rsidRPr="007375EB">
              <w:rPr>
                <w:rFonts w:asciiTheme="minorHAnsi" w:eastAsia="Times New Roman" w:hAnsiTheme="minorHAnsi" w:cs="Calibri"/>
                <w:color w:val="000000"/>
                <w:sz w:val="16"/>
                <w:szCs w:val="16"/>
                <w:lang w:val="bg-BG" w:eastAsia="ro-RO"/>
              </w:rPr>
              <w:br/>
            </w:r>
            <w:r w:rsidRPr="007375EB">
              <w:rPr>
                <w:rFonts w:asciiTheme="minorHAnsi" w:eastAsia="Times New Roman" w:hAnsiTheme="minorHAnsi" w:cs="Calibri"/>
                <w:i/>
                <w:iCs/>
                <w:color w:val="000000"/>
                <w:sz w:val="16"/>
                <w:szCs w:val="16"/>
                <w:lang w:val="bg-BG" w:eastAsia="ro-RO"/>
              </w:rPr>
              <w:t xml:space="preserve">На етапа на извеждане от експлоатация </w:t>
            </w:r>
            <w:r w:rsidRPr="007375EB">
              <w:rPr>
                <w:rFonts w:asciiTheme="minorHAnsi" w:eastAsia="Times New Roman" w:hAnsiTheme="minorHAnsi" w:cs="Calibri"/>
                <w:color w:val="000000"/>
                <w:sz w:val="16"/>
                <w:szCs w:val="16"/>
                <w:lang w:val="bg-BG" w:eastAsia="ro-RO"/>
              </w:rPr>
              <w:t xml:space="preserve">въздействието на шума и вибрациите е подобно на това на етапа на строителството.  </w:t>
            </w:r>
          </w:p>
        </w:tc>
      </w:tr>
      <w:tr w:rsidR="005B38AF" w:rsidRPr="007375EB" w14:paraId="3C839A01" w14:textId="77777777" w:rsidTr="00DF0A28">
        <w:trPr>
          <w:trHeight w:val="799"/>
        </w:trPr>
        <w:tc>
          <w:tcPr>
            <w:tcW w:w="1525"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57E8C545" w14:textId="17DA1F02" w:rsidR="005B38AF" w:rsidRPr="007375EB" w:rsidRDefault="005B38AF" w:rsidP="005B38AF">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 xml:space="preserve">Биоразнообразие </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17E4CAAD" w14:textId="43B05402" w:rsidR="005B38AF" w:rsidRPr="007375EB" w:rsidRDefault="005B38AF" w:rsidP="005B38AF">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OM8.</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Опазване на природни местообитания и видове от флората и фауната от обществено значение</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F4003D3"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5DF793E"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8CBAD"/>
            <w:noWrap/>
            <w:vAlign w:val="center"/>
            <w:hideMark/>
          </w:tcPr>
          <w:p w14:paraId="393AECDB" w14:textId="1A5C0084"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49D6347"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4F66CD7"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CBA49F9"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51B4B570"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CA17DAE" w14:textId="77777777" w:rsidR="005B38AF" w:rsidRPr="007375EB" w:rsidRDefault="005B38AF" w:rsidP="005B38AF">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7A5F3694"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1BDB8B6" w14:textId="77777777" w:rsidR="005B38AF" w:rsidRPr="007375EB" w:rsidRDefault="005B38AF" w:rsidP="005B38AF">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663FC27"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4CD3C6F"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094471D"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37906BE"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5046D62"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5E51195"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4FE057D2" w14:textId="77777777" w:rsidR="005B38AF" w:rsidRPr="007375EB" w:rsidRDefault="005B38AF" w:rsidP="005B38AF">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C95F332" w14:textId="77777777" w:rsidR="005B38AF" w:rsidRPr="007375EB" w:rsidRDefault="005B38AF" w:rsidP="005B38AF">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953" w:type="dxa"/>
            <w:shd w:val="clear" w:color="auto" w:fill="auto"/>
            <w:vAlign w:val="center"/>
            <w:hideMark/>
          </w:tcPr>
          <w:p w14:paraId="38E637B4" w14:textId="540DBA5D" w:rsidR="005B38AF" w:rsidRPr="007375EB" w:rsidRDefault="005B38AF" w:rsidP="005B38AF">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Предложеният план не пресича национални защитени зони по Природа 2000, разстоянието до най-близката защитена зона е около 3,97 км, а в България най-близката защитена зона по Натура 2000 е на около 410 м от най-близката вятърна турбина. Проучваната от PUZ територия е разположена върху земя със селскостопанско предназначение, която обаче може да представлява възможни благоприятни местообитания (хранене/размножаване/гнездене) за видовете от интерес за Общността, за които са определени зоните. Потвърждаването на тази хипотеза ще се извърши чрез допълнителен полеви мониторинг, за да се определи точно кои видове използват бъдещата паркова зона.</w:t>
            </w:r>
          </w:p>
          <w:p w14:paraId="3B620288" w14:textId="77777777" w:rsidR="001335DC" w:rsidRPr="007375EB" w:rsidRDefault="001335DC" w:rsidP="001335DC">
            <w:pPr>
              <w:spacing w:line="240" w:lineRule="auto"/>
              <w:jc w:val="both"/>
              <w:rPr>
                <w:rFonts w:eastAsia="Times New Roman" w:cs="Calibri"/>
                <w:i/>
                <w:iCs/>
                <w:color w:val="000000"/>
                <w:sz w:val="16"/>
                <w:szCs w:val="16"/>
                <w:lang w:val="bg-BG" w:eastAsia="ro-RO"/>
              </w:rPr>
            </w:pPr>
            <w:r w:rsidRPr="007375EB">
              <w:rPr>
                <w:rFonts w:eastAsia="Times New Roman" w:cs="Calibri"/>
                <w:i/>
                <w:iCs/>
                <w:color w:val="000000"/>
                <w:sz w:val="16"/>
                <w:szCs w:val="16"/>
                <w:lang w:val="bg-BG" w:eastAsia="ro-RO"/>
              </w:rPr>
              <w:lastRenderedPageBreak/>
              <w:t xml:space="preserve">Във фазата на изпълнение </w:t>
            </w:r>
            <w:r w:rsidRPr="007375EB">
              <w:rPr>
                <w:rFonts w:eastAsia="Times New Roman" w:cs="Calibri"/>
                <w:color w:val="000000"/>
                <w:sz w:val="16"/>
                <w:szCs w:val="16"/>
                <w:lang w:val="bg-BG" w:eastAsia="ro-RO"/>
              </w:rPr>
              <w:t xml:space="preserve">замърсяването със суспендирани вещества, дължащо се на строителните работи, може да окаже отрицателно въздействие върху растителността чрез отлагане върху листния апарат, което води до частично или пълно затваряне на стоматите и нарушаване на физиологичните и биохимичните процеси на растенията. Други форми на въздействие на етапа на изпълнение са нарушаването на активността на видовете и възможното намаляване на числеността на популациите поради появата на поведенчески бариери за дивите животни. Работите по строителството и извеждането от експлоатация могат временно да засегнат биологичното разнообразие, но възстановителните работи ще доведат до подобряване на състоянието на засегнатите чувствителни елементи. </w:t>
            </w:r>
          </w:p>
          <w:p w14:paraId="5CC2F5CB" w14:textId="3E536AAC" w:rsidR="001335DC" w:rsidRPr="007375EB" w:rsidRDefault="001335DC" w:rsidP="001335DC">
            <w:pPr>
              <w:spacing w:line="240" w:lineRule="auto"/>
              <w:jc w:val="both"/>
              <w:rPr>
                <w:rFonts w:eastAsia="Times New Roman" w:cs="Calibri"/>
                <w:i/>
                <w:iCs/>
                <w:color w:val="000000"/>
                <w:sz w:val="16"/>
                <w:szCs w:val="16"/>
                <w:lang w:val="bg-BG" w:eastAsia="ro-RO"/>
              </w:rPr>
            </w:pPr>
            <w:r w:rsidRPr="007375EB">
              <w:rPr>
                <w:rFonts w:eastAsia="Times New Roman" w:cs="Calibri"/>
                <w:i/>
                <w:iCs/>
                <w:color w:val="000000"/>
                <w:sz w:val="16"/>
                <w:szCs w:val="16"/>
                <w:lang w:val="bg-BG" w:eastAsia="ro-RO"/>
              </w:rPr>
              <w:t xml:space="preserve">В експлоатационната фаза, </w:t>
            </w:r>
            <w:r w:rsidRPr="007375EB">
              <w:rPr>
                <w:rFonts w:eastAsia="Times New Roman" w:cs="Calibri"/>
                <w:color w:val="000000"/>
                <w:sz w:val="16"/>
                <w:szCs w:val="16"/>
                <w:lang w:val="bg-BG" w:eastAsia="ro-RO"/>
              </w:rPr>
              <w:t>като се има предвид броят на турбините, предложени от PUZ, и броят и видовете птици и хироптери, установени на площадката, които са чувствителни по отношение на проектите за вятърна енергия, въздействието върху тези видове може да се счита за отрицателно, дори ако те са подходящо разположени</w:t>
            </w:r>
            <w:r w:rsidRPr="007375EB">
              <w:rPr>
                <w:rFonts w:eastAsia="Times New Roman" w:cs="Calibri"/>
                <w:i/>
                <w:iCs/>
                <w:color w:val="000000"/>
                <w:sz w:val="16"/>
                <w:szCs w:val="16"/>
                <w:lang w:val="bg-BG" w:eastAsia="ro-RO"/>
              </w:rPr>
              <w:t>.</w:t>
            </w:r>
          </w:p>
          <w:p w14:paraId="4F9FB22F" w14:textId="38412382" w:rsidR="005B38AF" w:rsidRPr="007375EB" w:rsidRDefault="001335DC" w:rsidP="001335DC">
            <w:pPr>
              <w:spacing w:line="240" w:lineRule="auto"/>
              <w:jc w:val="both"/>
              <w:rPr>
                <w:rFonts w:asciiTheme="minorHAnsi" w:eastAsia="Times New Roman" w:hAnsiTheme="minorHAnsi" w:cs="Calibri"/>
                <w:color w:val="000000"/>
                <w:sz w:val="16"/>
                <w:szCs w:val="16"/>
                <w:lang w:val="bg-BG" w:eastAsia="ro-RO"/>
              </w:rPr>
            </w:pPr>
            <w:r w:rsidRPr="007375EB">
              <w:rPr>
                <w:rFonts w:eastAsia="Times New Roman" w:cs="Calibri"/>
                <w:i/>
                <w:iCs/>
                <w:color w:val="000000"/>
                <w:sz w:val="16"/>
                <w:szCs w:val="16"/>
                <w:lang w:val="bg-BG" w:eastAsia="ro-RO"/>
              </w:rPr>
              <w:t xml:space="preserve">На етапа на извеждане от експлоатация </w:t>
            </w:r>
            <w:r w:rsidRPr="007375EB">
              <w:rPr>
                <w:rFonts w:eastAsia="Times New Roman" w:cs="Calibri"/>
                <w:color w:val="000000"/>
                <w:sz w:val="16"/>
                <w:szCs w:val="16"/>
                <w:lang w:val="bg-BG" w:eastAsia="ro-RO"/>
              </w:rPr>
              <w:t>въздействието върху биоразнообразието е подобно на това на етапа на строителство.</w:t>
            </w:r>
          </w:p>
        </w:tc>
      </w:tr>
      <w:tr w:rsidR="00DF0A28" w:rsidRPr="007375EB" w14:paraId="6BE3345B" w14:textId="77777777" w:rsidTr="00DF0A28">
        <w:trPr>
          <w:trHeight w:val="840"/>
        </w:trPr>
        <w:tc>
          <w:tcPr>
            <w:tcW w:w="1525"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1FB7E58B" w14:textId="77777777" w:rsidR="00DF0A28" w:rsidRPr="007375EB" w:rsidRDefault="00DF0A28" w:rsidP="00DF0A28">
            <w:pPr>
              <w:spacing w:line="240" w:lineRule="auto"/>
              <w:rPr>
                <w:rFonts w:asciiTheme="minorHAnsi" w:eastAsia="Times New Roman" w:hAnsiTheme="minorHAnsi" w:cs="Calibri"/>
                <w:b/>
                <w:bCs/>
                <w:color w:val="000000"/>
                <w:sz w:val="16"/>
                <w:szCs w:val="16"/>
                <w:lang w:val="bg-BG" w:eastAsia="ro-RO"/>
              </w:rPr>
            </w:pP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6CEDBC6B" w14:textId="35C99AA9" w:rsidR="00DF0A28" w:rsidRPr="007375EB" w:rsidRDefault="001335DC" w:rsidP="00DF0A28">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OM9.</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Поддържане на мрежата от защитени зони Природа 2000.</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7762342D" w14:textId="77777777" w:rsidR="00DF0A28" w:rsidRPr="007375EB" w:rsidRDefault="00DF0A28" w:rsidP="00DF0A2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D78A45A" w14:textId="77777777" w:rsidR="00DF0A28" w:rsidRPr="007375EB" w:rsidRDefault="00DF0A28" w:rsidP="00DF0A2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845C9DD" w14:textId="77777777" w:rsidR="00DF0A28" w:rsidRPr="007375EB" w:rsidRDefault="00DF0A28" w:rsidP="00DF0A2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85E13D4" w14:textId="77777777" w:rsidR="00DF0A28" w:rsidRPr="007375EB" w:rsidRDefault="00DF0A28" w:rsidP="00DF0A2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C2B7F1D" w14:textId="77777777" w:rsidR="00DF0A28" w:rsidRPr="007375EB" w:rsidRDefault="00DF0A28" w:rsidP="00DF0A2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BB83FDF" w14:textId="77777777" w:rsidR="00DF0A28" w:rsidRPr="007375EB" w:rsidRDefault="00DF0A28" w:rsidP="00DF0A2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6771AAB" w14:textId="77777777" w:rsidR="00DF0A28" w:rsidRPr="007375EB" w:rsidRDefault="00DF0A28" w:rsidP="00DF0A2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246BEA1" w14:textId="77777777" w:rsidR="00DF0A28" w:rsidRPr="007375EB" w:rsidRDefault="00DF0A28" w:rsidP="00DF0A28">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F0BFC49" w14:textId="77777777" w:rsidR="00DF0A28" w:rsidRPr="007375EB" w:rsidRDefault="00DF0A28" w:rsidP="00DF0A2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9DA2F2B" w14:textId="77777777" w:rsidR="00DF0A28" w:rsidRPr="007375EB" w:rsidRDefault="00DF0A28" w:rsidP="00DF0A2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2507CBC" w14:textId="77777777" w:rsidR="00DF0A28" w:rsidRPr="007375EB" w:rsidRDefault="00DF0A28" w:rsidP="00DF0A2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4CDF24C" w14:textId="77777777" w:rsidR="00DF0A28" w:rsidRPr="007375EB" w:rsidRDefault="00DF0A28" w:rsidP="00DF0A2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BD4F159" w14:textId="77777777" w:rsidR="00DF0A28" w:rsidRPr="007375EB" w:rsidRDefault="00DF0A28" w:rsidP="00DF0A2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33BD5D2" w14:textId="77777777" w:rsidR="00DF0A28" w:rsidRPr="007375EB" w:rsidRDefault="00DF0A28" w:rsidP="00DF0A2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986C81D" w14:textId="77777777" w:rsidR="00DF0A28" w:rsidRPr="007375EB" w:rsidRDefault="00DF0A28" w:rsidP="00DF0A2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2B7A674" w14:textId="77777777" w:rsidR="00DF0A28" w:rsidRPr="007375EB" w:rsidRDefault="00DF0A28" w:rsidP="00DF0A2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A79602C" w14:textId="77777777" w:rsidR="00DF0A28" w:rsidRPr="007375EB" w:rsidRDefault="00DF0A28" w:rsidP="00DF0A28">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D6B3C06" w14:textId="77777777" w:rsidR="00DF0A28" w:rsidRPr="007375EB" w:rsidRDefault="00DF0A28" w:rsidP="00DF0A28">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65EA62F5" w14:textId="4B966DB8" w:rsidR="00DF0A28" w:rsidRPr="007375EB" w:rsidRDefault="001335DC" w:rsidP="001335DC">
            <w:pPr>
              <w:spacing w:line="240" w:lineRule="auto"/>
              <w:jc w:val="both"/>
              <w:rPr>
                <w:rFonts w:asciiTheme="minorHAnsi" w:eastAsia="Times New Roman" w:hAnsiTheme="minorHAnsi" w:cs="Calibri"/>
                <w:sz w:val="16"/>
                <w:szCs w:val="16"/>
                <w:lang w:val="bg-BG" w:eastAsia="ro-RO"/>
              </w:rPr>
            </w:pPr>
            <w:r w:rsidRPr="007375EB">
              <w:rPr>
                <w:rFonts w:asciiTheme="minorHAnsi" w:eastAsia="Times New Roman" w:hAnsiTheme="minorHAnsi" w:cs="Calibri"/>
                <w:sz w:val="16"/>
                <w:szCs w:val="16"/>
                <w:lang w:val="bg-BG" w:eastAsia="ro-RO"/>
              </w:rPr>
              <w:t>Предложеният план не е в близост до нито една защитена зона от мрежата Природа 2000 на националната територия, като разстоянието до най-близката защитена зона е около 2,79 км, но на българска територия най-близката защитена зона от мрежата Природа 2000 е на около 410 м от границата на PUZ</w:t>
            </w:r>
            <w:r w:rsidR="00DF0A28" w:rsidRPr="007375EB">
              <w:rPr>
                <w:rFonts w:asciiTheme="minorHAnsi" w:eastAsia="Times New Roman" w:hAnsiTheme="minorHAnsi" w:cs="Calibri"/>
                <w:sz w:val="16"/>
                <w:szCs w:val="16"/>
                <w:lang w:val="bg-BG" w:eastAsia="ro-RO"/>
              </w:rPr>
              <w:t xml:space="preserve">. </w:t>
            </w:r>
            <w:r w:rsidR="00DF0A28" w:rsidRPr="007375EB">
              <w:rPr>
                <w:rFonts w:asciiTheme="minorHAnsi" w:eastAsia="Times New Roman" w:hAnsiTheme="minorHAnsi" w:cs="Calibri"/>
                <w:b/>
                <w:bCs/>
                <w:sz w:val="16"/>
                <w:szCs w:val="16"/>
                <w:lang w:val="bg-BG" w:eastAsia="ro-RO"/>
              </w:rPr>
              <w:t xml:space="preserve"> </w:t>
            </w:r>
          </w:p>
        </w:tc>
      </w:tr>
      <w:tr w:rsidR="001335DC" w:rsidRPr="007375EB" w14:paraId="4DE48179" w14:textId="77777777" w:rsidTr="00DF0A28">
        <w:trPr>
          <w:trHeight w:val="3045"/>
        </w:trPr>
        <w:tc>
          <w:tcPr>
            <w:tcW w:w="1525"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065C81B8" w14:textId="74E93C60" w:rsidR="001335DC" w:rsidRPr="007375EB" w:rsidRDefault="001335DC" w:rsidP="001335DC">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Население и човешко здраве</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5E930A9" w14:textId="45B65D4A" w:rsidR="001335DC" w:rsidRPr="007375EB" w:rsidRDefault="001335DC" w:rsidP="001335DC">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OM10.</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Поддържане на качеството на факторите на околната среда в рамките на законовите разпоредби за опазване на околната среда и общественото здраве</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DFC7B70"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A1872CB"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6F8C05E"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FF8C232"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53ECF4E"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5A3C6B2"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70A4898"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08FD651" w14:textId="77777777" w:rsidR="001335DC" w:rsidRPr="007375EB" w:rsidRDefault="001335DC" w:rsidP="001335DC">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91DDF3B"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A09B35F" w14:textId="77777777" w:rsidR="001335DC" w:rsidRPr="007375EB" w:rsidRDefault="001335DC" w:rsidP="001335DC">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13334A8"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477CF25"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352AE89"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5FE8D6C"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1841EEF"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4A3813B"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FA17612" w14:textId="272AAF37" w:rsidR="001335DC" w:rsidRPr="007375EB" w:rsidRDefault="001335DC" w:rsidP="001335DC">
            <w:pPr>
              <w:spacing w:line="240" w:lineRule="auto"/>
              <w:jc w:val="both"/>
              <w:rPr>
                <w:rFonts w:asciiTheme="minorHAnsi" w:eastAsia="Times New Roman" w:hAnsiTheme="minorHAnsi" w:cs="Calibri"/>
                <w:color w:val="000000"/>
                <w:sz w:val="16"/>
                <w:szCs w:val="16"/>
                <w:lang w:val="bg-BG" w:eastAsia="ro-RO"/>
              </w:rPr>
            </w:pP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03B6EE0" w14:textId="77777777" w:rsidR="001335DC" w:rsidRPr="007375EB" w:rsidRDefault="001335DC" w:rsidP="001335DC">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13195527" w14:textId="4CD52645" w:rsidR="001335DC" w:rsidRPr="007375EB" w:rsidRDefault="000028B4" w:rsidP="000028B4">
            <w:pPr>
              <w:spacing w:line="240" w:lineRule="auto"/>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По време на етапа на изпълнение </w:t>
            </w:r>
            <w:r w:rsidRPr="007375EB">
              <w:rPr>
                <w:rFonts w:asciiTheme="minorHAnsi" w:eastAsia="Times New Roman" w:hAnsiTheme="minorHAnsi" w:cs="Calibri"/>
                <w:color w:val="000000"/>
                <w:sz w:val="16"/>
                <w:szCs w:val="16"/>
                <w:lang w:val="bg-BG" w:eastAsia="ro-RO"/>
              </w:rPr>
              <w:t xml:space="preserve">населението в района на прилагане на </w:t>
            </w:r>
            <w:r w:rsidRPr="007375EB">
              <w:rPr>
                <w:rFonts w:asciiTheme="minorHAnsi" w:eastAsia="Times New Roman" w:hAnsiTheme="minorHAnsi" w:cs="Calibri"/>
                <w:sz w:val="16"/>
                <w:szCs w:val="16"/>
                <w:lang w:val="bg-BG" w:eastAsia="ro-RO"/>
              </w:rPr>
              <w:t>PUZ</w:t>
            </w:r>
            <w:r w:rsidRPr="007375EB">
              <w:rPr>
                <w:rFonts w:asciiTheme="minorHAnsi" w:eastAsia="Times New Roman" w:hAnsiTheme="minorHAnsi" w:cs="Calibri"/>
                <w:color w:val="000000"/>
                <w:sz w:val="16"/>
                <w:szCs w:val="16"/>
                <w:lang w:val="bg-BG" w:eastAsia="ro-RO"/>
              </w:rPr>
              <w:t xml:space="preserve"> може да бъде засегнато от увеличения трафик по местните пътища и пътищата за достъп до населеното място, от емисиите на прах и замърсители, генерирани от работите по плана, от шума и вибрациите, причинени от машините и оборудването, участващи в работите. Тяхното въздействие е локално, временно и с ниска степен на значимост, като се има предвид, че районът на прилагане на </w:t>
            </w:r>
            <w:r w:rsidRPr="007375EB">
              <w:rPr>
                <w:rFonts w:asciiTheme="minorHAnsi" w:eastAsia="Times New Roman" w:hAnsiTheme="minorHAnsi" w:cs="Calibri"/>
                <w:sz w:val="16"/>
                <w:szCs w:val="16"/>
                <w:lang w:val="bg-BG" w:eastAsia="ro-RO"/>
              </w:rPr>
              <w:t>PUZ</w:t>
            </w:r>
            <w:r w:rsidRPr="007375EB">
              <w:rPr>
                <w:rFonts w:asciiTheme="minorHAnsi" w:eastAsia="Times New Roman" w:hAnsiTheme="minorHAnsi" w:cs="Calibri"/>
                <w:color w:val="000000"/>
                <w:sz w:val="16"/>
                <w:szCs w:val="16"/>
                <w:lang w:val="bg-BG" w:eastAsia="ro-RO"/>
              </w:rPr>
              <w:t xml:space="preserve"> е в покрайнините на населеното място, че това е селски район, който не е пренаселен със строителство и е с малък трафик. По време на експлоатационната фаза на вятърния парк въздействието върху населението и човешкото здраве се състои от шума, произвеждан от работещите турбини, ефекта на засенчване и изменението на ландшафта</w:t>
            </w:r>
            <w:r w:rsidR="001335DC" w:rsidRPr="007375EB">
              <w:rPr>
                <w:rFonts w:asciiTheme="minorHAnsi" w:eastAsia="Times New Roman" w:hAnsiTheme="minorHAnsi" w:cs="Calibri"/>
                <w:color w:val="000000"/>
                <w:sz w:val="16"/>
                <w:szCs w:val="16"/>
                <w:lang w:val="bg-BG" w:eastAsia="ro-RO"/>
              </w:rPr>
              <w:t>.</w:t>
            </w:r>
            <w:r w:rsidR="001335DC" w:rsidRPr="007375EB">
              <w:rPr>
                <w:rFonts w:asciiTheme="minorHAnsi" w:eastAsia="Times New Roman" w:hAnsiTheme="minorHAnsi" w:cs="Calibri"/>
                <w:color w:val="000000"/>
                <w:sz w:val="16"/>
                <w:szCs w:val="16"/>
                <w:lang w:val="bg-BG" w:eastAsia="ro-RO"/>
              </w:rPr>
              <w:br/>
            </w:r>
            <w:r w:rsidRPr="007375EB">
              <w:rPr>
                <w:rFonts w:asciiTheme="minorHAnsi" w:eastAsia="Times New Roman" w:hAnsiTheme="minorHAnsi" w:cs="Calibri"/>
                <w:color w:val="000000"/>
                <w:sz w:val="16"/>
                <w:szCs w:val="16"/>
                <w:lang w:val="bg-BG" w:eastAsia="ro-RO"/>
              </w:rPr>
              <w:t xml:space="preserve">От моделирането на шума, извършено за </w:t>
            </w:r>
            <w:r w:rsidRPr="007375EB">
              <w:rPr>
                <w:rFonts w:asciiTheme="minorHAnsi" w:eastAsia="Times New Roman" w:hAnsiTheme="minorHAnsi" w:cs="Calibri"/>
                <w:sz w:val="16"/>
                <w:szCs w:val="16"/>
                <w:lang w:val="bg-BG" w:eastAsia="ro-RO"/>
              </w:rPr>
              <w:t>PUZ</w:t>
            </w:r>
            <w:r w:rsidRPr="007375EB">
              <w:rPr>
                <w:rFonts w:asciiTheme="minorHAnsi" w:eastAsia="Times New Roman" w:hAnsiTheme="minorHAnsi" w:cs="Calibri"/>
                <w:color w:val="000000"/>
                <w:sz w:val="16"/>
                <w:szCs w:val="16"/>
                <w:lang w:val="bg-BG" w:eastAsia="ro-RO"/>
              </w:rPr>
              <w:t xml:space="preserve">, се вижда, че нивото на шума в рецепторната зона (населени места, разположени в зоната на изпълнение на </w:t>
            </w:r>
            <w:r w:rsidRPr="007375EB">
              <w:rPr>
                <w:rFonts w:asciiTheme="minorHAnsi" w:eastAsia="Times New Roman" w:hAnsiTheme="minorHAnsi" w:cs="Calibri"/>
                <w:sz w:val="16"/>
                <w:szCs w:val="16"/>
                <w:lang w:val="bg-BG" w:eastAsia="ro-RO"/>
              </w:rPr>
              <w:t>PUZ</w:t>
            </w:r>
            <w:r w:rsidRPr="007375EB">
              <w:rPr>
                <w:rFonts w:asciiTheme="minorHAnsi" w:eastAsia="Times New Roman" w:hAnsiTheme="minorHAnsi" w:cs="Calibri"/>
                <w:color w:val="000000"/>
                <w:sz w:val="16"/>
                <w:szCs w:val="16"/>
                <w:lang w:val="bg-BG" w:eastAsia="ro-RO"/>
              </w:rPr>
              <w:t xml:space="preserve">) е по-малко от 40 дБ, в съответствие с граничните стойности, наложени от действащото законодателство за защитените зони. Що се отнася до ефекта на засенчването, според моделирането, извършено за предложената </w:t>
            </w:r>
            <w:r w:rsidRPr="007375EB">
              <w:rPr>
                <w:rFonts w:asciiTheme="minorHAnsi" w:eastAsia="Times New Roman" w:hAnsiTheme="minorHAnsi" w:cs="Calibri"/>
                <w:sz w:val="16"/>
                <w:szCs w:val="16"/>
                <w:lang w:val="bg-BG" w:eastAsia="ro-RO"/>
              </w:rPr>
              <w:t>PUZ</w:t>
            </w:r>
            <w:r w:rsidRPr="007375EB">
              <w:rPr>
                <w:rFonts w:asciiTheme="minorHAnsi" w:eastAsia="Times New Roman" w:hAnsiTheme="minorHAnsi" w:cs="Calibri"/>
                <w:color w:val="000000"/>
                <w:sz w:val="16"/>
                <w:szCs w:val="16"/>
                <w:lang w:val="bg-BG" w:eastAsia="ro-RO"/>
              </w:rPr>
              <w:t xml:space="preserve"> в района на населените места в зоната на прилагане на </w:t>
            </w:r>
            <w:r w:rsidRPr="007375EB">
              <w:rPr>
                <w:rFonts w:asciiTheme="minorHAnsi" w:eastAsia="Times New Roman" w:hAnsiTheme="minorHAnsi" w:cs="Calibri"/>
                <w:sz w:val="16"/>
                <w:szCs w:val="16"/>
                <w:lang w:val="bg-BG" w:eastAsia="ro-RO"/>
              </w:rPr>
              <w:t>PUZ</w:t>
            </w:r>
            <w:r w:rsidRPr="007375EB">
              <w:rPr>
                <w:rFonts w:asciiTheme="minorHAnsi" w:eastAsia="Times New Roman" w:hAnsiTheme="minorHAnsi" w:cs="Calibri"/>
                <w:color w:val="000000"/>
                <w:sz w:val="16"/>
                <w:szCs w:val="16"/>
                <w:lang w:val="bg-BG" w:eastAsia="ro-RO"/>
              </w:rPr>
              <w:t>, засенчването има преобладаващи стойности между 0,1 и 8 часа годишно, като нормативната граница в САЩ е 30 часа. От гледна точка на визуалното въздействие върху населението, то е различно при отделните хора поради разликата във възприятието. На етапа на извеждане от експлоатация въздействието, което се усеща от населението в района на изпълнение на проекта, е подобно на това на етапа на изпълнение.</w:t>
            </w:r>
          </w:p>
        </w:tc>
      </w:tr>
      <w:tr w:rsidR="001335DC" w:rsidRPr="007375EB" w14:paraId="195AC564" w14:textId="77777777" w:rsidTr="00DF0A28">
        <w:trPr>
          <w:trHeight w:val="1185"/>
        </w:trPr>
        <w:tc>
          <w:tcPr>
            <w:tcW w:w="1525"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5247E3A9" w14:textId="77777777" w:rsidR="001335DC" w:rsidRPr="007375EB" w:rsidRDefault="001335DC" w:rsidP="001335DC">
            <w:pPr>
              <w:spacing w:line="240" w:lineRule="auto"/>
              <w:rPr>
                <w:rFonts w:asciiTheme="minorHAnsi" w:eastAsia="Times New Roman" w:hAnsiTheme="minorHAnsi" w:cs="Calibri"/>
                <w:b/>
                <w:bCs/>
                <w:color w:val="000000"/>
                <w:sz w:val="16"/>
                <w:szCs w:val="16"/>
                <w:lang w:val="bg-BG" w:eastAsia="ro-RO"/>
              </w:rPr>
            </w:pP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AF5A908" w14:textId="3FEE7B6D" w:rsidR="001335DC" w:rsidRPr="007375EB" w:rsidRDefault="001335DC" w:rsidP="001335DC">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OM11.</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Подобряване на жизнения стандарт и социалните условия на населението</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2D625B31"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315144FD"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15D05DC1"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75A95F4C"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7DB9CA8F"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5B9CDC24"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2BB62539"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05BED4E0" w14:textId="77777777" w:rsidR="001335DC" w:rsidRPr="007375EB" w:rsidRDefault="001335DC" w:rsidP="001335DC">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04F94EB3"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6B4CDAC7" w14:textId="77777777" w:rsidR="001335DC" w:rsidRPr="007375EB" w:rsidRDefault="001335DC" w:rsidP="001335DC">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2</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7E71F582"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74E467BF"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796CFD66"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65422B5D"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36866B9F"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5DDB8E9F"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4AFB5E20" w14:textId="77777777" w:rsidR="001335DC" w:rsidRPr="007375EB" w:rsidRDefault="001335DC" w:rsidP="001335DC">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2856CED6" w14:textId="77777777" w:rsidR="001335DC" w:rsidRPr="007375EB" w:rsidRDefault="001335DC" w:rsidP="001335DC">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549C016" w14:textId="56FF46B2" w:rsidR="001335DC" w:rsidRPr="007375EB" w:rsidRDefault="000028B4" w:rsidP="000028B4">
            <w:pPr>
              <w:spacing w:line="240" w:lineRule="auto"/>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На етапа на изпълнение/извеждане от експлоатация </w:t>
            </w:r>
            <w:r w:rsidRPr="007375EB">
              <w:rPr>
                <w:rFonts w:asciiTheme="minorHAnsi" w:eastAsia="Times New Roman" w:hAnsiTheme="minorHAnsi" w:cs="Calibri"/>
                <w:color w:val="000000"/>
                <w:sz w:val="16"/>
                <w:szCs w:val="16"/>
                <w:lang w:val="bg-BG" w:eastAsia="ro-RO"/>
              </w:rPr>
              <w:t>създаването на временни работни места може да има положително въздействие върху жизнения стандарт на местното население. На етапа на експлоатация проектът допринася за подобряване на стандарта на живот чрез осигуряване на чист и стабилен източник на енергия, който може да намали разходите за енергия в дългосрочен план, и чрез вноски в местния бюджет, свързани с правата за наемане/отдаване под наем/ползване на земя.</w:t>
            </w:r>
          </w:p>
        </w:tc>
      </w:tr>
      <w:tr w:rsidR="000028B4" w:rsidRPr="007375EB" w14:paraId="0C265385" w14:textId="77777777" w:rsidTr="00DF0A28">
        <w:trPr>
          <w:trHeight w:val="1830"/>
        </w:trPr>
        <w:tc>
          <w:tcPr>
            <w:tcW w:w="152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4A53460C" w14:textId="432741D4" w:rsidR="000028B4" w:rsidRPr="007375EB" w:rsidRDefault="000028B4" w:rsidP="000028B4">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lastRenderedPageBreak/>
              <w:t>Ландшафт</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77B32774" w14:textId="504DE39B" w:rsidR="000028B4" w:rsidRPr="007375EB" w:rsidRDefault="000028B4" w:rsidP="000028B4">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OM12.</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Осигуряване на защита на естествения ландшафт и свеждане до минимум на въздействието върху естествения ландшафт</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EFD78F7"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D165DE4"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E1CDC93"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446F10E"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09A9775"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5B1102A"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4C5D8A0"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51442E5" w14:textId="77777777" w:rsidR="000028B4" w:rsidRPr="007375EB" w:rsidRDefault="000028B4" w:rsidP="000028B4">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557440D"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FDA801D" w14:textId="77777777" w:rsidR="000028B4" w:rsidRPr="007375EB" w:rsidRDefault="000028B4" w:rsidP="000028B4">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C71A6C3" w14:textId="26D4FC53"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50"/>
            <w:noWrap/>
            <w:vAlign w:val="center"/>
            <w:hideMark/>
          </w:tcPr>
          <w:p w14:paraId="4F175297" w14:textId="2536637B"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CC85D32" w14:textId="46DE47CB"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DAC280C" w14:textId="1D6C0348"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50"/>
            <w:noWrap/>
            <w:vAlign w:val="center"/>
            <w:hideMark/>
          </w:tcPr>
          <w:p w14:paraId="108928E2" w14:textId="73637EFA"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8F21561" w14:textId="07E61805"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7A2B1BAD" w14:textId="6C4D8CCF"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C6E0B4"/>
            <w:noWrap/>
            <w:vAlign w:val="center"/>
            <w:hideMark/>
          </w:tcPr>
          <w:p w14:paraId="62D1BC59" w14:textId="1CC230E3" w:rsidR="000028B4" w:rsidRPr="007375EB" w:rsidRDefault="000028B4" w:rsidP="000028B4">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3338FF4" w14:textId="7F27CF30" w:rsidR="000028B4" w:rsidRPr="007375EB" w:rsidRDefault="003077E2" w:rsidP="003077E2">
            <w:pPr>
              <w:spacing w:line="240" w:lineRule="auto"/>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Основното ландшафтно и визуално въздействие от прилагането на плана е промяната на селския ландшафт на района, характеризиращ се само със земеделско земеползване. Изграждането на вятърните турбини и свързаната с тях инфраструктура ще доведе до появата на видими строителни елементи, някои от които ще се виждат само от непосредствена близост, като например озеленените пътища и оградите на трафопостовете, а други, като силуетите на стълбовете и роторите на турбините, ще се виждат в по-голям, но все пак местен мащаб. Вятърните турбини могат да окажат дългосрочно визуално въздействие върху ландшафта, но това въздействие е сравнително незначително в сравнение с други форми на производство на енергия. Извеждането от експлоатация и възстановяването на земята в първоначалното ѝ състояние спомага за възстановяването на естествения ландшафт.</w:t>
            </w:r>
          </w:p>
        </w:tc>
      </w:tr>
      <w:tr w:rsidR="000028B4" w:rsidRPr="007375EB" w14:paraId="6552C85B" w14:textId="77777777" w:rsidTr="00DF0A28">
        <w:trPr>
          <w:trHeight w:val="1245"/>
        </w:trPr>
        <w:tc>
          <w:tcPr>
            <w:tcW w:w="1525"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355EBA8F" w14:textId="3F677D8C" w:rsidR="000028B4" w:rsidRPr="007375EB" w:rsidRDefault="000028B4" w:rsidP="000028B4">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Изменение на климата </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0E27BDFE" w14:textId="6C8B23AF" w:rsidR="000028B4" w:rsidRPr="007375EB" w:rsidRDefault="000028B4" w:rsidP="000028B4">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OM13.</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Намаляване на емисиите на парникови газове от енергийния сектор</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5B07C09"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E933909"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1001151"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AA544CB"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14CD6AC"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BD43D6F"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8458099"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D634D0A" w14:textId="77777777" w:rsidR="000028B4" w:rsidRPr="007375EB" w:rsidRDefault="000028B4" w:rsidP="000028B4">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458F6235"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28B76279" w14:textId="77777777" w:rsidR="000028B4" w:rsidRPr="007375EB" w:rsidRDefault="000028B4" w:rsidP="000028B4">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2</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E497FEB"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4BD2A8C"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815FDF8"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EBD0D61"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5B70680"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981222E"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A093C10"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F522DAA" w14:textId="77777777" w:rsidR="000028B4" w:rsidRPr="007375EB" w:rsidRDefault="000028B4" w:rsidP="000028B4">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0EAEDCA1" w14:textId="0CCE6D13" w:rsidR="000028B4" w:rsidRPr="007375EB" w:rsidRDefault="003077E2" w:rsidP="003077E2">
            <w:pPr>
              <w:spacing w:line="240" w:lineRule="auto"/>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По време на етапа на изпълнение на PUZ </w:t>
            </w:r>
            <w:r w:rsidRPr="007375EB">
              <w:rPr>
                <w:rFonts w:asciiTheme="minorHAnsi" w:eastAsia="Times New Roman" w:hAnsiTheme="minorHAnsi" w:cs="Calibri"/>
                <w:color w:val="000000"/>
                <w:sz w:val="16"/>
                <w:szCs w:val="16"/>
                <w:lang w:val="bg-BG" w:eastAsia="ro-RO"/>
              </w:rPr>
              <w:t>се генерират емисии на парникови газове, които биха могли да допринесат за явлението глобално затопляне, но предвид малките количества, влиянието е незначително. Във фазата на експлоатация вятърният парк допринася значително за намаляване на емисиите на ПГ, като замества еквивалентно количество електроенергия, произведена от изкопаеми горива, допринасяйки за декарбонизацията на енергийния сектор.</w:t>
            </w:r>
            <w:r w:rsidRPr="007375EB">
              <w:rPr>
                <w:rFonts w:asciiTheme="minorHAnsi" w:eastAsia="Times New Roman" w:hAnsiTheme="minorHAnsi" w:cs="Calibri"/>
                <w:i/>
                <w:iCs/>
                <w:color w:val="000000"/>
                <w:sz w:val="16"/>
                <w:szCs w:val="16"/>
                <w:lang w:val="bg-BG" w:eastAsia="ro-RO"/>
              </w:rPr>
              <w:t xml:space="preserve"> На етапа на извеждане от експлоатация </w:t>
            </w:r>
            <w:r w:rsidRPr="007375EB">
              <w:rPr>
                <w:rFonts w:asciiTheme="minorHAnsi" w:eastAsia="Times New Roman" w:hAnsiTheme="minorHAnsi" w:cs="Calibri"/>
                <w:color w:val="000000"/>
                <w:sz w:val="16"/>
                <w:szCs w:val="16"/>
                <w:lang w:val="bg-BG" w:eastAsia="ro-RO"/>
              </w:rPr>
              <w:t>въздействието е подобно на това на етапа на изграждане</w:t>
            </w:r>
            <w:r w:rsidRPr="007375EB">
              <w:rPr>
                <w:rFonts w:asciiTheme="minorHAnsi" w:eastAsia="Times New Roman" w:hAnsiTheme="minorHAnsi" w:cs="Calibri"/>
                <w:i/>
                <w:iCs/>
                <w:color w:val="000000"/>
                <w:sz w:val="16"/>
                <w:szCs w:val="16"/>
                <w:lang w:val="bg-BG" w:eastAsia="ro-RO"/>
              </w:rPr>
              <w:t>.</w:t>
            </w:r>
          </w:p>
        </w:tc>
      </w:tr>
      <w:tr w:rsidR="000028B4" w:rsidRPr="007375EB" w14:paraId="359AE003" w14:textId="77777777" w:rsidTr="00DF0A28">
        <w:trPr>
          <w:trHeight w:val="990"/>
        </w:trPr>
        <w:tc>
          <w:tcPr>
            <w:tcW w:w="1525"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33DD29EB" w14:textId="77777777" w:rsidR="000028B4" w:rsidRPr="007375EB" w:rsidRDefault="000028B4" w:rsidP="000028B4">
            <w:pPr>
              <w:spacing w:line="240" w:lineRule="auto"/>
              <w:rPr>
                <w:rFonts w:asciiTheme="minorHAnsi" w:eastAsia="Times New Roman" w:hAnsiTheme="minorHAnsi" w:cs="Calibri"/>
                <w:b/>
                <w:bCs/>
                <w:color w:val="000000"/>
                <w:sz w:val="16"/>
                <w:szCs w:val="16"/>
                <w:lang w:val="bg-BG" w:eastAsia="ro-RO"/>
              </w:rPr>
            </w:pP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469DF490" w14:textId="55A61416" w:rsidR="000028B4" w:rsidRPr="007375EB" w:rsidRDefault="000028B4" w:rsidP="000028B4">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OM14.</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Намаляване на рисковете от изменението на климата (адаптация)</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4BC0A23"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CDDA1AE"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D905632"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54788AB"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452CD0F"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791701F"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1872D87"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9EA6CD6" w14:textId="77777777" w:rsidR="000028B4" w:rsidRPr="007375EB" w:rsidRDefault="000028B4" w:rsidP="000028B4">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215E0A96"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2FC8E2DA" w14:textId="77777777" w:rsidR="000028B4" w:rsidRPr="007375EB" w:rsidRDefault="000028B4" w:rsidP="000028B4">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2</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8B38E2D"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B622B0B"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7019FE8A"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046E128"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A387A19"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3B0DE42"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34B6743" w14:textId="7777777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EC554A6" w14:textId="77777777" w:rsidR="000028B4" w:rsidRPr="007375EB" w:rsidRDefault="000028B4" w:rsidP="000028B4">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334D3FF1" w14:textId="673B51EF" w:rsidR="000028B4" w:rsidRPr="007375EB" w:rsidRDefault="003077E2" w:rsidP="003077E2">
            <w:pPr>
              <w:spacing w:line="240" w:lineRule="auto"/>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Смята се, че предложението за PUZ</w:t>
            </w:r>
            <w:r w:rsidRPr="007375EB">
              <w:rPr>
                <w:rFonts w:asciiTheme="minorHAnsi" w:eastAsia="Times New Roman" w:hAnsiTheme="minorHAnsi" w:cs="Calibri"/>
                <w:i/>
                <w:iCs/>
                <w:color w:val="000000"/>
                <w:sz w:val="16"/>
                <w:szCs w:val="16"/>
                <w:lang w:val="bg-BG" w:eastAsia="ro-RO"/>
              </w:rPr>
              <w:t xml:space="preserve"> </w:t>
            </w:r>
            <w:r w:rsidRPr="007375EB">
              <w:rPr>
                <w:rFonts w:asciiTheme="minorHAnsi" w:eastAsia="Times New Roman" w:hAnsiTheme="minorHAnsi" w:cs="Calibri"/>
                <w:color w:val="000000"/>
                <w:sz w:val="16"/>
                <w:szCs w:val="16"/>
                <w:lang w:val="bg-BG" w:eastAsia="ro-RO"/>
              </w:rPr>
              <w:t>няма да увеличи уязвимостта на района към изменението на климата. Работите ще бъдат извършени в съответствие със специфичните разпоредби за проектиране и проучванията на място. Вятърният парк подпомага адаптирането на енергийния сектор към изменението на климата чрез производството на енергия от възобновяеми източници, което намалява зависимостта от изкопаеми горива.</w:t>
            </w:r>
          </w:p>
        </w:tc>
      </w:tr>
      <w:tr w:rsidR="000028B4" w:rsidRPr="007375EB" w14:paraId="6463A0CD" w14:textId="77777777" w:rsidTr="00DF0A28">
        <w:trPr>
          <w:trHeight w:val="645"/>
        </w:trPr>
        <w:tc>
          <w:tcPr>
            <w:tcW w:w="152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1190964E" w14:textId="2808AC52" w:rsidR="000028B4" w:rsidRPr="007375EB" w:rsidRDefault="000028B4" w:rsidP="000028B4">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Културно наследство</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72E2DF30" w14:textId="585AB420" w:rsidR="000028B4" w:rsidRPr="007375EB" w:rsidRDefault="000028B4" w:rsidP="000028B4">
            <w:pPr>
              <w:spacing w:line="240" w:lineRule="auto"/>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OM15.</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Защита и опазване на културното наследство</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FCC99"/>
            <w:noWrap/>
            <w:vAlign w:val="center"/>
            <w:hideMark/>
          </w:tcPr>
          <w:p w14:paraId="04991EC4" w14:textId="6C5B6F4A"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13DEF18" w14:textId="6A31742C"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00A0D70" w14:textId="444C67E2"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FCC99"/>
            <w:noWrap/>
            <w:vAlign w:val="center"/>
            <w:hideMark/>
          </w:tcPr>
          <w:p w14:paraId="5CB2517C" w14:textId="4C32DF86"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FECF882" w14:textId="1C9AB184"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10673BD" w14:textId="059AE41B"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F92CB56" w14:textId="4897F347"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FCC99"/>
            <w:noWrap/>
            <w:vAlign w:val="center"/>
            <w:hideMark/>
          </w:tcPr>
          <w:p w14:paraId="6D8F8C7D" w14:textId="6C0CB435" w:rsidR="000028B4" w:rsidRPr="007375EB" w:rsidRDefault="000028B4" w:rsidP="000028B4">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hAnsiTheme="minorHAnsi" w:cs="Calibri"/>
                <w:b/>
                <w:bCs/>
                <w:color w:val="000000"/>
                <w:sz w:val="16"/>
                <w:szCs w:val="16"/>
                <w:lang w:val="bg-BG"/>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70D9285" w14:textId="0F2C88F6"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EBABC94" w14:textId="1D208349" w:rsidR="000028B4" w:rsidRPr="007375EB" w:rsidRDefault="000028B4" w:rsidP="000028B4">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hAnsiTheme="minorHAnsi" w:cs="Calibri"/>
                <w:b/>
                <w:bCs/>
                <w:color w:val="000000"/>
                <w:sz w:val="16"/>
                <w:szCs w:val="16"/>
                <w:lang w:val="bg-BG"/>
              </w:rPr>
              <w:t>0</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7CE13F72" w14:textId="135E219C"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84BF5C4" w14:textId="271F7150"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5205C0F" w14:textId="5AE8C235"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FCC99"/>
            <w:noWrap/>
            <w:vAlign w:val="center"/>
            <w:hideMark/>
          </w:tcPr>
          <w:p w14:paraId="05788EF5" w14:textId="00AB9983"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7D1108DE" w14:textId="1F366A32"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FCC99"/>
            <w:noWrap/>
            <w:vAlign w:val="center"/>
            <w:hideMark/>
          </w:tcPr>
          <w:p w14:paraId="118E31E0" w14:textId="39CCD1ED"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71C105B" w14:textId="2E0A2941" w:rsidR="000028B4" w:rsidRPr="007375EB" w:rsidRDefault="000028B4" w:rsidP="000028B4">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FCC99"/>
            <w:noWrap/>
            <w:vAlign w:val="center"/>
            <w:hideMark/>
          </w:tcPr>
          <w:p w14:paraId="2AAC2C75" w14:textId="05929E25" w:rsidR="000028B4" w:rsidRPr="007375EB" w:rsidRDefault="000028B4" w:rsidP="000028B4">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hAnsiTheme="minorHAnsi" w:cs="Calibri"/>
                <w:b/>
                <w:bCs/>
                <w:color w:val="000000"/>
                <w:sz w:val="16"/>
                <w:szCs w:val="16"/>
                <w:lang w:val="bg-BG"/>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A323D3A" w14:textId="36BE90DF" w:rsidR="000028B4" w:rsidRPr="007375EB" w:rsidRDefault="003077E2" w:rsidP="003077E2">
            <w:pPr>
              <w:pStyle w:val="NormalWeb"/>
              <w:spacing w:line="240" w:lineRule="auto"/>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По време на етапа на изпълнение и извеждане от експлоатация на работите</w:t>
            </w:r>
            <w:r w:rsidRPr="007375EB">
              <w:rPr>
                <w:rFonts w:asciiTheme="minorHAnsi" w:eastAsia="Times New Roman" w:hAnsiTheme="minorHAnsi" w:cs="Calibri"/>
                <w:color w:val="000000"/>
                <w:sz w:val="16"/>
                <w:szCs w:val="16"/>
                <w:lang w:val="bg-BG" w:eastAsia="ro-RO"/>
              </w:rPr>
              <w:t>, предвидени в PUZ, въздействието върху обектите на културното наследство и тези в археологическия регистър се оценява като незначително отрицателно, като се има предвид, че площадката на турбините е разположена извън урбанизираната територия на населените места в района на изпълнение на PUZ, а най-близкият обект е Tumulul de la Căscioarele Movila Bacu, на разстояние около 636 м от T27 и около 1 км от T30. Каструмът на легионерите се намира на около 742,26 м от турбината T27. Не се очаква въздействие върху обектите на културното наследство по време на експлоатационната фаза на вятърните паркове.</w:t>
            </w:r>
          </w:p>
        </w:tc>
      </w:tr>
    </w:tbl>
    <w:p w14:paraId="73849EDC" w14:textId="77777777" w:rsidR="00D0467E" w:rsidRPr="007375EB" w:rsidRDefault="00D0467E" w:rsidP="00B17FB8">
      <w:pPr>
        <w:spacing w:after="120" w:line="360" w:lineRule="auto"/>
        <w:jc w:val="both"/>
        <w:rPr>
          <w:lang w:val="bg-BG" w:eastAsia="ro-RO"/>
        </w:rPr>
      </w:pPr>
    </w:p>
    <w:p w14:paraId="18FD16DF" w14:textId="77777777" w:rsidR="00327831" w:rsidRPr="007375EB" w:rsidRDefault="00327831" w:rsidP="00D0467E">
      <w:pPr>
        <w:spacing w:after="120" w:line="360" w:lineRule="auto"/>
        <w:jc w:val="both"/>
        <w:rPr>
          <w:lang w:val="bg-BG" w:eastAsia="ro-RO"/>
        </w:rPr>
        <w:sectPr w:rsidR="00327831" w:rsidRPr="007375EB" w:rsidSect="000D1C38">
          <w:pgSz w:w="23811" w:h="16838" w:orient="landscape" w:code="8"/>
          <w:pgMar w:top="1191" w:right="2013" w:bottom="1416" w:left="1276" w:header="839" w:footer="680" w:gutter="0"/>
          <w:cols w:space="708"/>
          <w:docGrid w:linePitch="360"/>
        </w:sectPr>
      </w:pPr>
    </w:p>
    <w:p w14:paraId="40AD12EC" w14:textId="35F7A734" w:rsidR="00D0467E" w:rsidRPr="007375EB" w:rsidRDefault="003077E2" w:rsidP="00D0467E">
      <w:pPr>
        <w:pStyle w:val="Caption"/>
        <w:rPr>
          <w:rFonts w:eastAsia="EuroRoman"/>
          <w:color w:val="00B0F0"/>
          <w:sz w:val="16"/>
          <w:szCs w:val="16"/>
          <w:lang w:val="bg-BG"/>
        </w:rPr>
      </w:pPr>
      <w:r w:rsidRPr="007375EB">
        <w:rPr>
          <w:sz w:val="16"/>
          <w:szCs w:val="16"/>
          <w:lang w:val="bg-BG"/>
        </w:rPr>
        <w:lastRenderedPageBreak/>
        <w:t>Таблица</w:t>
      </w:r>
      <w:r w:rsidR="00D715BC" w:rsidRPr="007375EB">
        <w:rPr>
          <w:sz w:val="16"/>
          <w:szCs w:val="16"/>
          <w:lang w:val="bg-BG"/>
        </w:rPr>
        <w:t xml:space="preserve"> </w:t>
      </w:r>
      <w:r w:rsidR="00D715BC" w:rsidRPr="007375EB">
        <w:rPr>
          <w:sz w:val="16"/>
          <w:szCs w:val="16"/>
          <w:lang w:val="bg-BG"/>
        </w:rPr>
        <w:fldChar w:fldCharType="begin"/>
      </w:r>
      <w:r w:rsidR="00D715BC" w:rsidRPr="007375EB">
        <w:rPr>
          <w:sz w:val="16"/>
          <w:szCs w:val="16"/>
          <w:lang w:val="bg-BG"/>
        </w:rPr>
        <w:instrText xml:space="preserve"> STYLEREF 1 \s </w:instrText>
      </w:r>
      <w:r w:rsidR="00D715BC" w:rsidRPr="007375EB">
        <w:rPr>
          <w:sz w:val="16"/>
          <w:szCs w:val="16"/>
          <w:lang w:val="bg-BG"/>
        </w:rPr>
        <w:fldChar w:fldCharType="separate"/>
      </w:r>
      <w:r w:rsidR="00D715BC" w:rsidRPr="007375EB">
        <w:rPr>
          <w:noProof/>
          <w:sz w:val="16"/>
          <w:szCs w:val="16"/>
          <w:lang w:val="bg-BG"/>
        </w:rPr>
        <w:t>6</w:t>
      </w:r>
      <w:r w:rsidR="00D715BC" w:rsidRPr="007375EB">
        <w:rPr>
          <w:sz w:val="16"/>
          <w:szCs w:val="16"/>
          <w:lang w:val="bg-BG"/>
        </w:rPr>
        <w:fldChar w:fldCharType="end"/>
      </w:r>
      <w:r w:rsidR="00D715BC" w:rsidRPr="007375EB">
        <w:rPr>
          <w:sz w:val="16"/>
          <w:szCs w:val="16"/>
          <w:lang w:val="bg-BG"/>
        </w:rPr>
        <w:noBreakHyphen/>
      </w:r>
      <w:r w:rsidR="00D715BC" w:rsidRPr="007375EB">
        <w:rPr>
          <w:sz w:val="16"/>
          <w:szCs w:val="16"/>
          <w:lang w:val="bg-BG"/>
        </w:rPr>
        <w:fldChar w:fldCharType="begin"/>
      </w:r>
      <w:r w:rsidR="00D715BC" w:rsidRPr="007375EB">
        <w:rPr>
          <w:sz w:val="16"/>
          <w:szCs w:val="16"/>
          <w:lang w:val="bg-BG"/>
        </w:rPr>
        <w:instrText xml:space="preserve"> SEQ Tabel_ \* ARABIC \s 1 </w:instrText>
      </w:r>
      <w:r w:rsidR="00D715BC" w:rsidRPr="007375EB">
        <w:rPr>
          <w:sz w:val="16"/>
          <w:szCs w:val="16"/>
          <w:lang w:val="bg-BG"/>
        </w:rPr>
        <w:fldChar w:fldCharType="separate"/>
      </w:r>
      <w:r w:rsidR="00D715BC" w:rsidRPr="007375EB">
        <w:rPr>
          <w:noProof/>
          <w:sz w:val="16"/>
          <w:szCs w:val="16"/>
          <w:lang w:val="bg-BG"/>
        </w:rPr>
        <w:t>9</w:t>
      </w:r>
      <w:r w:rsidR="00D715BC" w:rsidRPr="007375EB">
        <w:rPr>
          <w:sz w:val="16"/>
          <w:szCs w:val="16"/>
          <w:lang w:val="bg-BG"/>
        </w:rPr>
        <w:fldChar w:fldCharType="end"/>
      </w:r>
      <w:r w:rsidR="00D715BC" w:rsidRPr="007375EB">
        <w:rPr>
          <w:sz w:val="16"/>
          <w:szCs w:val="16"/>
          <w:lang w:val="bg-BG"/>
        </w:rPr>
        <w:t xml:space="preserve"> </w:t>
      </w:r>
      <w:r w:rsidRPr="007375EB">
        <w:rPr>
          <w:rFonts w:eastAsia="EuroRoman"/>
          <w:color w:val="00B0F0"/>
          <w:sz w:val="16"/>
          <w:szCs w:val="16"/>
          <w:lang w:val="bg-BG"/>
        </w:rPr>
        <w:t>Оценка на ефектите от алтернатива III PUZ, започнала през 2022 г. с 46 вятърни турбини при липса на смекчаващи мерки</w:t>
      </w:r>
    </w:p>
    <w:tbl>
      <w:tblPr>
        <w:tblW w:w="21258"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ayout w:type="fixed"/>
        <w:tblLook w:val="04A0" w:firstRow="1" w:lastRow="0" w:firstColumn="1" w:lastColumn="0" w:noHBand="0" w:noVBand="1"/>
      </w:tblPr>
      <w:tblGrid>
        <w:gridCol w:w="1573"/>
        <w:gridCol w:w="2155"/>
        <w:gridCol w:w="662"/>
        <w:gridCol w:w="567"/>
        <w:gridCol w:w="567"/>
        <w:gridCol w:w="1134"/>
        <w:gridCol w:w="708"/>
        <w:gridCol w:w="709"/>
        <w:gridCol w:w="709"/>
        <w:gridCol w:w="709"/>
        <w:gridCol w:w="567"/>
        <w:gridCol w:w="708"/>
        <w:gridCol w:w="567"/>
        <w:gridCol w:w="567"/>
        <w:gridCol w:w="709"/>
        <w:gridCol w:w="992"/>
        <w:gridCol w:w="567"/>
        <w:gridCol w:w="709"/>
        <w:gridCol w:w="709"/>
        <w:gridCol w:w="426"/>
        <w:gridCol w:w="22"/>
        <w:gridCol w:w="5222"/>
      </w:tblGrid>
      <w:tr w:rsidR="003077E2" w:rsidRPr="007375EB" w14:paraId="54C187FD" w14:textId="77777777" w:rsidTr="002147B6">
        <w:trPr>
          <w:trHeight w:val="495"/>
          <w:tblHeader/>
        </w:trPr>
        <w:tc>
          <w:tcPr>
            <w:tcW w:w="1573" w:type="dxa"/>
            <w:vMerge w:val="restart"/>
            <w:shd w:val="clear" w:color="000000" w:fill="00B0F0"/>
            <w:vAlign w:val="center"/>
            <w:hideMark/>
          </w:tcPr>
          <w:p w14:paraId="28C234C1" w14:textId="47AC8BF4" w:rsidR="003077E2" w:rsidRPr="007375EB" w:rsidRDefault="003077E2" w:rsidP="003077E2">
            <w:pPr>
              <w:spacing w:line="240" w:lineRule="auto"/>
              <w:contextualSpacing/>
              <w:jc w:val="center"/>
              <w:rPr>
                <w:rFonts w:asciiTheme="minorHAnsi" w:eastAsia="Times New Roman" w:hAnsiTheme="minorHAnsi" w:cs="Calibri"/>
                <w:b/>
                <w:bCs/>
                <w:color w:val="FFFFFF"/>
                <w:sz w:val="16"/>
                <w:szCs w:val="16"/>
                <w:lang w:val="bg-BG" w:eastAsia="ro-RO"/>
              </w:rPr>
            </w:pPr>
            <w:r w:rsidRPr="007375EB">
              <w:rPr>
                <w:rFonts w:eastAsia="Times New Roman" w:cs="Calibri"/>
                <w:b/>
                <w:bCs/>
                <w:color w:val="FFFFFF"/>
                <w:sz w:val="16"/>
                <w:szCs w:val="16"/>
                <w:lang w:val="bg-BG" w:eastAsia="ro-RO"/>
              </w:rPr>
              <w:t>Съответни аспекти на околната среда</w:t>
            </w:r>
          </w:p>
        </w:tc>
        <w:tc>
          <w:tcPr>
            <w:tcW w:w="2155" w:type="dxa"/>
            <w:vMerge w:val="restart"/>
            <w:shd w:val="clear" w:color="000000" w:fill="00B0F0"/>
            <w:vAlign w:val="center"/>
            <w:hideMark/>
          </w:tcPr>
          <w:p w14:paraId="3D6E9D11" w14:textId="32A45144" w:rsidR="003077E2" w:rsidRPr="007375EB" w:rsidRDefault="003077E2" w:rsidP="003077E2">
            <w:pPr>
              <w:spacing w:line="240" w:lineRule="auto"/>
              <w:contextualSpacing/>
              <w:jc w:val="center"/>
              <w:rPr>
                <w:rFonts w:asciiTheme="minorHAnsi" w:eastAsia="Times New Roman" w:hAnsiTheme="minorHAnsi" w:cs="Calibri"/>
                <w:b/>
                <w:bCs/>
                <w:color w:val="FFFFFF"/>
                <w:sz w:val="16"/>
                <w:szCs w:val="16"/>
                <w:lang w:val="bg-BG" w:eastAsia="ro-RO"/>
              </w:rPr>
            </w:pPr>
            <w:r w:rsidRPr="007375EB">
              <w:rPr>
                <w:rFonts w:eastAsia="Times New Roman" w:cs="Calibri"/>
                <w:b/>
                <w:bCs/>
                <w:color w:val="FFFFFF"/>
                <w:sz w:val="16"/>
                <w:szCs w:val="16"/>
                <w:lang w:val="bg-BG" w:eastAsia="ro-RO"/>
              </w:rPr>
              <w:t>Екологични цели, свързани с PUZ</w:t>
            </w:r>
          </w:p>
        </w:tc>
        <w:tc>
          <w:tcPr>
            <w:tcW w:w="5765" w:type="dxa"/>
            <w:gridSpan w:val="8"/>
            <w:shd w:val="clear" w:color="000000" w:fill="00B0F0"/>
            <w:vAlign w:val="center"/>
            <w:hideMark/>
          </w:tcPr>
          <w:p w14:paraId="578C5D8E" w14:textId="5D519DBF" w:rsidR="003077E2" w:rsidRPr="007375EB" w:rsidRDefault="003077E2" w:rsidP="003077E2">
            <w:pPr>
              <w:spacing w:line="240" w:lineRule="auto"/>
              <w:contextualSpacing/>
              <w:jc w:val="center"/>
              <w:rPr>
                <w:rFonts w:asciiTheme="minorHAnsi" w:eastAsia="Times New Roman" w:hAnsiTheme="minorHAnsi" w:cs="Calibri"/>
                <w:b/>
                <w:bCs/>
                <w:color w:val="FFFFFF"/>
                <w:sz w:val="16"/>
                <w:szCs w:val="16"/>
                <w:lang w:val="bg-BG" w:eastAsia="ro-RO"/>
              </w:rPr>
            </w:pPr>
            <w:r w:rsidRPr="007375EB">
              <w:rPr>
                <w:rFonts w:eastAsia="Times New Roman" w:cs="Calibri"/>
                <w:b/>
                <w:bCs/>
                <w:color w:val="FFFFFF"/>
                <w:sz w:val="14"/>
                <w:szCs w:val="14"/>
                <w:lang w:val="bg-BG" w:eastAsia="ro-RO"/>
              </w:rPr>
              <w:t>Период на изпълнение</w:t>
            </w:r>
          </w:p>
        </w:tc>
        <w:tc>
          <w:tcPr>
            <w:tcW w:w="1275" w:type="dxa"/>
            <w:gridSpan w:val="2"/>
            <w:shd w:val="clear" w:color="000000" w:fill="00B0F0"/>
            <w:vAlign w:val="center"/>
            <w:hideMark/>
          </w:tcPr>
          <w:p w14:paraId="3EEDFC42" w14:textId="4E49EC81" w:rsidR="003077E2" w:rsidRPr="007375EB" w:rsidRDefault="003077E2" w:rsidP="003077E2">
            <w:pPr>
              <w:spacing w:line="240" w:lineRule="auto"/>
              <w:contextualSpacing/>
              <w:jc w:val="center"/>
              <w:rPr>
                <w:rFonts w:asciiTheme="minorHAnsi" w:eastAsia="Times New Roman" w:hAnsiTheme="minorHAnsi" w:cs="Calibri"/>
                <w:b/>
                <w:bCs/>
                <w:color w:val="FFFFFF"/>
                <w:sz w:val="16"/>
                <w:szCs w:val="16"/>
                <w:lang w:val="bg-BG" w:eastAsia="ro-RO"/>
              </w:rPr>
            </w:pPr>
            <w:r w:rsidRPr="007375EB">
              <w:rPr>
                <w:rFonts w:eastAsia="Times New Roman" w:cs="Calibri"/>
                <w:b/>
                <w:bCs/>
                <w:color w:val="FFFFFF"/>
                <w:sz w:val="14"/>
                <w:szCs w:val="14"/>
                <w:lang w:val="bg-BG" w:eastAsia="ro-RO"/>
              </w:rPr>
              <w:t>Период на работа</w:t>
            </w:r>
          </w:p>
        </w:tc>
        <w:tc>
          <w:tcPr>
            <w:tcW w:w="5268" w:type="dxa"/>
            <w:gridSpan w:val="9"/>
            <w:shd w:val="clear" w:color="000000" w:fill="00B0F0"/>
            <w:vAlign w:val="center"/>
            <w:hideMark/>
          </w:tcPr>
          <w:p w14:paraId="4AF34A7D" w14:textId="5B7CF25D" w:rsidR="003077E2" w:rsidRPr="007375EB" w:rsidRDefault="003077E2" w:rsidP="003077E2">
            <w:pPr>
              <w:spacing w:line="240" w:lineRule="auto"/>
              <w:contextualSpacing/>
              <w:jc w:val="center"/>
              <w:rPr>
                <w:rFonts w:asciiTheme="minorHAnsi" w:eastAsia="Times New Roman" w:hAnsiTheme="minorHAnsi" w:cs="Calibri"/>
                <w:b/>
                <w:bCs/>
                <w:color w:val="FFFFFF"/>
                <w:sz w:val="16"/>
                <w:szCs w:val="16"/>
                <w:lang w:val="bg-BG" w:eastAsia="ro-RO"/>
              </w:rPr>
            </w:pPr>
            <w:r w:rsidRPr="007375EB">
              <w:rPr>
                <w:rFonts w:eastAsia="Times New Roman" w:cs="Calibri"/>
                <w:b/>
                <w:bCs/>
                <w:color w:val="FFFFFF"/>
                <w:sz w:val="14"/>
                <w:szCs w:val="14"/>
                <w:lang w:val="bg-BG" w:eastAsia="ro-RO"/>
              </w:rPr>
              <w:t>Период на извеждане от експлоатация</w:t>
            </w:r>
          </w:p>
        </w:tc>
        <w:tc>
          <w:tcPr>
            <w:tcW w:w="5222" w:type="dxa"/>
            <w:shd w:val="clear" w:color="000000" w:fill="00B0F0"/>
            <w:vAlign w:val="center"/>
            <w:hideMark/>
          </w:tcPr>
          <w:p w14:paraId="727D876E" w14:textId="11BB98CE" w:rsidR="003077E2" w:rsidRPr="007375EB" w:rsidRDefault="003077E2" w:rsidP="003077E2">
            <w:pPr>
              <w:spacing w:line="240" w:lineRule="auto"/>
              <w:contextualSpacing/>
              <w:jc w:val="center"/>
              <w:rPr>
                <w:rFonts w:asciiTheme="minorHAnsi" w:eastAsia="Times New Roman" w:hAnsiTheme="minorHAnsi" w:cs="Calibri"/>
                <w:b/>
                <w:bCs/>
                <w:color w:val="FFFFFF"/>
                <w:sz w:val="16"/>
                <w:szCs w:val="16"/>
                <w:lang w:val="bg-BG" w:eastAsia="ro-RO"/>
              </w:rPr>
            </w:pPr>
            <w:r w:rsidRPr="007375EB">
              <w:rPr>
                <w:rFonts w:eastAsia="Times New Roman" w:cs="Calibri"/>
                <w:b/>
                <w:bCs/>
                <w:color w:val="FFFFFF"/>
                <w:sz w:val="16"/>
                <w:szCs w:val="16"/>
                <w:lang w:val="bg-BG" w:eastAsia="ro-RO"/>
              </w:rPr>
              <w:t>Обосновка</w:t>
            </w:r>
          </w:p>
        </w:tc>
      </w:tr>
      <w:tr w:rsidR="003077E2" w:rsidRPr="007375EB" w14:paraId="6E365B37" w14:textId="77777777" w:rsidTr="00EA45B2">
        <w:trPr>
          <w:trHeight w:val="300"/>
          <w:tblHeader/>
        </w:trPr>
        <w:tc>
          <w:tcPr>
            <w:tcW w:w="1573" w:type="dxa"/>
            <w:vMerge/>
            <w:vAlign w:val="center"/>
            <w:hideMark/>
          </w:tcPr>
          <w:p w14:paraId="1F8AC6A9" w14:textId="77777777" w:rsidR="003077E2" w:rsidRPr="007375EB" w:rsidRDefault="003077E2" w:rsidP="003077E2">
            <w:pPr>
              <w:spacing w:line="240" w:lineRule="auto"/>
              <w:contextualSpacing/>
              <w:rPr>
                <w:rFonts w:asciiTheme="minorHAnsi" w:eastAsia="Times New Roman" w:hAnsiTheme="minorHAnsi" w:cs="Calibri"/>
                <w:b/>
                <w:bCs/>
                <w:color w:val="FFFFFF"/>
                <w:sz w:val="16"/>
                <w:szCs w:val="16"/>
                <w:lang w:val="bg-BG" w:eastAsia="ro-RO"/>
              </w:rPr>
            </w:pPr>
          </w:p>
        </w:tc>
        <w:tc>
          <w:tcPr>
            <w:tcW w:w="2155" w:type="dxa"/>
            <w:vMerge/>
            <w:vAlign w:val="center"/>
            <w:hideMark/>
          </w:tcPr>
          <w:p w14:paraId="29F3FB64" w14:textId="77777777" w:rsidR="003077E2" w:rsidRPr="007375EB" w:rsidRDefault="003077E2" w:rsidP="003077E2">
            <w:pPr>
              <w:spacing w:line="240" w:lineRule="auto"/>
              <w:contextualSpacing/>
              <w:rPr>
                <w:rFonts w:asciiTheme="minorHAnsi" w:eastAsia="Times New Roman" w:hAnsiTheme="minorHAnsi" w:cs="Calibri"/>
                <w:b/>
                <w:bCs/>
                <w:color w:val="FFFFFF"/>
                <w:sz w:val="16"/>
                <w:szCs w:val="16"/>
                <w:lang w:val="bg-BG" w:eastAsia="ro-RO"/>
              </w:rPr>
            </w:pPr>
          </w:p>
        </w:tc>
        <w:tc>
          <w:tcPr>
            <w:tcW w:w="662" w:type="dxa"/>
            <w:vMerge w:val="restart"/>
            <w:shd w:val="clear" w:color="000000" w:fill="00B0F0"/>
            <w:textDirection w:val="btLr"/>
            <w:vAlign w:val="center"/>
            <w:hideMark/>
          </w:tcPr>
          <w:p w14:paraId="0FFFF56F" w14:textId="557D3CEC"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Изграждане на пътища за достъп</w:t>
            </w:r>
          </w:p>
        </w:tc>
        <w:tc>
          <w:tcPr>
            <w:tcW w:w="567" w:type="dxa"/>
            <w:vMerge w:val="restart"/>
            <w:shd w:val="clear" w:color="000000" w:fill="00B0F0"/>
            <w:textDirection w:val="btLr"/>
            <w:vAlign w:val="center"/>
            <w:hideMark/>
          </w:tcPr>
          <w:p w14:paraId="69776F73" w14:textId="7C0694DB"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Реализация на технологични платформи и основи</w:t>
            </w:r>
          </w:p>
        </w:tc>
        <w:tc>
          <w:tcPr>
            <w:tcW w:w="567" w:type="dxa"/>
            <w:vMerge w:val="restart"/>
            <w:shd w:val="clear" w:color="000000" w:fill="00B0F0"/>
            <w:textDirection w:val="btLr"/>
            <w:vAlign w:val="center"/>
            <w:hideMark/>
          </w:tcPr>
          <w:p w14:paraId="25FB7D99" w14:textId="700C8DF7"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Монтаж на вятърни електроцентрали</w:t>
            </w:r>
          </w:p>
        </w:tc>
        <w:tc>
          <w:tcPr>
            <w:tcW w:w="1134" w:type="dxa"/>
            <w:vMerge w:val="restart"/>
            <w:shd w:val="clear" w:color="000000" w:fill="00B0F0"/>
            <w:textDirection w:val="btLr"/>
            <w:vAlign w:val="center"/>
            <w:hideMark/>
          </w:tcPr>
          <w:p w14:paraId="3C0E22DC" w14:textId="59EC8CB4"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Извършване на електрически връзки и полагане на подземни кабели между ветрогенераторните групи</w:t>
            </w:r>
          </w:p>
        </w:tc>
        <w:tc>
          <w:tcPr>
            <w:tcW w:w="708" w:type="dxa"/>
            <w:vMerge w:val="restart"/>
            <w:shd w:val="clear" w:color="000000" w:fill="00B0F0"/>
            <w:textDirection w:val="btLr"/>
            <w:vAlign w:val="center"/>
            <w:hideMark/>
          </w:tcPr>
          <w:p w14:paraId="055C2851" w14:textId="1836AB18"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Изграждане на трафопостове</w:t>
            </w:r>
          </w:p>
        </w:tc>
        <w:tc>
          <w:tcPr>
            <w:tcW w:w="709" w:type="dxa"/>
            <w:vMerge w:val="restart"/>
            <w:shd w:val="clear" w:color="000000" w:fill="00B0F0"/>
            <w:textDirection w:val="btLr"/>
            <w:vAlign w:val="center"/>
            <w:hideMark/>
          </w:tcPr>
          <w:p w14:paraId="3B836F76" w14:textId="51087C9A"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 xml:space="preserve">Организация на площадката </w:t>
            </w:r>
          </w:p>
        </w:tc>
        <w:tc>
          <w:tcPr>
            <w:tcW w:w="709" w:type="dxa"/>
            <w:vMerge w:val="restart"/>
            <w:shd w:val="clear" w:color="000000" w:fill="00B0F0"/>
            <w:textDirection w:val="btLr"/>
            <w:vAlign w:val="center"/>
            <w:hideMark/>
          </w:tcPr>
          <w:p w14:paraId="3C57D902" w14:textId="32B2902B"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Рекултивация на земята в края на строителството</w:t>
            </w:r>
          </w:p>
        </w:tc>
        <w:tc>
          <w:tcPr>
            <w:tcW w:w="709" w:type="dxa"/>
            <w:vMerge w:val="restart"/>
            <w:shd w:val="clear" w:color="000000" w:fill="A6A6A6"/>
            <w:textDirection w:val="btLr"/>
            <w:vAlign w:val="center"/>
            <w:hideMark/>
          </w:tcPr>
          <w:p w14:paraId="112D0516" w14:textId="5EFCC41A"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Крайна оценка</w:t>
            </w:r>
          </w:p>
        </w:tc>
        <w:tc>
          <w:tcPr>
            <w:tcW w:w="567" w:type="dxa"/>
            <w:vMerge w:val="restart"/>
            <w:shd w:val="clear" w:color="000000" w:fill="00B0F0"/>
            <w:textDirection w:val="btLr"/>
            <w:vAlign w:val="center"/>
            <w:hideMark/>
          </w:tcPr>
          <w:p w14:paraId="0728CAED" w14:textId="5A15A4AA"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Поддръжка и ремонти</w:t>
            </w:r>
          </w:p>
        </w:tc>
        <w:tc>
          <w:tcPr>
            <w:tcW w:w="708" w:type="dxa"/>
            <w:vMerge w:val="restart"/>
            <w:shd w:val="clear" w:color="000000" w:fill="A6A6A6"/>
            <w:textDirection w:val="btLr"/>
            <w:vAlign w:val="center"/>
            <w:hideMark/>
          </w:tcPr>
          <w:p w14:paraId="42FDA6D6" w14:textId="3AC3FB20"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Крайна оценка</w:t>
            </w:r>
          </w:p>
        </w:tc>
        <w:tc>
          <w:tcPr>
            <w:tcW w:w="567" w:type="dxa"/>
            <w:vMerge w:val="restart"/>
            <w:shd w:val="clear" w:color="000000" w:fill="00B0F0"/>
            <w:textDirection w:val="btLr"/>
            <w:vAlign w:val="center"/>
            <w:hideMark/>
          </w:tcPr>
          <w:p w14:paraId="17F63730" w14:textId="24DEF150"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Организация на строителната площадка</w:t>
            </w:r>
          </w:p>
        </w:tc>
        <w:tc>
          <w:tcPr>
            <w:tcW w:w="567" w:type="dxa"/>
            <w:vMerge w:val="restart"/>
            <w:shd w:val="clear" w:color="000000" w:fill="00B0F0"/>
            <w:textDirection w:val="btLr"/>
            <w:vAlign w:val="center"/>
            <w:hideMark/>
          </w:tcPr>
          <w:p w14:paraId="5BAFDEF0" w14:textId="7C534DB3"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Демонтаж на вятърни електроцентрали</w:t>
            </w:r>
          </w:p>
        </w:tc>
        <w:tc>
          <w:tcPr>
            <w:tcW w:w="709" w:type="dxa"/>
            <w:vMerge w:val="restart"/>
            <w:shd w:val="clear" w:color="000000" w:fill="00B0F0"/>
            <w:textDirection w:val="btLr"/>
            <w:vAlign w:val="center"/>
            <w:hideMark/>
          </w:tcPr>
          <w:p w14:paraId="0508875D" w14:textId="71876C1B"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Извеждане от експлоатация на технологични платформи и фундаменти</w:t>
            </w:r>
          </w:p>
        </w:tc>
        <w:tc>
          <w:tcPr>
            <w:tcW w:w="992" w:type="dxa"/>
            <w:vMerge w:val="restart"/>
            <w:shd w:val="clear" w:color="000000" w:fill="00B0F0"/>
            <w:textDirection w:val="btLr"/>
            <w:vAlign w:val="center"/>
            <w:hideMark/>
          </w:tcPr>
          <w:p w14:paraId="333DBD06" w14:textId="2A5889F0"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Извеждане от експлоатация на електрически връзки и премахване на подземни кабели</w:t>
            </w:r>
          </w:p>
        </w:tc>
        <w:tc>
          <w:tcPr>
            <w:tcW w:w="567" w:type="dxa"/>
            <w:vMerge w:val="restart"/>
            <w:shd w:val="clear" w:color="000000" w:fill="00B0F0"/>
            <w:textDirection w:val="btLr"/>
            <w:vAlign w:val="center"/>
            <w:hideMark/>
          </w:tcPr>
          <w:p w14:paraId="62895888" w14:textId="0DCBE3FA"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Извеждане от експлоатация на трафопостове</w:t>
            </w:r>
          </w:p>
        </w:tc>
        <w:tc>
          <w:tcPr>
            <w:tcW w:w="709" w:type="dxa"/>
            <w:vMerge w:val="restart"/>
            <w:shd w:val="clear" w:color="000000" w:fill="00B0F0"/>
            <w:textDirection w:val="btLr"/>
            <w:vAlign w:val="center"/>
            <w:hideMark/>
          </w:tcPr>
          <w:p w14:paraId="4A1652F1" w14:textId="29B7D593"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Извеждане от експлоатация на експлоатационни пътища</w:t>
            </w:r>
          </w:p>
        </w:tc>
        <w:tc>
          <w:tcPr>
            <w:tcW w:w="709" w:type="dxa"/>
            <w:vMerge w:val="restart"/>
            <w:shd w:val="clear" w:color="000000" w:fill="00B0F0"/>
            <w:textDirection w:val="btLr"/>
            <w:vAlign w:val="center"/>
            <w:hideMark/>
          </w:tcPr>
          <w:p w14:paraId="5578B2DA" w14:textId="03CE4F1A"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Мелиоративни работи след завършване на строителството</w:t>
            </w:r>
          </w:p>
        </w:tc>
        <w:tc>
          <w:tcPr>
            <w:tcW w:w="426" w:type="dxa"/>
            <w:vMerge w:val="restart"/>
            <w:shd w:val="clear" w:color="000000" w:fill="A6A6A6"/>
            <w:textDirection w:val="btLr"/>
            <w:vAlign w:val="center"/>
            <w:hideMark/>
          </w:tcPr>
          <w:p w14:paraId="12724418" w14:textId="268C1D99" w:rsidR="003077E2" w:rsidRPr="007375EB" w:rsidRDefault="003077E2" w:rsidP="003077E2">
            <w:pPr>
              <w:spacing w:line="240" w:lineRule="auto"/>
              <w:contextualSpacing/>
              <w:jc w:val="center"/>
              <w:rPr>
                <w:rFonts w:asciiTheme="minorHAnsi" w:eastAsia="Times New Roman" w:hAnsiTheme="minorHAnsi" w:cs="Calibri"/>
                <w:b/>
                <w:bCs/>
                <w:color w:val="FFFFFF"/>
                <w:sz w:val="14"/>
                <w:szCs w:val="14"/>
                <w:lang w:val="bg-BG" w:eastAsia="ro-RO"/>
              </w:rPr>
            </w:pPr>
            <w:r w:rsidRPr="007375EB">
              <w:rPr>
                <w:rFonts w:eastAsia="Times New Roman" w:cs="Calibri"/>
                <w:b/>
                <w:bCs/>
                <w:color w:val="FFFFFF"/>
                <w:sz w:val="12"/>
                <w:szCs w:val="12"/>
                <w:lang w:val="bg-BG" w:eastAsia="ro-RO"/>
              </w:rPr>
              <w:t>Крайна оценка</w:t>
            </w:r>
          </w:p>
        </w:tc>
        <w:tc>
          <w:tcPr>
            <w:tcW w:w="5244" w:type="dxa"/>
            <w:gridSpan w:val="2"/>
            <w:vMerge w:val="restart"/>
            <w:shd w:val="clear" w:color="auto" w:fill="00B0F0"/>
            <w:textDirection w:val="btLr"/>
            <w:vAlign w:val="center"/>
            <w:hideMark/>
          </w:tcPr>
          <w:p w14:paraId="44AAF99A" w14:textId="6795FD20" w:rsidR="003077E2" w:rsidRPr="007375EB" w:rsidRDefault="003077E2" w:rsidP="003077E2">
            <w:pPr>
              <w:spacing w:line="240" w:lineRule="auto"/>
              <w:contextualSpacing/>
              <w:rPr>
                <w:rFonts w:asciiTheme="minorHAnsi" w:eastAsia="Times New Roman" w:hAnsiTheme="minorHAnsi" w:cs="Calibri"/>
                <w:b/>
                <w:bCs/>
                <w:color w:val="FFFFFF"/>
                <w:sz w:val="14"/>
                <w:szCs w:val="14"/>
                <w:lang w:val="bg-BG" w:eastAsia="ro-RO"/>
              </w:rPr>
            </w:pPr>
          </w:p>
        </w:tc>
      </w:tr>
      <w:tr w:rsidR="0094219F" w:rsidRPr="007375EB" w14:paraId="647B39D9" w14:textId="77777777" w:rsidTr="002147B6">
        <w:trPr>
          <w:trHeight w:val="1598"/>
          <w:tblHeader/>
        </w:trPr>
        <w:tc>
          <w:tcPr>
            <w:tcW w:w="1573" w:type="dxa"/>
            <w:vMerge/>
            <w:vAlign w:val="center"/>
            <w:hideMark/>
          </w:tcPr>
          <w:p w14:paraId="365637C1"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2155" w:type="dxa"/>
            <w:vMerge/>
            <w:vAlign w:val="center"/>
            <w:hideMark/>
          </w:tcPr>
          <w:p w14:paraId="24A5BACF"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662" w:type="dxa"/>
            <w:vMerge/>
            <w:vAlign w:val="center"/>
            <w:hideMark/>
          </w:tcPr>
          <w:p w14:paraId="04FC6CEC"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567" w:type="dxa"/>
            <w:vMerge/>
            <w:vAlign w:val="center"/>
            <w:hideMark/>
          </w:tcPr>
          <w:p w14:paraId="62EB456A"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567" w:type="dxa"/>
            <w:vMerge/>
            <w:vAlign w:val="center"/>
            <w:hideMark/>
          </w:tcPr>
          <w:p w14:paraId="76D2EFBC"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1134" w:type="dxa"/>
            <w:vMerge/>
            <w:vAlign w:val="center"/>
            <w:hideMark/>
          </w:tcPr>
          <w:p w14:paraId="154405A5"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708" w:type="dxa"/>
            <w:vMerge/>
            <w:vAlign w:val="center"/>
            <w:hideMark/>
          </w:tcPr>
          <w:p w14:paraId="6D9958A4"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709" w:type="dxa"/>
            <w:vMerge/>
            <w:vAlign w:val="center"/>
            <w:hideMark/>
          </w:tcPr>
          <w:p w14:paraId="2EEA7348"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709" w:type="dxa"/>
            <w:vMerge/>
            <w:vAlign w:val="center"/>
            <w:hideMark/>
          </w:tcPr>
          <w:p w14:paraId="7355539D"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709" w:type="dxa"/>
            <w:vMerge/>
            <w:vAlign w:val="center"/>
            <w:hideMark/>
          </w:tcPr>
          <w:p w14:paraId="2B75B2A9"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567" w:type="dxa"/>
            <w:vMerge/>
            <w:vAlign w:val="center"/>
            <w:hideMark/>
          </w:tcPr>
          <w:p w14:paraId="5D53C45A"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708" w:type="dxa"/>
            <w:vMerge/>
            <w:vAlign w:val="center"/>
            <w:hideMark/>
          </w:tcPr>
          <w:p w14:paraId="71A08B0E"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567" w:type="dxa"/>
            <w:vMerge/>
            <w:vAlign w:val="center"/>
            <w:hideMark/>
          </w:tcPr>
          <w:p w14:paraId="37039A89"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567" w:type="dxa"/>
            <w:vMerge/>
            <w:vAlign w:val="center"/>
            <w:hideMark/>
          </w:tcPr>
          <w:p w14:paraId="204C5CC1"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709" w:type="dxa"/>
            <w:vMerge/>
            <w:vAlign w:val="center"/>
            <w:hideMark/>
          </w:tcPr>
          <w:p w14:paraId="2C8F0991"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992" w:type="dxa"/>
            <w:vMerge/>
            <w:vAlign w:val="center"/>
            <w:hideMark/>
          </w:tcPr>
          <w:p w14:paraId="066ED506"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567" w:type="dxa"/>
            <w:vMerge/>
            <w:vAlign w:val="center"/>
            <w:hideMark/>
          </w:tcPr>
          <w:p w14:paraId="64EEF662"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709" w:type="dxa"/>
            <w:vMerge/>
            <w:vAlign w:val="center"/>
            <w:hideMark/>
          </w:tcPr>
          <w:p w14:paraId="3E6EF813"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709" w:type="dxa"/>
            <w:vMerge/>
            <w:vAlign w:val="center"/>
            <w:hideMark/>
          </w:tcPr>
          <w:p w14:paraId="422FCF03"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426" w:type="dxa"/>
            <w:vMerge/>
            <w:vAlign w:val="center"/>
            <w:hideMark/>
          </w:tcPr>
          <w:p w14:paraId="3F258553"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c>
          <w:tcPr>
            <w:tcW w:w="5244" w:type="dxa"/>
            <w:gridSpan w:val="2"/>
            <w:vMerge/>
            <w:shd w:val="clear" w:color="auto" w:fill="00B0F0"/>
            <w:vAlign w:val="center"/>
            <w:hideMark/>
          </w:tcPr>
          <w:p w14:paraId="1D7895D3" w14:textId="77777777" w:rsidR="0094219F" w:rsidRPr="007375EB" w:rsidRDefault="0094219F" w:rsidP="0094219F">
            <w:pPr>
              <w:spacing w:line="240" w:lineRule="auto"/>
              <w:contextualSpacing/>
              <w:rPr>
                <w:rFonts w:asciiTheme="minorHAnsi" w:eastAsia="Times New Roman" w:hAnsiTheme="minorHAnsi" w:cs="Calibri"/>
                <w:b/>
                <w:bCs/>
                <w:color w:val="FFFFFF"/>
                <w:sz w:val="16"/>
                <w:szCs w:val="16"/>
                <w:lang w:val="bg-BG" w:eastAsia="ro-RO"/>
              </w:rPr>
            </w:pPr>
          </w:p>
        </w:tc>
      </w:tr>
      <w:tr w:rsidR="003077E2" w:rsidRPr="007375EB" w14:paraId="35601450" w14:textId="77777777" w:rsidTr="002147B6">
        <w:trPr>
          <w:trHeight w:val="5775"/>
        </w:trPr>
        <w:tc>
          <w:tcPr>
            <w:tcW w:w="1573" w:type="dxa"/>
            <w:shd w:val="clear" w:color="auto" w:fill="auto"/>
            <w:vAlign w:val="center"/>
            <w:hideMark/>
          </w:tcPr>
          <w:p w14:paraId="66671491" w14:textId="29C899C4" w:rsidR="003077E2" w:rsidRPr="007375EB" w:rsidRDefault="003077E2" w:rsidP="003077E2">
            <w:pPr>
              <w:spacing w:line="240" w:lineRule="auto"/>
              <w:contextualSpacing/>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Вода</w:t>
            </w:r>
          </w:p>
        </w:tc>
        <w:tc>
          <w:tcPr>
            <w:tcW w:w="2155" w:type="dxa"/>
            <w:shd w:val="clear" w:color="auto" w:fill="auto"/>
            <w:vAlign w:val="center"/>
            <w:hideMark/>
          </w:tcPr>
          <w:p w14:paraId="1B8CFD9B" w14:textId="47E3C09F" w:rsidR="003077E2" w:rsidRPr="007375EB" w:rsidRDefault="003077E2" w:rsidP="003077E2">
            <w:pPr>
              <w:spacing w:line="240" w:lineRule="auto"/>
              <w:contextualSpacing/>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OM1.</w:t>
            </w:r>
            <w:r w:rsidRPr="007375EB">
              <w:rPr>
                <w:rFonts w:asciiTheme="minorHAnsi" w:eastAsia="Times New Roman" w:hAnsiTheme="minorHAnsi" w:cs="Times New Roman"/>
                <w:b/>
                <w:bCs/>
                <w:color w:val="000000"/>
                <w:sz w:val="16"/>
                <w:szCs w:val="16"/>
                <w:lang w:val="bg-BG" w:eastAsia="ro-RO"/>
              </w:rPr>
              <w:t xml:space="preserve">   </w:t>
            </w:r>
            <w:r w:rsidRPr="007375EB">
              <w:rPr>
                <w:sz w:val="16"/>
                <w:szCs w:val="16"/>
                <w:lang w:val="bg-BG"/>
              </w:rPr>
              <w:t>Поддържане и подобряване на екологичното състояние/екологичния потенциал и химичното състояние на повърхностните и подземните водни тела</w:t>
            </w:r>
          </w:p>
        </w:tc>
        <w:tc>
          <w:tcPr>
            <w:tcW w:w="662" w:type="dxa"/>
            <w:shd w:val="clear" w:color="000000" w:fill="F8CBAD"/>
            <w:noWrap/>
            <w:vAlign w:val="center"/>
            <w:hideMark/>
          </w:tcPr>
          <w:p w14:paraId="0AE9F19D"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4BE6C064"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FFF00"/>
            <w:noWrap/>
            <w:vAlign w:val="center"/>
            <w:hideMark/>
          </w:tcPr>
          <w:p w14:paraId="6E6FAA8C"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1134" w:type="dxa"/>
            <w:shd w:val="clear" w:color="000000" w:fill="FF0000"/>
            <w:noWrap/>
            <w:vAlign w:val="center"/>
            <w:hideMark/>
          </w:tcPr>
          <w:p w14:paraId="4CEE9E1E"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708" w:type="dxa"/>
            <w:shd w:val="clear" w:color="000000" w:fill="F8CBAD"/>
            <w:noWrap/>
            <w:vAlign w:val="center"/>
            <w:hideMark/>
          </w:tcPr>
          <w:p w14:paraId="7934B60B"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7638B955"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792ADD19"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7C710595" w14:textId="77777777" w:rsidR="003077E2" w:rsidRPr="007375EB" w:rsidRDefault="003077E2" w:rsidP="003077E2">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shd w:val="clear" w:color="000000" w:fill="FFFF00"/>
            <w:noWrap/>
            <w:vAlign w:val="center"/>
            <w:hideMark/>
          </w:tcPr>
          <w:p w14:paraId="16F02EED"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8" w:type="dxa"/>
            <w:shd w:val="clear" w:color="000000" w:fill="FFFF00"/>
            <w:noWrap/>
            <w:vAlign w:val="center"/>
            <w:hideMark/>
          </w:tcPr>
          <w:p w14:paraId="1744EF13" w14:textId="77777777" w:rsidR="003077E2" w:rsidRPr="007375EB" w:rsidRDefault="003077E2" w:rsidP="003077E2">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567" w:type="dxa"/>
            <w:shd w:val="clear" w:color="000000" w:fill="F8CBAD"/>
            <w:noWrap/>
            <w:vAlign w:val="center"/>
            <w:hideMark/>
          </w:tcPr>
          <w:p w14:paraId="4A946F7D"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FFF00"/>
            <w:noWrap/>
            <w:vAlign w:val="center"/>
            <w:hideMark/>
          </w:tcPr>
          <w:p w14:paraId="3B85E21B"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8CBAD"/>
            <w:noWrap/>
            <w:vAlign w:val="center"/>
            <w:hideMark/>
          </w:tcPr>
          <w:p w14:paraId="1A3FFB87"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992" w:type="dxa"/>
            <w:shd w:val="clear" w:color="000000" w:fill="FF0000"/>
            <w:noWrap/>
            <w:vAlign w:val="center"/>
            <w:hideMark/>
          </w:tcPr>
          <w:p w14:paraId="23A13C17"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567" w:type="dxa"/>
            <w:shd w:val="clear" w:color="000000" w:fill="F8CBAD"/>
            <w:noWrap/>
            <w:vAlign w:val="center"/>
            <w:hideMark/>
          </w:tcPr>
          <w:p w14:paraId="7B8B1438"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2193AEB1"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C6E0B4"/>
            <w:noWrap/>
            <w:vAlign w:val="center"/>
            <w:hideMark/>
          </w:tcPr>
          <w:p w14:paraId="39A18A01"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26" w:type="dxa"/>
            <w:shd w:val="clear" w:color="000000" w:fill="F8CBAD"/>
            <w:noWrap/>
            <w:vAlign w:val="center"/>
            <w:hideMark/>
          </w:tcPr>
          <w:p w14:paraId="053809B4" w14:textId="77777777" w:rsidR="003077E2" w:rsidRPr="007375EB" w:rsidRDefault="003077E2" w:rsidP="003077E2">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244" w:type="dxa"/>
            <w:gridSpan w:val="2"/>
            <w:shd w:val="clear" w:color="auto" w:fill="auto"/>
            <w:vAlign w:val="center"/>
            <w:hideMark/>
          </w:tcPr>
          <w:p w14:paraId="37E61A60" w14:textId="77777777" w:rsidR="003077E2" w:rsidRPr="007375EB" w:rsidRDefault="003077E2" w:rsidP="003077E2">
            <w:pPr>
              <w:spacing w:line="240" w:lineRule="auto"/>
              <w:contextualSpacing/>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В етапа на строителство </w:t>
            </w:r>
            <w:r w:rsidRPr="007375EB">
              <w:rPr>
                <w:rFonts w:asciiTheme="minorHAnsi" w:eastAsia="Times New Roman" w:hAnsiTheme="minorHAnsi" w:cs="Calibri"/>
                <w:color w:val="000000"/>
                <w:sz w:val="16"/>
                <w:szCs w:val="16"/>
                <w:lang w:val="bg-BG" w:eastAsia="ro-RO"/>
              </w:rPr>
              <w:t xml:space="preserve">настоящият PUZ предвижда пресичане на реките Черкез (2 пъти) и Мъгура (2 пъти), което ще се извърши чрез хоризонтално сондиране на дълбочина 1 метър между горния генератор на защитния тръбопровод и насипа на реката. След приключване на работите засегнатите зони ще бъдат възстановени в първоначалното им състояние. </w:t>
            </w:r>
          </w:p>
          <w:p w14:paraId="466FE96C" w14:textId="26A6D8A0" w:rsidR="003077E2" w:rsidRPr="007375EB" w:rsidRDefault="003077E2" w:rsidP="003077E2">
            <w:pPr>
              <w:spacing w:line="240" w:lineRule="auto"/>
              <w:contextualSpacing/>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В допълнение към тези работи е възможно да има течове на използвани строителни материали или горива/смазочни материали от машините, участващи в работите по организиране на площадката, пътища за достъп, технологични платформи, електрически връзки и полагане на кабели, монтаж на турбината и възстановяване на терена в края на работите. Ерозията, причинена от изкопните работи, е друг фактор, който може да промени качеството на повърхностните водни обекти в района на изпълнение, като увеличи мътността.</w:t>
            </w:r>
          </w:p>
          <w:p w14:paraId="40555345" w14:textId="77777777" w:rsidR="003077E2" w:rsidRPr="007375EB" w:rsidRDefault="003077E2" w:rsidP="003077E2">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 xml:space="preserve">За PUZ не се предвижда вземане на проби от вода от подземни или повърхностни източници от района на площадката, така че няма да има въздействие върху хидрологията на района, нито ще бъдат засегнати други дейности, зависещи от този ресурс. </w:t>
            </w:r>
          </w:p>
          <w:p w14:paraId="2468568F" w14:textId="155FC0B3" w:rsidR="003077E2" w:rsidRPr="007375EB" w:rsidRDefault="003077E2" w:rsidP="003077E2">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Потенциалното въздействие се усеща локално, обикновено ограничено до периметъра на турбините и работните фронтове. По принцип такива работи се извършват на етапи, което включва периодично движение на работните фронтове и съответно на зоните с отрицателно въздействие. Въздействието ще бъде временно (по време на строителния период). Строителните работи няма да имат значително дългосрочно въздействие върху качеството на водата.</w:t>
            </w:r>
          </w:p>
          <w:p w14:paraId="1F83FED6" w14:textId="77777777" w:rsidR="003077E2" w:rsidRPr="007375EB" w:rsidRDefault="003077E2" w:rsidP="003077E2">
            <w:pPr>
              <w:spacing w:line="240" w:lineRule="auto"/>
              <w:contextualSpacing/>
              <w:jc w:val="both"/>
              <w:rPr>
                <w:rFonts w:eastAsia="Times New Roman" w:cs="Calibri"/>
                <w:color w:val="000000"/>
                <w:sz w:val="16"/>
                <w:szCs w:val="16"/>
                <w:lang w:val="bg-BG" w:eastAsia="ro-RO"/>
              </w:rPr>
            </w:pPr>
            <w:r w:rsidRPr="007375EB">
              <w:rPr>
                <w:rFonts w:eastAsia="Times New Roman" w:cs="Calibri"/>
                <w:i/>
                <w:iCs/>
                <w:color w:val="000000"/>
                <w:sz w:val="16"/>
                <w:szCs w:val="16"/>
                <w:lang w:val="bg-BG" w:eastAsia="ro-RO"/>
              </w:rPr>
              <w:t xml:space="preserve">По време на етапа на експлоатация </w:t>
            </w:r>
            <w:r w:rsidRPr="007375EB">
              <w:rPr>
                <w:rFonts w:eastAsia="Times New Roman" w:cs="Calibri"/>
                <w:color w:val="000000"/>
                <w:sz w:val="16"/>
                <w:szCs w:val="16"/>
                <w:lang w:val="bg-BG" w:eastAsia="ro-RO"/>
              </w:rPr>
              <w:t xml:space="preserve">на вятърния парк не се генерират отпадъчни води. Работите по поддръжката и ремонта ще се извършват съгласно програмите, съответно плана за поддръжка и ремонт, без да се засягат факторите на околната среда. </w:t>
            </w:r>
          </w:p>
          <w:p w14:paraId="51D900DA" w14:textId="3FF44828" w:rsidR="003077E2" w:rsidRPr="007375EB" w:rsidRDefault="003077E2" w:rsidP="003077E2">
            <w:pPr>
              <w:spacing w:line="240" w:lineRule="auto"/>
              <w:contextualSpacing/>
              <w:jc w:val="both"/>
              <w:rPr>
                <w:rFonts w:eastAsia="Times New Roman"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В етапа на извеждане от експлоатация на инвестициите, </w:t>
            </w:r>
            <w:r w:rsidRPr="007375EB">
              <w:rPr>
                <w:rFonts w:asciiTheme="minorHAnsi" w:eastAsia="Times New Roman" w:hAnsiTheme="minorHAnsi" w:cs="Calibri"/>
                <w:color w:val="000000"/>
                <w:sz w:val="16"/>
                <w:szCs w:val="16"/>
                <w:lang w:val="bg-BG" w:eastAsia="ro-RO"/>
              </w:rPr>
              <w:t>предвидени от PUZ, очакваното въздействие е подобно на това на етапа на строителство.</w:t>
            </w:r>
          </w:p>
        </w:tc>
      </w:tr>
      <w:tr w:rsidR="003077E2" w:rsidRPr="007375EB" w14:paraId="2FB180EC" w14:textId="77777777" w:rsidTr="002147B6">
        <w:trPr>
          <w:trHeight w:val="1229"/>
        </w:trPr>
        <w:tc>
          <w:tcPr>
            <w:tcW w:w="1573" w:type="dxa"/>
            <w:shd w:val="clear" w:color="auto" w:fill="auto"/>
            <w:vAlign w:val="center"/>
            <w:hideMark/>
          </w:tcPr>
          <w:p w14:paraId="41F80D7D" w14:textId="156BBCB9" w:rsidR="003077E2" w:rsidRPr="007375EB" w:rsidRDefault="003077E2" w:rsidP="003077E2">
            <w:pPr>
              <w:spacing w:line="240" w:lineRule="auto"/>
              <w:contextualSpacing/>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Въздух</w:t>
            </w:r>
          </w:p>
        </w:tc>
        <w:tc>
          <w:tcPr>
            <w:tcW w:w="2155" w:type="dxa"/>
            <w:shd w:val="clear" w:color="auto" w:fill="auto"/>
            <w:vAlign w:val="center"/>
            <w:hideMark/>
          </w:tcPr>
          <w:p w14:paraId="642A58BD" w14:textId="1BECD8F6" w:rsidR="003077E2" w:rsidRPr="007375EB" w:rsidRDefault="003077E2" w:rsidP="003077E2">
            <w:pPr>
              <w:spacing w:line="240" w:lineRule="auto"/>
              <w:contextualSpacing/>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OM2.</w:t>
            </w:r>
            <w:r w:rsidRPr="007375EB">
              <w:rPr>
                <w:rFonts w:asciiTheme="minorHAnsi" w:eastAsia="Times New Roman" w:hAnsiTheme="minorHAnsi" w:cs="Times New Roman"/>
                <w:b/>
                <w:bCs/>
                <w:color w:val="000000"/>
                <w:sz w:val="16"/>
                <w:szCs w:val="16"/>
                <w:lang w:val="bg-BG" w:eastAsia="ro-RO"/>
              </w:rPr>
              <w:t xml:space="preserve">   </w:t>
            </w:r>
            <w:r w:rsidRPr="007375EB">
              <w:rPr>
                <w:rFonts w:eastAsia="Times New Roman" w:cs="Calibri"/>
                <w:color w:val="000000"/>
                <w:sz w:val="16"/>
                <w:szCs w:val="16"/>
                <w:lang w:val="bg-BG" w:eastAsia="ro-RO"/>
              </w:rPr>
              <w:t>Поддържане на качеството на въздуха чрез намаляване на емисиите, генерирани от дейности в енергийния сектор</w:t>
            </w:r>
          </w:p>
        </w:tc>
        <w:tc>
          <w:tcPr>
            <w:tcW w:w="662" w:type="dxa"/>
            <w:shd w:val="clear" w:color="000000" w:fill="F8CBAD"/>
            <w:noWrap/>
            <w:vAlign w:val="center"/>
            <w:hideMark/>
          </w:tcPr>
          <w:p w14:paraId="479B2CD1"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271325D2"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249E9F3D"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134" w:type="dxa"/>
            <w:shd w:val="clear" w:color="000000" w:fill="F8CBAD"/>
            <w:noWrap/>
            <w:vAlign w:val="center"/>
            <w:hideMark/>
          </w:tcPr>
          <w:p w14:paraId="744FB89B"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shd w:val="clear" w:color="000000" w:fill="F8CBAD"/>
            <w:noWrap/>
            <w:vAlign w:val="center"/>
            <w:hideMark/>
          </w:tcPr>
          <w:p w14:paraId="3169FD28"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4A21C245"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0C26A9A3"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42467A27" w14:textId="77777777" w:rsidR="003077E2" w:rsidRPr="007375EB" w:rsidRDefault="003077E2" w:rsidP="003077E2">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shd w:val="clear" w:color="auto" w:fill="00B050"/>
            <w:noWrap/>
            <w:vAlign w:val="center"/>
            <w:hideMark/>
          </w:tcPr>
          <w:p w14:paraId="24C8FCE4" w14:textId="16E9E258"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708" w:type="dxa"/>
            <w:shd w:val="clear" w:color="auto" w:fill="00B050"/>
            <w:noWrap/>
            <w:vAlign w:val="center"/>
            <w:hideMark/>
          </w:tcPr>
          <w:p w14:paraId="4D9A7EAF" w14:textId="212991C1" w:rsidR="003077E2" w:rsidRPr="007375EB" w:rsidRDefault="003077E2" w:rsidP="003077E2">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2</w:t>
            </w:r>
          </w:p>
        </w:tc>
        <w:tc>
          <w:tcPr>
            <w:tcW w:w="567" w:type="dxa"/>
            <w:shd w:val="clear" w:color="auto" w:fill="F8CBAD"/>
            <w:noWrap/>
            <w:vAlign w:val="center"/>
            <w:hideMark/>
          </w:tcPr>
          <w:p w14:paraId="3AFAE0D5"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auto" w:fill="F8CBAD"/>
            <w:noWrap/>
            <w:vAlign w:val="center"/>
            <w:hideMark/>
          </w:tcPr>
          <w:p w14:paraId="45901C60"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449D7647"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992" w:type="dxa"/>
            <w:shd w:val="clear" w:color="000000" w:fill="F8CBAD"/>
            <w:noWrap/>
            <w:vAlign w:val="center"/>
            <w:hideMark/>
          </w:tcPr>
          <w:p w14:paraId="67CF4EBE"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170CBDC5"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5ED8F3E0"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C6E0B4"/>
            <w:noWrap/>
            <w:vAlign w:val="center"/>
            <w:hideMark/>
          </w:tcPr>
          <w:p w14:paraId="4410B2E3" w14:textId="77777777" w:rsidR="003077E2" w:rsidRPr="007375EB" w:rsidRDefault="003077E2" w:rsidP="003077E2">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26" w:type="dxa"/>
            <w:shd w:val="clear" w:color="000000" w:fill="F8CBAD"/>
            <w:noWrap/>
            <w:vAlign w:val="center"/>
            <w:hideMark/>
          </w:tcPr>
          <w:p w14:paraId="4FAB987D" w14:textId="77777777" w:rsidR="003077E2" w:rsidRPr="007375EB" w:rsidRDefault="003077E2" w:rsidP="003077E2">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244" w:type="dxa"/>
            <w:gridSpan w:val="2"/>
            <w:shd w:val="clear" w:color="auto" w:fill="auto"/>
            <w:vAlign w:val="center"/>
            <w:hideMark/>
          </w:tcPr>
          <w:p w14:paraId="0FD1389A" w14:textId="77777777" w:rsidR="00C10E3F" w:rsidRPr="007375EB" w:rsidRDefault="00C10E3F" w:rsidP="00C10E3F">
            <w:pPr>
              <w:spacing w:line="240" w:lineRule="auto"/>
              <w:contextualSpacing/>
              <w:jc w:val="both"/>
              <w:rPr>
                <w:rFonts w:asciiTheme="minorHAnsi" w:eastAsia="Times New Roman" w:hAnsiTheme="minorHAnsi" w:cs="Calibri"/>
                <w:sz w:val="16"/>
                <w:szCs w:val="16"/>
                <w:lang w:val="bg-BG" w:eastAsia="ro-RO"/>
              </w:rPr>
            </w:pPr>
            <w:r w:rsidRPr="007375EB">
              <w:rPr>
                <w:rFonts w:asciiTheme="minorHAnsi" w:eastAsia="Times New Roman" w:hAnsiTheme="minorHAnsi" w:cs="Calibri"/>
                <w:i/>
                <w:iCs/>
                <w:sz w:val="16"/>
                <w:szCs w:val="16"/>
                <w:lang w:val="bg-BG" w:eastAsia="ro-RO"/>
              </w:rPr>
              <w:t xml:space="preserve">На етапа на строителството </w:t>
            </w:r>
            <w:r w:rsidRPr="007375EB">
              <w:rPr>
                <w:rFonts w:asciiTheme="minorHAnsi" w:eastAsia="Times New Roman" w:hAnsiTheme="minorHAnsi" w:cs="Calibri"/>
                <w:sz w:val="16"/>
                <w:szCs w:val="16"/>
                <w:lang w:val="bg-BG" w:eastAsia="ro-RO"/>
              </w:rPr>
              <w:t>източниците на емисии са прахови емисии от изкопни работи, работа с превозни средства и строителни материали, както и емисии на замърсители, характерни за изгарянето на изкопаеми горива, свързани със строителните машини/оборудване и транспорт. Ерозията, причинена от изкопните работи, е друг фактор, който може да доведе до промяна на качеството на въздуха в района на изпълнение. Нивото на емисиите на прах и замърсители зависи от нивото на ежедневната дейност, спецификата на работите, като варира значително през отделните дни, от една фаза на строителния процес до друга, както и от метеорологичните условия</w:t>
            </w:r>
            <w:r w:rsidRPr="007375EB">
              <w:rPr>
                <w:rFonts w:asciiTheme="minorHAnsi" w:eastAsia="Times New Roman" w:hAnsiTheme="minorHAnsi" w:cs="Calibri"/>
                <w:i/>
                <w:iCs/>
                <w:sz w:val="16"/>
                <w:szCs w:val="16"/>
                <w:lang w:val="bg-BG" w:eastAsia="ro-RO"/>
              </w:rPr>
              <w:t xml:space="preserve">. </w:t>
            </w:r>
            <w:r w:rsidRPr="007375EB">
              <w:rPr>
                <w:rFonts w:asciiTheme="minorHAnsi" w:eastAsia="Times New Roman" w:hAnsiTheme="minorHAnsi" w:cs="Calibri"/>
                <w:sz w:val="16"/>
                <w:szCs w:val="16"/>
                <w:lang w:val="bg-BG" w:eastAsia="ro-RO"/>
              </w:rPr>
              <w:t xml:space="preserve">Като се има предвид, че работите се извършват на етапи (подобряване на пътя, земни работи, изпълнение на основите, монтаж на турбината), може да се прецени, че този екологичен фактор няма да бъде засегнат значително, като потенциалното въздействие е временно, локално, ограничено до периметъра на площадките и работните повърхности. </w:t>
            </w:r>
          </w:p>
          <w:p w14:paraId="20FD6CE1" w14:textId="71597458" w:rsidR="00C10E3F" w:rsidRPr="007375EB" w:rsidRDefault="00C10E3F" w:rsidP="00C10E3F">
            <w:pPr>
              <w:spacing w:line="240" w:lineRule="auto"/>
              <w:contextualSpacing/>
              <w:jc w:val="both"/>
              <w:rPr>
                <w:rFonts w:asciiTheme="minorHAnsi" w:eastAsia="Times New Roman" w:hAnsiTheme="minorHAnsi" w:cs="Calibri"/>
                <w:sz w:val="16"/>
                <w:szCs w:val="16"/>
                <w:lang w:val="bg-BG" w:eastAsia="ro-RO"/>
              </w:rPr>
            </w:pPr>
            <w:r w:rsidRPr="007375EB">
              <w:rPr>
                <w:rFonts w:asciiTheme="minorHAnsi" w:eastAsia="Times New Roman" w:hAnsiTheme="minorHAnsi" w:cs="Calibri"/>
                <w:i/>
                <w:iCs/>
                <w:sz w:val="16"/>
                <w:szCs w:val="16"/>
                <w:lang w:val="bg-BG" w:eastAsia="ro-RO"/>
              </w:rPr>
              <w:lastRenderedPageBreak/>
              <w:t xml:space="preserve">На етапа на експлоатация </w:t>
            </w:r>
            <w:r w:rsidRPr="007375EB">
              <w:rPr>
                <w:rFonts w:asciiTheme="minorHAnsi" w:eastAsia="Times New Roman" w:hAnsiTheme="minorHAnsi" w:cs="Calibri"/>
                <w:sz w:val="16"/>
                <w:szCs w:val="16"/>
                <w:lang w:val="bg-BG" w:eastAsia="ro-RO"/>
              </w:rPr>
              <w:t>вятърните турбини допринасят за намаляване на емисиите на парникови газове, като изместват количество електроенергия, равно на капацитета на вятърния парк, произведено от изкопаеми горива, допринасят за смекчаване на изменението на климата и имат значително положително въздействие върху качеството на въздуха.</w:t>
            </w:r>
            <w:r w:rsidRPr="007375EB">
              <w:rPr>
                <w:rFonts w:asciiTheme="minorHAnsi" w:eastAsia="Times New Roman" w:hAnsiTheme="minorHAnsi" w:cs="Calibri"/>
                <w:sz w:val="16"/>
                <w:szCs w:val="16"/>
                <w:lang w:val="bg-BG" w:eastAsia="ro-RO"/>
              </w:rPr>
              <w:br/>
            </w:r>
            <w:r w:rsidRPr="007375EB">
              <w:rPr>
                <w:rFonts w:asciiTheme="minorHAnsi" w:eastAsia="Times New Roman" w:hAnsiTheme="minorHAnsi" w:cs="Calibri"/>
                <w:i/>
                <w:iCs/>
                <w:sz w:val="16"/>
                <w:szCs w:val="16"/>
                <w:lang w:val="bg-BG" w:eastAsia="ro-RO"/>
              </w:rPr>
              <w:t xml:space="preserve">В етапа на извеждане от експлоатация на инвестициите, </w:t>
            </w:r>
            <w:r w:rsidRPr="007375EB">
              <w:rPr>
                <w:rFonts w:asciiTheme="minorHAnsi" w:eastAsia="Times New Roman" w:hAnsiTheme="minorHAnsi" w:cs="Calibri"/>
                <w:sz w:val="16"/>
                <w:szCs w:val="16"/>
                <w:lang w:val="bg-BG" w:eastAsia="ro-RO"/>
              </w:rPr>
              <w:t>предвидени в PUZ, очакваното въздействие е подобно на това от етапа на строителство, с уточнението, че работите по рекултивация на земята в края на етапа ще допринесат положително за качеството на въздуха.</w:t>
            </w:r>
          </w:p>
          <w:p w14:paraId="0505CE14" w14:textId="1182BB69" w:rsidR="003077E2" w:rsidRPr="007375EB" w:rsidRDefault="00C10E3F" w:rsidP="00C10E3F">
            <w:pPr>
              <w:spacing w:line="240" w:lineRule="auto"/>
              <w:contextualSpacing/>
              <w:jc w:val="both"/>
              <w:rPr>
                <w:rFonts w:asciiTheme="minorHAnsi" w:eastAsia="Times New Roman" w:hAnsiTheme="minorHAnsi" w:cs="Calibri"/>
                <w:i/>
                <w:iCs/>
                <w:sz w:val="16"/>
                <w:szCs w:val="16"/>
                <w:lang w:val="bg-BG" w:eastAsia="ro-RO"/>
              </w:rPr>
            </w:pPr>
            <w:r w:rsidRPr="007375EB">
              <w:rPr>
                <w:rFonts w:asciiTheme="minorHAnsi" w:eastAsia="Times New Roman" w:hAnsiTheme="minorHAnsi" w:cs="Calibri"/>
                <w:i/>
                <w:iCs/>
                <w:sz w:val="16"/>
                <w:szCs w:val="16"/>
                <w:lang w:val="bg-BG" w:eastAsia="ro-RO"/>
              </w:rPr>
              <w:t xml:space="preserve">В етапа на извеждане от експлоатация на инвестициите, </w:t>
            </w:r>
            <w:r w:rsidRPr="007375EB">
              <w:rPr>
                <w:rFonts w:asciiTheme="minorHAnsi" w:eastAsia="Times New Roman" w:hAnsiTheme="minorHAnsi" w:cs="Calibri"/>
                <w:sz w:val="16"/>
                <w:szCs w:val="16"/>
                <w:lang w:val="bg-BG" w:eastAsia="ro-RO"/>
              </w:rPr>
              <w:t>предвидени в PUZ, очакваното въздействие е подобно на това от етапа на строителство, с уточнението, че работите по рекултивация на земята в края на етапа ще допринесат положително за качеството на въздуха.</w:t>
            </w:r>
          </w:p>
        </w:tc>
      </w:tr>
      <w:tr w:rsidR="00C10E3F" w:rsidRPr="007375EB" w14:paraId="2936DA50" w14:textId="77777777" w:rsidTr="004F08E0">
        <w:trPr>
          <w:trHeight w:val="662"/>
        </w:trPr>
        <w:tc>
          <w:tcPr>
            <w:tcW w:w="1573" w:type="dxa"/>
            <w:shd w:val="clear" w:color="auto" w:fill="auto"/>
            <w:vAlign w:val="center"/>
            <w:hideMark/>
          </w:tcPr>
          <w:p w14:paraId="47ABB015" w14:textId="069503C6" w:rsidR="00C10E3F" w:rsidRPr="007375EB" w:rsidRDefault="00C10E3F" w:rsidP="00C10E3F">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lastRenderedPageBreak/>
              <w:t>Почва/подпочва</w:t>
            </w:r>
          </w:p>
        </w:tc>
        <w:tc>
          <w:tcPr>
            <w:tcW w:w="2155" w:type="dxa"/>
            <w:shd w:val="clear" w:color="auto" w:fill="auto"/>
            <w:vAlign w:val="center"/>
            <w:hideMark/>
          </w:tcPr>
          <w:p w14:paraId="208EE102" w14:textId="317A952D" w:rsidR="00C10E3F" w:rsidRPr="007375EB" w:rsidRDefault="00C10E3F" w:rsidP="00C10E3F">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OM3.</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Ограничаване на замърсяването на почвата и деградацията на земните повърхности</w:t>
            </w:r>
          </w:p>
        </w:tc>
        <w:tc>
          <w:tcPr>
            <w:tcW w:w="662" w:type="dxa"/>
            <w:shd w:val="clear" w:color="000000" w:fill="FF0000"/>
            <w:noWrap/>
            <w:vAlign w:val="center"/>
            <w:hideMark/>
          </w:tcPr>
          <w:p w14:paraId="245AD93A" w14:textId="77777777" w:rsidR="00C10E3F" w:rsidRPr="007375EB" w:rsidRDefault="00C10E3F" w:rsidP="00C10E3F">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567" w:type="dxa"/>
            <w:shd w:val="clear" w:color="000000" w:fill="FF0000"/>
            <w:noWrap/>
            <w:vAlign w:val="center"/>
            <w:hideMark/>
          </w:tcPr>
          <w:p w14:paraId="4C4C5532" w14:textId="77777777" w:rsidR="00C10E3F" w:rsidRPr="007375EB" w:rsidRDefault="00C10E3F" w:rsidP="00C10E3F">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567" w:type="dxa"/>
            <w:shd w:val="clear" w:color="000000" w:fill="FFFF00"/>
            <w:noWrap/>
            <w:vAlign w:val="center"/>
            <w:hideMark/>
          </w:tcPr>
          <w:p w14:paraId="276D31D0" w14:textId="77777777" w:rsidR="00C10E3F" w:rsidRPr="007375EB" w:rsidRDefault="00C10E3F" w:rsidP="00C10E3F">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1134" w:type="dxa"/>
            <w:shd w:val="clear" w:color="000000" w:fill="F8CBAD"/>
            <w:noWrap/>
            <w:vAlign w:val="center"/>
            <w:hideMark/>
          </w:tcPr>
          <w:p w14:paraId="231CB974" w14:textId="77777777" w:rsidR="00C10E3F" w:rsidRPr="007375EB" w:rsidRDefault="00C10E3F" w:rsidP="00C10E3F">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shd w:val="clear" w:color="000000" w:fill="F8CBAD"/>
            <w:noWrap/>
            <w:vAlign w:val="center"/>
            <w:hideMark/>
          </w:tcPr>
          <w:p w14:paraId="20035628" w14:textId="77777777" w:rsidR="00C10E3F" w:rsidRPr="007375EB" w:rsidRDefault="00C10E3F" w:rsidP="00C10E3F">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3B0D0D28" w14:textId="77777777" w:rsidR="00C10E3F" w:rsidRPr="007375EB" w:rsidRDefault="00C10E3F" w:rsidP="00C10E3F">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C6E0B4"/>
            <w:noWrap/>
            <w:vAlign w:val="center"/>
            <w:hideMark/>
          </w:tcPr>
          <w:p w14:paraId="7EBE7C16" w14:textId="77777777" w:rsidR="00C10E3F" w:rsidRPr="007375EB" w:rsidRDefault="00C10E3F" w:rsidP="00C10E3F">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F0000"/>
            <w:noWrap/>
            <w:vAlign w:val="center"/>
            <w:hideMark/>
          </w:tcPr>
          <w:p w14:paraId="6CAB5FE9" w14:textId="77777777" w:rsidR="00C10E3F" w:rsidRPr="007375EB" w:rsidRDefault="00C10E3F" w:rsidP="00C10E3F">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-2</w:t>
            </w:r>
          </w:p>
        </w:tc>
        <w:tc>
          <w:tcPr>
            <w:tcW w:w="567" w:type="dxa"/>
            <w:shd w:val="clear" w:color="auto" w:fill="FFFF00"/>
            <w:noWrap/>
            <w:vAlign w:val="center"/>
            <w:hideMark/>
          </w:tcPr>
          <w:p w14:paraId="058B5AAB" w14:textId="4AC4C218" w:rsidR="00C10E3F" w:rsidRPr="007375EB" w:rsidRDefault="00C10E3F" w:rsidP="00C10E3F">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8" w:type="dxa"/>
            <w:shd w:val="clear" w:color="auto" w:fill="FFFF00"/>
            <w:noWrap/>
            <w:vAlign w:val="center"/>
            <w:hideMark/>
          </w:tcPr>
          <w:p w14:paraId="4E2210B0" w14:textId="169E5D0C" w:rsidR="00C10E3F" w:rsidRPr="007375EB" w:rsidRDefault="00C10E3F" w:rsidP="00C10E3F">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567" w:type="dxa"/>
            <w:shd w:val="clear" w:color="000000" w:fill="F8CBAD"/>
            <w:noWrap/>
            <w:vAlign w:val="center"/>
            <w:hideMark/>
          </w:tcPr>
          <w:p w14:paraId="0BE6FD1E" w14:textId="77777777" w:rsidR="00C10E3F" w:rsidRPr="007375EB" w:rsidRDefault="00C10E3F" w:rsidP="00C10E3F">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37891ED2" w14:textId="77777777" w:rsidR="00C10E3F" w:rsidRPr="007375EB" w:rsidRDefault="00C10E3F" w:rsidP="00C10E3F">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22703D9A" w14:textId="77777777" w:rsidR="00C10E3F" w:rsidRPr="007375EB" w:rsidRDefault="00C10E3F" w:rsidP="00C10E3F">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992" w:type="dxa"/>
            <w:shd w:val="clear" w:color="000000" w:fill="F8CBAD"/>
            <w:noWrap/>
            <w:vAlign w:val="center"/>
            <w:hideMark/>
          </w:tcPr>
          <w:p w14:paraId="46F7F238" w14:textId="77777777" w:rsidR="00C10E3F" w:rsidRPr="007375EB" w:rsidRDefault="00C10E3F" w:rsidP="00C10E3F">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31142DCE" w14:textId="77777777" w:rsidR="00C10E3F" w:rsidRPr="007375EB" w:rsidRDefault="00C10E3F" w:rsidP="00C10E3F">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6E2DFB0B" w14:textId="77777777" w:rsidR="00C10E3F" w:rsidRPr="007375EB" w:rsidRDefault="00C10E3F" w:rsidP="00C10E3F">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C6E0B4"/>
            <w:noWrap/>
            <w:vAlign w:val="center"/>
            <w:hideMark/>
          </w:tcPr>
          <w:p w14:paraId="7504D293" w14:textId="77777777" w:rsidR="00C10E3F" w:rsidRPr="007375EB" w:rsidRDefault="00C10E3F" w:rsidP="00C10E3F">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26" w:type="dxa"/>
            <w:shd w:val="clear" w:color="000000" w:fill="F8CBAD"/>
            <w:noWrap/>
            <w:vAlign w:val="center"/>
            <w:hideMark/>
          </w:tcPr>
          <w:p w14:paraId="550F3BBA" w14:textId="77777777" w:rsidR="00C10E3F" w:rsidRPr="007375EB" w:rsidRDefault="00C10E3F" w:rsidP="00C10E3F">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244" w:type="dxa"/>
            <w:gridSpan w:val="2"/>
            <w:shd w:val="clear" w:color="auto" w:fill="auto"/>
            <w:vAlign w:val="center"/>
            <w:hideMark/>
          </w:tcPr>
          <w:p w14:paraId="02D7CF6C" w14:textId="77777777" w:rsidR="004F08E0" w:rsidRPr="007375EB" w:rsidRDefault="004F08E0" w:rsidP="004F08E0">
            <w:pPr>
              <w:spacing w:line="240" w:lineRule="auto"/>
              <w:jc w:val="both"/>
              <w:rPr>
                <w:rFonts w:asciiTheme="minorHAnsi" w:eastAsia="Times New Roman" w:hAnsiTheme="minorHAnsi" w:cs="Calibri"/>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На етапа на изпълнение </w:t>
            </w:r>
            <w:r w:rsidRPr="007375EB">
              <w:rPr>
                <w:rFonts w:asciiTheme="minorHAnsi" w:eastAsia="Times New Roman" w:hAnsiTheme="minorHAnsi" w:cs="Calibri"/>
                <w:color w:val="000000"/>
                <w:sz w:val="16"/>
                <w:szCs w:val="16"/>
                <w:lang w:val="bg-BG" w:eastAsia="ro-RO"/>
              </w:rPr>
              <w:t xml:space="preserve">основните форми на въздействие върху почвата са временното и постоянното заемане на определени площи и промяната на тяхното предназначение. В случая на алтернатива </w:t>
            </w:r>
            <w:r w:rsidRPr="007375EB">
              <w:rPr>
                <w:rFonts w:asciiTheme="minorHAnsi" w:eastAsia="Times New Roman" w:hAnsiTheme="minorHAnsi" w:cs="Calibri"/>
                <w:sz w:val="16"/>
                <w:szCs w:val="16"/>
                <w:lang w:val="bg-BG" w:eastAsia="ro-RO"/>
              </w:rPr>
              <w:t xml:space="preserve">III </w:t>
            </w:r>
            <w:r w:rsidRPr="007375EB">
              <w:rPr>
                <w:rFonts w:asciiTheme="minorHAnsi" w:eastAsia="Times New Roman" w:hAnsiTheme="minorHAnsi" w:cs="Calibri"/>
                <w:color w:val="000000"/>
                <w:sz w:val="16"/>
                <w:szCs w:val="16"/>
                <w:lang w:val="bg-BG" w:eastAsia="ro-RO"/>
              </w:rPr>
              <w:t xml:space="preserve">общата площ, заета от проекта, е 3 027,77 ха, от които </w:t>
            </w:r>
            <w:r w:rsidRPr="007375EB">
              <w:rPr>
                <w:rFonts w:asciiTheme="minorHAnsi" w:eastAsia="Times New Roman" w:hAnsiTheme="minorHAnsi" w:cs="Calibri"/>
                <w:sz w:val="16"/>
                <w:szCs w:val="16"/>
                <w:lang w:val="bg-BG" w:eastAsia="ro-RO"/>
              </w:rPr>
              <w:t xml:space="preserve">2.735,25 </w:t>
            </w:r>
            <w:r w:rsidRPr="007375EB">
              <w:rPr>
                <w:rFonts w:asciiTheme="minorHAnsi" w:eastAsia="Times New Roman" w:hAnsiTheme="minorHAnsi" w:cs="Calibri"/>
                <w:color w:val="000000"/>
                <w:sz w:val="16"/>
                <w:szCs w:val="16"/>
                <w:lang w:val="bg-BG" w:eastAsia="ro-RO"/>
              </w:rPr>
              <w:t xml:space="preserve">ха са временно заети, а </w:t>
            </w:r>
            <w:r w:rsidRPr="007375EB">
              <w:rPr>
                <w:rFonts w:asciiTheme="minorHAnsi" w:eastAsia="Times New Roman" w:hAnsiTheme="minorHAnsi" w:cs="Calibri"/>
                <w:sz w:val="16"/>
                <w:szCs w:val="16"/>
                <w:lang w:val="bg-BG" w:eastAsia="ro-RO"/>
              </w:rPr>
              <w:t xml:space="preserve">292,52 </w:t>
            </w:r>
            <w:r w:rsidRPr="007375EB">
              <w:rPr>
                <w:rFonts w:asciiTheme="minorHAnsi" w:eastAsia="Times New Roman" w:hAnsiTheme="minorHAnsi" w:cs="Calibri"/>
                <w:color w:val="000000"/>
                <w:sz w:val="16"/>
                <w:szCs w:val="16"/>
                <w:lang w:val="bg-BG" w:eastAsia="ro-RO"/>
              </w:rPr>
              <w:t xml:space="preserve">ха са постоянно заети от отпечатъка на турбините и трансформаторните станции </w:t>
            </w:r>
            <w:r w:rsidRPr="007375EB">
              <w:rPr>
                <w:rFonts w:asciiTheme="minorHAnsi" w:eastAsia="Times New Roman" w:hAnsiTheme="minorHAnsi" w:cs="Calibri"/>
                <w:sz w:val="16"/>
                <w:szCs w:val="16"/>
                <w:lang w:val="bg-BG" w:eastAsia="ro-RO"/>
              </w:rPr>
              <w:t xml:space="preserve">и селскостопанските пътища. От тази площ 100 хектара ще бъдат изведени от земеделска употреба. Почвата в периметъра, където ще се извършва строителството и монтажът на вятърните турбини, мрежовите връзки и трафопостовете, ще бъде засегната от: </w:t>
            </w:r>
          </w:p>
          <w:p w14:paraId="3CE44AE6" w14:textId="77777777" w:rsidR="004F08E0" w:rsidRPr="007375EB" w:rsidRDefault="004F08E0" w:rsidP="004F08E0">
            <w:pPr>
              <w:spacing w:line="240" w:lineRule="auto"/>
              <w:jc w:val="both"/>
              <w:rPr>
                <w:rFonts w:asciiTheme="minorHAnsi" w:eastAsia="Times New Roman" w:hAnsiTheme="minorHAnsi" w:cs="Calibri"/>
                <w:sz w:val="16"/>
                <w:szCs w:val="16"/>
                <w:lang w:val="bg-BG" w:eastAsia="ro-RO"/>
              </w:rPr>
            </w:pPr>
            <w:r w:rsidRPr="007375EB">
              <w:rPr>
                <w:rFonts w:asciiTheme="minorHAnsi" w:eastAsia="Times New Roman" w:hAnsiTheme="minorHAnsi" w:cs="Calibri"/>
                <w:sz w:val="16"/>
                <w:szCs w:val="16"/>
                <w:lang w:val="bg-BG" w:eastAsia="ro-RO"/>
              </w:rPr>
              <w:t xml:space="preserve">§ Загуба на горния почвен слой; </w:t>
            </w:r>
          </w:p>
          <w:p w14:paraId="62C533C8" w14:textId="2C3D0B39" w:rsidR="004F08E0" w:rsidRPr="007375EB" w:rsidRDefault="004F08E0" w:rsidP="004F08E0">
            <w:pPr>
              <w:spacing w:line="240" w:lineRule="auto"/>
              <w:jc w:val="both"/>
              <w:rPr>
                <w:rFonts w:asciiTheme="minorHAnsi" w:eastAsia="Times New Roman" w:hAnsiTheme="minorHAnsi" w:cs="Calibri"/>
                <w:i/>
                <w:iCs/>
                <w:color w:val="000000"/>
                <w:sz w:val="16"/>
                <w:szCs w:val="16"/>
                <w:lang w:val="bg-BG" w:eastAsia="ro-RO"/>
              </w:rPr>
            </w:pPr>
            <w:r w:rsidRPr="007375EB">
              <w:rPr>
                <w:rFonts w:asciiTheme="minorHAnsi" w:eastAsia="Times New Roman" w:hAnsiTheme="minorHAnsi" w:cs="Calibri"/>
                <w:sz w:val="16"/>
                <w:szCs w:val="16"/>
                <w:lang w:val="bg-BG" w:eastAsia="ro-RO"/>
              </w:rPr>
              <w:t>§ промяна на структурата на почвата</w:t>
            </w:r>
            <w:r w:rsidR="00C10E3F" w:rsidRPr="007375EB">
              <w:rPr>
                <w:rFonts w:asciiTheme="minorHAnsi" w:eastAsia="Times New Roman" w:hAnsiTheme="minorHAnsi" w:cs="Calibri"/>
                <w:color w:val="000000"/>
                <w:sz w:val="16"/>
                <w:szCs w:val="16"/>
                <w:lang w:val="bg-BG" w:eastAsia="ro-RO"/>
              </w:rPr>
              <w:t>;</w:t>
            </w:r>
            <w:r w:rsidR="00C10E3F" w:rsidRPr="007375EB">
              <w:rPr>
                <w:rFonts w:asciiTheme="minorHAnsi" w:eastAsia="Times New Roman" w:hAnsiTheme="minorHAnsi" w:cs="Calibri"/>
                <w:color w:val="000000"/>
                <w:sz w:val="16"/>
                <w:szCs w:val="16"/>
                <w:lang w:val="bg-BG" w:eastAsia="ro-RO"/>
              </w:rPr>
              <w:br/>
              <w:t>§</w:t>
            </w:r>
            <w:r w:rsidRPr="007375EB">
              <w:rPr>
                <w:rFonts w:asciiTheme="minorHAnsi" w:eastAsia="Times New Roman" w:hAnsiTheme="minorHAnsi" w:cs="Calibri"/>
                <w:color w:val="000000"/>
                <w:sz w:val="16"/>
                <w:szCs w:val="16"/>
                <w:lang w:val="bg-BG" w:eastAsia="ro-RO"/>
              </w:rPr>
              <w:t>промяна на режима на инфилтрация на валежните води, особено в периметъра на основите, в резултат на изграждането на бетонни конструкции. С разчистването и депонирането на почвата от естествения кръговрат се изтеглят определени количества хранителни вещества, които ще бъдат отново включени в кръговрата, тъй като депонираният горен слой почва се използва за екологично възстановяване на земята.</w:t>
            </w:r>
            <w:r w:rsidR="00C10E3F" w:rsidRPr="007375EB">
              <w:rPr>
                <w:rFonts w:asciiTheme="minorHAnsi" w:eastAsia="Times New Roman" w:hAnsiTheme="minorHAnsi" w:cs="Calibri"/>
                <w:color w:val="000000"/>
                <w:sz w:val="16"/>
                <w:szCs w:val="16"/>
                <w:lang w:val="bg-BG" w:eastAsia="ro-RO"/>
              </w:rPr>
              <w:t xml:space="preserve"> </w:t>
            </w:r>
            <w:r w:rsidRPr="007375EB">
              <w:rPr>
                <w:rFonts w:asciiTheme="minorHAnsi" w:eastAsia="Times New Roman" w:hAnsiTheme="minorHAnsi" w:cs="Calibri"/>
                <w:color w:val="000000"/>
                <w:sz w:val="16"/>
                <w:szCs w:val="16"/>
                <w:lang w:val="bg-BG" w:eastAsia="ro-RO"/>
              </w:rPr>
              <w:t>Тези промени в почвата са обратими в случай на временно заети площи и почвата може да бъде върната в първоначалното си състояние след приключване на строителството. Потенциален източник на замърсяване на почвата и земните недра е дейността на превозни средства и машини в работните участъци. Замърсяващите частици от емисиите се отлагат върху почвата и могат да бъдат отмити в подпочвените слоеве чрез инфилтрация на дъждовна вода. Почвата и подпочвените слоеве могат да бъдат замърсени и от случайни разливи/течове на опасни вещества (масла, горива, смазочни материали) и/или отпадни води, както и от неправилно съхранение на суровини, материали и отпадъци.</w:t>
            </w:r>
            <w:r w:rsidR="00C10E3F" w:rsidRPr="007375EB">
              <w:rPr>
                <w:rFonts w:asciiTheme="minorHAnsi" w:eastAsia="Times New Roman" w:hAnsiTheme="minorHAnsi" w:cs="Calibri"/>
                <w:color w:val="000000"/>
                <w:sz w:val="16"/>
                <w:szCs w:val="16"/>
                <w:lang w:val="bg-BG" w:eastAsia="ro-RO"/>
              </w:rPr>
              <w:br/>
            </w:r>
            <w:r w:rsidRPr="007375EB">
              <w:rPr>
                <w:rFonts w:asciiTheme="minorHAnsi" w:eastAsia="Times New Roman" w:hAnsiTheme="minorHAnsi" w:cs="Calibri"/>
                <w:i/>
                <w:iCs/>
                <w:color w:val="000000"/>
                <w:sz w:val="16"/>
                <w:szCs w:val="16"/>
                <w:lang w:val="bg-BG" w:eastAsia="ro-RO"/>
              </w:rPr>
              <w:t xml:space="preserve">На етапа на експлоатация </w:t>
            </w:r>
            <w:r w:rsidRPr="007375EB">
              <w:rPr>
                <w:rFonts w:asciiTheme="minorHAnsi" w:eastAsia="Times New Roman" w:hAnsiTheme="minorHAnsi" w:cs="Calibri"/>
                <w:color w:val="000000"/>
                <w:sz w:val="16"/>
                <w:szCs w:val="16"/>
                <w:lang w:val="bg-BG" w:eastAsia="ro-RO"/>
              </w:rPr>
              <w:t>на ветроенергийния парк възможното въздействие върху почвата е промяната на предназначението на земята, която в момента е с друго предназначение, както и дейностите по поддръжка и ремонт.</w:t>
            </w:r>
          </w:p>
          <w:p w14:paraId="44731ED2" w14:textId="5CC0EF45" w:rsidR="00C10E3F" w:rsidRPr="007375EB" w:rsidRDefault="004F08E0" w:rsidP="004F08E0">
            <w:pPr>
              <w:spacing w:line="240" w:lineRule="auto"/>
              <w:jc w:val="both"/>
              <w:rPr>
                <w:rFonts w:asciiTheme="minorHAnsi" w:eastAsia="Times New Roman" w:hAnsiTheme="minorHAnsi" w:cs="Calibri"/>
                <w:b/>
                <w:bCs/>
                <w:sz w:val="16"/>
                <w:szCs w:val="16"/>
                <w:highlight w:val="yellow"/>
                <w:lang w:val="bg-BG" w:eastAsia="ro-RO"/>
              </w:rPr>
            </w:pPr>
            <w:r w:rsidRPr="007375EB">
              <w:rPr>
                <w:rFonts w:asciiTheme="minorHAnsi" w:eastAsia="Times New Roman" w:hAnsiTheme="minorHAnsi" w:cs="Calibri"/>
                <w:i/>
                <w:iCs/>
                <w:color w:val="000000"/>
                <w:sz w:val="16"/>
                <w:szCs w:val="16"/>
                <w:lang w:val="bg-BG" w:eastAsia="ro-RO"/>
              </w:rPr>
              <w:t xml:space="preserve">Във фазата на извеждане от експлоатация </w:t>
            </w:r>
            <w:r w:rsidRPr="007375EB">
              <w:rPr>
                <w:rFonts w:asciiTheme="minorHAnsi" w:eastAsia="Times New Roman" w:hAnsiTheme="minorHAnsi" w:cs="Calibri"/>
                <w:color w:val="000000"/>
                <w:sz w:val="16"/>
                <w:szCs w:val="16"/>
                <w:lang w:val="bg-BG" w:eastAsia="ro-RO"/>
              </w:rPr>
              <w:t xml:space="preserve">на инвестициите, предвидени от PUZ, очакваното въздействие е </w:t>
            </w:r>
            <w:r w:rsidRPr="007375EB">
              <w:rPr>
                <w:rFonts w:asciiTheme="minorHAnsi" w:eastAsia="Times New Roman" w:hAnsiTheme="minorHAnsi" w:cs="Calibri"/>
                <w:color w:val="000000"/>
                <w:sz w:val="16"/>
                <w:szCs w:val="16"/>
                <w:lang w:val="bg-BG" w:eastAsia="ro-RO"/>
              </w:rPr>
              <w:lastRenderedPageBreak/>
              <w:t>незначително, като се уточнява, че дейностите по възстановяване на земята ще възстановят първоначалното състояние на обекта, връщайки му сегашната функционалност (обработваема земя).</w:t>
            </w:r>
          </w:p>
        </w:tc>
      </w:tr>
      <w:tr w:rsidR="004F08E0" w:rsidRPr="007375EB" w14:paraId="0EDD9409" w14:textId="77777777" w:rsidTr="00EA45B2">
        <w:trPr>
          <w:trHeight w:val="1590"/>
        </w:trPr>
        <w:tc>
          <w:tcPr>
            <w:tcW w:w="1573" w:type="dxa"/>
            <w:vMerge w:val="restart"/>
            <w:shd w:val="clear" w:color="auto" w:fill="auto"/>
            <w:hideMark/>
          </w:tcPr>
          <w:p w14:paraId="3861F3B3" w14:textId="4B850E25" w:rsidR="004F08E0" w:rsidRPr="007375EB" w:rsidRDefault="004F08E0" w:rsidP="004F08E0">
            <w:pPr>
              <w:spacing w:line="240" w:lineRule="auto"/>
              <w:contextualSpacing/>
              <w:rPr>
                <w:rFonts w:asciiTheme="minorHAnsi" w:eastAsia="Times New Roman" w:hAnsiTheme="minorHAnsi" w:cs="Calibri"/>
                <w:b/>
                <w:bCs/>
                <w:color w:val="000000"/>
                <w:sz w:val="16"/>
                <w:szCs w:val="16"/>
                <w:lang w:val="bg-BG" w:eastAsia="ro-RO"/>
              </w:rPr>
            </w:pPr>
            <w:r w:rsidRPr="007375EB">
              <w:rPr>
                <w:b/>
                <w:bCs/>
                <w:sz w:val="16"/>
                <w:szCs w:val="16"/>
                <w:lang w:val="bg-BG"/>
              </w:rPr>
              <w:lastRenderedPageBreak/>
              <w:t xml:space="preserve">Използване на природните ресурси </w:t>
            </w:r>
          </w:p>
        </w:tc>
        <w:tc>
          <w:tcPr>
            <w:tcW w:w="2155" w:type="dxa"/>
            <w:shd w:val="clear" w:color="auto" w:fill="auto"/>
            <w:vAlign w:val="center"/>
            <w:hideMark/>
          </w:tcPr>
          <w:p w14:paraId="20CEDC31" w14:textId="2381371E" w:rsidR="004F08E0" w:rsidRPr="007375EB" w:rsidRDefault="004F08E0" w:rsidP="004F08E0">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OM4.</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Намаляване на експлоатацията на изчерпаемите ресурси и улесняване на експлоатацията на възобновяемите</w:t>
            </w:r>
          </w:p>
        </w:tc>
        <w:tc>
          <w:tcPr>
            <w:tcW w:w="662" w:type="dxa"/>
            <w:shd w:val="clear" w:color="000000" w:fill="F8CBAD"/>
            <w:noWrap/>
            <w:vAlign w:val="center"/>
            <w:hideMark/>
          </w:tcPr>
          <w:p w14:paraId="3AE20630"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0C1436BC"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C6E0B4"/>
            <w:noWrap/>
            <w:vAlign w:val="center"/>
            <w:hideMark/>
          </w:tcPr>
          <w:p w14:paraId="7E846EDC"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134" w:type="dxa"/>
            <w:shd w:val="clear" w:color="000000" w:fill="F8CBAD"/>
            <w:noWrap/>
            <w:vAlign w:val="center"/>
            <w:hideMark/>
          </w:tcPr>
          <w:p w14:paraId="399DE057"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shd w:val="clear" w:color="000000" w:fill="F8CBAD"/>
            <w:noWrap/>
            <w:vAlign w:val="center"/>
            <w:hideMark/>
          </w:tcPr>
          <w:p w14:paraId="78B42B2A"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32E8E7FD"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C6E0B4"/>
            <w:noWrap/>
            <w:vAlign w:val="center"/>
            <w:hideMark/>
          </w:tcPr>
          <w:p w14:paraId="2C18A6F5"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48C9DADF" w14:textId="77777777" w:rsidR="004F08E0" w:rsidRPr="007375EB" w:rsidRDefault="004F08E0" w:rsidP="004F08E0">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shd w:val="clear" w:color="000000" w:fill="00B050"/>
            <w:noWrap/>
            <w:vAlign w:val="center"/>
            <w:hideMark/>
          </w:tcPr>
          <w:p w14:paraId="02DE7D00"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708" w:type="dxa"/>
            <w:shd w:val="clear" w:color="000000" w:fill="00B050"/>
            <w:noWrap/>
            <w:vAlign w:val="center"/>
            <w:hideMark/>
          </w:tcPr>
          <w:p w14:paraId="2C6E1044" w14:textId="77777777" w:rsidR="004F08E0" w:rsidRPr="007375EB" w:rsidRDefault="004F08E0" w:rsidP="004F08E0">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2</w:t>
            </w:r>
          </w:p>
        </w:tc>
        <w:tc>
          <w:tcPr>
            <w:tcW w:w="567" w:type="dxa"/>
            <w:shd w:val="clear" w:color="000000" w:fill="F8CBAD"/>
            <w:noWrap/>
            <w:vAlign w:val="center"/>
            <w:hideMark/>
          </w:tcPr>
          <w:p w14:paraId="1572BB14"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FFF00"/>
            <w:noWrap/>
            <w:vAlign w:val="center"/>
            <w:hideMark/>
          </w:tcPr>
          <w:p w14:paraId="6D7FA57C"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8CBAD"/>
            <w:noWrap/>
            <w:vAlign w:val="center"/>
            <w:hideMark/>
          </w:tcPr>
          <w:p w14:paraId="54FC813A"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992" w:type="dxa"/>
            <w:shd w:val="clear" w:color="000000" w:fill="F8CBAD"/>
            <w:noWrap/>
            <w:vAlign w:val="center"/>
            <w:hideMark/>
          </w:tcPr>
          <w:p w14:paraId="75F67F95"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F0000"/>
            <w:noWrap/>
            <w:vAlign w:val="center"/>
            <w:hideMark/>
          </w:tcPr>
          <w:p w14:paraId="0C897E74"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709" w:type="dxa"/>
            <w:shd w:val="clear" w:color="000000" w:fill="F8CBAD"/>
            <w:noWrap/>
            <w:vAlign w:val="center"/>
            <w:hideMark/>
          </w:tcPr>
          <w:p w14:paraId="11C4DD6B"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486F0AF7"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26" w:type="dxa"/>
            <w:shd w:val="clear" w:color="000000" w:fill="F8CBAD"/>
            <w:noWrap/>
            <w:vAlign w:val="center"/>
            <w:hideMark/>
          </w:tcPr>
          <w:p w14:paraId="67048F4D" w14:textId="77777777" w:rsidR="004F08E0" w:rsidRPr="007375EB" w:rsidRDefault="004F08E0" w:rsidP="004F08E0">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244" w:type="dxa"/>
            <w:gridSpan w:val="2"/>
            <w:shd w:val="clear" w:color="auto" w:fill="auto"/>
            <w:vAlign w:val="center"/>
            <w:hideMark/>
          </w:tcPr>
          <w:p w14:paraId="01BF2F5A" w14:textId="77777777" w:rsidR="004F08E0" w:rsidRPr="007375EB" w:rsidRDefault="004F08E0" w:rsidP="004F08E0">
            <w:pPr>
              <w:spacing w:line="240" w:lineRule="auto"/>
              <w:jc w:val="both"/>
              <w:rPr>
                <w:rFonts w:asciiTheme="minorHAnsi" w:eastAsia="Times New Roman" w:hAnsiTheme="minorHAnsi" w:cs="Calibri"/>
                <w:i/>
                <w:iCs/>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По време на строителния период </w:t>
            </w:r>
            <w:r w:rsidRPr="007375EB">
              <w:rPr>
                <w:rFonts w:asciiTheme="minorHAnsi" w:eastAsia="Times New Roman" w:hAnsiTheme="minorHAnsi" w:cs="Calibri"/>
                <w:color w:val="000000"/>
                <w:sz w:val="16"/>
                <w:szCs w:val="16"/>
                <w:lang w:val="bg-BG" w:eastAsia="ro-RO"/>
              </w:rPr>
              <w:t>използването на природни ресурси (пясък, камък, пръст) за изграждането на вятърния парк е неизбежно, но въздействието е ограничено.</w:t>
            </w:r>
          </w:p>
          <w:p w14:paraId="34FA7A8E" w14:textId="1E884AF7" w:rsidR="004F08E0" w:rsidRPr="007375EB" w:rsidRDefault="004F08E0" w:rsidP="004F08E0">
            <w:pPr>
              <w:spacing w:line="240" w:lineRule="auto"/>
              <w:contextualSpacing/>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На етапа на експлоатация </w:t>
            </w:r>
            <w:r w:rsidRPr="007375EB">
              <w:rPr>
                <w:rFonts w:asciiTheme="minorHAnsi" w:eastAsia="Times New Roman" w:hAnsiTheme="minorHAnsi" w:cs="Calibri"/>
                <w:color w:val="000000"/>
                <w:sz w:val="16"/>
                <w:szCs w:val="16"/>
                <w:lang w:val="bg-BG" w:eastAsia="ro-RO"/>
              </w:rPr>
              <w:t>вятърният парк насърчава използването на възобновяеми ресурси и има положително въздействие. Освен това реализацията на вятърния парк ще замени същото количество електроенергия, произведено от невъзобновяеми източници (изкопаеми горива), като по този начин ще намали тяхната експлоатация.</w:t>
            </w:r>
          </w:p>
        </w:tc>
      </w:tr>
      <w:tr w:rsidR="004F08E0" w:rsidRPr="007375EB" w14:paraId="26E322DD" w14:textId="77777777" w:rsidTr="00EA45B2">
        <w:trPr>
          <w:trHeight w:val="1310"/>
        </w:trPr>
        <w:tc>
          <w:tcPr>
            <w:tcW w:w="1573" w:type="dxa"/>
            <w:vMerge/>
            <w:hideMark/>
          </w:tcPr>
          <w:p w14:paraId="6584DE61" w14:textId="77777777" w:rsidR="004F08E0" w:rsidRPr="007375EB" w:rsidRDefault="004F08E0" w:rsidP="004F08E0">
            <w:pPr>
              <w:spacing w:line="240" w:lineRule="auto"/>
              <w:contextualSpacing/>
              <w:rPr>
                <w:rFonts w:asciiTheme="minorHAnsi" w:eastAsia="Times New Roman" w:hAnsiTheme="minorHAnsi" w:cs="Calibri"/>
                <w:b/>
                <w:bCs/>
                <w:color w:val="000000"/>
                <w:sz w:val="16"/>
                <w:szCs w:val="16"/>
                <w:lang w:val="bg-BG" w:eastAsia="ro-RO"/>
              </w:rPr>
            </w:pPr>
          </w:p>
        </w:tc>
        <w:tc>
          <w:tcPr>
            <w:tcW w:w="2155" w:type="dxa"/>
            <w:shd w:val="clear" w:color="auto" w:fill="auto"/>
            <w:vAlign w:val="center"/>
            <w:hideMark/>
          </w:tcPr>
          <w:p w14:paraId="35542986" w14:textId="4DF220BE" w:rsidR="004F08E0" w:rsidRPr="007375EB" w:rsidRDefault="004F08E0" w:rsidP="004F08E0">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OM5.</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Насърчаване на прехода към кръгова и ресурсно ефективна икономика</w:t>
            </w:r>
          </w:p>
        </w:tc>
        <w:tc>
          <w:tcPr>
            <w:tcW w:w="662" w:type="dxa"/>
            <w:shd w:val="clear" w:color="000000" w:fill="FFFF00"/>
            <w:noWrap/>
            <w:vAlign w:val="center"/>
            <w:hideMark/>
          </w:tcPr>
          <w:p w14:paraId="78C9BDF0"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shd w:val="clear" w:color="000000" w:fill="FFFF00"/>
            <w:noWrap/>
            <w:vAlign w:val="center"/>
            <w:hideMark/>
          </w:tcPr>
          <w:p w14:paraId="6E888C3B"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shd w:val="clear" w:color="000000" w:fill="C6E0B4"/>
            <w:noWrap/>
            <w:vAlign w:val="center"/>
            <w:hideMark/>
          </w:tcPr>
          <w:p w14:paraId="0778B0F1"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134" w:type="dxa"/>
            <w:shd w:val="clear" w:color="000000" w:fill="F8CBAD"/>
            <w:noWrap/>
            <w:vAlign w:val="center"/>
            <w:hideMark/>
          </w:tcPr>
          <w:p w14:paraId="3C28CA9E"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shd w:val="clear" w:color="000000" w:fill="F8CBAD"/>
            <w:noWrap/>
            <w:vAlign w:val="center"/>
            <w:hideMark/>
          </w:tcPr>
          <w:p w14:paraId="03F1EAAA"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72C4385F"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C6E0B4"/>
            <w:noWrap/>
            <w:vAlign w:val="center"/>
            <w:hideMark/>
          </w:tcPr>
          <w:p w14:paraId="6CB392B0"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400F65A5" w14:textId="77777777" w:rsidR="004F08E0" w:rsidRPr="007375EB" w:rsidRDefault="004F08E0" w:rsidP="004F08E0">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shd w:val="clear" w:color="000000" w:fill="00B050"/>
            <w:noWrap/>
            <w:vAlign w:val="center"/>
            <w:hideMark/>
          </w:tcPr>
          <w:p w14:paraId="29BB4096"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708" w:type="dxa"/>
            <w:shd w:val="clear" w:color="000000" w:fill="00B050"/>
            <w:noWrap/>
            <w:vAlign w:val="center"/>
            <w:hideMark/>
          </w:tcPr>
          <w:p w14:paraId="0FA98593" w14:textId="77777777" w:rsidR="004F08E0" w:rsidRPr="007375EB" w:rsidRDefault="004F08E0" w:rsidP="004F08E0">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2</w:t>
            </w:r>
          </w:p>
        </w:tc>
        <w:tc>
          <w:tcPr>
            <w:tcW w:w="567" w:type="dxa"/>
            <w:shd w:val="clear" w:color="000000" w:fill="FFFF00"/>
            <w:noWrap/>
            <w:vAlign w:val="center"/>
            <w:hideMark/>
          </w:tcPr>
          <w:p w14:paraId="75760C06"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shd w:val="clear" w:color="000000" w:fill="FFFF00"/>
            <w:noWrap/>
            <w:vAlign w:val="center"/>
            <w:hideMark/>
          </w:tcPr>
          <w:p w14:paraId="4CB84827"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FFF00"/>
            <w:noWrap/>
            <w:vAlign w:val="center"/>
            <w:hideMark/>
          </w:tcPr>
          <w:p w14:paraId="54B4D150"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992" w:type="dxa"/>
            <w:shd w:val="clear" w:color="000000" w:fill="FFFF00"/>
            <w:noWrap/>
            <w:vAlign w:val="center"/>
            <w:hideMark/>
          </w:tcPr>
          <w:p w14:paraId="37CEDF67"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shd w:val="clear" w:color="000000" w:fill="FFFF00"/>
            <w:noWrap/>
            <w:vAlign w:val="center"/>
            <w:hideMark/>
          </w:tcPr>
          <w:p w14:paraId="165D3721"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FFF00"/>
            <w:noWrap/>
            <w:vAlign w:val="center"/>
            <w:hideMark/>
          </w:tcPr>
          <w:p w14:paraId="1118B61F"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FFF00"/>
            <w:noWrap/>
            <w:vAlign w:val="center"/>
            <w:hideMark/>
          </w:tcPr>
          <w:p w14:paraId="7C0F8186"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26" w:type="dxa"/>
            <w:shd w:val="clear" w:color="000000" w:fill="FFFF00"/>
            <w:noWrap/>
            <w:vAlign w:val="center"/>
            <w:hideMark/>
          </w:tcPr>
          <w:p w14:paraId="79E8EFB5" w14:textId="77777777" w:rsidR="004F08E0" w:rsidRPr="007375EB" w:rsidRDefault="004F08E0" w:rsidP="004F08E0">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5244" w:type="dxa"/>
            <w:gridSpan w:val="2"/>
            <w:shd w:val="clear" w:color="auto" w:fill="auto"/>
            <w:vAlign w:val="center"/>
            <w:hideMark/>
          </w:tcPr>
          <w:p w14:paraId="7840E0AC" w14:textId="2ED7E20E" w:rsidR="004F08E0" w:rsidRPr="007375EB" w:rsidRDefault="004F08E0" w:rsidP="004F08E0">
            <w:pPr>
              <w:spacing w:line="240" w:lineRule="auto"/>
              <w:contextualSpacing/>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Повторната употреба и рециклирането на продуктите ще забавят изчерпването на природните ресурси, ще намалят въздействието върху ландшафта и природните местообитания. Кръговата икономика води до намаляване на общите годишни емисии на парникови газове. Вятърните турбини и трафопостовете, с които ще бъде оборудван вятърният парк, ще отговарят на принципите на кръговата икономика, като свеждат до минимум въздействието върху потреблението на ресурси.</w:t>
            </w:r>
          </w:p>
        </w:tc>
      </w:tr>
      <w:tr w:rsidR="004F08E0" w:rsidRPr="007375EB" w14:paraId="68089C14" w14:textId="77777777" w:rsidTr="00EA45B2">
        <w:trPr>
          <w:trHeight w:val="3270"/>
        </w:trPr>
        <w:tc>
          <w:tcPr>
            <w:tcW w:w="1573" w:type="dxa"/>
            <w:shd w:val="clear" w:color="auto" w:fill="auto"/>
            <w:hideMark/>
          </w:tcPr>
          <w:p w14:paraId="72BD3ABE" w14:textId="003C0E53" w:rsidR="004F08E0" w:rsidRPr="007375EB" w:rsidRDefault="004F08E0" w:rsidP="004F08E0">
            <w:pPr>
              <w:spacing w:line="240" w:lineRule="auto"/>
              <w:contextualSpacing/>
              <w:rPr>
                <w:rFonts w:asciiTheme="minorHAnsi" w:eastAsia="Times New Roman" w:hAnsiTheme="minorHAnsi" w:cs="Calibri"/>
                <w:b/>
                <w:bCs/>
                <w:color w:val="000000"/>
                <w:sz w:val="16"/>
                <w:szCs w:val="16"/>
                <w:lang w:val="bg-BG" w:eastAsia="ro-RO"/>
              </w:rPr>
            </w:pPr>
            <w:r w:rsidRPr="007375EB">
              <w:rPr>
                <w:b/>
                <w:bCs/>
                <w:sz w:val="16"/>
                <w:szCs w:val="16"/>
                <w:lang w:val="bg-BG"/>
              </w:rPr>
              <w:t>Управление на отпадъците</w:t>
            </w:r>
          </w:p>
        </w:tc>
        <w:tc>
          <w:tcPr>
            <w:tcW w:w="2155" w:type="dxa"/>
            <w:shd w:val="clear" w:color="auto" w:fill="auto"/>
            <w:vAlign w:val="center"/>
            <w:hideMark/>
          </w:tcPr>
          <w:p w14:paraId="60838FA5" w14:textId="268B2070" w:rsidR="004F08E0" w:rsidRPr="007375EB" w:rsidRDefault="004F08E0" w:rsidP="004F08E0">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OM6.</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Намаляване на количеството генерирани и изхвърлени отпадъци чрез съхранение (съответстващи депа за отпадъци)</w:t>
            </w:r>
          </w:p>
        </w:tc>
        <w:tc>
          <w:tcPr>
            <w:tcW w:w="662" w:type="dxa"/>
            <w:shd w:val="clear" w:color="000000" w:fill="F8CBAD"/>
            <w:noWrap/>
            <w:vAlign w:val="center"/>
            <w:hideMark/>
          </w:tcPr>
          <w:p w14:paraId="322A9A43"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276CD6B5"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1575937B"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134" w:type="dxa"/>
            <w:shd w:val="clear" w:color="000000" w:fill="F8CBAD"/>
            <w:noWrap/>
            <w:vAlign w:val="center"/>
            <w:hideMark/>
          </w:tcPr>
          <w:p w14:paraId="5AA79239"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shd w:val="clear" w:color="000000" w:fill="F8CBAD"/>
            <w:noWrap/>
            <w:vAlign w:val="center"/>
            <w:hideMark/>
          </w:tcPr>
          <w:p w14:paraId="69A18BEA"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75818FD5"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FFF00"/>
            <w:noWrap/>
            <w:vAlign w:val="center"/>
            <w:hideMark/>
          </w:tcPr>
          <w:p w14:paraId="0677D9F1"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8CBAD"/>
            <w:noWrap/>
            <w:vAlign w:val="center"/>
            <w:hideMark/>
          </w:tcPr>
          <w:p w14:paraId="3EF093E5" w14:textId="77777777" w:rsidR="004F08E0" w:rsidRPr="007375EB" w:rsidRDefault="004F08E0" w:rsidP="004F08E0">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shd w:val="clear" w:color="000000" w:fill="FFFF00"/>
            <w:noWrap/>
            <w:vAlign w:val="center"/>
            <w:hideMark/>
          </w:tcPr>
          <w:p w14:paraId="2E668B83"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8" w:type="dxa"/>
            <w:shd w:val="clear" w:color="000000" w:fill="FFFF00"/>
            <w:noWrap/>
            <w:vAlign w:val="center"/>
            <w:hideMark/>
          </w:tcPr>
          <w:p w14:paraId="2F02F9D5" w14:textId="77777777" w:rsidR="004F08E0" w:rsidRPr="007375EB" w:rsidRDefault="004F08E0" w:rsidP="004F08E0">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567" w:type="dxa"/>
            <w:shd w:val="clear" w:color="000000" w:fill="F8CBAD"/>
            <w:noWrap/>
            <w:vAlign w:val="center"/>
            <w:hideMark/>
          </w:tcPr>
          <w:p w14:paraId="203720AB"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F0000"/>
            <w:noWrap/>
            <w:vAlign w:val="center"/>
            <w:hideMark/>
          </w:tcPr>
          <w:p w14:paraId="7DED141D"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709" w:type="dxa"/>
            <w:shd w:val="clear" w:color="000000" w:fill="FF0000"/>
            <w:noWrap/>
            <w:vAlign w:val="center"/>
            <w:hideMark/>
          </w:tcPr>
          <w:p w14:paraId="0B298E21"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992" w:type="dxa"/>
            <w:shd w:val="clear" w:color="000000" w:fill="FF0000"/>
            <w:noWrap/>
            <w:vAlign w:val="center"/>
            <w:hideMark/>
          </w:tcPr>
          <w:p w14:paraId="543E498D"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567" w:type="dxa"/>
            <w:shd w:val="clear" w:color="000000" w:fill="FF0000"/>
            <w:noWrap/>
            <w:vAlign w:val="center"/>
            <w:hideMark/>
          </w:tcPr>
          <w:p w14:paraId="74987D96"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709" w:type="dxa"/>
            <w:shd w:val="clear" w:color="000000" w:fill="F8CBAD"/>
            <w:noWrap/>
            <w:vAlign w:val="center"/>
            <w:hideMark/>
          </w:tcPr>
          <w:p w14:paraId="1916DBC1"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FFF00"/>
            <w:noWrap/>
            <w:vAlign w:val="center"/>
            <w:hideMark/>
          </w:tcPr>
          <w:p w14:paraId="1CF9431F" w14:textId="77777777" w:rsidR="004F08E0" w:rsidRPr="007375EB" w:rsidRDefault="004F08E0" w:rsidP="004F08E0">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26" w:type="dxa"/>
            <w:shd w:val="clear" w:color="000000" w:fill="FF0000"/>
            <w:noWrap/>
            <w:vAlign w:val="center"/>
            <w:hideMark/>
          </w:tcPr>
          <w:p w14:paraId="2190C518" w14:textId="77777777" w:rsidR="004F08E0" w:rsidRPr="007375EB" w:rsidRDefault="004F08E0" w:rsidP="004F08E0">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-2</w:t>
            </w:r>
          </w:p>
        </w:tc>
        <w:tc>
          <w:tcPr>
            <w:tcW w:w="5244" w:type="dxa"/>
            <w:gridSpan w:val="2"/>
            <w:shd w:val="clear" w:color="auto" w:fill="auto"/>
            <w:vAlign w:val="center"/>
            <w:hideMark/>
          </w:tcPr>
          <w:p w14:paraId="4779491F" w14:textId="77777777" w:rsidR="004F08E0" w:rsidRPr="007375EB" w:rsidRDefault="004F08E0" w:rsidP="004F08E0">
            <w:pPr>
              <w:spacing w:line="240" w:lineRule="auto"/>
              <w:jc w:val="both"/>
              <w:rPr>
                <w:rFonts w:asciiTheme="minorHAnsi" w:eastAsia="Times New Roman" w:hAnsiTheme="minorHAnsi" w:cs="Calibri"/>
                <w:i/>
                <w:iCs/>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По време на етапа на изпълнение </w:t>
            </w:r>
            <w:r w:rsidRPr="007375EB">
              <w:rPr>
                <w:rFonts w:asciiTheme="minorHAnsi" w:eastAsia="Times New Roman" w:hAnsiTheme="minorHAnsi" w:cs="Calibri"/>
                <w:color w:val="000000"/>
                <w:sz w:val="16"/>
                <w:szCs w:val="16"/>
                <w:lang w:val="bg-BG" w:eastAsia="ro-RO"/>
              </w:rPr>
              <w:t>е трудно да се оцени количеството на генерираните отпадъци, това количество зависи от възприетите технологии, които определят естеството на отпадъците и тяхното количество. Събирането и временното съхраняване на отпадъците, получени в резултат на дейностите по изграждане и монтиране на вятърния парк, ще се извършва при контролирани условия, в специално определени зони, за обезвреждане/оползотворяване от оторизирани оператори. Инертните отпадъци, получени по време на изпълнението (напр. пръст от изкопи, смеси от пръст и камъни и т.н.), ще бъдат депонирани на депо за инертни отпадъци в окръг Констанца или ще бъдат използвани повторно като пълнеж за строителните работи, предвидени в PUZ (напр. за нови пътища за достъп като пълнеж, в основи и т.н.). Количествата на отпадъците на този етап са намалени.</w:t>
            </w:r>
          </w:p>
          <w:p w14:paraId="49E5F279" w14:textId="12F707DA" w:rsidR="004F08E0" w:rsidRPr="007375EB" w:rsidRDefault="004F08E0" w:rsidP="004F08E0">
            <w:pPr>
              <w:spacing w:line="240" w:lineRule="auto"/>
              <w:contextualSpacing/>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По време на експлоатационния период </w:t>
            </w:r>
            <w:r w:rsidRPr="007375EB">
              <w:rPr>
                <w:rFonts w:asciiTheme="minorHAnsi" w:eastAsia="Times New Roman" w:hAnsiTheme="minorHAnsi" w:cs="Calibri"/>
                <w:color w:val="000000"/>
                <w:sz w:val="16"/>
                <w:szCs w:val="16"/>
                <w:lang w:val="bg-BG" w:eastAsia="ro-RO"/>
              </w:rPr>
              <w:t>отпадъците, които се получават, са от дейностите по поддръжка (турбинно масло) и от поддръжката на вятърните турбини</w:t>
            </w:r>
            <w:r w:rsidRPr="007375EB">
              <w:rPr>
                <w:rFonts w:asciiTheme="minorHAnsi" w:eastAsia="Times New Roman" w:hAnsiTheme="minorHAnsi" w:cs="Calibri"/>
                <w:i/>
                <w:iCs/>
                <w:color w:val="000000"/>
                <w:sz w:val="16"/>
                <w:szCs w:val="16"/>
                <w:lang w:val="bg-BG" w:eastAsia="ro-RO"/>
              </w:rPr>
              <w:t>.</w:t>
            </w:r>
            <w:r w:rsidRPr="007375EB">
              <w:rPr>
                <w:rFonts w:asciiTheme="minorHAnsi" w:eastAsia="Times New Roman" w:hAnsiTheme="minorHAnsi" w:cs="Calibri"/>
                <w:color w:val="000000"/>
                <w:sz w:val="16"/>
                <w:szCs w:val="16"/>
                <w:lang w:val="bg-BG" w:eastAsia="ro-RO"/>
              </w:rPr>
              <w:t xml:space="preserve"> </w:t>
            </w:r>
            <w:r w:rsidRPr="007375EB">
              <w:rPr>
                <w:rFonts w:asciiTheme="minorHAnsi" w:eastAsia="Times New Roman" w:hAnsiTheme="minorHAnsi" w:cs="Calibri"/>
                <w:color w:val="000000"/>
                <w:sz w:val="16"/>
                <w:szCs w:val="16"/>
                <w:lang w:val="bg-BG" w:eastAsia="ro-RO"/>
              </w:rPr>
              <w:br/>
            </w:r>
            <w:r w:rsidRPr="007375EB">
              <w:rPr>
                <w:rFonts w:asciiTheme="minorHAnsi" w:eastAsia="Times New Roman" w:hAnsiTheme="minorHAnsi" w:cs="Calibri"/>
                <w:i/>
                <w:iCs/>
                <w:color w:val="000000"/>
                <w:sz w:val="16"/>
                <w:szCs w:val="16"/>
                <w:lang w:val="bg-BG" w:eastAsia="ro-RO"/>
              </w:rPr>
              <w:t xml:space="preserve">По време на периода на извеждане от експлоатация </w:t>
            </w:r>
            <w:r w:rsidRPr="007375EB">
              <w:rPr>
                <w:rFonts w:asciiTheme="minorHAnsi" w:eastAsia="Times New Roman" w:hAnsiTheme="minorHAnsi" w:cs="Calibri"/>
                <w:color w:val="000000"/>
                <w:sz w:val="16"/>
                <w:szCs w:val="16"/>
                <w:lang w:val="bg-BG" w:eastAsia="ro-RO"/>
              </w:rPr>
              <w:t>генерираните отпадъци изискват подходящо управление, за да се сведат до минимум отрицателните въздействия, които биха били значителни при липса на такова управление.</w:t>
            </w:r>
          </w:p>
        </w:tc>
      </w:tr>
      <w:tr w:rsidR="00561A1B" w:rsidRPr="007375EB" w14:paraId="584FE1FA" w14:textId="77777777" w:rsidTr="002147B6">
        <w:trPr>
          <w:trHeight w:val="378"/>
        </w:trPr>
        <w:tc>
          <w:tcPr>
            <w:tcW w:w="1573" w:type="dxa"/>
            <w:shd w:val="clear" w:color="auto" w:fill="auto"/>
            <w:vAlign w:val="center"/>
            <w:hideMark/>
          </w:tcPr>
          <w:p w14:paraId="2D58972A" w14:textId="45B96AF8" w:rsidR="00561A1B" w:rsidRPr="007375EB" w:rsidRDefault="00561A1B" w:rsidP="00561A1B">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Шум и вибрации</w:t>
            </w:r>
          </w:p>
        </w:tc>
        <w:tc>
          <w:tcPr>
            <w:tcW w:w="2155" w:type="dxa"/>
            <w:shd w:val="clear" w:color="auto" w:fill="auto"/>
            <w:vAlign w:val="center"/>
            <w:hideMark/>
          </w:tcPr>
          <w:p w14:paraId="3AABEF50" w14:textId="1E342F90" w:rsidR="00561A1B" w:rsidRPr="007375EB" w:rsidRDefault="00561A1B" w:rsidP="00561A1B">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OM7.</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Ограничаване на източника на шумово замърсяване в зони с чувствителни към шум рецептори. Ограничение на нивата на вибрации</w:t>
            </w:r>
          </w:p>
        </w:tc>
        <w:tc>
          <w:tcPr>
            <w:tcW w:w="662" w:type="dxa"/>
            <w:shd w:val="clear" w:color="000000" w:fill="F8CBAD"/>
            <w:noWrap/>
            <w:vAlign w:val="center"/>
            <w:hideMark/>
          </w:tcPr>
          <w:p w14:paraId="7108ADB8" w14:textId="77777777" w:rsidR="00561A1B" w:rsidRPr="007375EB" w:rsidRDefault="00561A1B" w:rsidP="00561A1B">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74FD6DFE" w14:textId="77777777" w:rsidR="00561A1B" w:rsidRPr="007375EB" w:rsidRDefault="00561A1B" w:rsidP="00561A1B">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397196BF" w14:textId="77777777" w:rsidR="00561A1B" w:rsidRPr="007375EB" w:rsidRDefault="00561A1B" w:rsidP="00561A1B">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134" w:type="dxa"/>
            <w:shd w:val="clear" w:color="000000" w:fill="F8CBAD"/>
            <w:noWrap/>
            <w:vAlign w:val="center"/>
            <w:hideMark/>
          </w:tcPr>
          <w:p w14:paraId="55B0DF66" w14:textId="77777777" w:rsidR="00561A1B" w:rsidRPr="007375EB" w:rsidRDefault="00561A1B" w:rsidP="00561A1B">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shd w:val="clear" w:color="000000" w:fill="F8CBAD"/>
            <w:noWrap/>
            <w:vAlign w:val="center"/>
            <w:hideMark/>
          </w:tcPr>
          <w:p w14:paraId="7D7726DD" w14:textId="77777777" w:rsidR="00561A1B" w:rsidRPr="007375EB" w:rsidRDefault="00561A1B" w:rsidP="00561A1B">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5F1AF22E" w14:textId="77777777" w:rsidR="00561A1B" w:rsidRPr="007375EB" w:rsidRDefault="00561A1B" w:rsidP="00561A1B">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FFF00"/>
            <w:noWrap/>
            <w:vAlign w:val="center"/>
            <w:hideMark/>
          </w:tcPr>
          <w:p w14:paraId="27C9BF54" w14:textId="77777777" w:rsidR="00561A1B" w:rsidRPr="007375EB" w:rsidRDefault="00561A1B" w:rsidP="00561A1B">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8CBAD"/>
            <w:noWrap/>
            <w:vAlign w:val="center"/>
            <w:hideMark/>
          </w:tcPr>
          <w:p w14:paraId="01BDD395" w14:textId="77777777" w:rsidR="00561A1B" w:rsidRPr="007375EB" w:rsidRDefault="00561A1B" w:rsidP="00561A1B">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shd w:val="clear" w:color="000000" w:fill="FFFF00"/>
            <w:noWrap/>
            <w:vAlign w:val="center"/>
            <w:hideMark/>
          </w:tcPr>
          <w:p w14:paraId="6A6ABB57" w14:textId="77777777" w:rsidR="00561A1B" w:rsidRPr="007375EB" w:rsidRDefault="00561A1B" w:rsidP="00561A1B">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8" w:type="dxa"/>
            <w:shd w:val="clear" w:color="000000" w:fill="FFFF00"/>
            <w:noWrap/>
            <w:vAlign w:val="center"/>
            <w:hideMark/>
          </w:tcPr>
          <w:p w14:paraId="1BA1EC00" w14:textId="77777777" w:rsidR="00561A1B" w:rsidRPr="007375EB" w:rsidRDefault="00561A1B" w:rsidP="00561A1B">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567" w:type="dxa"/>
            <w:shd w:val="clear" w:color="000000" w:fill="F8CBAD"/>
            <w:noWrap/>
            <w:vAlign w:val="center"/>
            <w:hideMark/>
          </w:tcPr>
          <w:p w14:paraId="2DE77BFD" w14:textId="77777777" w:rsidR="00561A1B" w:rsidRPr="007375EB" w:rsidRDefault="00561A1B" w:rsidP="00561A1B">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248C7766" w14:textId="77777777" w:rsidR="00561A1B" w:rsidRPr="007375EB" w:rsidRDefault="00561A1B" w:rsidP="00561A1B">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3BCD3967" w14:textId="77777777" w:rsidR="00561A1B" w:rsidRPr="007375EB" w:rsidRDefault="00561A1B" w:rsidP="00561A1B">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992" w:type="dxa"/>
            <w:shd w:val="clear" w:color="000000" w:fill="F8CBAD"/>
            <w:noWrap/>
            <w:vAlign w:val="center"/>
            <w:hideMark/>
          </w:tcPr>
          <w:p w14:paraId="4B200AD8" w14:textId="77777777" w:rsidR="00561A1B" w:rsidRPr="007375EB" w:rsidRDefault="00561A1B" w:rsidP="00561A1B">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274CE5EC" w14:textId="77777777" w:rsidR="00561A1B" w:rsidRPr="007375EB" w:rsidRDefault="00561A1B" w:rsidP="00561A1B">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FFF00"/>
            <w:noWrap/>
            <w:vAlign w:val="center"/>
            <w:hideMark/>
          </w:tcPr>
          <w:p w14:paraId="4C1D6653" w14:textId="77777777" w:rsidR="00561A1B" w:rsidRPr="007375EB" w:rsidRDefault="00561A1B" w:rsidP="00561A1B">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FFF00"/>
            <w:noWrap/>
            <w:vAlign w:val="center"/>
            <w:hideMark/>
          </w:tcPr>
          <w:p w14:paraId="1EEB64F5" w14:textId="77777777" w:rsidR="00561A1B" w:rsidRPr="007375EB" w:rsidRDefault="00561A1B" w:rsidP="00561A1B">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26" w:type="dxa"/>
            <w:shd w:val="clear" w:color="000000" w:fill="F8CBAD"/>
            <w:noWrap/>
            <w:vAlign w:val="center"/>
            <w:hideMark/>
          </w:tcPr>
          <w:p w14:paraId="478CC692" w14:textId="77777777" w:rsidR="00561A1B" w:rsidRPr="007375EB" w:rsidRDefault="00561A1B" w:rsidP="00561A1B">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244" w:type="dxa"/>
            <w:gridSpan w:val="2"/>
            <w:shd w:val="clear" w:color="auto" w:fill="auto"/>
            <w:vAlign w:val="center"/>
            <w:hideMark/>
          </w:tcPr>
          <w:p w14:paraId="4AC5B094" w14:textId="77777777" w:rsidR="00561A1B" w:rsidRPr="007375EB" w:rsidRDefault="00561A1B" w:rsidP="00561A1B">
            <w:pPr>
              <w:spacing w:line="240" w:lineRule="auto"/>
              <w:jc w:val="both"/>
              <w:rPr>
                <w:rFonts w:asciiTheme="minorHAnsi" w:eastAsia="Times New Roman" w:hAnsiTheme="minorHAnsi" w:cs="Calibri"/>
                <w:i/>
                <w:iCs/>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По време на етапа на изпълнение </w:t>
            </w:r>
            <w:r w:rsidRPr="007375EB">
              <w:rPr>
                <w:rFonts w:asciiTheme="minorHAnsi" w:eastAsia="Times New Roman" w:hAnsiTheme="minorHAnsi" w:cs="Calibri"/>
                <w:color w:val="000000"/>
                <w:sz w:val="16"/>
                <w:szCs w:val="16"/>
                <w:lang w:val="bg-BG" w:eastAsia="ro-RO"/>
              </w:rPr>
              <w:t>използваните транспортни средства и машини, както и дейностите на работния фронт, са източник на шум и вибрации, така че през този период ще има увеличение на нивото на шума в резултат на продължителната транспортна дейност и работата на машините, включени в работите. Следователно ще има дискомфорт, дължащ се главно на шума и вибрациите, произвеждани от превозните средства, използваните машини и присъствието на работниците, но като се има предвид, че районът се пресича от местни пътища, селскостопански пътища и съседните земи, където сезонно се извършват селскостопански работи с различни видове машини, шумът няма да създаде значително въздействие, ще бъде локален и временен.</w:t>
            </w:r>
            <w:r w:rsidRPr="007375EB">
              <w:rPr>
                <w:rFonts w:asciiTheme="minorHAnsi" w:eastAsia="Times New Roman" w:hAnsiTheme="minorHAnsi" w:cs="Calibri"/>
                <w:i/>
                <w:iCs/>
                <w:color w:val="000000"/>
                <w:sz w:val="16"/>
                <w:szCs w:val="16"/>
                <w:lang w:val="bg-BG" w:eastAsia="ro-RO"/>
              </w:rPr>
              <w:t xml:space="preserve"> </w:t>
            </w:r>
          </w:p>
          <w:p w14:paraId="7EAAB862" w14:textId="185B060A" w:rsidR="00561A1B" w:rsidRPr="007375EB" w:rsidRDefault="00561A1B" w:rsidP="00561A1B">
            <w:pPr>
              <w:spacing w:line="240" w:lineRule="auto"/>
              <w:contextualSpacing/>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lastRenderedPageBreak/>
              <w:t xml:space="preserve">По време на експлоатационния период, </w:t>
            </w:r>
            <w:r w:rsidRPr="007375EB">
              <w:rPr>
                <w:rFonts w:asciiTheme="minorHAnsi" w:eastAsia="Times New Roman" w:hAnsiTheme="minorHAnsi" w:cs="Calibri"/>
                <w:color w:val="000000"/>
                <w:sz w:val="16"/>
                <w:szCs w:val="16"/>
                <w:lang w:val="bg-BG" w:eastAsia="ro-RO"/>
              </w:rPr>
              <w:t xml:space="preserve">шумът, произвеждан от вятърната турбина, се увеличава със скоростта на вятъра и скоростта на въртене. Съвременният дизайн на турбината включва изолация на гондолата, за да се предотврати предаването на механичен шум във въздуха. Гондолата също е изолирана, за да се предотврати предаването на вибрациите от движещите се части (лопатки, главина, редуктор) към кулата и фундамента. Аеродинамичният шум на големите турбини е преобладаващ в сравнение с механичния шум и зависи от скоростта на въртене на лопатките (скоростта на вятъра). Като цяло нивото на шума на една турбина варира между 92 и 107,7 дБ. За турбината с мощност 6,6 МВт при натоварване от 95 % максималното ниво на шума е 106,6 </w:t>
            </w:r>
            <w:r w:rsidR="00695609">
              <w:rPr>
                <w:rFonts w:asciiTheme="minorHAnsi" w:eastAsia="Times New Roman" w:hAnsiTheme="minorHAnsi" w:cs="Calibri"/>
                <w:color w:val="000000"/>
                <w:sz w:val="16"/>
                <w:szCs w:val="16"/>
                <w:lang w:val="bg-BG" w:eastAsia="ro-RO"/>
              </w:rPr>
              <w:t>дБ</w:t>
            </w:r>
            <w:r w:rsidRPr="007375EB">
              <w:rPr>
                <w:rFonts w:asciiTheme="minorHAnsi" w:eastAsia="Times New Roman" w:hAnsiTheme="minorHAnsi" w:cs="Calibri"/>
                <w:color w:val="000000"/>
                <w:sz w:val="16"/>
                <w:szCs w:val="16"/>
                <w:lang w:val="bg-BG" w:eastAsia="ro-RO"/>
              </w:rPr>
              <w:t xml:space="preserve"> (ниво според проучването на шума). От моделирането на шума в зоната на рецепторите (населените места в района на прилагане на PUZ) нивото на шума е по-малко от 40 дБ.</w:t>
            </w:r>
            <w:r w:rsidRPr="007375EB">
              <w:rPr>
                <w:rFonts w:asciiTheme="minorHAnsi" w:eastAsia="Times New Roman" w:hAnsiTheme="minorHAnsi" w:cs="Calibri"/>
                <w:color w:val="000000"/>
                <w:sz w:val="16"/>
                <w:szCs w:val="16"/>
                <w:lang w:val="bg-BG" w:eastAsia="ro-RO"/>
              </w:rPr>
              <w:br/>
            </w:r>
            <w:r w:rsidRPr="007375EB">
              <w:rPr>
                <w:rFonts w:asciiTheme="minorHAnsi" w:eastAsia="Times New Roman" w:hAnsiTheme="minorHAnsi" w:cs="Calibri"/>
                <w:i/>
                <w:iCs/>
                <w:color w:val="000000"/>
                <w:sz w:val="16"/>
                <w:szCs w:val="16"/>
                <w:lang w:val="bg-BG" w:eastAsia="ro-RO"/>
              </w:rPr>
              <w:t xml:space="preserve">На етапа на извеждане от експлоатация </w:t>
            </w:r>
            <w:r w:rsidRPr="007375EB">
              <w:rPr>
                <w:rFonts w:asciiTheme="minorHAnsi" w:eastAsia="Times New Roman" w:hAnsiTheme="minorHAnsi" w:cs="Calibri"/>
                <w:color w:val="000000"/>
                <w:sz w:val="16"/>
                <w:szCs w:val="16"/>
                <w:lang w:val="bg-BG" w:eastAsia="ro-RO"/>
              </w:rPr>
              <w:t xml:space="preserve">въздействието на шума и вибрациите е подобно на това на етапа на строителството.  </w:t>
            </w:r>
          </w:p>
        </w:tc>
      </w:tr>
      <w:tr w:rsidR="007B576D" w:rsidRPr="007375EB" w14:paraId="00BEC599" w14:textId="77777777" w:rsidTr="002147B6">
        <w:trPr>
          <w:trHeight w:val="3780"/>
        </w:trPr>
        <w:tc>
          <w:tcPr>
            <w:tcW w:w="1573" w:type="dxa"/>
            <w:vMerge w:val="restart"/>
            <w:shd w:val="clear" w:color="auto" w:fill="auto"/>
            <w:vAlign w:val="center"/>
            <w:hideMark/>
          </w:tcPr>
          <w:p w14:paraId="0B9D09EB" w14:textId="33ED8DF0" w:rsidR="007B576D" w:rsidRPr="007375EB" w:rsidRDefault="007B576D" w:rsidP="007B576D">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lastRenderedPageBreak/>
              <w:t xml:space="preserve">Биоразнообразие </w:t>
            </w:r>
          </w:p>
        </w:tc>
        <w:tc>
          <w:tcPr>
            <w:tcW w:w="2155" w:type="dxa"/>
            <w:shd w:val="clear" w:color="auto" w:fill="auto"/>
            <w:vAlign w:val="center"/>
            <w:hideMark/>
          </w:tcPr>
          <w:p w14:paraId="22922489" w14:textId="13BD281B" w:rsidR="007B576D" w:rsidRPr="007375EB" w:rsidRDefault="007B576D" w:rsidP="007B576D">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OM8.</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Опазване на природни местообитания и видове от флората и фауната от обществено значение</w:t>
            </w:r>
          </w:p>
        </w:tc>
        <w:tc>
          <w:tcPr>
            <w:tcW w:w="662" w:type="dxa"/>
            <w:shd w:val="clear" w:color="000000" w:fill="F8CBAD"/>
            <w:noWrap/>
            <w:vAlign w:val="center"/>
            <w:hideMark/>
          </w:tcPr>
          <w:p w14:paraId="5B905D08"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4C4DDDC3"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FFF00"/>
            <w:noWrap/>
            <w:vAlign w:val="center"/>
            <w:hideMark/>
          </w:tcPr>
          <w:p w14:paraId="62416438"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1134" w:type="dxa"/>
            <w:shd w:val="clear" w:color="000000" w:fill="F8CBAD"/>
            <w:noWrap/>
            <w:vAlign w:val="center"/>
            <w:hideMark/>
          </w:tcPr>
          <w:p w14:paraId="01AEA525"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shd w:val="clear" w:color="000000" w:fill="F8CBAD"/>
            <w:noWrap/>
            <w:vAlign w:val="center"/>
            <w:hideMark/>
          </w:tcPr>
          <w:p w14:paraId="24022607"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0179AD1F"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C6E0B4"/>
            <w:noWrap/>
            <w:vAlign w:val="center"/>
            <w:hideMark/>
          </w:tcPr>
          <w:p w14:paraId="33F328D2"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1271E0BA"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shd w:val="clear" w:color="000000" w:fill="FFFF00"/>
            <w:noWrap/>
            <w:vAlign w:val="center"/>
            <w:hideMark/>
          </w:tcPr>
          <w:p w14:paraId="35C6F5C8"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8" w:type="dxa"/>
            <w:shd w:val="clear" w:color="000000" w:fill="FFFF00"/>
            <w:noWrap/>
            <w:vAlign w:val="center"/>
            <w:hideMark/>
          </w:tcPr>
          <w:p w14:paraId="2CCFD050"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567" w:type="dxa"/>
            <w:shd w:val="clear" w:color="000000" w:fill="F8CBAD"/>
            <w:noWrap/>
            <w:vAlign w:val="center"/>
            <w:hideMark/>
          </w:tcPr>
          <w:p w14:paraId="3B775658"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6C383A2B"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441C7969"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992" w:type="dxa"/>
            <w:shd w:val="clear" w:color="000000" w:fill="F8CBAD"/>
            <w:noWrap/>
            <w:vAlign w:val="center"/>
            <w:hideMark/>
          </w:tcPr>
          <w:p w14:paraId="136A794E"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76BC55BD"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32321A8A"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C6E0B4"/>
            <w:noWrap/>
            <w:vAlign w:val="center"/>
            <w:hideMark/>
          </w:tcPr>
          <w:p w14:paraId="4730E2BE"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26" w:type="dxa"/>
            <w:shd w:val="clear" w:color="000000" w:fill="F8CBAD"/>
            <w:noWrap/>
            <w:vAlign w:val="center"/>
            <w:hideMark/>
          </w:tcPr>
          <w:p w14:paraId="39777F38"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244" w:type="dxa"/>
            <w:gridSpan w:val="2"/>
            <w:shd w:val="clear" w:color="auto" w:fill="auto"/>
            <w:vAlign w:val="center"/>
            <w:hideMark/>
          </w:tcPr>
          <w:p w14:paraId="2D1BBECD" w14:textId="77777777" w:rsidR="007B576D" w:rsidRPr="007375EB" w:rsidRDefault="007B576D" w:rsidP="007B576D">
            <w:pPr>
              <w:spacing w:line="240" w:lineRule="auto"/>
              <w:jc w:val="both"/>
              <w:rPr>
                <w:rFonts w:eastAsia="Times New Roman" w:cs="Calibri"/>
                <w:color w:val="000000"/>
                <w:sz w:val="16"/>
                <w:szCs w:val="16"/>
                <w:lang w:val="bg-BG" w:eastAsia="ro-RO"/>
              </w:rPr>
            </w:pPr>
            <w:r w:rsidRPr="007375EB">
              <w:rPr>
                <w:rFonts w:eastAsia="Times New Roman" w:cs="Calibri"/>
                <w:color w:val="000000"/>
                <w:sz w:val="16"/>
                <w:szCs w:val="16"/>
                <w:lang w:val="bg-BG" w:eastAsia="ro-RO"/>
              </w:rPr>
              <w:t>Предложеният план не пресича национални защитени зони по Природа 2000, разстоянието до най-близката защитена зона е около 3,97 км, а в България най-близката защитена зона по Натура 2000 е на около 410 м от най-близката вятърна турбина. Проучваната от PUZ територия е разположена върху земя със селскостопанско предназначение, която обаче може да представлява възможни благоприятни местообитания (хранене/размножаване/гнездене) за видовете от интерес за Общността, за които са определени зоните. Потвърждаването на тази хипотеза ще се извърши чрез допълнителен полеви мониторинг, за да се определи точно кои видове използват бъдещата паркова зона.</w:t>
            </w:r>
          </w:p>
          <w:p w14:paraId="1C737E77" w14:textId="77777777" w:rsidR="007B576D" w:rsidRPr="007375EB" w:rsidRDefault="007B576D" w:rsidP="007B576D">
            <w:pPr>
              <w:spacing w:line="240" w:lineRule="auto"/>
              <w:jc w:val="both"/>
              <w:rPr>
                <w:rFonts w:eastAsia="Times New Roman" w:cs="Calibri"/>
                <w:i/>
                <w:iCs/>
                <w:color w:val="000000"/>
                <w:sz w:val="16"/>
                <w:szCs w:val="16"/>
                <w:lang w:val="bg-BG" w:eastAsia="ro-RO"/>
              </w:rPr>
            </w:pPr>
            <w:r w:rsidRPr="007375EB">
              <w:rPr>
                <w:rFonts w:eastAsia="Times New Roman" w:cs="Calibri"/>
                <w:i/>
                <w:iCs/>
                <w:color w:val="000000"/>
                <w:sz w:val="16"/>
                <w:szCs w:val="16"/>
                <w:lang w:val="bg-BG" w:eastAsia="ro-RO"/>
              </w:rPr>
              <w:t xml:space="preserve">Във фазата на изпълнение </w:t>
            </w:r>
            <w:r w:rsidRPr="007375EB">
              <w:rPr>
                <w:rFonts w:eastAsia="Times New Roman" w:cs="Calibri"/>
                <w:color w:val="000000"/>
                <w:sz w:val="16"/>
                <w:szCs w:val="16"/>
                <w:lang w:val="bg-BG" w:eastAsia="ro-RO"/>
              </w:rPr>
              <w:t xml:space="preserve">замърсяването със суспендирани вещества, дължащо се на строителните работи, може да окаже отрицателно въздействие върху растителността чрез отлагане върху листния апарат, което води до частично или пълно затваряне на стоматите и нарушаване на физиологичните и биохимичните процеси на растенията. Други форми на въздействие на етапа на изпълнение са нарушаването на активността на видовете и възможното намаляване на числеността на популациите поради появата на поведенчески бариери за дивите животни. Работите по строителството и извеждането от експлоатация могат временно да засегнат биологичното разнообразие, но възстановителните работи ще доведат до подобряване на състоянието на засегнатите чувствителни елементи. </w:t>
            </w:r>
          </w:p>
          <w:p w14:paraId="15C7535B" w14:textId="77777777" w:rsidR="007B576D" w:rsidRPr="007375EB" w:rsidRDefault="007B576D" w:rsidP="007B576D">
            <w:pPr>
              <w:spacing w:line="240" w:lineRule="auto"/>
              <w:jc w:val="both"/>
              <w:rPr>
                <w:rFonts w:eastAsia="Times New Roman" w:cs="Calibri"/>
                <w:i/>
                <w:iCs/>
                <w:color w:val="000000"/>
                <w:sz w:val="16"/>
                <w:szCs w:val="16"/>
                <w:lang w:val="bg-BG" w:eastAsia="ro-RO"/>
              </w:rPr>
            </w:pPr>
            <w:r w:rsidRPr="007375EB">
              <w:rPr>
                <w:rFonts w:eastAsia="Times New Roman" w:cs="Calibri"/>
                <w:i/>
                <w:iCs/>
                <w:color w:val="000000"/>
                <w:sz w:val="16"/>
                <w:szCs w:val="16"/>
                <w:lang w:val="bg-BG" w:eastAsia="ro-RO"/>
              </w:rPr>
              <w:t xml:space="preserve">В експлоатационната фаза, </w:t>
            </w:r>
            <w:r w:rsidRPr="007375EB">
              <w:rPr>
                <w:rFonts w:eastAsia="Times New Roman" w:cs="Calibri"/>
                <w:color w:val="000000"/>
                <w:sz w:val="16"/>
                <w:szCs w:val="16"/>
                <w:lang w:val="bg-BG" w:eastAsia="ro-RO"/>
              </w:rPr>
              <w:t>като се има предвид броят на турбините, предложени от PUZ, и броят и видовете птици и хироптери, установени на площадката, които са чувствителни по отношение на проектите за вятърна енергия, въздействието върху тези видове може да се счита за отрицателно, дори ако те са подходящо разположени</w:t>
            </w:r>
            <w:r w:rsidRPr="007375EB">
              <w:rPr>
                <w:rFonts w:eastAsia="Times New Roman" w:cs="Calibri"/>
                <w:i/>
                <w:iCs/>
                <w:color w:val="000000"/>
                <w:sz w:val="16"/>
                <w:szCs w:val="16"/>
                <w:lang w:val="bg-BG" w:eastAsia="ro-RO"/>
              </w:rPr>
              <w:t>.</w:t>
            </w:r>
          </w:p>
          <w:p w14:paraId="38586C46" w14:textId="1AD57F69" w:rsidR="007B576D" w:rsidRPr="007375EB" w:rsidRDefault="007B576D" w:rsidP="007B576D">
            <w:pPr>
              <w:spacing w:line="240" w:lineRule="auto"/>
              <w:contextualSpacing/>
              <w:jc w:val="both"/>
              <w:rPr>
                <w:rFonts w:asciiTheme="minorHAnsi" w:eastAsia="Times New Roman" w:hAnsiTheme="minorHAnsi" w:cs="Calibri"/>
                <w:color w:val="000000"/>
                <w:sz w:val="16"/>
                <w:szCs w:val="16"/>
                <w:lang w:val="bg-BG" w:eastAsia="ro-RO"/>
              </w:rPr>
            </w:pPr>
            <w:r w:rsidRPr="007375EB">
              <w:rPr>
                <w:rFonts w:eastAsia="Times New Roman" w:cs="Calibri"/>
                <w:i/>
                <w:iCs/>
                <w:color w:val="000000"/>
                <w:sz w:val="16"/>
                <w:szCs w:val="16"/>
                <w:lang w:val="bg-BG" w:eastAsia="ro-RO"/>
              </w:rPr>
              <w:t xml:space="preserve">На етапа на извеждане от експлоатация </w:t>
            </w:r>
            <w:r w:rsidRPr="007375EB">
              <w:rPr>
                <w:rFonts w:eastAsia="Times New Roman" w:cs="Calibri"/>
                <w:color w:val="000000"/>
                <w:sz w:val="16"/>
                <w:szCs w:val="16"/>
                <w:lang w:val="bg-BG" w:eastAsia="ro-RO"/>
              </w:rPr>
              <w:t>въздействието върху биоразнообразието е подобно на това на етапа на строителство.</w:t>
            </w:r>
          </w:p>
        </w:tc>
      </w:tr>
      <w:tr w:rsidR="007B576D" w:rsidRPr="007375EB" w14:paraId="5A682398" w14:textId="77777777" w:rsidTr="00672705">
        <w:trPr>
          <w:trHeight w:val="1020"/>
        </w:trPr>
        <w:tc>
          <w:tcPr>
            <w:tcW w:w="1573" w:type="dxa"/>
            <w:vMerge/>
            <w:vAlign w:val="center"/>
            <w:hideMark/>
          </w:tcPr>
          <w:p w14:paraId="31AF3787" w14:textId="77777777" w:rsidR="007B576D" w:rsidRPr="007375EB" w:rsidRDefault="007B576D" w:rsidP="007B576D">
            <w:pPr>
              <w:spacing w:line="240" w:lineRule="auto"/>
              <w:contextualSpacing/>
              <w:rPr>
                <w:rFonts w:asciiTheme="minorHAnsi" w:eastAsia="Times New Roman" w:hAnsiTheme="minorHAnsi" w:cs="Calibri"/>
                <w:b/>
                <w:bCs/>
                <w:color w:val="000000"/>
                <w:sz w:val="16"/>
                <w:szCs w:val="16"/>
                <w:lang w:val="bg-BG" w:eastAsia="ro-RO"/>
              </w:rPr>
            </w:pPr>
          </w:p>
        </w:tc>
        <w:tc>
          <w:tcPr>
            <w:tcW w:w="2155" w:type="dxa"/>
            <w:shd w:val="clear" w:color="auto" w:fill="auto"/>
            <w:vAlign w:val="center"/>
            <w:hideMark/>
          </w:tcPr>
          <w:p w14:paraId="29F211AF" w14:textId="6DAFC95E" w:rsidR="007B576D" w:rsidRPr="007375EB" w:rsidRDefault="007B576D" w:rsidP="007B576D">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OM9.</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Поддържане на мрежата от защитени зони Природа 2000.</w:t>
            </w:r>
          </w:p>
        </w:tc>
        <w:tc>
          <w:tcPr>
            <w:tcW w:w="662" w:type="dxa"/>
            <w:shd w:val="clear" w:color="000000" w:fill="FFFF00"/>
            <w:noWrap/>
            <w:vAlign w:val="center"/>
            <w:hideMark/>
          </w:tcPr>
          <w:p w14:paraId="469D2B2C"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shd w:val="clear" w:color="000000" w:fill="FFFF00"/>
            <w:noWrap/>
            <w:vAlign w:val="center"/>
            <w:hideMark/>
          </w:tcPr>
          <w:p w14:paraId="168E08D9"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shd w:val="clear" w:color="000000" w:fill="FFFF00"/>
            <w:noWrap/>
            <w:vAlign w:val="center"/>
            <w:hideMark/>
          </w:tcPr>
          <w:p w14:paraId="61F61E22"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1134" w:type="dxa"/>
            <w:shd w:val="clear" w:color="000000" w:fill="FFFF00"/>
            <w:noWrap/>
            <w:vAlign w:val="center"/>
            <w:hideMark/>
          </w:tcPr>
          <w:p w14:paraId="39EEEC1F"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8" w:type="dxa"/>
            <w:shd w:val="clear" w:color="000000" w:fill="FFFF00"/>
            <w:noWrap/>
            <w:vAlign w:val="center"/>
            <w:hideMark/>
          </w:tcPr>
          <w:p w14:paraId="1DE53F13"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FFF00"/>
            <w:noWrap/>
            <w:vAlign w:val="center"/>
            <w:hideMark/>
          </w:tcPr>
          <w:p w14:paraId="7EB17F42"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FFF00"/>
            <w:noWrap/>
            <w:vAlign w:val="center"/>
            <w:hideMark/>
          </w:tcPr>
          <w:p w14:paraId="7A6C127D"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FFF00"/>
            <w:noWrap/>
            <w:vAlign w:val="center"/>
            <w:hideMark/>
          </w:tcPr>
          <w:p w14:paraId="1F0E4E02"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567" w:type="dxa"/>
            <w:shd w:val="clear" w:color="auto" w:fill="F8CBB2"/>
            <w:noWrap/>
            <w:vAlign w:val="center"/>
            <w:hideMark/>
          </w:tcPr>
          <w:p w14:paraId="02D35B4D" w14:textId="1AA4094C"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shd w:val="clear" w:color="auto" w:fill="F8CBB2"/>
            <w:noWrap/>
            <w:vAlign w:val="center"/>
            <w:hideMark/>
          </w:tcPr>
          <w:p w14:paraId="016251C6" w14:textId="2205750A"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shd w:val="clear" w:color="000000" w:fill="FFFF00"/>
            <w:noWrap/>
            <w:vAlign w:val="center"/>
            <w:hideMark/>
          </w:tcPr>
          <w:p w14:paraId="33E7C045"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shd w:val="clear" w:color="000000" w:fill="FFFF00"/>
            <w:noWrap/>
            <w:vAlign w:val="center"/>
            <w:hideMark/>
          </w:tcPr>
          <w:p w14:paraId="5CC7EF66"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FFF00"/>
            <w:noWrap/>
            <w:vAlign w:val="center"/>
            <w:hideMark/>
          </w:tcPr>
          <w:p w14:paraId="7D380F07"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992" w:type="dxa"/>
            <w:shd w:val="clear" w:color="000000" w:fill="FFFF00"/>
            <w:noWrap/>
            <w:vAlign w:val="center"/>
            <w:hideMark/>
          </w:tcPr>
          <w:p w14:paraId="6AA58882"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67" w:type="dxa"/>
            <w:shd w:val="clear" w:color="000000" w:fill="FFFF00"/>
            <w:noWrap/>
            <w:vAlign w:val="center"/>
            <w:hideMark/>
          </w:tcPr>
          <w:p w14:paraId="6B72E4ED"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FFF00"/>
            <w:noWrap/>
            <w:vAlign w:val="center"/>
            <w:hideMark/>
          </w:tcPr>
          <w:p w14:paraId="31C5420C"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FFF00"/>
            <w:noWrap/>
            <w:vAlign w:val="center"/>
            <w:hideMark/>
          </w:tcPr>
          <w:p w14:paraId="77839A33"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26" w:type="dxa"/>
            <w:shd w:val="clear" w:color="000000" w:fill="FFFF00"/>
            <w:noWrap/>
            <w:vAlign w:val="center"/>
            <w:hideMark/>
          </w:tcPr>
          <w:p w14:paraId="0EBFA08C"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5244" w:type="dxa"/>
            <w:gridSpan w:val="2"/>
            <w:shd w:val="clear" w:color="auto" w:fill="auto"/>
            <w:vAlign w:val="center"/>
            <w:hideMark/>
          </w:tcPr>
          <w:p w14:paraId="687EE4D0" w14:textId="203999B6" w:rsidR="007B576D" w:rsidRPr="007375EB" w:rsidRDefault="007B576D" w:rsidP="007B576D">
            <w:pPr>
              <w:spacing w:line="240" w:lineRule="auto"/>
              <w:contextualSpacing/>
              <w:jc w:val="both"/>
              <w:rPr>
                <w:rFonts w:asciiTheme="minorHAnsi" w:eastAsia="Times New Roman" w:hAnsiTheme="minorHAnsi" w:cs="Calibri"/>
                <w:color w:val="FF0000"/>
                <w:sz w:val="16"/>
                <w:szCs w:val="16"/>
                <w:lang w:val="bg-BG" w:eastAsia="ro-RO"/>
              </w:rPr>
            </w:pPr>
            <w:r w:rsidRPr="007375EB">
              <w:rPr>
                <w:rFonts w:asciiTheme="minorHAnsi" w:eastAsia="Times New Roman" w:hAnsiTheme="minorHAnsi" w:cs="Calibri"/>
                <w:sz w:val="16"/>
                <w:szCs w:val="16"/>
                <w:lang w:val="bg-BG" w:eastAsia="ro-RO"/>
              </w:rPr>
              <w:t xml:space="preserve">Предложеният план не е в близост до нито една защитена зона от мрежата Природа 2000 на националната територия, като разстоянието до най-близката защитена зона е около 2,79 км, но на българска територия най-близката защитена зона от мрежата Природа 2000 е на около 410 м от границата на PUZ. </w:t>
            </w:r>
            <w:r w:rsidRPr="007375EB">
              <w:rPr>
                <w:rFonts w:asciiTheme="minorHAnsi" w:eastAsia="Times New Roman" w:hAnsiTheme="minorHAnsi" w:cs="Calibri"/>
                <w:b/>
                <w:bCs/>
                <w:sz w:val="16"/>
                <w:szCs w:val="16"/>
                <w:lang w:val="bg-BG" w:eastAsia="ro-RO"/>
              </w:rPr>
              <w:t xml:space="preserve"> </w:t>
            </w:r>
          </w:p>
        </w:tc>
      </w:tr>
      <w:tr w:rsidR="007B576D" w:rsidRPr="007375EB" w14:paraId="1DAC7970" w14:textId="77777777" w:rsidTr="002147B6">
        <w:trPr>
          <w:trHeight w:val="520"/>
        </w:trPr>
        <w:tc>
          <w:tcPr>
            <w:tcW w:w="1573" w:type="dxa"/>
            <w:vMerge w:val="restart"/>
            <w:shd w:val="clear" w:color="auto" w:fill="auto"/>
            <w:vAlign w:val="center"/>
            <w:hideMark/>
          </w:tcPr>
          <w:p w14:paraId="682A701C" w14:textId="59947A20" w:rsidR="007B576D" w:rsidRPr="007375EB" w:rsidRDefault="007B576D" w:rsidP="007B576D">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Население и човешко здраве</w:t>
            </w:r>
          </w:p>
        </w:tc>
        <w:tc>
          <w:tcPr>
            <w:tcW w:w="2155" w:type="dxa"/>
            <w:shd w:val="clear" w:color="auto" w:fill="auto"/>
            <w:vAlign w:val="center"/>
            <w:hideMark/>
          </w:tcPr>
          <w:p w14:paraId="3F1BBF9C" w14:textId="669F8E95" w:rsidR="007B576D" w:rsidRPr="007375EB" w:rsidRDefault="007B576D" w:rsidP="007B576D">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OM10.</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Поддържане на качеството на факторите на околната среда в рамките на законовите разпоредби за опазване на околната среда и общественото здраве</w:t>
            </w:r>
          </w:p>
        </w:tc>
        <w:tc>
          <w:tcPr>
            <w:tcW w:w="662" w:type="dxa"/>
            <w:shd w:val="clear" w:color="000000" w:fill="F8CBAD"/>
            <w:noWrap/>
            <w:vAlign w:val="center"/>
            <w:hideMark/>
          </w:tcPr>
          <w:p w14:paraId="26928A8E"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5EDA3CFB"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75624963"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134" w:type="dxa"/>
            <w:shd w:val="clear" w:color="000000" w:fill="F8CBAD"/>
            <w:noWrap/>
            <w:vAlign w:val="center"/>
            <w:hideMark/>
          </w:tcPr>
          <w:p w14:paraId="56A663DC"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shd w:val="clear" w:color="000000" w:fill="F8CBAD"/>
            <w:noWrap/>
            <w:vAlign w:val="center"/>
            <w:hideMark/>
          </w:tcPr>
          <w:p w14:paraId="4851C35E"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03C0BBD4"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13F25CDB"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53E0F0CF"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shd w:val="clear" w:color="000000" w:fill="FFFF00"/>
            <w:noWrap/>
            <w:vAlign w:val="center"/>
            <w:hideMark/>
          </w:tcPr>
          <w:p w14:paraId="77831854"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8" w:type="dxa"/>
            <w:shd w:val="clear" w:color="000000" w:fill="FFFF00"/>
            <w:noWrap/>
            <w:vAlign w:val="center"/>
            <w:hideMark/>
          </w:tcPr>
          <w:p w14:paraId="7B493444"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567" w:type="dxa"/>
            <w:shd w:val="clear" w:color="000000" w:fill="F8CBAD"/>
            <w:noWrap/>
            <w:vAlign w:val="center"/>
            <w:hideMark/>
          </w:tcPr>
          <w:p w14:paraId="42670851"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05B6EFC2"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5618A145"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992" w:type="dxa"/>
            <w:shd w:val="clear" w:color="000000" w:fill="F8CBAD"/>
            <w:noWrap/>
            <w:vAlign w:val="center"/>
            <w:hideMark/>
          </w:tcPr>
          <w:p w14:paraId="09EFABF6"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4AA4B251"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FFF00"/>
            <w:noWrap/>
            <w:vAlign w:val="center"/>
            <w:hideMark/>
          </w:tcPr>
          <w:p w14:paraId="2B599EE0"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FFF00"/>
            <w:noWrap/>
            <w:vAlign w:val="center"/>
            <w:hideMark/>
          </w:tcPr>
          <w:p w14:paraId="2830BBDC"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26" w:type="dxa"/>
            <w:shd w:val="clear" w:color="000000" w:fill="F8CBAD"/>
            <w:noWrap/>
            <w:vAlign w:val="center"/>
            <w:hideMark/>
          </w:tcPr>
          <w:p w14:paraId="70A3C182"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244" w:type="dxa"/>
            <w:gridSpan w:val="2"/>
            <w:shd w:val="clear" w:color="auto" w:fill="auto"/>
            <w:vAlign w:val="center"/>
            <w:hideMark/>
          </w:tcPr>
          <w:p w14:paraId="55438938" w14:textId="3CC1357B" w:rsidR="007B576D" w:rsidRPr="007375EB" w:rsidRDefault="007B576D" w:rsidP="007B576D">
            <w:pPr>
              <w:spacing w:line="240" w:lineRule="auto"/>
              <w:contextualSpacing/>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По време на етапа на изпълнение </w:t>
            </w:r>
            <w:r w:rsidRPr="007375EB">
              <w:rPr>
                <w:rFonts w:asciiTheme="minorHAnsi" w:eastAsia="Times New Roman" w:hAnsiTheme="minorHAnsi" w:cs="Calibri"/>
                <w:color w:val="000000"/>
                <w:sz w:val="16"/>
                <w:szCs w:val="16"/>
                <w:lang w:val="bg-BG" w:eastAsia="ro-RO"/>
              </w:rPr>
              <w:t xml:space="preserve">населението в района на прилагане на </w:t>
            </w:r>
            <w:r w:rsidRPr="007375EB">
              <w:rPr>
                <w:rFonts w:asciiTheme="minorHAnsi" w:eastAsia="Times New Roman" w:hAnsiTheme="minorHAnsi" w:cs="Calibri"/>
                <w:sz w:val="16"/>
                <w:szCs w:val="16"/>
                <w:lang w:val="bg-BG" w:eastAsia="ro-RO"/>
              </w:rPr>
              <w:t>PUZ</w:t>
            </w:r>
            <w:r w:rsidRPr="007375EB">
              <w:rPr>
                <w:rFonts w:asciiTheme="minorHAnsi" w:eastAsia="Times New Roman" w:hAnsiTheme="minorHAnsi" w:cs="Calibri"/>
                <w:color w:val="000000"/>
                <w:sz w:val="16"/>
                <w:szCs w:val="16"/>
                <w:lang w:val="bg-BG" w:eastAsia="ro-RO"/>
              </w:rPr>
              <w:t xml:space="preserve"> може да бъде засегнато от увеличения трафик по местните пътища и пътищата за достъп до населеното място, от емисиите на прах и замърсители, генерирани от работите по плана, от шума и вибрациите, причинени от машините и оборудването, участващи в работите. Тяхното въздействие е локално, временно и с ниска степен на значимост, като се има предвид, че районът на прилагане на </w:t>
            </w:r>
            <w:r w:rsidRPr="007375EB">
              <w:rPr>
                <w:rFonts w:asciiTheme="minorHAnsi" w:eastAsia="Times New Roman" w:hAnsiTheme="minorHAnsi" w:cs="Calibri"/>
                <w:sz w:val="16"/>
                <w:szCs w:val="16"/>
                <w:lang w:val="bg-BG" w:eastAsia="ro-RO"/>
              </w:rPr>
              <w:t>PUZ</w:t>
            </w:r>
            <w:r w:rsidRPr="007375EB">
              <w:rPr>
                <w:rFonts w:asciiTheme="minorHAnsi" w:eastAsia="Times New Roman" w:hAnsiTheme="minorHAnsi" w:cs="Calibri"/>
                <w:color w:val="000000"/>
                <w:sz w:val="16"/>
                <w:szCs w:val="16"/>
                <w:lang w:val="bg-BG" w:eastAsia="ro-RO"/>
              </w:rPr>
              <w:t xml:space="preserve"> е в покрайнините на населеното място, че това е селски район, който не е пренаселен със строителство и е с малък трафик. По време на експлоатационната фаза на вятърния парк въздействието върху населението и човешкото здраве се състои от шума, произвеждан от работещите турбини, ефекта на засенчване и изменението на ландшафта.</w:t>
            </w:r>
            <w:r w:rsidRPr="007375EB">
              <w:rPr>
                <w:rFonts w:asciiTheme="minorHAnsi" w:eastAsia="Times New Roman" w:hAnsiTheme="minorHAnsi" w:cs="Calibri"/>
                <w:color w:val="000000"/>
                <w:sz w:val="16"/>
                <w:szCs w:val="16"/>
                <w:lang w:val="bg-BG" w:eastAsia="ro-RO"/>
              </w:rPr>
              <w:br/>
              <w:t xml:space="preserve">От моделирането на шума, извършено за </w:t>
            </w:r>
            <w:r w:rsidRPr="007375EB">
              <w:rPr>
                <w:rFonts w:asciiTheme="minorHAnsi" w:eastAsia="Times New Roman" w:hAnsiTheme="minorHAnsi" w:cs="Calibri"/>
                <w:sz w:val="16"/>
                <w:szCs w:val="16"/>
                <w:lang w:val="bg-BG" w:eastAsia="ro-RO"/>
              </w:rPr>
              <w:t>PUZ</w:t>
            </w:r>
            <w:r w:rsidRPr="007375EB">
              <w:rPr>
                <w:rFonts w:asciiTheme="minorHAnsi" w:eastAsia="Times New Roman" w:hAnsiTheme="minorHAnsi" w:cs="Calibri"/>
                <w:color w:val="000000"/>
                <w:sz w:val="16"/>
                <w:szCs w:val="16"/>
                <w:lang w:val="bg-BG" w:eastAsia="ro-RO"/>
              </w:rPr>
              <w:t xml:space="preserve">, се вижда, че нивото на шума в рецепторната зона (населени места, разположени в зоната на изпълнение на </w:t>
            </w:r>
            <w:r w:rsidRPr="007375EB">
              <w:rPr>
                <w:rFonts w:asciiTheme="minorHAnsi" w:eastAsia="Times New Roman" w:hAnsiTheme="minorHAnsi" w:cs="Calibri"/>
                <w:sz w:val="16"/>
                <w:szCs w:val="16"/>
                <w:lang w:val="bg-BG" w:eastAsia="ro-RO"/>
              </w:rPr>
              <w:t>PUZ</w:t>
            </w:r>
            <w:r w:rsidRPr="007375EB">
              <w:rPr>
                <w:rFonts w:asciiTheme="minorHAnsi" w:eastAsia="Times New Roman" w:hAnsiTheme="minorHAnsi" w:cs="Calibri"/>
                <w:color w:val="000000"/>
                <w:sz w:val="16"/>
                <w:szCs w:val="16"/>
                <w:lang w:val="bg-BG" w:eastAsia="ro-RO"/>
              </w:rPr>
              <w:t xml:space="preserve">) е по-малко от 40 дБ, в съответствие с граничните стойности, наложени от действащото законодателство за защитените зони. Що се отнася до ефекта на засенчването, според моделирането, извършено за предложената </w:t>
            </w:r>
            <w:r w:rsidRPr="007375EB">
              <w:rPr>
                <w:rFonts w:asciiTheme="minorHAnsi" w:eastAsia="Times New Roman" w:hAnsiTheme="minorHAnsi" w:cs="Calibri"/>
                <w:sz w:val="16"/>
                <w:szCs w:val="16"/>
                <w:lang w:val="bg-BG" w:eastAsia="ro-RO"/>
              </w:rPr>
              <w:t>PUZ</w:t>
            </w:r>
            <w:r w:rsidRPr="007375EB">
              <w:rPr>
                <w:rFonts w:asciiTheme="minorHAnsi" w:eastAsia="Times New Roman" w:hAnsiTheme="minorHAnsi" w:cs="Calibri"/>
                <w:color w:val="000000"/>
                <w:sz w:val="16"/>
                <w:szCs w:val="16"/>
                <w:lang w:val="bg-BG" w:eastAsia="ro-RO"/>
              </w:rPr>
              <w:t xml:space="preserve"> в района на населените места в зоната на прилагане на </w:t>
            </w:r>
            <w:r w:rsidRPr="007375EB">
              <w:rPr>
                <w:rFonts w:asciiTheme="minorHAnsi" w:eastAsia="Times New Roman" w:hAnsiTheme="minorHAnsi" w:cs="Calibri"/>
                <w:sz w:val="16"/>
                <w:szCs w:val="16"/>
                <w:lang w:val="bg-BG" w:eastAsia="ro-RO"/>
              </w:rPr>
              <w:t>PUZ</w:t>
            </w:r>
            <w:r w:rsidRPr="007375EB">
              <w:rPr>
                <w:rFonts w:asciiTheme="minorHAnsi" w:eastAsia="Times New Roman" w:hAnsiTheme="minorHAnsi" w:cs="Calibri"/>
                <w:color w:val="000000"/>
                <w:sz w:val="16"/>
                <w:szCs w:val="16"/>
                <w:lang w:val="bg-BG" w:eastAsia="ro-RO"/>
              </w:rPr>
              <w:t>, засенчването има преобладаващи стойности между 0,1 и 8 часа годишно, като нормативната граница в САЩ е 30 часа. От гледна точка на визуалното въздействие върху населението, то е различно при отделните хора поради разликата във възприятието. На етапа на извеждане от експлоатация въздействието, което се усеща от населението в района на изпълнение на проекта, е подобно на това на етапа на изпълнение.</w:t>
            </w:r>
          </w:p>
        </w:tc>
      </w:tr>
      <w:tr w:rsidR="007B576D" w:rsidRPr="007375EB" w14:paraId="76E82D35" w14:textId="77777777" w:rsidTr="002147B6">
        <w:trPr>
          <w:trHeight w:val="1470"/>
        </w:trPr>
        <w:tc>
          <w:tcPr>
            <w:tcW w:w="1573" w:type="dxa"/>
            <w:vMerge/>
            <w:vAlign w:val="center"/>
            <w:hideMark/>
          </w:tcPr>
          <w:p w14:paraId="7CBB8C95" w14:textId="77777777" w:rsidR="007B576D" w:rsidRPr="007375EB" w:rsidRDefault="007B576D" w:rsidP="007B576D">
            <w:pPr>
              <w:spacing w:line="240" w:lineRule="auto"/>
              <w:contextualSpacing/>
              <w:rPr>
                <w:rFonts w:asciiTheme="minorHAnsi" w:eastAsia="Times New Roman" w:hAnsiTheme="minorHAnsi" w:cs="Calibri"/>
                <w:b/>
                <w:bCs/>
                <w:color w:val="000000"/>
                <w:sz w:val="16"/>
                <w:szCs w:val="16"/>
                <w:lang w:val="bg-BG" w:eastAsia="ro-RO"/>
              </w:rPr>
            </w:pPr>
          </w:p>
        </w:tc>
        <w:tc>
          <w:tcPr>
            <w:tcW w:w="2155" w:type="dxa"/>
            <w:shd w:val="clear" w:color="auto" w:fill="auto"/>
            <w:vAlign w:val="center"/>
            <w:hideMark/>
          </w:tcPr>
          <w:p w14:paraId="420D3A99" w14:textId="01C0C764" w:rsidR="007B576D" w:rsidRPr="007375EB" w:rsidRDefault="007B576D" w:rsidP="007B576D">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OM11.</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Подобряване на жизнения стандарт и социалните условия на населението</w:t>
            </w:r>
          </w:p>
        </w:tc>
        <w:tc>
          <w:tcPr>
            <w:tcW w:w="662" w:type="dxa"/>
            <w:shd w:val="clear" w:color="000000" w:fill="C6E0B4"/>
            <w:noWrap/>
            <w:vAlign w:val="center"/>
            <w:hideMark/>
          </w:tcPr>
          <w:p w14:paraId="108DCCD6"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C6E0B4"/>
            <w:noWrap/>
            <w:vAlign w:val="center"/>
            <w:hideMark/>
          </w:tcPr>
          <w:p w14:paraId="2AF7EBA2"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C6E0B4"/>
            <w:noWrap/>
            <w:vAlign w:val="center"/>
            <w:hideMark/>
          </w:tcPr>
          <w:p w14:paraId="0417810B"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134" w:type="dxa"/>
            <w:shd w:val="clear" w:color="000000" w:fill="C6E0B4"/>
            <w:noWrap/>
            <w:vAlign w:val="center"/>
            <w:hideMark/>
          </w:tcPr>
          <w:p w14:paraId="14BE38A6"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shd w:val="clear" w:color="000000" w:fill="C6E0B4"/>
            <w:noWrap/>
            <w:vAlign w:val="center"/>
            <w:hideMark/>
          </w:tcPr>
          <w:p w14:paraId="608FEDE0"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C6E0B4"/>
            <w:noWrap/>
            <w:vAlign w:val="center"/>
            <w:hideMark/>
          </w:tcPr>
          <w:p w14:paraId="0CA5A5B6"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C6E0B4"/>
            <w:noWrap/>
            <w:vAlign w:val="center"/>
            <w:hideMark/>
          </w:tcPr>
          <w:p w14:paraId="49D2E9D8"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C6E0B4"/>
            <w:noWrap/>
            <w:vAlign w:val="center"/>
            <w:hideMark/>
          </w:tcPr>
          <w:p w14:paraId="3B61DC2F"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shd w:val="clear" w:color="000000" w:fill="00B050"/>
            <w:noWrap/>
            <w:vAlign w:val="center"/>
            <w:hideMark/>
          </w:tcPr>
          <w:p w14:paraId="3448D350"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708" w:type="dxa"/>
            <w:shd w:val="clear" w:color="000000" w:fill="00B050"/>
            <w:noWrap/>
            <w:vAlign w:val="center"/>
            <w:hideMark/>
          </w:tcPr>
          <w:p w14:paraId="68DF6E8A"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2</w:t>
            </w:r>
          </w:p>
        </w:tc>
        <w:tc>
          <w:tcPr>
            <w:tcW w:w="567" w:type="dxa"/>
            <w:shd w:val="clear" w:color="000000" w:fill="C6E0B4"/>
            <w:noWrap/>
            <w:vAlign w:val="center"/>
            <w:hideMark/>
          </w:tcPr>
          <w:p w14:paraId="5EA0931A"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C6E0B4"/>
            <w:noWrap/>
            <w:vAlign w:val="center"/>
            <w:hideMark/>
          </w:tcPr>
          <w:p w14:paraId="513826A9"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C6E0B4"/>
            <w:noWrap/>
            <w:vAlign w:val="center"/>
            <w:hideMark/>
          </w:tcPr>
          <w:p w14:paraId="722FEF8B"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992" w:type="dxa"/>
            <w:shd w:val="clear" w:color="000000" w:fill="C6E0B4"/>
            <w:noWrap/>
            <w:vAlign w:val="center"/>
            <w:hideMark/>
          </w:tcPr>
          <w:p w14:paraId="340592A5"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C6E0B4"/>
            <w:noWrap/>
            <w:vAlign w:val="center"/>
            <w:hideMark/>
          </w:tcPr>
          <w:p w14:paraId="54D79430"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C6E0B4"/>
            <w:noWrap/>
            <w:vAlign w:val="center"/>
            <w:hideMark/>
          </w:tcPr>
          <w:p w14:paraId="6D5CE3E1"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C6E0B4"/>
            <w:noWrap/>
            <w:vAlign w:val="center"/>
            <w:hideMark/>
          </w:tcPr>
          <w:p w14:paraId="1F9F24E7"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26" w:type="dxa"/>
            <w:shd w:val="clear" w:color="000000" w:fill="C6E0B4"/>
            <w:noWrap/>
            <w:vAlign w:val="center"/>
            <w:hideMark/>
          </w:tcPr>
          <w:p w14:paraId="375776A1"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244" w:type="dxa"/>
            <w:gridSpan w:val="2"/>
            <w:shd w:val="clear" w:color="auto" w:fill="auto"/>
            <w:vAlign w:val="center"/>
            <w:hideMark/>
          </w:tcPr>
          <w:p w14:paraId="1D1960E6" w14:textId="77777777" w:rsidR="007B576D" w:rsidRPr="007375EB" w:rsidRDefault="007B576D" w:rsidP="007B576D">
            <w:pPr>
              <w:spacing w:line="240" w:lineRule="auto"/>
              <w:contextualSpacing/>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На етапа на изпълнение/извеждане от експлоатация </w:t>
            </w:r>
            <w:r w:rsidRPr="007375EB">
              <w:rPr>
                <w:rFonts w:asciiTheme="minorHAnsi" w:eastAsia="Times New Roman" w:hAnsiTheme="minorHAnsi" w:cs="Calibri"/>
                <w:color w:val="000000"/>
                <w:sz w:val="16"/>
                <w:szCs w:val="16"/>
                <w:lang w:val="bg-BG" w:eastAsia="ro-RO"/>
              </w:rPr>
              <w:t xml:space="preserve">създаването на временни работни места може да има положително въздействие върху жизнения стандарт на местното население. </w:t>
            </w:r>
          </w:p>
          <w:p w14:paraId="316EC79F" w14:textId="34E05493" w:rsidR="007B576D" w:rsidRPr="007375EB" w:rsidRDefault="007B576D" w:rsidP="007B576D">
            <w:pPr>
              <w:spacing w:line="240" w:lineRule="auto"/>
              <w:contextualSpacing/>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На етапа на експлоатация проектът</w:t>
            </w:r>
            <w:r w:rsidRPr="007375EB">
              <w:rPr>
                <w:rFonts w:asciiTheme="minorHAnsi" w:eastAsia="Times New Roman" w:hAnsiTheme="minorHAnsi" w:cs="Calibri"/>
                <w:color w:val="000000"/>
                <w:sz w:val="16"/>
                <w:szCs w:val="16"/>
                <w:lang w:val="bg-BG" w:eastAsia="ro-RO"/>
              </w:rPr>
              <w:t xml:space="preserve"> допринася за подобряване на стандарта на живот чрез осигуряване на чист и стабилен източник на енергия, който може да намали разходите за енергия в дългосрочен план, и чрез вноски в местния бюджет, свързани с правата за наемане/отдаване под наем/ползване на земя.</w:t>
            </w:r>
          </w:p>
        </w:tc>
      </w:tr>
      <w:tr w:rsidR="007B576D" w:rsidRPr="007375EB" w14:paraId="5E5234C7" w14:textId="77777777" w:rsidTr="002147B6">
        <w:trPr>
          <w:trHeight w:val="2730"/>
        </w:trPr>
        <w:tc>
          <w:tcPr>
            <w:tcW w:w="1573" w:type="dxa"/>
            <w:shd w:val="clear" w:color="auto" w:fill="auto"/>
            <w:vAlign w:val="center"/>
            <w:hideMark/>
          </w:tcPr>
          <w:p w14:paraId="441B3807" w14:textId="09E74A14" w:rsidR="007B576D" w:rsidRPr="007375EB" w:rsidRDefault="007B576D" w:rsidP="007B576D">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lastRenderedPageBreak/>
              <w:t>Ландшафт</w:t>
            </w:r>
          </w:p>
        </w:tc>
        <w:tc>
          <w:tcPr>
            <w:tcW w:w="2155" w:type="dxa"/>
            <w:shd w:val="clear" w:color="auto" w:fill="auto"/>
            <w:vAlign w:val="center"/>
            <w:hideMark/>
          </w:tcPr>
          <w:p w14:paraId="634132FE" w14:textId="05109158" w:rsidR="007B576D" w:rsidRPr="007375EB" w:rsidRDefault="007B576D" w:rsidP="007B576D">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OM12.</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Осигуряване на защита на естествения ландшафт и свеждане до минимум на въздействието върху естествения ландшафт</w:t>
            </w:r>
          </w:p>
        </w:tc>
        <w:tc>
          <w:tcPr>
            <w:tcW w:w="662" w:type="dxa"/>
            <w:shd w:val="clear" w:color="000000" w:fill="F8CBAD"/>
            <w:noWrap/>
            <w:vAlign w:val="center"/>
            <w:hideMark/>
          </w:tcPr>
          <w:p w14:paraId="574E1AEE"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6A6C0270"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FFF00"/>
            <w:noWrap/>
            <w:vAlign w:val="center"/>
            <w:hideMark/>
          </w:tcPr>
          <w:p w14:paraId="4CA664B1"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1134" w:type="dxa"/>
            <w:shd w:val="clear" w:color="000000" w:fill="F8CBAD"/>
            <w:noWrap/>
            <w:vAlign w:val="center"/>
            <w:hideMark/>
          </w:tcPr>
          <w:p w14:paraId="2671CA9F"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shd w:val="clear" w:color="000000" w:fill="F8CBAD"/>
            <w:noWrap/>
            <w:vAlign w:val="center"/>
            <w:hideMark/>
          </w:tcPr>
          <w:p w14:paraId="7676F3F3"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4C79A857"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FFF00"/>
            <w:noWrap/>
            <w:vAlign w:val="center"/>
            <w:hideMark/>
          </w:tcPr>
          <w:p w14:paraId="723BDD35"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8CBAD"/>
            <w:noWrap/>
            <w:vAlign w:val="center"/>
            <w:hideMark/>
          </w:tcPr>
          <w:p w14:paraId="7DA21EA8"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shd w:val="clear" w:color="000000" w:fill="FFFF00"/>
            <w:noWrap/>
            <w:vAlign w:val="center"/>
            <w:hideMark/>
          </w:tcPr>
          <w:p w14:paraId="4F7EFC28"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8" w:type="dxa"/>
            <w:shd w:val="clear" w:color="000000" w:fill="FFFF00"/>
            <w:noWrap/>
            <w:vAlign w:val="center"/>
            <w:hideMark/>
          </w:tcPr>
          <w:p w14:paraId="559C5E60"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0</w:t>
            </w:r>
          </w:p>
        </w:tc>
        <w:tc>
          <w:tcPr>
            <w:tcW w:w="567" w:type="dxa"/>
            <w:shd w:val="clear" w:color="000000" w:fill="F8CBAD"/>
            <w:noWrap/>
            <w:vAlign w:val="center"/>
            <w:hideMark/>
          </w:tcPr>
          <w:p w14:paraId="6ADD6C87"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auto" w:fill="00B050"/>
            <w:noWrap/>
            <w:vAlign w:val="center"/>
            <w:hideMark/>
          </w:tcPr>
          <w:p w14:paraId="4B996736" w14:textId="2F27BF76"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709" w:type="dxa"/>
            <w:shd w:val="clear" w:color="000000" w:fill="F8CBAD"/>
            <w:noWrap/>
            <w:vAlign w:val="center"/>
            <w:hideMark/>
          </w:tcPr>
          <w:p w14:paraId="5719594F"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992" w:type="dxa"/>
            <w:shd w:val="clear" w:color="000000" w:fill="F8CBAD"/>
            <w:noWrap/>
            <w:vAlign w:val="center"/>
            <w:hideMark/>
          </w:tcPr>
          <w:p w14:paraId="02840B9D"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auto" w:fill="00B050"/>
            <w:noWrap/>
            <w:vAlign w:val="center"/>
            <w:hideMark/>
          </w:tcPr>
          <w:p w14:paraId="1EBE2655" w14:textId="558C5291"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709" w:type="dxa"/>
            <w:shd w:val="clear" w:color="000000" w:fill="F8CBAD"/>
            <w:noWrap/>
            <w:vAlign w:val="center"/>
            <w:hideMark/>
          </w:tcPr>
          <w:p w14:paraId="7FD1495E"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C6E0B4"/>
            <w:noWrap/>
            <w:vAlign w:val="center"/>
            <w:hideMark/>
          </w:tcPr>
          <w:p w14:paraId="1AF89EBA"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26" w:type="dxa"/>
            <w:shd w:val="clear" w:color="auto" w:fill="C6E0B4"/>
            <w:noWrap/>
            <w:vAlign w:val="center"/>
            <w:hideMark/>
          </w:tcPr>
          <w:p w14:paraId="77979918"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p w14:paraId="4EEDF78C" w14:textId="2E996D2A"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p>
        </w:tc>
        <w:tc>
          <w:tcPr>
            <w:tcW w:w="5244" w:type="dxa"/>
            <w:gridSpan w:val="2"/>
            <w:shd w:val="clear" w:color="auto" w:fill="auto"/>
            <w:vAlign w:val="center"/>
            <w:hideMark/>
          </w:tcPr>
          <w:p w14:paraId="1A3E959F" w14:textId="41B6CDFC" w:rsidR="007B576D" w:rsidRPr="007375EB" w:rsidRDefault="007B576D" w:rsidP="007B576D">
            <w:pPr>
              <w:spacing w:line="240" w:lineRule="auto"/>
              <w:contextualSpacing/>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Основното ландшафтно и визуално въздействие от прилагането на плана е промяната на селския ландшафт на района, характеризиращ се само със земеделско земеползване. Изграждането на вятърните турбини и свързаната с тях инфраструктура ще доведе до появата на видими строителни елементи, някои от които ще се виждат само от непосредствена близост, като например озеленените пътища и оградите на трафопостовете, а други, като силуетите на стълбовете и роторите на турбините, ще се виждат в по-голям, но все пак местен мащаб. Вятърните турбини могат да окажат дългосрочно визуално въздействие върху ландшафта, но това въздействие е сравнително незначително в сравнение с други форми на производство на енергия. Извеждането от експлоатация и възстановяването на земята в първоначалното ѝ състояние спомага за възстановяването на естествения ландшафт.</w:t>
            </w:r>
          </w:p>
        </w:tc>
      </w:tr>
      <w:tr w:rsidR="007B576D" w:rsidRPr="007375EB" w14:paraId="430FD3AF" w14:textId="77777777" w:rsidTr="002147B6">
        <w:trPr>
          <w:trHeight w:val="1605"/>
        </w:trPr>
        <w:tc>
          <w:tcPr>
            <w:tcW w:w="1573" w:type="dxa"/>
            <w:vMerge w:val="restart"/>
            <w:shd w:val="clear" w:color="auto" w:fill="auto"/>
            <w:vAlign w:val="center"/>
            <w:hideMark/>
          </w:tcPr>
          <w:p w14:paraId="12BFA21E" w14:textId="32D5C55F" w:rsidR="007B576D" w:rsidRPr="007375EB" w:rsidRDefault="007B576D" w:rsidP="007B576D">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Изменение на климата </w:t>
            </w:r>
          </w:p>
        </w:tc>
        <w:tc>
          <w:tcPr>
            <w:tcW w:w="2155" w:type="dxa"/>
            <w:shd w:val="clear" w:color="auto" w:fill="auto"/>
            <w:vAlign w:val="center"/>
            <w:hideMark/>
          </w:tcPr>
          <w:p w14:paraId="5CBB1AFC" w14:textId="2DEE96DB" w:rsidR="007B576D" w:rsidRPr="007375EB" w:rsidRDefault="007B576D" w:rsidP="007B576D">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OM13.</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Намаляване на емисиите на парникови газове от енергийния сектор</w:t>
            </w:r>
          </w:p>
        </w:tc>
        <w:tc>
          <w:tcPr>
            <w:tcW w:w="662" w:type="dxa"/>
            <w:shd w:val="clear" w:color="000000" w:fill="F8CBAD"/>
            <w:noWrap/>
            <w:vAlign w:val="center"/>
            <w:hideMark/>
          </w:tcPr>
          <w:p w14:paraId="11071755"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5816CCED"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7DC09103"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1134" w:type="dxa"/>
            <w:shd w:val="clear" w:color="000000" w:fill="F8CBAD"/>
            <w:noWrap/>
            <w:vAlign w:val="center"/>
            <w:hideMark/>
          </w:tcPr>
          <w:p w14:paraId="5F881606"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8" w:type="dxa"/>
            <w:shd w:val="clear" w:color="000000" w:fill="F8CBAD"/>
            <w:noWrap/>
            <w:vAlign w:val="center"/>
            <w:hideMark/>
          </w:tcPr>
          <w:p w14:paraId="02C1E0CA"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62D95B7B"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FFF00"/>
            <w:noWrap/>
            <w:vAlign w:val="center"/>
            <w:hideMark/>
          </w:tcPr>
          <w:p w14:paraId="47975D12"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709" w:type="dxa"/>
            <w:shd w:val="clear" w:color="000000" w:fill="F8CBAD"/>
            <w:noWrap/>
            <w:vAlign w:val="center"/>
            <w:hideMark/>
          </w:tcPr>
          <w:p w14:paraId="14DA4ECA"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67" w:type="dxa"/>
            <w:shd w:val="clear" w:color="000000" w:fill="00B050"/>
            <w:noWrap/>
            <w:vAlign w:val="center"/>
            <w:hideMark/>
          </w:tcPr>
          <w:p w14:paraId="160D474B"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708" w:type="dxa"/>
            <w:shd w:val="clear" w:color="000000" w:fill="00B050"/>
            <w:noWrap/>
            <w:vAlign w:val="center"/>
            <w:hideMark/>
          </w:tcPr>
          <w:p w14:paraId="1674CCA9"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2</w:t>
            </w:r>
          </w:p>
        </w:tc>
        <w:tc>
          <w:tcPr>
            <w:tcW w:w="567" w:type="dxa"/>
            <w:shd w:val="clear" w:color="000000" w:fill="F8CBAD"/>
            <w:noWrap/>
            <w:vAlign w:val="center"/>
            <w:hideMark/>
          </w:tcPr>
          <w:p w14:paraId="19DC1CA7"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2C44016B"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47F73C0A"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992" w:type="dxa"/>
            <w:shd w:val="clear" w:color="000000" w:fill="F8CBAD"/>
            <w:noWrap/>
            <w:vAlign w:val="center"/>
            <w:hideMark/>
          </w:tcPr>
          <w:p w14:paraId="72C72120"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67" w:type="dxa"/>
            <w:shd w:val="clear" w:color="000000" w:fill="F8CBAD"/>
            <w:noWrap/>
            <w:vAlign w:val="center"/>
            <w:hideMark/>
          </w:tcPr>
          <w:p w14:paraId="5C4EAC21"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8CBAD"/>
            <w:noWrap/>
            <w:vAlign w:val="center"/>
            <w:hideMark/>
          </w:tcPr>
          <w:p w14:paraId="512E5038"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709" w:type="dxa"/>
            <w:shd w:val="clear" w:color="000000" w:fill="FFFF00"/>
            <w:noWrap/>
            <w:vAlign w:val="center"/>
            <w:hideMark/>
          </w:tcPr>
          <w:p w14:paraId="78C85333" w14:textId="7777777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26" w:type="dxa"/>
            <w:shd w:val="clear" w:color="000000" w:fill="F8CBAD"/>
            <w:noWrap/>
            <w:vAlign w:val="center"/>
            <w:hideMark/>
          </w:tcPr>
          <w:p w14:paraId="382CCA15" w14:textId="77777777"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w:t>
            </w:r>
          </w:p>
        </w:tc>
        <w:tc>
          <w:tcPr>
            <w:tcW w:w="5244" w:type="dxa"/>
            <w:gridSpan w:val="2"/>
            <w:shd w:val="clear" w:color="auto" w:fill="auto"/>
            <w:vAlign w:val="center"/>
            <w:hideMark/>
          </w:tcPr>
          <w:p w14:paraId="29515987" w14:textId="01AF5A00" w:rsidR="007B576D" w:rsidRPr="007375EB" w:rsidRDefault="007B576D" w:rsidP="007B576D">
            <w:pPr>
              <w:spacing w:line="240" w:lineRule="auto"/>
              <w:contextualSpacing/>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 xml:space="preserve">По време на етапа на изпълнение на PUZ </w:t>
            </w:r>
            <w:r w:rsidRPr="007375EB">
              <w:rPr>
                <w:rFonts w:asciiTheme="minorHAnsi" w:eastAsia="Times New Roman" w:hAnsiTheme="minorHAnsi" w:cs="Calibri"/>
                <w:color w:val="000000"/>
                <w:sz w:val="16"/>
                <w:szCs w:val="16"/>
                <w:lang w:val="bg-BG" w:eastAsia="ro-RO"/>
              </w:rPr>
              <w:t>се генерират емисии на парникови газове, които биха могли да допринесат за явлението глобално затопляне, но предвид малките количества, влиянието е незначително. Във фазата на експлоатация вятърният парк допринася значително за намаляване на емисиите на ПГ, като замества еквивалентно количество електроенергия, произведена от изкопаеми горива, допринасяйки за декарбонизацията на енергийния сектор.</w:t>
            </w:r>
            <w:r w:rsidRPr="007375EB">
              <w:rPr>
                <w:rFonts w:asciiTheme="minorHAnsi" w:eastAsia="Times New Roman" w:hAnsiTheme="minorHAnsi" w:cs="Calibri"/>
                <w:i/>
                <w:iCs/>
                <w:color w:val="000000"/>
                <w:sz w:val="16"/>
                <w:szCs w:val="16"/>
                <w:lang w:val="bg-BG" w:eastAsia="ro-RO"/>
              </w:rPr>
              <w:t xml:space="preserve"> На етапа на извеждане от експлоатация </w:t>
            </w:r>
            <w:r w:rsidRPr="007375EB">
              <w:rPr>
                <w:rFonts w:asciiTheme="minorHAnsi" w:eastAsia="Times New Roman" w:hAnsiTheme="minorHAnsi" w:cs="Calibri"/>
                <w:color w:val="000000"/>
                <w:sz w:val="16"/>
                <w:szCs w:val="16"/>
                <w:lang w:val="bg-BG" w:eastAsia="ro-RO"/>
              </w:rPr>
              <w:t>въздействието е подобно на това на етапа на изграждане</w:t>
            </w:r>
            <w:r w:rsidRPr="007375EB">
              <w:rPr>
                <w:rFonts w:asciiTheme="minorHAnsi" w:eastAsia="Times New Roman" w:hAnsiTheme="minorHAnsi" w:cs="Calibri"/>
                <w:i/>
                <w:iCs/>
                <w:color w:val="000000"/>
                <w:sz w:val="16"/>
                <w:szCs w:val="16"/>
                <w:lang w:val="bg-BG" w:eastAsia="ro-RO"/>
              </w:rPr>
              <w:t>.</w:t>
            </w:r>
          </w:p>
        </w:tc>
      </w:tr>
      <w:tr w:rsidR="007B576D" w:rsidRPr="007375EB" w14:paraId="54BB92D1" w14:textId="77777777" w:rsidTr="002147B6">
        <w:trPr>
          <w:trHeight w:val="1260"/>
        </w:trPr>
        <w:tc>
          <w:tcPr>
            <w:tcW w:w="1573" w:type="dxa"/>
            <w:vMerge/>
            <w:vAlign w:val="center"/>
            <w:hideMark/>
          </w:tcPr>
          <w:p w14:paraId="5138AD73" w14:textId="77777777" w:rsidR="007B576D" w:rsidRPr="007375EB" w:rsidRDefault="007B576D" w:rsidP="007B576D">
            <w:pPr>
              <w:spacing w:line="240" w:lineRule="auto"/>
              <w:contextualSpacing/>
              <w:rPr>
                <w:rFonts w:asciiTheme="minorHAnsi" w:eastAsia="Times New Roman" w:hAnsiTheme="minorHAnsi" w:cs="Calibri"/>
                <w:b/>
                <w:bCs/>
                <w:color w:val="000000"/>
                <w:sz w:val="16"/>
                <w:szCs w:val="16"/>
                <w:lang w:val="bg-BG" w:eastAsia="ro-RO"/>
              </w:rPr>
            </w:pPr>
          </w:p>
        </w:tc>
        <w:tc>
          <w:tcPr>
            <w:tcW w:w="2155" w:type="dxa"/>
            <w:shd w:val="clear" w:color="auto" w:fill="auto"/>
            <w:vAlign w:val="center"/>
            <w:hideMark/>
          </w:tcPr>
          <w:p w14:paraId="0662FC8F" w14:textId="5E2A6220" w:rsidR="007B576D" w:rsidRPr="007375EB" w:rsidRDefault="007B576D" w:rsidP="007B576D">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OM14.</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Намаляване на рисковете от изменението на климата (адаптация)</w:t>
            </w:r>
          </w:p>
        </w:tc>
        <w:tc>
          <w:tcPr>
            <w:tcW w:w="662" w:type="dxa"/>
            <w:shd w:val="clear" w:color="auto" w:fill="FFFF00"/>
            <w:noWrap/>
            <w:vAlign w:val="center"/>
            <w:hideMark/>
          </w:tcPr>
          <w:p w14:paraId="1E7F9D05" w14:textId="0A1A72C0"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567" w:type="dxa"/>
            <w:shd w:val="clear" w:color="auto" w:fill="FFFF00"/>
            <w:noWrap/>
            <w:vAlign w:val="center"/>
            <w:hideMark/>
          </w:tcPr>
          <w:p w14:paraId="20B77C98" w14:textId="2745D480"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567" w:type="dxa"/>
            <w:shd w:val="clear" w:color="auto" w:fill="FFFF00"/>
            <w:noWrap/>
            <w:vAlign w:val="center"/>
            <w:hideMark/>
          </w:tcPr>
          <w:p w14:paraId="3A339A67" w14:textId="40CF3621"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1134" w:type="dxa"/>
            <w:shd w:val="clear" w:color="auto" w:fill="FFFF00"/>
            <w:noWrap/>
            <w:vAlign w:val="center"/>
            <w:hideMark/>
          </w:tcPr>
          <w:p w14:paraId="68B72A52" w14:textId="3D742EC1"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8" w:type="dxa"/>
            <w:shd w:val="clear" w:color="auto" w:fill="FFFF00"/>
            <w:noWrap/>
            <w:vAlign w:val="center"/>
            <w:hideMark/>
          </w:tcPr>
          <w:p w14:paraId="55DF81E0" w14:textId="06344105"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9" w:type="dxa"/>
            <w:shd w:val="clear" w:color="auto" w:fill="FFFF00"/>
            <w:noWrap/>
            <w:vAlign w:val="center"/>
            <w:hideMark/>
          </w:tcPr>
          <w:p w14:paraId="7A865267" w14:textId="62ABC0EA"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9" w:type="dxa"/>
            <w:shd w:val="clear" w:color="auto" w:fill="FFFF00"/>
            <w:noWrap/>
            <w:vAlign w:val="center"/>
            <w:hideMark/>
          </w:tcPr>
          <w:p w14:paraId="0E142611" w14:textId="1E4CD41C"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9" w:type="dxa"/>
            <w:shd w:val="clear" w:color="auto" w:fill="FFFF00"/>
            <w:noWrap/>
            <w:vAlign w:val="center"/>
            <w:hideMark/>
          </w:tcPr>
          <w:p w14:paraId="36051C57" w14:textId="230BC0BC"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hAnsiTheme="minorHAnsi" w:cs="Calibri"/>
                <w:b/>
                <w:bCs/>
                <w:color w:val="000000"/>
                <w:sz w:val="16"/>
                <w:szCs w:val="16"/>
                <w:lang w:val="bg-BG"/>
              </w:rPr>
              <w:t>0</w:t>
            </w:r>
          </w:p>
        </w:tc>
        <w:tc>
          <w:tcPr>
            <w:tcW w:w="567" w:type="dxa"/>
            <w:shd w:val="clear" w:color="000000" w:fill="00B050"/>
            <w:noWrap/>
            <w:vAlign w:val="center"/>
            <w:hideMark/>
          </w:tcPr>
          <w:p w14:paraId="7D1CF7FD" w14:textId="7E085EB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708" w:type="dxa"/>
            <w:shd w:val="clear" w:color="000000" w:fill="00B050"/>
            <w:noWrap/>
            <w:vAlign w:val="center"/>
            <w:hideMark/>
          </w:tcPr>
          <w:p w14:paraId="5B62A290" w14:textId="3BF01FAB"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hAnsiTheme="minorHAnsi" w:cs="Calibri"/>
                <w:b/>
                <w:bCs/>
                <w:color w:val="000000"/>
                <w:sz w:val="16"/>
                <w:szCs w:val="16"/>
                <w:lang w:val="bg-BG"/>
              </w:rPr>
              <w:t>2</w:t>
            </w:r>
          </w:p>
        </w:tc>
        <w:tc>
          <w:tcPr>
            <w:tcW w:w="567" w:type="dxa"/>
            <w:shd w:val="clear" w:color="000000" w:fill="FFFF00"/>
            <w:noWrap/>
            <w:vAlign w:val="center"/>
            <w:hideMark/>
          </w:tcPr>
          <w:p w14:paraId="72035FAD" w14:textId="24312AB1"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567" w:type="dxa"/>
            <w:shd w:val="clear" w:color="000000" w:fill="FFFF00"/>
            <w:noWrap/>
            <w:vAlign w:val="center"/>
            <w:hideMark/>
          </w:tcPr>
          <w:p w14:paraId="067A693C" w14:textId="576833DE"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9" w:type="dxa"/>
            <w:shd w:val="clear" w:color="000000" w:fill="FFFF00"/>
            <w:noWrap/>
            <w:vAlign w:val="center"/>
            <w:hideMark/>
          </w:tcPr>
          <w:p w14:paraId="2123E02A" w14:textId="730CED11"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992" w:type="dxa"/>
            <w:shd w:val="clear" w:color="000000" w:fill="FFFF00"/>
            <w:noWrap/>
            <w:vAlign w:val="center"/>
            <w:hideMark/>
          </w:tcPr>
          <w:p w14:paraId="785B7C07" w14:textId="6D7DDBE3"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567" w:type="dxa"/>
            <w:shd w:val="clear" w:color="000000" w:fill="FFFF00"/>
            <w:noWrap/>
            <w:vAlign w:val="center"/>
            <w:hideMark/>
          </w:tcPr>
          <w:p w14:paraId="68B21166" w14:textId="3C6A036B"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9" w:type="dxa"/>
            <w:shd w:val="clear" w:color="000000" w:fill="FFFF00"/>
            <w:noWrap/>
            <w:vAlign w:val="center"/>
            <w:hideMark/>
          </w:tcPr>
          <w:p w14:paraId="125275CF" w14:textId="2EF3294C"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9" w:type="dxa"/>
            <w:shd w:val="clear" w:color="000000" w:fill="FFFF00"/>
            <w:noWrap/>
            <w:vAlign w:val="center"/>
            <w:hideMark/>
          </w:tcPr>
          <w:p w14:paraId="007E546E" w14:textId="05ABC1A2"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26" w:type="dxa"/>
            <w:shd w:val="clear" w:color="000000" w:fill="FFFF00"/>
            <w:noWrap/>
            <w:vAlign w:val="center"/>
            <w:hideMark/>
          </w:tcPr>
          <w:p w14:paraId="0979A55B" w14:textId="35DED8F9"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hAnsiTheme="minorHAnsi" w:cs="Calibri"/>
                <w:b/>
                <w:bCs/>
                <w:color w:val="000000"/>
                <w:sz w:val="16"/>
                <w:szCs w:val="16"/>
                <w:lang w:val="bg-BG"/>
              </w:rPr>
              <w:t>0</w:t>
            </w:r>
          </w:p>
        </w:tc>
        <w:tc>
          <w:tcPr>
            <w:tcW w:w="5244" w:type="dxa"/>
            <w:gridSpan w:val="2"/>
            <w:shd w:val="clear" w:color="auto" w:fill="auto"/>
            <w:vAlign w:val="center"/>
            <w:hideMark/>
          </w:tcPr>
          <w:p w14:paraId="1AC939AD" w14:textId="414535C9" w:rsidR="007B576D" w:rsidRPr="007375EB" w:rsidRDefault="007B576D" w:rsidP="007B576D">
            <w:pPr>
              <w:spacing w:line="240" w:lineRule="auto"/>
              <w:contextualSpacing/>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Смята се, че предложението за PUZ</w:t>
            </w:r>
            <w:r w:rsidRPr="007375EB">
              <w:rPr>
                <w:rFonts w:asciiTheme="minorHAnsi" w:eastAsia="Times New Roman" w:hAnsiTheme="minorHAnsi" w:cs="Calibri"/>
                <w:i/>
                <w:iCs/>
                <w:color w:val="000000"/>
                <w:sz w:val="16"/>
                <w:szCs w:val="16"/>
                <w:lang w:val="bg-BG" w:eastAsia="ro-RO"/>
              </w:rPr>
              <w:t xml:space="preserve"> </w:t>
            </w:r>
            <w:r w:rsidRPr="007375EB">
              <w:rPr>
                <w:rFonts w:asciiTheme="minorHAnsi" w:eastAsia="Times New Roman" w:hAnsiTheme="minorHAnsi" w:cs="Calibri"/>
                <w:color w:val="000000"/>
                <w:sz w:val="16"/>
                <w:szCs w:val="16"/>
                <w:lang w:val="bg-BG" w:eastAsia="ro-RO"/>
              </w:rPr>
              <w:t>няма да увеличи уязвимостта на района към изменението на климата. Работите ще бъдат извършени в съответствие със специфичните разпоредби за проектиране и проучванията на място. Вятърният парк подпомага адаптирането на енергийния сектор към изменението на климата чрез производството на енергия от възобновяеми източници, което намалява зависимостта от изкопаеми горива.</w:t>
            </w:r>
          </w:p>
        </w:tc>
      </w:tr>
      <w:tr w:rsidR="007B576D" w:rsidRPr="007375EB" w14:paraId="4EBFAEE7" w14:textId="77777777" w:rsidTr="002147B6">
        <w:trPr>
          <w:trHeight w:val="645"/>
        </w:trPr>
        <w:tc>
          <w:tcPr>
            <w:tcW w:w="1573" w:type="dxa"/>
            <w:shd w:val="clear" w:color="auto" w:fill="auto"/>
            <w:vAlign w:val="center"/>
            <w:hideMark/>
          </w:tcPr>
          <w:p w14:paraId="3AFC31FB" w14:textId="604FAF5E" w:rsidR="007B576D" w:rsidRPr="007375EB" w:rsidRDefault="007B576D" w:rsidP="007B576D">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Културно наследство</w:t>
            </w:r>
          </w:p>
        </w:tc>
        <w:tc>
          <w:tcPr>
            <w:tcW w:w="2155" w:type="dxa"/>
            <w:shd w:val="clear" w:color="auto" w:fill="auto"/>
            <w:vAlign w:val="center"/>
            <w:hideMark/>
          </w:tcPr>
          <w:p w14:paraId="78164871" w14:textId="7AF62A83" w:rsidR="007B576D" w:rsidRPr="007375EB" w:rsidRDefault="007B576D" w:rsidP="007B576D">
            <w:pPr>
              <w:spacing w:line="240" w:lineRule="auto"/>
              <w:contextualSpacing/>
              <w:rPr>
                <w:rFonts w:asciiTheme="minorHAnsi" w:eastAsia="Times New Roman" w:hAnsiTheme="minorHAnsi" w:cs="Calibri"/>
                <w:b/>
                <w:bCs/>
                <w:color w:val="000000"/>
                <w:sz w:val="16"/>
                <w:szCs w:val="16"/>
                <w:lang w:val="bg-BG" w:eastAsia="ro-RO"/>
              </w:rPr>
            </w:pPr>
            <w:r w:rsidRPr="007375EB">
              <w:rPr>
                <w:rFonts w:eastAsia="Times New Roman" w:cs="Calibri"/>
                <w:b/>
                <w:bCs/>
                <w:color w:val="000000"/>
                <w:sz w:val="16"/>
                <w:szCs w:val="16"/>
                <w:lang w:val="bg-BG" w:eastAsia="ro-RO"/>
              </w:rPr>
              <w:t>OM15.</w:t>
            </w:r>
            <w:r w:rsidRPr="007375EB">
              <w:rPr>
                <w:rFonts w:ascii="Times New Roman" w:eastAsia="Times New Roman" w:hAnsi="Times New Roman" w:cs="Times New Roman"/>
                <w:b/>
                <w:bCs/>
                <w:color w:val="000000"/>
                <w:sz w:val="14"/>
                <w:szCs w:val="14"/>
                <w:lang w:val="bg-BG" w:eastAsia="ro-RO"/>
              </w:rPr>
              <w:t xml:space="preserve">    </w:t>
            </w:r>
            <w:r w:rsidRPr="007375EB">
              <w:rPr>
                <w:rFonts w:eastAsia="Times New Roman" w:cs="Calibri"/>
                <w:color w:val="000000"/>
                <w:sz w:val="16"/>
                <w:szCs w:val="16"/>
                <w:lang w:val="bg-BG" w:eastAsia="ro-RO"/>
              </w:rPr>
              <w:t>Защита и опазване на културното наследство</w:t>
            </w:r>
          </w:p>
        </w:tc>
        <w:tc>
          <w:tcPr>
            <w:tcW w:w="662" w:type="dxa"/>
            <w:shd w:val="clear" w:color="auto" w:fill="F8CBAD"/>
            <w:noWrap/>
            <w:vAlign w:val="center"/>
            <w:hideMark/>
          </w:tcPr>
          <w:p w14:paraId="09E6043A" w14:textId="786A515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shd w:val="clear" w:color="auto" w:fill="F8CBAD"/>
                <w:lang w:val="bg-BG"/>
              </w:rPr>
              <w:t>-1</w:t>
            </w:r>
          </w:p>
        </w:tc>
        <w:tc>
          <w:tcPr>
            <w:tcW w:w="567" w:type="dxa"/>
            <w:shd w:val="clear" w:color="000000" w:fill="FFFF00"/>
            <w:noWrap/>
            <w:vAlign w:val="center"/>
            <w:hideMark/>
          </w:tcPr>
          <w:p w14:paraId="583CCB35" w14:textId="4632B7EB"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567" w:type="dxa"/>
            <w:shd w:val="clear" w:color="000000" w:fill="FFFF00"/>
            <w:noWrap/>
            <w:vAlign w:val="center"/>
            <w:hideMark/>
          </w:tcPr>
          <w:p w14:paraId="2F4C9B8D" w14:textId="36905EB2"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1134" w:type="dxa"/>
            <w:shd w:val="clear" w:color="auto" w:fill="F8CBAD"/>
            <w:noWrap/>
            <w:vAlign w:val="center"/>
            <w:hideMark/>
          </w:tcPr>
          <w:p w14:paraId="28F84E42" w14:textId="624E22FF"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shd w:val="clear" w:color="auto" w:fill="F8CBAD"/>
                <w:lang w:val="bg-BG"/>
              </w:rPr>
              <w:t>-1</w:t>
            </w:r>
          </w:p>
        </w:tc>
        <w:tc>
          <w:tcPr>
            <w:tcW w:w="708" w:type="dxa"/>
            <w:shd w:val="clear" w:color="000000" w:fill="FFFF00"/>
            <w:noWrap/>
            <w:vAlign w:val="center"/>
            <w:hideMark/>
          </w:tcPr>
          <w:p w14:paraId="58DF123E" w14:textId="4D36BF3A"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9" w:type="dxa"/>
            <w:shd w:val="clear" w:color="000000" w:fill="FFFF00"/>
            <w:noWrap/>
            <w:vAlign w:val="center"/>
            <w:hideMark/>
          </w:tcPr>
          <w:p w14:paraId="00CBAD51" w14:textId="2E9DCAEA"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9" w:type="dxa"/>
            <w:shd w:val="clear" w:color="000000" w:fill="FFFF00"/>
            <w:noWrap/>
            <w:vAlign w:val="center"/>
            <w:hideMark/>
          </w:tcPr>
          <w:p w14:paraId="20C4B945" w14:textId="65EC9749"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9" w:type="dxa"/>
            <w:shd w:val="clear" w:color="auto" w:fill="F8CBAD"/>
            <w:noWrap/>
            <w:vAlign w:val="center"/>
            <w:hideMark/>
          </w:tcPr>
          <w:p w14:paraId="3604526D" w14:textId="5B848C35"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hAnsiTheme="minorHAnsi" w:cs="Calibri"/>
                <w:b/>
                <w:bCs/>
                <w:color w:val="000000"/>
                <w:sz w:val="16"/>
                <w:szCs w:val="16"/>
                <w:shd w:val="clear" w:color="auto" w:fill="F8CBAD"/>
                <w:lang w:val="bg-BG"/>
              </w:rPr>
              <w:t>-1</w:t>
            </w:r>
          </w:p>
        </w:tc>
        <w:tc>
          <w:tcPr>
            <w:tcW w:w="567" w:type="dxa"/>
            <w:shd w:val="clear" w:color="000000" w:fill="FFFF00"/>
            <w:noWrap/>
            <w:vAlign w:val="center"/>
            <w:hideMark/>
          </w:tcPr>
          <w:p w14:paraId="5EDAF414" w14:textId="31BB1A91"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8" w:type="dxa"/>
            <w:shd w:val="clear" w:color="000000" w:fill="FFFF00"/>
            <w:noWrap/>
            <w:vAlign w:val="center"/>
            <w:hideMark/>
          </w:tcPr>
          <w:p w14:paraId="10D28892" w14:textId="28A5B6F6"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hAnsiTheme="minorHAnsi" w:cs="Calibri"/>
                <w:b/>
                <w:bCs/>
                <w:color w:val="000000"/>
                <w:sz w:val="16"/>
                <w:szCs w:val="16"/>
                <w:lang w:val="bg-BG"/>
              </w:rPr>
              <w:t>0</w:t>
            </w:r>
          </w:p>
        </w:tc>
        <w:tc>
          <w:tcPr>
            <w:tcW w:w="567" w:type="dxa"/>
            <w:shd w:val="clear" w:color="000000" w:fill="FFFF00"/>
            <w:noWrap/>
            <w:vAlign w:val="center"/>
            <w:hideMark/>
          </w:tcPr>
          <w:p w14:paraId="77CE12B1" w14:textId="64C8D1F7"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567" w:type="dxa"/>
            <w:shd w:val="clear" w:color="000000" w:fill="FFFF00"/>
            <w:noWrap/>
            <w:vAlign w:val="center"/>
            <w:hideMark/>
          </w:tcPr>
          <w:p w14:paraId="37AFFF58" w14:textId="37600531"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9" w:type="dxa"/>
            <w:shd w:val="clear" w:color="000000" w:fill="FFFF00"/>
            <w:noWrap/>
            <w:vAlign w:val="center"/>
            <w:hideMark/>
          </w:tcPr>
          <w:p w14:paraId="75E3B44C" w14:textId="0A65D8CA"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992" w:type="dxa"/>
            <w:shd w:val="clear" w:color="auto" w:fill="F8CBAD"/>
            <w:noWrap/>
            <w:vAlign w:val="center"/>
            <w:hideMark/>
          </w:tcPr>
          <w:p w14:paraId="3B88C5F0" w14:textId="5AD512F1"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shd w:val="clear" w:color="auto" w:fill="F8CBAD"/>
                <w:lang w:val="bg-BG"/>
              </w:rPr>
              <w:t>-1</w:t>
            </w:r>
          </w:p>
        </w:tc>
        <w:tc>
          <w:tcPr>
            <w:tcW w:w="567" w:type="dxa"/>
            <w:shd w:val="clear" w:color="000000" w:fill="FFFF00"/>
            <w:noWrap/>
            <w:vAlign w:val="center"/>
            <w:hideMark/>
          </w:tcPr>
          <w:p w14:paraId="091E6B9F" w14:textId="4E63F68A"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709" w:type="dxa"/>
            <w:shd w:val="clear" w:color="auto" w:fill="F8CBAD"/>
            <w:noWrap/>
            <w:vAlign w:val="center"/>
            <w:hideMark/>
          </w:tcPr>
          <w:p w14:paraId="6F1367A9" w14:textId="56643205"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shd w:val="clear" w:color="auto" w:fill="F8CBAD"/>
                <w:lang w:val="bg-BG"/>
              </w:rPr>
              <w:t>-1</w:t>
            </w:r>
          </w:p>
        </w:tc>
        <w:tc>
          <w:tcPr>
            <w:tcW w:w="709" w:type="dxa"/>
            <w:shd w:val="clear" w:color="000000" w:fill="FFFF00"/>
            <w:noWrap/>
            <w:vAlign w:val="center"/>
            <w:hideMark/>
          </w:tcPr>
          <w:p w14:paraId="567CA160" w14:textId="1236351E" w:rsidR="007B576D" w:rsidRPr="007375EB" w:rsidRDefault="007B576D" w:rsidP="007B576D">
            <w:pPr>
              <w:spacing w:line="240" w:lineRule="auto"/>
              <w:contextualSpacing/>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26" w:type="dxa"/>
            <w:shd w:val="clear" w:color="auto" w:fill="F8CBAD"/>
            <w:noWrap/>
            <w:vAlign w:val="center"/>
            <w:hideMark/>
          </w:tcPr>
          <w:p w14:paraId="0647B7C5" w14:textId="59FE40FA" w:rsidR="007B576D" w:rsidRPr="007375EB" w:rsidRDefault="007B576D" w:rsidP="007B576D">
            <w:pPr>
              <w:spacing w:line="240" w:lineRule="auto"/>
              <w:contextualSpacing/>
              <w:jc w:val="center"/>
              <w:rPr>
                <w:rFonts w:asciiTheme="minorHAnsi" w:eastAsia="Times New Roman" w:hAnsiTheme="minorHAnsi" w:cs="Calibri"/>
                <w:b/>
                <w:bCs/>
                <w:color w:val="000000"/>
                <w:sz w:val="16"/>
                <w:szCs w:val="16"/>
                <w:lang w:val="bg-BG" w:eastAsia="ro-RO"/>
              </w:rPr>
            </w:pPr>
            <w:r w:rsidRPr="007375EB">
              <w:rPr>
                <w:rFonts w:asciiTheme="minorHAnsi" w:hAnsiTheme="minorHAnsi" w:cs="Calibri"/>
                <w:b/>
                <w:bCs/>
                <w:color w:val="000000"/>
                <w:sz w:val="16"/>
                <w:szCs w:val="16"/>
                <w:lang w:val="bg-BG"/>
              </w:rPr>
              <w:t>-</w:t>
            </w:r>
            <w:r w:rsidRPr="007375EB">
              <w:rPr>
                <w:rFonts w:asciiTheme="minorHAnsi" w:hAnsiTheme="minorHAnsi" w:cs="Calibri"/>
                <w:b/>
                <w:bCs/>
                <w:color w:val="000000"/>
                <w:sz w:val="16"/>
                <w:szCs w:val="16"/>
                <w:shd w:val="clear" w:color="auto" w:fill="F8CBAD"/>
                <w:lang w:val="bg-BG"/>
              </w:rPr>
              <w:t>1</w:t>
            </w:r>
          </w:p>
        </w:tc>
        <w:tc>
          <w:tcPr>
            <w:tcW w:w="5244" w:type="dxa"/>
            <w:gridSpan w:val="2"/>
            <w:shd w:val="clear" w:color="auto" w:fill="auto"/>
            <w:vAlign w:val="center"/>
            <w:hideMark/>
          </w:tcPr>
          <w:p w14:paraId="0861B685" w14:textId="3CE66089" w:rsidR="007B576D" w:rsidRPr="007375EB" w:rsidRDefault="007B576D" w:rsidP="007B576D">
            <w:pPr>
              <w:spacing w:line="240" w:lineRule="auto"/>
              <w:contextualSpacing/>
              <w:jc w:val="both"/>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i/>
                <w:iCs/>
                <w:color w:val="000000"/>
                <w:sz w:val="16"/>
                <w:szCs w:val="16"/>
                <w:lang w:val="bg-BG" w:eastAsia="ro-RO"/>
              </w:rPr>
              <w:t>По време на етапа на изпълнение и извеждане от експлоатация на работите</w:t>
            </w:r>
            <w:r w:rsidRPr="007375EB">
              <w:rPr>
                <w:rFonts w:asciiTheme="minorHAnsi" w:eastAsia="Times New Roman" w:hAnsiTheme="minorHAnsi" w:cs="Calibri"/>
                <w:color w:val="000000"/>
                <w:sz w:val="16"/>
                <w:szCs w:val="16"/>
                <w:lang w:val="bg-BG" w:eastAsia="ro-RO"/>
              </w:rPr>
              <w:t>, предвидени в PUZ, въздействието върху обектите на културното наследство и тези в археологическия регистър се оценява като незначително отрицателно, като се има предвид, че площадката на турбините е разположена извън урбанизираната територия на населените места в района на изпълнение на PUZ, а най-близкият обект е Tumulul de la Căscioarele Movila Bacu, на разстояние около 636 м от T27 и около 1 км от T30. Каструмът на легионерите се намира на около 742,26 м от турбината T27. Не се очаква въздействие върху обектите на културното наследство по време на експлоатационната фаза на вятърните паркове.</w:t>
            </w:r>
          </w:p>
        </w:tc>
      </w:tr>
    </w:tbl>
    <w:p w14:paraId="1D11D0D0" w14:textId="77777777" w:rsidR="00600E64" w:rsidRPr="007375EB" w:rsidRDefault="00600E64" w:rsidP="006E5B3F">
      <w:pPr>
        <w:spacing w:after="120" w:line="360" w:lineRule="auto"/>
        <w:jc w:val="both"/>
        <w:rPr>
          <w:lang w:val="bg-BG" w:eastAsia="ro-RO"/>
        </w:rPr>
      </w:pPr>
    </w:p>
    <w:p w14:paraId="6B5B6453" w14:textId="77777777" w:rsidR="00F33484" w:rsidRPr="007375EB" w:rsidRDefault="00F33484" w:rsidP="006E5B3F">
      <w:pPr>
        <w:spacing w:after="120" w:line="360" w:lineRule="auto"/>
        <w:jc w:val="both"/>
        <w:rPr>
          <w:lang w:val="bg-BG" w:eastAsia="ro-RO"/>
        </w:rPr>
        <w:sectPr w:rsidR="00F33484" w:rsidRPr="007375EB" w:rsidSect="005A415A">
          <w:pgSz w:w="23811" w:h="16838" w:orient="landscape" w:code="8"/>
          <w:pgMar w:top="1191" w:right="2013" w:bottom="1416" w:left="1276" w:header="839" w:footer="680" w:gutter="0"/>
          <w:cols w:space="708"/>
          <w:docGrid w:linePitch="360"/>
        </w:sectPr>
      </w:pPr>
    </w:p>
    <w:p w14:paraId="79CDFDC8" w14:textId="1F28B90E" w:rsidR="00A17F8B" w:rsidRPr="007375EB" w:rsidRDefault="00591B34" w:rsidP="007B3E92">
      <w:pPr>
        <w:pStyle w:val="ListParagraph"/>
        <w:numPr>
          <w:ilvl w:val="1"/>
          <w:numId w:val="77"/>
        </w:numPr>
        <w:spacing w:after="120" w:line="360" w:lineRule="auto"/>
        <w:outlineLvl w:val="1"/>
        <w:rPr>
          <w:b/>
          <w:i/>
          <w:color w:val="009DF0"/>
          <w:lang w:val="bg-BG" w:eastAsia="ro-RO"/>
        </w:rPr>
      </w:pPr>
      <w:bookmarkStart w:id="37" w:name="_Toc159320542"/>
      <w:bookmarkStart w:id="38" w:name="_Toc167697420"/>
      <w:r w:rsidRPr="007375EB">
        <w:rPr>
          <w:b/>
          <w:i/>
          <w:color w:val="009DF0"/>
          <w:lang w:val="bg-BG" w:eastAsia="ro-RO"/>
        </w:rPr>
        <w:lastRenderedPageBreak/>
        <w:t>Оценка на кумулативното въздействие на предложената PUZ с други съществуващи или предложени ПП</w:t>
      </w:r>
    </w:p>
    <w:p w14:paraId="6B2868B3" w14:textId="391FFF38" w:rsidR="007B576D" w:rsidRPr="007375EB" w:rsidRDefault="00591B34" w:rsidP="007B576D">
      <w:pPr>
        <w:spacing w:after="120" w:line="360" w:lineRule="auto"/>
        <w:jc w:val="both"/>
        <w:rPr>
          <w:lang w:val="bg-BG"/>
        </w:rPr>
      </w:pPr>
      <w:r w:rsidRPr="007375EB">
        <w:rPr>
          <w:lang w:val="bg-BG"/>
        </w:rPr>
        <w:t>С оглед на оценката на кумулативното въздействие върху околната среда и защитените природни територии на плана за урбанистично развитие на зона „Парк за вятърна енергия 48 (46) ЕЦ, трансформаторни станции, мрежи за електроснабдяване, изграждане и модернизация на комуникационни пътища и пътища за достъп“, предложен да бъде разположен в Черкезу, окръг Констанца, компетентният орган за опазване на околната среда Констанца беше помолен с писмо № 37 /10.05.2024 за информация относно одобрените/одобрените в периода 2020-2024 г. проекти и планове/стратегии, както и тези, които са в процес на одобрение на територията на Черкезу и съседните населени места (Мъгура, Късчоареле, Вироага, Кирногени, Негру Вода, Олтени, Думбръвени, Индепенденца, Плопени), оператори, извършващи дейности на административната територия на Черкезу</w:t>
      </w:r>
      <w:r w:rsidR="007B576D" w:rsidRPr="007375EB">
        <w:rPr>
          <w:lang w:val="bg-BG"/>
        </w:rPr>
        <w:t>, одобрените/ утвърдените/ предстоящите за одобрение проекти и планове/стратегии, разположени в района на защитените територии в зоната на влияние на PUZ: ROSAC0071 (ROSCI0071), ROSPA0036, ROSPA0166, ROSPA0166, ROSPA0094, ROSAC0157 (ROSCI0157), данни за местоположението на проектите/плановете спрямо границите на тези защитени територии и заеманите от тях площи в рамките на защитените територии и др.</w:t>
      </w:r>
    </w:p>
    <w:p w14:paraId="3186D65B" w14:textId="39A6DC46" w:rsidR="007B576D" w:rsidRPr="007375EB" w:rsidRDefault="007B576D" w:rsidP="007B576D">
      <w:pPr>
        <w:spacing w:after="120" w:line="360" w:lineRule="auto"/>
        <w:jc w:val="both"/>
        <w:rPr>
          <w:lang w:val="bg-BG"/>
        </w:rPr>
      </w:pPr>
      <w:r w:rsidRPr="007375EB">
        <w:rPr>
          <w:lang w:val="bg-BG"/>
        </w:rPr>
        <w:t>С писмо № 5836/ 12.06.2024 г. на APM Constanta бяха представени проектите/плановете в процедура по екологична оценка/финализирани, за които е установено, че попадат в зоната на влияние на PUZ.</w:t>
      </w:r>
    </w:p>
    <w:p w14:paraId="425CAF60" w14:textId="7B405927" w:rsidR="007B3E92" w:rsidRPr="007375EB" w:rsidRDefault="007B576D" w:rsidP="007B576D">
      <w:pPr>
        <w:spacing w:after="120" w:line="360" w:lineRule="auto"/>
        <w:jc w:val="both"/>
        <w:rPr>
          <w:lang w:val="bg-BG"/>
        </w:rPr>
      </w:pPr>
      <w:r w:rsidRPr="007375EB">
        <w:rPr>
          <w:lang w:val="bg-BG"/>
        </w:rPr>
        <w:t>Според наличната информация в съседство с предложения ветроенергиен парк, както на територията на Румъния, така и на България, се намират следните съществуващи/предложени проекти (вж. Фигура 6-1)</w:t>
      </w:r>
      <w:r w:rsidR="005E1578" w:rsidRPr="007375EB">
        <w:rPr>
          <w:lang w:val="bg-BG"/>
        </w:rPr>
        <w:t>:</w:t>
      </w:r>
    </w:p>
    <w:p w14:paraId="74D96DF1" w14:textId="16E76A48" w:rsidR="00180A01" w:rsidRPr="007375EB" w:rsidRDefault="007B576D" w:rsidP="00180A01">
      <w:pPr>
        <w:pStyle w:val="ListParagraph"/>
        <w:numPr>
          <w:ilvl w:val="0"/>
          <w:numId w:val="87"/>
        </w:numPr>
        <w:spacing w:line="360" w:lineRule="auto"/>
        <w:jc w:val="both"/>
        <w:rPr>
          <w:b/>
          <w:bCs/>
          <w:i/>
          <w:iCs/>
          <w:lang w:val="bg-BG" w:eastAsia="ro-RO"/>
        </w:rPr>
      </w:pPr>
      <w:r w:rsidRPr="007375EB">
        <w:rPr>
          <w:b/>
          <w:bCs/>
          <w:i/>
          <w:iCs/>
          <w:lang w:val="bg-BG" w:eastAsia="ro-RO"/>
        </w:rPr>
        <w:t>Съществуващи</w:t>
      </w:r>
      <w:r w:rsidR="00FB6183" w:rsidRPr="007375EB">
        <w:rPr>
          <w:b/>
          <w:bCs/>
          <w:i/>
          <w:iCs/>
          <w:lang w:val="bg-BG" w:eastAsia="ro-RO"/>
        </w:rPr>
        <w:t>:</w:t>
      </w:r>
    </w:p>
    <w:p w14:paraId="2EC34D75" w14:textId="58069AA2" w:rsidR="007B576D" w:rsidRPr="007375EB" w:rsidRDefault="00106DB7" w:rsidP="00EA45B2">
      <w:pPr>
        <w:pStyle w:val="ListParagraph"/>
        <w:numPr>
          <w:ilvl w:val="1"/>
          <w:numId w:val="87"/>
        </w:numPr>
        <w:spacing w:line="360" w:lineRule="auto"/>
        <w:jc w:val="both"/>
        <w:rPr>
          <w:lang w:val="bg-BG" w:eastAsia="ro-RO"/>
        </w:rPr>
      </w:pPr>
      <w:r w:rsidRPr="007375EB">
        <w:rPr>
          <w:lang w:val="bg-BG" w:eastAsia="ro-RO"/>
        </w:rPr>
        <w:t>”</w:t>
      </w:r>
      <w:sdt>
        <w:sdtPr>
          <w:rPr>
            <w:i/>
            <w:iCs/>
            <w:lang w:val="bg-BG"/>
          </w:rPr>
          <w:alias w:val="Category"/>
          <w:id w:val="1480808830"/>
          <w:placeholder>
            <w:docPart w:val="7B9768A07B524AAF9ED8E75567303784"/>
          </w:placeholder>
          <w:dataBinding w:prefixMappings="xmlns:ns0='http://purl.org/dc/elements/1.1/' xmlns:ns1='http://schemas.openxmlformats.org/package/2006/metadata/core-properties' " w:xpath="/ns1:coreProperties[1]/ns1:category[1]" w:storeItemID="{6C3C8BC8-F283-45AE-878A-BAB7291924A1}"/>
          <w:text/>
        </w:sdtPr>
        <w:sdtContent>
          <w:r w:rsidR="007B576D" w:rsidRPr="007375EB">
            <w:rPr>
              <w:i/>
              <w:iCs/>
              <w:lang w:val="bg-BG"/>
            </w:rPr>
            <w:t>Парк за вятърна енергия 48 (46) Вятърни електроцентрали прибл. 316.8МВт (303.6МВт), Трансформаторни станции, Електрически мрежи, изграждане и модернизация на комуникационни и достъпни пътища</w:t>
          </w:r>
        </w:sdtContent>
      </w:sdt>
      <w:r w:rsidRPr="007375EB">
        <w:rPr>
          <w:lang w:val="bg-BG" w:eastAsia="ro-RO"/>
        </w:rPr>
        <w:t>”</w:t>
      </w:r>
      <w:r w:rsidR="0084017C" w:rsidRPr="007375EB">
        <w:rPr>
          <w:lang w:val="bg-BG" w:eastAsia="ro-RO"/>
        </w:rPr>
        <w:t xml:space="preserve">, </w:t>
      </w:r>
      <w:r w:rsidR="007B576D" w:rsidRPr="007375EB">
        <w:rPr>
          <w:lang w:val="bg-BG" w:eastAsia="ro-RO"/>
        </w:rPr>
        <w:t xml:space="preserve">намира се в общините Кирногени и Индепенденца. Разстоянието между предложената вятърна електроцентрала и съществуващата вятърна електроцентрала е приблизително 1,5 </w:t>
      </w:r>
      <w:r w:rsidR="0034375E" w:rsidRPr="007375EB">
        <w:rPr>
          <w:lang w:val="bg-BG" w:eastAsia="ro-RO"/>
        </w:rPr>
        <w:t>км</w:t>
      </w:r>
      <w:r w:rsidR="007B576D" w:rsidRPr="007375EB">
        <w:rPr>
          <w:lang w:val="bg-BG" w:eastAsia="ro-RO"/>
        </w:rPr>
        <w:t xml:space="preserve"> (разстоянието между предложената турбина Т24 и съществуващата Т1).</w:t>
      </w:r>
    </w:p>
    <w:p w14:paraId="5049E8C3" w14:textId="06E71A4D" w:rsidR="000426F8" w:rsidRPr="007375EB" w:rsidRDefault="007B576D" w:rsidP="00EA45B2">
      <w:pPr>
        <w:pStyle w:val="ListParagraph"/>
        <w:numPr>
          <w:ilvl w:val="1"/>
          <w:numId w:val="87"/>
        </w:numPr>
        <w:spacing w:line="360" w:lineRule="auto"/>
        <w:jc w:val="both"/>
        <w:rPr>
          <w:lang w:val="bg-BG" w:eastAsia="ro-RO"/>
        </w:rPr>
      </w:pPr>
      <w:r w:rsidRPr="007375EB">
        <w:rPr>
          <w:lang w:val="bg-BG" w:eastAsia="ro-RO"/>
        </w:rPr>
        <w:t>Вятърен парк на територията на България, на разстояние 5,6 км от предложения проект (разстоянието между предложената турбина Т3 и съществуващата турбина Т6</w:t>
      </w:r>
      <w:r w:rsidR="00740FF5" w:rsidRPr="007375EB">
        <w:rPr>
          <w:lang w:val="bg-BG" w:eastAsia="ro-RO"/>
        </w:rPr>
        <w:t>).</w:t>
      </w:r>
    </w:p>
    <w:p w14:paraId="0630ABFE" w14:textId="3EC9B4AD" w:rsidR="00FB6183" w:rsidRPr="007375EB" w:rsidRDefault="007B576D" w:rsidP="00FB6183">
      <w:pPr>
        <w:pStyle w:val="ListParagraph"/>
        <w:numPr>
          <w:ilvl w:val="0"/>
          <w:numId w:val="87"/>
        </w:numPr>
        <w:spacing w:line="360" w:lineRule="auto"/>
        <w:jc w:val="both"/>
        <w:rPr>
          <w:b/>
          <w:bCs/>
          <w:i/>
          <w:iCs/>
          <w:lang w:val="bg-BG" w:eastAsia="ro-RO"/>
        </w:rPr>
      </w:pPr>
      <w:r w:rsidRPr="007375EB">
        <w:rPr>
          <w:b/>
          <w:bCs/>
          <w:i/>
          <w:iCs/>
          <w:lang w:val="bg-BG" w:eastAsia="ro-RO"/>
        </w:rPr>
        <w:t>Предложени</w:t>
      </w:r>
      <w:r w:rsidR="00FB6183" w:rsidRPr="007375EB">
        <w:rPr>
          <w:b/>
          <w:bCs/>
          <w:i/>
          <w:iCs/>
          <w:lang w:val="bg-BG" w:eastAsia="ro-RO"/>
        </w:rPr>
        <w:t>:</w:t>
      </w:r>
    </w:p>
    <w:p w14:paraId="4CD5AD5C" w14:textId="5694FADC" w:rsidR="00EA45B2" w:rsidRPr="007375EB" w:rsidRDefault="00EA45B2" w:rsidP="00EA45B2">
      <w:pPr>
        <w:pStyle w:val="ListParagraph"/>
        <w:numPr>
          <w:ilvl w:val="1"/>
          <w:numId w:val="87"/>
        </w:numPr>
        <w:spacing w:line="360" w:lineRule="auto"/>
        <w:jc w:val="both"/>
        <w:rPr>
          <w:lang w:val="bg-BG" w:eastAsia="ro-RO"/>
        </w:rPr>
      </w:pPr>
      <w:r w:rsidRPr="007375EB">
        <w:rPr>
          <w:lang w:val="bg-BG" w:eastAsia="ro-RO"/>
        </w:rPr>
        <w:t xml:space="preserve">Парк за вятърна енергия 14 CE-92,4 МВт, трансформаторна станция, електрически свързващи мрежи, изграждане и модернизация на комуникации и пътища за достъп – Фънтъна Маре, община Индепенденца, окръг Констанца </w:t>
      </w:r>
    </w:p>
    <w:p w14:paraId="148BA574" w14:textId="0FB8C85A" w:rsidR="009D4C13" w:rsidRPr="007375EB" w:rsidRDefault="00EA45B2" w:rsidP="00EA45B2">
      <w:pPr>
        <w:pStyle w:val="ListParagraph"/>
        <w:numPr>
          <w:ilvl w:val="1"/>
          <w:numId w:val="87"/>
        </w:numPr>
        <w:spacing w:line="360" w:lineRule="auto"/>
        <w:jc w:val="both"/>
        <w:rPr>
          <w:lang w:val="bg-BG" w:eastAsia="ro-RO"/>
        </w:rPr>
      </w:pPr>
      <w:r w:rsidRPr="007375EB">
        <w:rPr>
          <w:lang w:val="bg-BG" w:eastAsia="ro-RO"/>
        </w:rPr>
        <w:t>Парк за вятърна енергия 17 CE-112,2 МВт, трансформаторна станция, електрически свързващи мрежи, изграждане и модернизация на комуникации и пътища за достъп - общини Индепенденца и Черкезу, окръг Констанца</w:t>
      </w:r>
    </w:p>
    <w:p w14:paraId="5A0E1CB1" w14:textId="490A2061" w:rsidR="00CE303A" w:rsidRPr="007375EB" w:rsidRDefault="00CE303A" w:rsidP="00CE303A">
      <w:pPr>
        <w:pStyle w:val="ListParagraph"/>
        <w:numPr>
          <w:ilvl w:val="1"/>
          <w:numId w:val="87"/>
        </w:numPr>
        <w:spacing w:line="360" w:lineRule="auto"/>
        <w:jc w:val="both"/>
        <w:rPr>
          <w:lang w:val="bg-BG" w:eastAsia="ro-RO"/>
        </w:rPr>
      </w:pPr>
      <w:r w:rsidRPr="007375EB">
        <w:rPr>
          <w:lang w:val="bg-BG" w:eastAsia="ro-RO"/>
        </w:rPr>
        <w:lastRenderedPageBreak/>
        <w:t xml:space="preserve">Ветропарк Комана - Печинеага - трасе за подземен електрически кабел MV и оптична мрежа </w:t>
      </w:r>
    </w:p>
    <w:p w14:paraId="6A6F8CBD" w14:textId="2555EE6B" w:rsidR="00CE303A" w:rsidRPr="007375EB" w:rsidRDefault="00CE303A" w:rsidP="00CE303A">
      <w:pPr>
        <w:pStyle w:val="ListParagraph"/>
        <w:numPr>
          <w:ilvl w:val="1"/>
          <w:numId w:val="87"/>
        </w:numPr>
        <w:spacing w:line="360" w:lineRule="auto"/>
        <w:jc w:val="both"/>
        <w:rPr>
          <w:lang w:val="bg-BG" w:eastAsia="ro-RO"/>
        </w:rPr>
      </w:pPr>
      <w:r w:rsidRPr="007375EB">
        <w:rPr>
          <w:lang w:val="bg-BG" w:eastAsia="ro-RO"/>
        </w:rPr>
        <w:t xml:space="preserve">Изграждане на вятърна електроцентрала, включваща: вятърни турбини, пътища за достъп и платформи за монтаж/поддръжка, електрически трансформаторен пост (собствен), електрическа мрежа средно и високо напрежение, телекомуникационна мрежа, община Индепенденца, окръг Констанца  </w:t>
      </w:r>
    </w:p>
    <w:p w14:paraId="547711B7" w14:textId="1065FB0B" w:rsidR="00CE303A" w:rsidRPr="007375EB" w:rsidRDefault="00CE303A" w:rsidP="00CE303A">
      <w:pPr>
        <w:pStyle w:val="ListParagraph"/>
        <w:numPr>
          <w:ilvl w:val="1"/>
          <w:numId w:val="87"/>
        </w:numPr>
        <w:spacing w:line="360" w:lineRule="auto"/>
        <w:jc w:val="both"/>
        <w:rPr>
          <w:lang w:val="bg-BG" w:eastAsia="ro-RO"/>
        </w:rPr>
      </w:pPr>
      <w:r w:rsidRPr="007375EB">
        <w:rPr>
          <w:lang w:val="bg-BG" w:eastAsia="ro-RO"/>
        </w:rPr>
        <w:t>Събаряне на съществуващи сгради и изграждане на фотоволтаична електроцентрала 3,212 Мвт, свързване към SEN, инсталиране на PC и PTAB, вътрешен път и достъп, ограждане на площадката и организация на строителната площадка, разположена в община Индепенденца</w:t>
      </w:r>
    </w:p>
    <w:p w14:paraId="76EF7843" w14:textId="01DAC564" w:rsidR="00CE303A" w:rsidRPr="007375EB" w:rsidRDefault="00CE303A" w:rsidP="00CE303A">
      <w:pPr>
        <w:pStyle w:val="ListParagraph"/>
        <w:numPr>
          <w:ilvl w:val="1"/>
          <w:numId w:val="87"/>
        </w:numPr>
        <w:spacing w:line="360" w:lineRule="auto"/>
        <w:jc w:val="both"/>
        <w:rPr>
          <w:lang w:val="bg-BG" w:eastAsia="ro-RO"/>
        </w:rPr>
      </w:pPr>
      <w:r w:rsidRPr="007375EB">
        <w:rPr>
          <w:lang w:val="bg-BG" w:eastAsia="ro-RO"/>
        </w:rPr>
        <w:t>Изграждане на подземна оптична мрежа за електронни съобщителни услуги в окръг Констанца, община Индепенденца, Думбръвени (предложено)</w:t>
      </w:r>
    </w:p>
    <w:p w14:paraId="4F6ADF4F" w14:textId="009B50D9" w:rsidR="009D4C13" w:rsidRPr="007375EB" w:rsidRDefault="00CE303A" w:rsidP="00CE303A">
      <w:pPr>
        <w:pStyle w:val="ListParagraph"/>
        <w:numPr>
          <w:ilvl w:val="1"/>
          <w:numId w:val="87"/>
        </w:numPr>
        <w:spacing w:line="360" w:lineRule="auto"/>
        <w:jc w:val="both"/>
        <w:rPr>
          <w:lang w:val="bg-BG" w:eastAsia="ro-RO"/>
        </w:rPr>
      </w:pPr>
      <w:r w:rsidRPr="007375EB">
        <w:rPr>
          <w:lang w:val="bg-BG" w:eastAsia="ro-RO"/>
        </w:rPr>
        <w:t>Изграждане на подземна оптична мрежа за електронни съобщителни услуги, община Негру Вода (предложено)</w:t>
      </w:r>
    </w:p>
    <w:p w14:paraId="6308530E" w14:textId="3B4514AB" w:rsidR="00CE303A" w:rsidRPr="007375EB" w:rsidRDefault="00CE303A" w:rsidP="00CE303A">
      <w:pPr>
        <w:pStyle w:val="ListParagraph"/>
        <w:numPr>
          <w:ilvl w:val="1"/>
          <w:numId w:val="87"/>
        </w:numPr>
        <w:spacing w:line="360" w:lineRule="auto"/>
        <w:jc w:val="both"/>
        <w:rPr>
          <w:lang w:val="bg-BG" w:eastAsia="ro-RO"/>
        </w:rPr>
      </w:pPr>
      <w:r w:rsidRPr="007375EB">
        <w:rPr>
          <w:lang w:val="bg-BG" w:eastAsia="ro-RO"/>
        </w:rPr>
        <w:t>Електроснабдяване на домакинство с вода, село Фурника общика Думбръвени окръг Констанца (предложено)</w:t>
      </w:r>
    </w:p>
    <w:p w14:paraId="51672AEF" w14:textId="725A5F24" w:rsidR="00CE303A" w:rsidRPr="007375EB" w:rsidRDefault="00CE303A" w:rsidP="00CE303A">
      <w:pPr>
        <w:pStyle w:val="ListParagraph"/>
        <w:numPr>
          <w:ilvl w:val="1"/>
          <w:numId w:val="87"/>
        </w:numPr>
        <w:spacing w:line="360" w:lineRule="auto"/>
        <w:jc w:val="both"/>
        <w:rPr>
          <w:lang w:val="bg-BG" w:eastAsia="ro-RO"/>
        </w:rPr>
      </w:pPr>
      <w:r w:rsidRPr="007375EB">
        <w:rPr>
          <w:lang w:val="bg-BG" w:eastAsia="ro-RO"/>
        </w:rPr>
        <w:t>Преместване на международен газопровод за пренос на природен газ Dn 1000 T1 Исакча – Негру Вода, в района на кариера ROMCIM, работна станция Меджидиа (предложено)</w:t>
      </w:r>
    </w:p>
    <w:p w14:paraId="7DE6F8E0" w14:textId="0CBC70D7" w:rsidR="00CE303A" w:rsidRPr="007375EB" w:rsidRDefault="00CE303A" w:rsidP="00CE303A">
      <w:pPr>
        <w:pStyle w:val="ListParagraph"/>
        <w:numPr>
          <w:ilvl w:val="1"/>
          <w:numId w:val="87"/>
        </w:numPr>
        <w:spacing w:line="360" w:lineRule="auto"/>
        <w:jc w:val="both"/>
        <w:rPr>
          <w:lang w:val="bg-BG" w:eastAsia="ro-RO"/>
        </w:rPr>
      </w:pPr>
      <w:r w:rsidRPr="007375EB">
        <w:rPr>
          <w:lang w:val="bg-BG" w:eastAsia="ro-RO"/>
        </w:rPr>
        <w:t>Общ устройствен план на община Индепенденца (предложен)</w:t>
      </w:r>
    </w:p>
    <w:p w14:paraId="20E6925A" w14:textId="53791A9F" w:rsidR="00CE303A" w:rsidRPr="007375EB" w:rsidRDefault="00CE303A" w:rsidP="00CE303A">
      <w:pPr>
        <w:pStyle w:val="ListParagraph"/>
        <w:numPr>
          <w:ilvl w:val="1"/>
          <w:numId w:val="87"/>
        </w:numPr>
        <w:spacing w:line="360" w:lineRule="auto"/>
        <w:jc w:val="both"/>
        <w:rPr>
          <w:lang w:val="bg-BG" w:eastAsia="ro-RO"/>
        </w:rPr>
      </w:pPr>
      <w:r w:rsidRPr="007375EB">
        <w:rPr>
          <w:lang w:val="bg-BG" w:eastAsia="ro-RO"/>
        </w:rPr>
        <w:t>Изграждане на интелигентна разпределителна мрежа за природен газ в община Индепенденца, окръг Констанца (предложен)</w:t>
      </w:r>
    </w:p>
    <w:p w14:paraId="48894C9A" w14:textId="40669463" w:rsidR="00CE303A" w:rsidRPr="007375EB" w:rsidRDefault="00CE303A" w:rsidP="00CE303A">
      <w:pPr>
        <w:pStyle w:val="ListParagraph"/>
        <w:numPr>
          <w:ilvl w:val="1"/>
          <w:numId w:val="87"/>
        </w:numPr>
        <w:spacing w:line="360" w:lineRule="auto"/>
        <w:jc w:val="both"/>
        <w:rPr>
          <w:lang w:val="bg-BG" w:eastAsia="ro-RO"/>
        </w:rPr>
      </w:pPr>
      <w:r w:rsidRPr="007375EB">
        <w:rPr>
          <w:lang w:val="bg-BG" w:eastAsia="ro-RO"/>
        </w:rPr>
        <w:t>Изграждане на мост в Мовила Верде, улица „Бисеричи“, Мовила Верде, община Индепенденца, окръг Констанца (предложен)</w:t>
      </w:r>
    </w:p>
    <w:p w14:paraId="564C9BD7" w14:textId="46A6A728" w:rsidR="00CE303A" w:rsidRPr="007375EB" w:rsidRDefault="00CE303A" w:rsidP="00CE303A">
      <w:pPr>
        <w:pStyle w:val="ListParagraph"/>
        <w:numPr>
          <w:ilvl w:val="1"/>
          <w:numId w:val="87"/>
        </w:numPr>
        <w:spacing w:line="360" w:lineRule="auto"/>
        <w:jc w:val="both"/>
        <w:rPr>
          <w:lang w:val="bg-BG" w:eastAsia="ro-RO"/>
        </w:rPr>
      </w:pPr>
      <w:r w:rsidRPr="007375EB">
        <w:rPr>
          <w:lang w:val="bg-BG" w:eastAsia="ro-RO"/>
        </w:rPr>
        <w:t>Асфалтиране на улици Комана, Татару и Пелину, етап I, община Комана, окръг Констанца (предложено)</w:t>
      </w:r>
    </w:p>
    <w:p w14:paraId="54037686" w14:textId="650BEA0A" w:rsidR="00CE303A" w:rsidRPr="007375EB" w:rsidRDefault="00CE303A" w:rsidP="00CE303A">
      <w:pPr>
        <w:pStyle w:val="ListParagraph"/>
        <w:numPr>
          <w:ilvl w:val="1"/>
          <w:numId w:val="87"/>
        </w:numPr>
        <w:spacing w:line="360" w:lineRule="auto"/>
        <w:jc w:val="both"/>
        <w:rPr>
          <w:lang w:val="bg-BG" w:eastAsia="ro-RO"/>
        </w:rPr>
      </w:pPr>
      <w:r w:rsidRPr="007375EB">
        <w:rPr>
          <w:lang w:val="bg-BG" w:eastAsia="ro-RO"/>
        </w:rPr>
        <w:t>Изграждане на мостове, водостоци и асфалтиране на дъждовна канализация в Крединца, община Кирногени (предложен)</w:t>
      </w:r>
    </w:p>
    <w:p w14:paraId="78C28E0E" w14:textId="6E4BDB1F" w:rsidR="00731006" w:rsidRPr="007375EB" w:rsidRDefault="00CE303A" w:rsidP="00CE303A">
      <w:pPr>
        <w:pStyle w:val="ListParagraph"/>
        <w:numPr>
          <w:ilvl w:val="1"/>
          <w:numId w:val="87"/>
        </w:numPr>
        <w:spacing w:line="360" w:lineRule="auto"/>
        <w:jc w:val="both"/>
        <w:rPr>
          <w:lang w:val="bg-BG" w:eastAsia="ro-RO"/>
        </w:rPr>
      </w:pPr>
      <w:r w:rsidRPr="007375EB">
        <w:rPr>
          <w:lang w:val="bg-BG" w:eastAsia="ro-RO"/>
        </w:rPr>
        <w:t>Модернизация и рехабилитация на улици в община Кирногени, окръг Констанца (предложена)</w:t>
      </w:r>
    </w:p>
    <w:p w14:paraId="365BC369" w14:textId="017D1D73" w:rsidR="006E4035" w:rsidRPr="007375EB" w:rsidRDefault="00F05D1A" w:rsidP="00731006">
      <w:pPr>
        <w:spacing w:after="120" w:line="360" w:lineRule="auto"/>
        <w:jc w:val="both"/>
        <w:rPr>
          <w:b/>
          <w:bCs/>
          <w:lang w:val="bg-BG"/>
        </w:rPr>
      </w:pPr>
      <w:r w:rsidRPr="007375EB">
        <w:rPr>
          <w:noProof/>
          <w:lang w:val="bg-BG"/>
        </w:rPr>
        <w:lastRenderedPageBreak/>
        <w:drawing>
          <wp:inline distT="0" distB="0" distL="0" distR="0" wp14:anchorId="65FB5225" wp14:editId="7B481E57">
            <wp:extent cx="6211848" cy="439084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216290" cy="4393986"/>
                    </a:xfrm>
                    <a:prstGeom prst="rect">
                      <a:avLst/>
                    </a:prstGeom>
                    <a:noFill/>
                    <a:ln>
                      <a:noFill/>
                    </a:ln>
                  </pic:spPr>
                </pic:pic>
              </a:graphicData>
            </a:graphic>
          </wp:inline>
        </w:drawing>
      </w:r>
    </w:p>
    <w:p w14:paraId="2599893C" w14:textId="107B9355" w:rsidR="006E4035" w:rsidRPr="007375EB" w:rsidRDefault="00B230C6" w:rsidP="006E4035">
      <w:pPr>
        <w:pStyle w:val="Caption"/>
        <w:jc w:val="center"/>
        <w:rPr>
          <w:sz w:val="16"/>
          <w:szCs w:val="16"/>
          <w:vertAlign w:val="subscript"/>
          <w:lang w:val="bg-BG"/>
        </w:rPr>
      </w:pPr>
      <w:r w:rsidRPr="007375EB">
        <w:rPr>
          <w:sz w:val="16"/>
          <w:szCs w:val="16"/>
          <w:lang w:val="bg-BG"/>
        </w:rPr>
        <w:t>Фигура</w:t>
      </w:r>
      <w:r w:rsidR="006E4035" w:rsidRPr="007375EB">
        <w:rPr>
          <w:sz w:val="16"/>
          <w:szCs w:val="16"/>
          <w:lang w:val="bg-BG"/>
        </w:rPr>
        <w:t xml:space="preserve"> 6 -  </w:t>
      </w:r>
      <w:r w:rsidR="006E4035" w:rsidRPr="007375EB">
        <w:rPr>
          <w:sz w:val="16"/>
          <w:szCs w:val="16"/>
          <w:lang w:val="bg-BG"/>
        </w:rPr>
        <w:fldChar w:fldCharType="begin"/>
      </w:r>
      <w:r w:rsidR="006E4035" w:rsidRPr="007375EB">
        <w:rPr>
          <w:sz w:val="16"/>
          <w:szCs w:val="16"/>
          <w:lang w:val="bg-BG"/>
        </w:rPr>
        <w:instrText xml:space="preserve"> SEQ Figura_6_-_ \* ARABIC </w:instrText>
      </w:r>
      <w:r w:rsidR="006E4035" w:rsidRPr="007375EB">
        <w:rPr>
          <w:sz w:val="16"/>
          <w:szCs w:val="16"/>
          <w:lang w:val="bg-BG"/>
        </w:rPr>
        <w:fldChar w:fldCharType="separate"/>
      </w:r>
      <w:r w:rsidR="006E4035" w:rsidRPr="007375EB">
        <w:rPr>
          <w:noProof/>
          <w:sz w:val="16"/>
          <w:szCs w:val="16"/>
          <w:lang w:val="bg-BG"/>
        </w:rPr>
        <w:t>1</w:t>
      </w:r>
      <w:r w:rsidR="006E4035" w:rsidRPr="007375EB">
        <w:rPr>
          <w:sz w:val="16"/>
          <w:szCs w:val="16"/>
          <w:lang w:val="bg-BG"/>
        </w:rPr>
        <w:fldChar w:fldCharType="end"/>
      </w:r>
      <w:r w:rsidR="006E4035" w:rsidRPr="007375EB">
        <w:rPr>
          <w:lang w:val="bg-BG"/>
        </w:rPr>
        <w:t xml:space="preserve"> </w:t>
      </w:r>
      <w:r w:rsidR="00CE303A" w:rsidRPr="007375EB">
        <w:rPr>
          <w:sz w:val="16"/>
          <w:szCs w:val="16"/>
          <w:lang w:val="bg-BG"/>
        </w:rPr>
        <w:t>Карта на предложения план по отношение на други планове и програми</w:t>
      </w:r>
    </w:p>
    <w:p w14:paraId="2CA29E0D" w14:textId="31CF92B2" w:rsidR="00CE303A" w:rsidRPr="007375EB" w:rsidRDefault="00CE303A" w:rsidP="00CE303A">
      <w:pPr>
        <w:spacing w:after="120" w:line="360" w:lineRule="auto"/>
        <w:jc w:val="both"/>
        <w:rPr>
          <w:lang w:val="bg-BG"/>
        </w:rPr>
      </w:pPr>
      <w:r w:rsidRPr="007375EB">
        <w:rPr>
          <w:b/>
          <w:bCs/>
          <w:lang w:val="bg-BG"/>
        </w:rPr>
        <w:t xml:space="preserve">За вече съществуващите проекти </w:t>
      </w:r>
      <w:r w:rsidRPr="007375EB">
        <w:rPr>
          <w:lang w:val="bg-BG"/>
        </w:rPr>
        <w:t>(вятърен парк „Кирногени-Индепенденца“, вятърен парк „България“) е оценено кумулативното въздействие от експлоатацията на вятърните паркове с периода на изграждане на вятърния парк, предложен от PUZ, и кумулативното въздействие от експлоатацията на вятърните паркове с периода на експлоатация на вятърния парк, предложен от PUZ.</w:t>
      </w:r>
    </w:p>
    <w:p w14:paraId="75961D5B" w14:textId="3E9974FA" w:rsidR="00CE303A" w:rsidRPr="007375EB" w:rsidRDefault="00CE303A" w:rsidP="00CE303A">
      <w:pPr>
        <w:spacing w:after="120" w:line="360" w:lineRule="auto"/>
        <w:jc w:val="both"/>
        <w:rPr>
          <w:lang w:val="bg-BG"/>
        </w:rPr>
      </w:pPr>
      <w:r w:rsidRPr="007375EB">
        <w:rPr>
          <w:lang w:val="bg-BG"/>
        </w:rPr>
        <w:t>Като се има предвид значителното разстояние на ветроенергийния парк в България от ветроенергийния парк, предложен от PUZ, не е оценено кумулативно въздействие в нито една от фазите на развитие на PUZ (строителство, експлоатация).</w:t>
      </w:r>
    </w:p>
    <w:p w14:paraId="0362A0AA" w14:textId="0D9A7BD0" w:rsidR="00731006" w:rsidRPr="007375EB" w:rsidRDefault="00CE303A" w:rsidP="00CE303A">
      <w:pPr>
        <w:spacing w:after="120" w:line="360" w:lineRule="auto"/>
        <w:jc w:val="both"/>
        <w:rPr>
          <w:lang w:val="bg-BG"/>
        </w:rPr>
      </w:pPr>
      <w:r w:rsidRPr="007375EB">
        <w:rPr>
          <w:lang w:val="bg-BG"/>
        </w:rPr>
        <w:t>Като се има предвид, че при експлоатация вятърните паркове не оказват въздействие върху аспектите на околната среда: въздух, вода, почва/почва, използване на ресурси, управление на отпадъците, изменение на климата и културно наследство, кумулативното въздействие от експлоатацията на ветроенергийния парк „Кирногени-Индепенденца“ с етапа на строителство за предложения ветроенергиен парк е същото като оцененото на етапа на строителство (</w:t>
      </w:r>
      <w:r w:rsidRPr="007375EB">
        <w:rPr>
          <w:i/>
          <w:iCs/>
          <w:lang w:val="bg-BG"/>
        </w:rPr>
        <w:t>незначително отрицателно, с изключение на въздействието върху почвата/подпочвата, което е значително отрицателно</w:t>
      </w:r>
      <w:r w:rsidR="00731006" w:rsidRPr="007375EB">
        <w:rPr>
          <w:lang w:val="bg-BG"/>
        </w:rPr>
        <w:t>).</w:t>
      </w:r>
    </w:p>
    <w:p w14:paraId="79BA5E9D" w14:textId="2A248312" w:rsidR="00731006" w:rsidRPr="007375EB" w:rsidRDefault="00CE303A" w:rsidP="00731006">
      <w:pPr>
        <w:spacing w:after="120" w:line="360" w:lineRule="auto"/>
        <w:jc w:val="both"/>
        <w:rPr>
          <w:lang w:val="bg-BG"/>
        </w:rPr>
      </w:pPr>
      <w:r w:rsidRPr="007375EB">
        <w:rPr>
          <w:lang w:val="bg-BG"/>
        </w:rPr>
        <w:t xml:space="preserve">Що се отнася до шума, по време на строителния период на парка, предложен от PUZ, шумът, генериран от строителните работи, ще се добави към шума на действащия парк, но предвид топографията на района, факта, че строителните работи ще се извършват на етапи и липсата на </w:t>
      </w:r>
      <w:r w:rsidRPr="007375EB">
        <w:rPr>
          <w:lang w:val="bg-BG"/>
        </w:rPr>
        <w:lastRenderedPageBreak/>
        <w:t>други източници на шум, кумулативното въздействие не се очаква да бъде по-голямо от това, оценено по време на строителния етап, т.е. незначително отрицателно.</w:t>
      </w:r>
    </w:p>
    <w:p w14:paraId="3CA5DDD2" w14:textId="5CE3021B" w:rsidR="0034375E" w:rsidRPr="007375EB" w:rsidRDefault="0034375E" w:rsidP="0034375E">
      <w:pPr>
        <w:spacing w:after="120" w:line="360" w:lineRule="auto"/>
        <w:jc w:val="both"/>
        <w:rPr>
          <w:lang w:val="bg-BG"/>
        </w:rPr>
      </w:pPr>
      <w:r w:rsidRPr="007375EB">
        <w:rPr>
          <w:lang w:val="bg-BG"/>
        </w:rPr>
        <w:t xml:space="preserve">Що се отнася до ландшафта, изграждането на парка, предложен от PUZ, няма да доведе до значителна промяна на съществуващия ландшафт, тъй като той ще се интегрира хармонично в съществуващата среда, като се има предвид наличието в района на вятърния парк Кирногени-Индепенденца, който функционира от 2014 г. насам. </w:t>
      </w:r>
    </w:p>
    <w:p w14:paraId="423B8540" w14:textId="77777777" w:rsidR="0034375E" w:rsidRPr="007375EB" w:rsidRDefault="0034375E" w:rsidP="0034375E">
      <w:pPr>
        <w:spacing w:after="120" w:line="360" w:lineRule="auto"/>
        <w:jc w:val="both"/>
        <w:rPr>
          <w:lang w:val="bg-BG"/>
        </w:rPr>
      </w:pPr>
      <w:r w:rsidRPr="007375EB">
        <w:rPr>
          <w:lang w:val="bg-BG"/>
        </w:rPr>
        <w:t>По отношение на биоразнообразието, от докладите за мониторинг на работата на вятърните турбини в рамките на вятърния парк Чирногони-Индепенца се стига до заключението, че той не представлява значителен смущаващ фактор за местната фауна и особено за видовете птици, тъй като не е наблюдавано ясно поведение на избягване на районите, където са разположени, като структурата и съставът на орнитофауната са сходни с подобни периоди в годините преди етапа на изпълнение на проекта. Освен това не са наблюдавани съществени промени във флората, като структурата и съставът на растителността, развита на площадката и в съседство с нея, са сходни с тези от предходните периоди на мониторинг.</w:t>
      </w:r>
    </w:p>
    <w:p w14:paraId="57B09009" w14:textId="3FC54713" w:rsidR="0034375E" w:rsidRPr="007375EB" w:rsidRDefault="0034375E" w:rsidP="0034375E">
      <w:pPr>
        <w:spacing w:after="120" w:line="360" w:lineRule="auto"/>
        <w:jc w:val="both"/>
        <w:rPr>
          <w:lang w:val="bg-BG"/>
        </w:rPr>
      </w:pPr>
      <w:r w:rsidRPr="007375EB">
        <w:rPr>
          <w:lang w:val="bg-BG"/>
        </w:rPr>
        <w:t>Поради това кумулативното въздействие на експлоатацията на вятърния парк Кирногени-Индепенденца с етапа на изграждане на вятърния парк, предложен от PUZ, се оценява като незначително.</w:t>
      </w:r>
    </w:p>
    <w:p w14:paraId="3A5361F1" w14:textId="45FC91DB" w:rsidR="00731006" w:rsidRPr="007375EB" w:rsidRDefault="0034375E" w:rsidP="0034375E">
      <w:pPr>
        <w:spacing w:after="120" w:line="360" w:lineRule="auto"/>
        <w:jc w:val="both"/>
        <w:rPr>
          <w:lang w:val="bg-BG"/>
        </w:rPr>
      </w:pPr>
      <w:r w:rsidRPr="007375EB">
        <w:rPr>
          <w:lang w:val="bg-BG"/>
        </w:rPr>
        <w:t>Що се отнася до кумулативното въздействие от експлоатацията на вятърния парк Кирногени-Индепенденца с периода на експлоатация на вятърния парк, предложен от PUZ, то се оценява, както следва</w:t>
      </w:r>
      <w:r w:rsidR="00731006" w:rsidRPr="007375EB">
        <w:rPr>
          <w:lang w:val="bg-BG"/>
        </w:rPr>
        <w:t>:</w:t>
      </w:r>
    </w:p>
    <w:p w14:paraId="2BE13225" w14:textId="22DFB756" w:rsidR="00731006" w:rsidRPr="007375EB" w:rsidRDefault="0034375E" w:rsidP="00731006">
      <w:pPr>
        <w:pStyle w:val="ListParagraph"/>
        <w:numPr>
          <w:ilvl w:val="0"/>
          <w:numId w:val="87"/>
        </w:numPr>
        <w:spacing w:after="120" w:line="360" w:lineRule="auto"/>
        <w:jc w:val="both"/>
        <w:rPr>
          <w:lang w:val="bg-BG"/>
        </w:rPr>
      </w:pPr>
      <w:r w:rsidRPr="007375EB">
        <w:rPr>
          <w:b/>
          <w:bCs/>
          <w:lang w:val="bg-BG" w:eastAsia="ro-RO"/>
        </w:rPr>
        <w:t>Въздействие върху шума</w:t>
      </w:r>
      <w:r w:rsidR="00731006" w:rsidRPr="007375EB">
        <w:rPr>
          <w:b/>
          <w:bCs/>
          <w:lang w:val="bg-BG" w:eastAsia="ro-RO"/>
        </w:rPr>
        <w:t xml:space="preserve">: </w:t>
      </w:r>
      <w:r w:rsidRPr="007375EB">
        <w:rPr>
          <w:lang w:val="bg-BG"/>
        </w:rPr>
        <w:t xml:space="preserve">Вятърните турбини генерират както механичен, така и аеродинамичен шум. Натрупването на няколко вятърни електроцентрали може да повиши нивото на шума в района, което да се отрази на качеството на живот на жителите в близост, но като се вземе предвид проучването на шума, проведено за вятърния парк, предложен в PUZ, неговото положение спрямо вятърния парк </w:t>
      </w:r>
      <w:r w:rsidR="00813962" w:rsidRPr="007375EB">
        <w:rPr>
          <w:lang w:val="bg-BG"/>
        </w:rPr>
        <w:t>Кирногени</w:t>
      </w:r>
      <w:r w:rsidRPr="007375EB">
        <w:rPr>
          <w:lang w:val="bg-BG"/>
        </w:rPr>
        <w:t xml:space="preserve">-Индепенца на около 1,5 км и открития топография на района, може да се прецени, че кумулативният ефект от шума, свързан с едновременната експлоатация на вятърните електроцентрали, </w:t>
      </w:r>
      <w:r w:rsidRPr="007375EB">
        <w:rPr>
          <w:b/>
          <w:bCs/>
          <w:lang w:val="bg-BG"/>
        </w:rPr>
        <w:t>е незначителен отрицателен</w:t>
      </w:r>
      <w:r w:rsidR="00731006" w:rsidRPr="007375EB">
        <w:rPr>
          <w:lang w:val="bg-BG"/>
        </w:rPr>
        <w:t>.</w:t>
      </w:r>
    </w:p>
    <w:p w14:paraId="794D75E0" w14:textId="1705798E" w:rsidR="00731006" w:rsidRPr="007375EB" w:rsidRDefault="0034375E" w:rsidP="00731006">
      <w:pPr>
        <w:pStyle w:val="ListParagraph"/>
        <w:numPr>
          <w:ilvl w:val="0"/>
          <w:numId w:val="87"/>
        </w:numPr>
        <w:spacing w:after="120" w:line="360" w:lineRule="auto"/>
        <w:jc w:val="both"/>
        <w:rPr>
          <w:lang w:val="bg-BG" w:eastAsia="ro-RO"/>
        </w:rPr>
      </w:pPr>
      <w:r w:rsidRPr="007375EB">
        <w:rPr>
          <w:b/>
          <w:bCs/>
          <w:lang w:val="bg-BG" w:eastAsia="ro-RO"/>
        </w:rPr>
        <w:t>Въздействие върху ландшафта</w:t>
      </w:r>
      <w:r w:rsidR="00731006" w:rsidRPr="007375EB">
        <w:rPr>
          <w:b/>
          <w:bCs/>
          <w:lang w:val="bg-BG" w:eastAsia="ro-RO"/>
        </w:rPr>
        <w:t xml:space="preserve">: </w:t>
      </w:r>
      <w:r w:rsidRPr="007375EB">
        <w:rPr>
          <w:lang w:val="bg-BG"/>
        </w:rPr>
        <w:t xml:space="preserve">Вятърните турбини са съоръжения, които се виждат от големи разстояния и могат значително да променят местния пейзаж. Натрупването на няколко вятърни парка може да доведе до пренаселено визуално възприятие и въздействие върху природния и културния ландшафт, но предвид малкия брой вятърни турбини, предложени в PUZ, и факта, че вятърният парк „Чиргони-Индепенца“ функционира от 2014 г. и е интегриран в ландшафта, кумулативното въздействие от едновременната експлоатация на вятърните паркове върху ландшафта се оценява като </w:t>
      </w:r>
      <w:r w:rsidRPr="007375EB">
        <w:rPr>
          <w:b/>
          <w:bCs/>
          <w:lang w:val="bg-BG"/>
        </w:rPr>
        <w:t>незначително отрицателно</w:t>
      </w:r>
      <w:r w:rsidRPr="007375EB">
        <w:rPr>
          <w:lang w:val="bg-BG"/>
        </w:rPr>
        <w:t>, тъй като новите турбини осигуряват визуална приемственост и хармонично се интегрират в ландшафта</w:t>
      </w:r>
      <w:r w:rsidR="00731006" w:rsidRPr="007375EB">
        <w:rPr>
          <w:lang w:val="bg-BG"/>
        </w:rPr>
        <w:t>.</w:t>
      </w:r>
    </w:p>
    <w:p w14:paraId="2BB01AAC" w14:textId="34F0E524" w:rsidR="00731006" w:rsidRPr="007375EB" w:rsidRDefault="0034375E" w:rsidP="00731006">
      <w:pPr>
        <w:pStyle w:val="ListParagraph"/>
        <w:numPr>
          <w:ilvl w:val="0"/>
          <w:numId w:val="87"/>
        </w:numPr>
        <w:spacing w:after="120" w:line="360" w:lineRule="auto"/>
        <w:jc w:val="both"/>
        <w:rPr>
          <w:b/>
          <w:bCs/>
          <w:lang w:val="bg-BG" w:eastAsia="ro-RO"/>
        </w:rPr>
      </w:pPr>
      <w:r w:rsidRPr="007375EB">
        <w:rPr>
          <w:b/>
          <w:bCs/>
          <w:lang w:val="bg-BG" w:eastAsia="ro-RO"/>
        </w:rPr>
        <w:t>Въздействие върху човешкото здраве</w:t>
      </w:r>
      <w:r w:rsidR="00731006" w:rsidRPr="007375EB">
        <w:rPr>
          <w:b/>
          <w:bCs/>
          <w:lang w:val="bg-BG" w:eastAsia="ro-RO"/>
        </w:rPr>
        <w:t xml:space="preserve">: </w:t>
      </w:r>
      <w:r w:rsidRPr="007375EB">
        <w:rPr>
          <w:lang w:val="bg-BG"/>
        </w:rPr>
        <w:t xml:space="preserve">В допълнение към шума, вятърните турбини могат да предизвикат ефект на трептене (периодични сенки, причинени от въртящите се лопатки). От проучването на засенчването, извършено за проекта, предложен от PUZ, </w:t>
      </w:r>
      <w:r w:rsidRPr="007375EB">
        <w:rPr>
          <w:lang w:val="bg-BG"/>
        </w:rPr>
        <w:lastRenderedPageBreak/>
        <w:t xml:space="preserve">може да се прецени, че в контактната зона на двата парка ефектите на засенчване от двата парка могат да се припокрият, но тази зона е в покрайнините на населените места, на 1,2 км от населените места, така че кумулативното въздействие от едновременната експлоатация на парка, предложен от PUZ, с парка </w:t>
      </w:r>
      <w:r w:rsidR="00813962" w:rsidRPr="007375EB">
        <w:rPr>
          <w:lang w:val="bg-BG"/>
        </w:rPr>
        <w:t>Кирногени</w:t>
      </w:r>
      <w:r w:rsidRPr="007375EB">
        <w:rPr>
          <w:lang w:val="bg-BG"/>
        </w:rPr>
        <w:t>-Индепенца се оценява като незначително отрицателно</w:t>
      </w:r>
      <w:r w:rsidR="00731006" w:rsidRPr="007375EB">
        <w:rPr>
          <w:lang w:val="bg-BG"/>
        </w:rPr>
        <w:t>.</w:t>
      </w:r>
    </w:p>
    <w:p w14:paraId="1DFBFB8C" w14:textId="0948AE18" w:rsidR="00731006" w:rsidRPr="007375EB" w:rsidRDefault="0034375E" w:rsidP="00731006">
      <w:pPr>
        <w:pStyle w:val="ListParagraph"/>
        <w:numPr>
          <w:ilvl w:val="0"/>
          <w:numId w:val="87"/>
        </w:numPr>
        <w:spacing w:after="120" w:line="360" w:lineRule="auto"/>
        <w:jc w:val="both"/>
        <w:rPr>
          <w:b/>
          <w:bCs/>
          <w:i/>
          <w:iCs/>
          <w:lang w:val="bg-BG" w:eastAsia="ro-RO"/>
        </w:rPr>
      </w:pPr>
      <w:r w:rsidRPr="007375EB">
        <w:rPr>
          <w:b/>
          <w:bCs/>
          <w:i/>
          <w:iCs/>
          <w:lang w:val="bg-BG" w:eastAsia="ro-RO"/>
        </w:rPr>
        <w:t>Въздействие върху електрическата мрежа</w:t>
      </w:r>
      <w:r w:rsidR="00731006" w:rsidRPr="007375EB">
        <w:rPr>
          <w:b/>
          <w:bCs/>
          <w:i/>
          <w:iCs/>
          <w:lang w:val="bg-BG" w:eastAsia="ro-RO"/>
        </w:rPr>
        <w:t xml:space="preserve">: </w:t>
      </w:r>
      <w:r w:rsidRPr="007375EB">
        <w:rPr>
          <w:lang w:val="bg-BG"/>
        </w:rPr>
        <w:t xml:space="preserve">Добавянето на нов вятърен парк в район с няколко съществуващи и предложени вятърни парка може да повлияе на стабилността и баланса на електроенергийната мрежа. В проектите за присъединяване към Националната енергийна система („SEN“) подробно се оценява капацитетът на мрежата за управление на произведената енергия и за осигуряване на ефективна интеграция, така че не се оценява кумулативното въздействие на едновременната експлоатация на парка, предложен от PUZ, с парка </w:t>
      </w:r>
      <w:r w:rsidR="00813962" w:rsidRPr="007375EB">
        <w:rPr>
          <w:lang w:val="bg-BG"/>
        </w:rPr>
        <w:t>К</w:t>
      </w:r>
      <w:r w:rsidRPr="007375EB">
        <w:rPr>
          <w:lang w:val="bg-BG"/>
        </w:rPr>
        <w:t>ирногени - Индепенденца</w:t>
      </w:r>
    </w:p>
    <w:p w14:paraId="3CF5DEC2" w14:textId="58D0D2FD" w:rsidR="0034375E" w:rsidRPr="007375EB" w:rsidRDefault="0034375E" w:rsidP="0034375E">
      <w:pPr>
        <w:pStyle w:val="ListParagraph"/>
        <w:numPr>
          <w:ilvl w:val="0"/>
          <w:numId w:val="87"/>
        </w:numPr>
        <w:spacing w:after="120" w:line="360" w:lineRule="auto"/>
        <w:jc w:val="both"/>
        <w:rPr>
          <w:lang w:val="bg-BG" w:eastAsia="ro-RO"/>
        </w:rPr>
      </w:pPr>
      <w:r w:rsidRPr="007375EB">
        <w:rPr>
          <w:b/>
          <w:bCs/>
          <w:i/>
          <w:iCs/>
          <w:lang w:val="bg-BG" w:eastAsia="ro-RO"/>
        </w:rPr>
        <w:t xml:space="preserve">Въздействие върху биоразнообразието </w:t>
      </w:r>
      <w:r w:rsidRPr="007375EB">
        <w:rPr>
          <w:lang w:val="bg-BG" w:eastAsia="ro-RO"/>
        </w:rPr>
        <w:t xml:space="preserve">За да се оценят въздействията върху видовете и местообитанията в зоните от „Природа 2000“, разгледани в оценката, беше анализирано кумулативното въздействие на проекта върху тях. За тази цел беше анализирано наличието на натиск и заплахи в плановете за управление на зоните и стандартните формуляри, както и други проекти, които предстои да бъдат реализирани или са в процес на реализация и които имат потенциал да засегнат местообитания и видове от интерес за Общността. </w:t>
      </w:r>
    </w:p>
    <w:p w14:paraId="51957848" w14:textId="1525CE0B" w:rsidR="00731006" w:rsidRDefault="0034375E" w:rsidP="0034375E">
      <w:pPr>
        <w:pStyle w:val="ListParagraph"/>
        <w:spacing w:after="120" w:line="360" w:lineRule="auto"/>
        <w:jc w:val="both"/>
        <w:rPr>
          <w:lang w:val="bg-BG" w:eastAsia="ro-RO"/>
        </w:rPr>
      </w:pPr>
      <w:r w:rsidRPr="007375EB">
        <w:rPr>
          <w:lang w:val="bg-BG" w:eastAsia="ro-RO"/>
        </w:rPr>
        <w:t>В плановете за управление на потенциално засегнатите зони от Природа 2000 са посочени няколко вида натиск и заплахи, които могат да засегнат местообитания и видове от интерес за Общността, като сред най-често срещаните са урбанизацията и разширяването на територията. Изграждането на пътища или магистрали или автомобилният трафик също се споменават като натиск/заплахи за някои от включените в оценката места</w:t>
      </w:r>
      <w:r w:rsidR="00731006" w:rsidRPr="007375EB">
        <w:rPr>
          <w:lang w:val="bg-BG" w:eastAsia="ro-RO"/>
        </w:rPr>
        <w:t xml:space="preserve">. </w:t>
      </w:r>
    </w:p>
    <w:p w14:paraId="1DE8BEC3" w14:textId="77777777" w:rsidR="00596282" w:rsidRPr="00596282" w:rsidRDefault="00596282" w:rsidP="00596282">
      <w:pPr>
        <w:pStyle w:val="ListParagraph"/>
        <w:spacing w:after="120" w:line="360" w:lineRule="auto"/>
        <w:jc w:val="both"/>
        <w:rPr>
          <w:lang w:val="bg-BG" w:eastAsia="ro-RO"/>
        </w:rPr>
      </w:pPr>
      <w:r w:rsidRPr="00596282">
        <w:rPr>
          <w:lang w:val="bg-BG" w:eastAsia="ro-RO"/>
        </w:rPr>
        <w:t>Подробностите за оценката на кумулативното въздействие на плана, предложен от ПУЗ, със съответните проекти, с които той може да окаже въздействие, са представени в проучването за подходяща оценка, глава 4.4. Анализ на натиска и заплахите.</w:t>
      </w:r>
    </w:p>
    <w:p w14:paraId="7B5D6EA6" w14:textId="77777777" w:rsidR="00596282" w:rsidRPr="007375EB" w:rsidRDefault="00596282" w:rsidP="0034375E">
      <w:pPr>
        <w:pStyle w:val="ListParagraph"/>
        <w:spacing w:after="120" w:line="360" w:lineRule="auto"/>
        <w:jc w:val="both"/>
        <w:rPr>
          <w:lang w:val="bg-BG" w:eastAsia="ro-RO"/>
        </w:rPr>
      </w:pPr>
    </w:p>
    <w:p w14:paraId="5BB510E5" w14:textId="1B68D679" w:rsidR="004A74B3" w:rsidRPr="007375EB" w:rsidRDefault="004A74B3" w:rsidP="004A74B3">
      <w:pPr>
        <w:spacing w:line="240" w:lineRule="auto"/>
        <w:rPr>
          <w:rFonts w:ascii="Times New Roman" w:eastAsia="Times New Roman" w:hAnsi="Times New Roman" w:cs="Times New Roman"/>
          <w:sz w:val="24"/>
          <w:szCs w:val="24"/>
          <w:lang w:val="bg-BG" w:eastAsia="ro-RO"/>
        </w:rPr>
      </w:pPr>
    </w:p>
    <w:p w14:paraId="4E1A21CD" w14:textId="77777777" w:rsidR="00345AE0" w:rsidRPr="007375EB" w:rsidRDefault="00345AE0" w:rsidP="00345AE0">
      <w:pPr>
        <w:spacing w:line="360" w:lineRule="auto"/>
        <w:rPr>
          <w:lang w:val="bg-BG" w:eastAsia="ro-RO"/>
        </w:rPr>
      </w:pPr>
    </w:p>
    <w:p w14:paraId="1131334C" w14:textId="77777777" w:rsidR="00FC4B9A" w:rsidRPr="007375EB" w:rsidRDefault="00FC4B9A" w:rsidP="00345AE0">
      <w:pPr>
        <w:spacing w:line="360" w:lineRule="auto"/>
        <w:rPr>
          <w:lang w:val="bg-BG" w:eastAsia="ro-RO"/>
        </w:rPr>
        <w:sectPr w:rsidR="00FC4B9A" w:rsidRPr="007375EB" w:rsidSect="0072540F">
          <w:pgSz w:w="11906" w:h="16838" w:code="9"/>
          <w:pgMar w:top="1702" w:right="1416" w:bottom="1418" w:left="1191" w:header="839" w:footer="680" w:gutter="0"/>
          <w:cols w:space="708"/>
          <w:docGrid w:linePitch="360"/>
        </w:sectPr>
      </w:pPr>
    </w:p>
    <w:p w14:paraId="5AF059D3" w14:textId="624D08A6" w:rsidR="00245AF6" w:rsidRPr="007375EB" w:rsidRDefault="0034375E" w:rsidP="00245AF6">
      <w:pPr>
        <w:pStyle w:val="Caption"/>
        <w:jc w:val="both"/>
        <w:rPr>
          <w:sz w:val="16"/>
          <w:szCs w:val="16"/>
          <w:lang w:val="bg-BG"/>
        </w:rPr>
      </w:pPr>
      <w:r w:rsidRPr="007375EB">
        <w:rPr>
          <w:sz w:val="16"/>
          <w:szCs w:val="16"/>
          <w:lang w:val="bg-BG"/>
        </w:rPr>
        <w:lastRenderedPageBreak/>
        <w:t>Таблица</w:t>
      </w:r>
      <w:r w:rsidR="00245AF6" w:rsidRPr="007375EB">
        <w:rPr>
          <w:sz w:val="16"/>
          <w:szCs w:val="16"/>
          <w:lang w:val="bg-BG"/>
        </w:rPr>
        <w:t xml:space="preserve">  </w:t>
      </w:r>
      <w:r w:rsidR="00245AF6" w:rsidRPr="007375EB">
        <w:rPr>
          <w:sz w:val="16"/>
          <w:szCs w:val="16"/>
          <w:lang w:val="bg-BG"/>
        </w:rPr>
        <w:fldChar w:fldCharType="begin"/>
      </w:r>
      <w:r w:rsidR="00245AF6" w:rsidRPr="007375EB">
        <w:rPr>
          <w:sz w:val="16"/>
          <w:szCs w:val="16"/>
          <w:lang w:val="bg-BG"/>
        </w:rPr>
        <w:instrText xml:space="preserve"> STYLEREF 1 \s </w:instrText>
      </w:r>
      <w:r w:rsidR="00245AF6" w:rsidRPr="007375EB">
        <w:rPr>
          <w:sz w:val="16"/>
          <w:szCs w:val="16"/>
          <w:lang w:val="bg-BG"/>
        </w:rPr>
        <w:fldChar w:fldCharType="separate"/>
      </w:r>
      <w:r w:rsidR="00245AF6" w:rsidRPr="007375EB">
        <w:rPr>
          <w:noProof/>
          <w:sz w:val="16"/>
          <w:szCs w:val="16"/>
          <w:lang w:val="bg-BG"/>
        </w:rPr>
        <w:t>6</w:t>
      </w:r>
      <w:r w:rsidR="00245AF6" w:rsidRPr="007375EB">
        <w:rPr>
          <w:sz w:val="16"/>
          <w:szCs w:val="16"/>
          <w:lang w:val="bg-BG"/>
        </w:rPr>
        <w:fldChar w:fldCharType="end"/>
      </w:r>
      <w:r w:rsidR="00245AF6" w:rsidRPr="007375EB">
        <w:rPr>
          <w:sz w:val="16"/>
          <w:szCs w:val="16"/>
          <w:lang w:val="bg-BG"/>
        </w:rPr>
        <w:noBreakHyphen/>
      </w:r>
      <w:r w:rsidR="00245AF6" w:rsidRPr="007375EB">
        <w:rPr>
          <w:sz w:val="16"/>
          <w:szCs w:val="16"/>
          <w:lang w:val="bg-BG"/>
        </w:rPr>
        <w:fldChar w:fldCharType="begin"/>
      </w:r>
      <w:r w:rsidR="00245AF6" w:rsidRPr="007375EB">
        <w:rPr>
          <w:sz w:val="16"/>
          <w:szCs w:val="16"/>
          <w:lang w:val="bg-BG"/>
        </w:rPr>
        <w:instrText xml:space="preserve"> SEQ Tabel_ \* ARABIC \s 1 </w:instrText>
      </w:r>
      <w:r w:rsidR="00245AF6" w:rsidRPr="007375EB">
        <w:rPr>
          <w:sz w:val="16"/>
          <w:szCs w:val="16"/>
          <w:lang w:val="bg-BG"/>
        </w:rPr>
        <w:fldChar w:fldCharType="separate"/>
      </w:r>
      <w:r w:rsidR="00245AF6" w:rsidRPr="007375EB">
        <w:rPr>
          <w:noProof/>
          <w:sz w:val="16"/>
          <w:szCs w:val="16"/>
          <w:lang w:val="bg-BG"/>
        </w:rPr>
        <w:t>10</w:t>
      </w:r>
      <w:r w:rsidR="00245AF6" w:rsidRPr="007375EB">
        <w:rPr>
          <w:sz w:val="16"/>
          <w:szCs w:val="16"/>
          <w:lang w:val="bg-BG"/>
        </w:rPr>
        <w:fldChar w:fldCharType="end"/>
      </w:r>
      <w:r w:rsidR="00245AF6" w:rsidRPr="007375EB">
        <w:rPr>
          <w:sz w:val="16"/>
          <w:szCs w:val="16"/>
          <w:lang w:val="bg-BG"/>
        </w:rPr>
        <w:t xml:space="preserve"> </w:t>
      </w:r>
      <w:r w:rsidRPr="007375EB">
        <w:rPr>
          <w:sz w:val="16"/>
          <w:szCs w:val="16"/>
          <w:lang w:val="bg-BG"/>
        </w:rPr>
        <w:t>Характеристики на други съществуващи ПП, които могат да имат кумулативно въздействие с оценяваното ПП върху ANPIC</w:t>
      </w:r>
    </w:p>
    <w:tbl>
      <w:tblPr>
        <w:tblStyle w:val="TableGrid"/>
        <w:tblW w:w="15555" w:type="dxa"/>
        <w:tblInd w:w="-786"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1"/>
        <w:gridCol w:w="3769"/>
        <w:gridCol w:w="2017"/>
        <w:gridCol w:w="482"/>
        <w:gridCol w:w="916"/>
        <w:gridCol w:w="916"/>
        <w:gridCol w:w="810"/>
        <w:gridCol w:w="630"/>
        <w:gridCol w:w="720"/>
        <w:gridCol w:w="720"/>
        <w:gridCol w:w="540"/>
        <w:gridCol w:w="990"/>
        <w:gridCol w:w="499"/>
        <w:gridCol w:w="507"/>
        <w:gridCol w:w="524"/>
        <w:gridCol w:w="616"/>
        <w:gridCol w:w="612"/>
      </w:tblGrid>
      <w:tr w:rsidR="0034375E" w:rsidRPr="007375EB" w14:paraId="07C6DDEE" w14:textId="77777777" w:rsidTr="00813962">
        <w:trPr>
          <w:trHeight w:val="210"/>
          <w:tblHeader/>
        </w:trPr>
        <w:tc>
          <w:tcPr>
            <w:tcW w:w="621" w:type="dxa"/>
            <w:vMerge w:val="restart"/>
            <w:shd w:val="clear" w:color="auto" w:fill="00A2E8"/>
            <w:vAlign w:val="center"/>
            <w:hideMark/>
          </w:tcPr>
          <w:p w14:paraId="510DD450" w14:textId="17B4CC62" w:rsidR="0034375E" w:rsidRPr="007375EB" w:rsidRDefault="0034375E" w:rsidP="0034375E">
            <w:pPr>
              <w:rPr>
                <w:b/>
                <w:bCs/>
                <w:color w:val="FFFFFF" w:themeColor="background1"/>
                <w:lang w:val="bg-BG"/>
              </w:rPr>
            </w:pPr>
            <w:r w:rsidRPr="007375EB">
              <w:rPr>
                <w:b/>
                <w:bCs/>
                <w:color w:val="FFFFFF" w:themeColor="background1"/>
                <w:lang w:val="bg-BG"/>
              </w:rPr>
              <w:t>№</w:t>
            </w:r>
          </w:p>
        </w:tc>
        <w:tc>
          <w:tcPr>
            <w:tcW w:w="3769" w:type="dxa"/>
            <w:vMerge w:val="restart"/>
            <w:shd w:val="clear" w:color="auto" w:fill="00A2E8"/>
            <w:noWrap/>
            <w:hideMark/>
          </w:tcPr>
          <w:p w14:paraId="1A96DBA7" w14:textId="14C649E2" w:rsidR="0034375E" w:rsidRPr="007375EB" w:rsidRDefault="0034375E" w:rsidP="0034375E">
            <w:pPr>
              <w:rPr>
                <w:b/>
                <w:bCs/>
                <w:color w:val="FFFFFF"/>
                <w:lang w:val="bg-BG"/>
              </w:rPr>
            </w:pPr>
            <w:r w:rsidRPr="007375EB">
              <w:rPr>
                <w:b/>
                <w:bCs/>
                <w:color w:val="FFFFFF"/>
                <w:lang w:val="bg-BG"/>
              </w:rPr>
              <w:t xml:space="preserve">Име PP </w:t>
            </w:r>
          </w:p>
        </w:tc>
        <w:tc>
          <w:tcPr>
            <w:tcW w:w="2017" w:type="dxa"/>
            <w:vMerge w:val="restart"/>
            <w:shd w:val="clear" w:color="auto" w:fill="00A2E8"/>
            <w:noWrap/>
            <w:hideMark/>
          </w:tcPr>
          <w:p w14:paraId="2875604C" w14:textId="160D3081" w:rsidR="0034375E" w:rsidRPr="007375EB" w:rsidRDefault="0034375E" w:rsidP="0034375E">
            <w:pPr>
              <w:rPr>
                <w:b/>
                <w:bCs/>
                <w:color w:val="FFFFFF"/>
                <w:lang w:val="bg-BG"/>
              </w:rPr>
            </w:pPr>
            <w:r w:rsidRPr="007375EB">
              <w:rPr>
                <w:b/>
                <w:bCs/>
                <w:color w:val="FFFFFF"/>
                <w:lang w:val="bg-BG"/>
              </w:rPr>
              <w:t>Местоположение спрямо ANPIC (разстояние)</w:t>
            </w:r>
          </w:p>
        </w:tc>
        <w:tc>
          <w:tcPr>
            <w:tcW w:w="5400" w:type="dxa"/>
            <w:gridSpan w:val="8"/>
            <w:shd w:val="clear" w:color="auto" w:fill="00A2E8"/>
            <w:noWrap/>
            <w:vAlign w:val="center"/>
            <w:hideMark/>
          </w:tcPr>
          <w:p w14:paraId="39FC1A27" w14:textId="53ABFEDE" w:rsidR="0034375E" w:rsidRPr="007375EB" w:rsidRDefault="00DC40A5" w:rsidP="0034375E">
            <w:pPr>
              <w:rPr>
                <w:b/>
                <w:bCs/>
                <w:color w:val="FFFFFF" w:themeColor="background1"/>
                <w:lang w:val="bg-BG"/>
              </w:rPr>
            </w:pPr>
            <w:r w:rsidRPr="007375EB">
              <w:rPr>
                <w:b/>
                <w:bCs/>
                <w:color w:val="FFFFFF" w:themeColor="background1"/>
                <w:lang w:val="bg-BG"/>
              </w:rPr>
              <w:t>Създадени ефекти</w:t>
            </w:r>
          </w:p>
        </w:tc>
        <w:tc>
          <w:tcPr>
            <w:tcW w:w="990" w:type="dxa"/>
            <w:shd w:val="clear" w:color="auto" w:fill="00A2E8"/>
            <w:noWrap/>
            <w:vAlign w:val="center"/>
            <w:hideMark/>
          </w:tcPr>
          <w:p w14:paraId="17841C24" w14:textId="77777777" w:rsidR="0034375E" w:rsidRPr="007375EB" w:rsidRDefault="0034375E" w:rsidP="0034375E">
            <w:pPr>
              <w:rPr>
                <w:b/>
                <w:bCs/>
                <w:color w:val="FFFFFF" w:themeColor="background1"/>
                <w:lang w:val="bg-BG"/>
              </w:rPr>
            </w:pPr>
          </w:p>
        </w:tc>
        <w:tc>
          <w:tcPr>
            <w:tcW w:w="2758" w:type="dxa"/>
            <w:gridSpan w:val="5"/>
            <w:shd w:val="clear" w:color="auto" w:fill="00A2E8"/>
            <w:noWrap/>
            <w:vAlign w:val="center"/>
            <w:hideMark/>
          </w:tcPr>
          <w:p w14:paraId="42385FFA" w14:textId="6FE53F99" w:rsidR="0034375E" w:rsidRPr="007375EB" w:rsidRDefault="00DC40A5" w:rsidP="0034375E">
            <w:pPr>
              <w:rPr>
                <w:b/>
                <w:bCs/>
                <w:color w:val="FFFFFF" w:themeColor="background1"/>
                <w:lang w:val="bg-BG"/>
              </w:rPr>
            </w:pPr>
            <w:r w:rsidRPr="007375EB">
              <w:rPr>
                <w:b/>
                <w:bCs/>
                <w:color w:val="FFFFFF" w:themeColor="background1"/>
                <w:lang w:val="bg-BG"/>
              </w:rPr>
              <w:t>Въздействия</w:t>
            </w:r>
          </w:p>
        </w:tc>
      </w:tr>
      <w:tr w:rsidR="00813962" w:rsidRPr="007375EB" w14:paraId="2477A909" w14:textId="77777777" w:rsidTr="00D527A3">
        <w:trPr>
          <w:trHeight w:val="2212"/>
          <w:tblHeader/>
        </w:trPr>
        <w:tc>
          <w:tcPr>
            <w:tcW w:w="621" w:type="dxa"/>
            <w:vMerge/>
            <w:shd w:val="clear" w:color="auto" w:fill="00A2E8"/>
            <w:vAlign w:val="center"/>
            <w:hideMark/>
          </w:tcPr>
          <w:p w14:paraId="733C9A59" w14:textId="77777777" w:rsidR="00813962" w:rsidRPr="007375EB" w:rsidRDefault="00813962" w:rsidP="00813962">
            <w:pPr>
              <w:rPr>
                <w:b/>
                <w:bCs/>
                <w:color w:val="FFFFFF" w:themeColor="background1"/>
                <w:lang w:val="bg-BG"/>
              </w:rPr>
            </w:pPr>
          </w:p>
        </w:tc>
        <w:tc>
          <w:tcPr>
            <w:tcW w:w="3769" w:type="dxa"/>
            <w:vMerge/>
            <w:shd w:val="clear" w:color="auto" w:fill="00A2E8"/>
            <w:vAlign w:val="center"/>
            <w:hideMark/>
          </w:tcPr>
          <w:p w14:paraId="76FA2C95" w14:textId="77777777" w:rsidR="00813962" w:rsidRPr="007375EB" w:rsidRDefault="00813962" w:rsidP="00813962">
            <w:pPr>
              <w:rPr>
                <w:b/>
                <w:bCs/>
                <w:color w:val="FFFFFF" w:themeColor="background1"/>
                <w:lang w:val="bg-BG"/>
              </w:rPr>
            </w:pPr>
          </w:p>
        </w:tc>
        <w:tc>
          <w:tcPr>
            <w:tcW w:w="2017" w:type="dxa"/>
            <w:vMerge/>
            <w:shd w:val="clear" w:color="auto" w:fill="00A2E8"/>
            <w:vAlign w:val="center"/>
            <w:hideMark/>
          </w:tcPr>
          <w:p w14:paraId="768D51D4" w14:textId="77777777" w:rsidR="00813962" w:rsidRPr="007375EB" w:rsidRDefault="00813962" w:rsidP="00813962">
            <w:pPr>
              <w:rPr>
                <w:b/>
                <w:bCs/>
                <w:color w:val="FFFFFF" w:themeColor="background1"/>
                <w:lang w:val="bg-BG"/>
              </w:rPr>
            </w:pPr>
          </w:p>
        </w:tc>
        <w:tc>
          <w:tcPr>
            <w:tcW w:w="482" w:type="dxa"/>
            <w:shd w:val="clear" w:color="auto" w:fill="00A2E8"/>
            <w:noWrap/>
            <w:textDirection w:val="btLr"/>
            <w:vAlign w:val="center"/>
            <w:hideMark/>
          </w:tcPr>
          <w:p w14:paraId="26891C0B" w14:textId="2A53269B" w:rsidR="00813962" w:rsidRPr="007375EB" w:rsidRDefault="00813962" w:rsidP="00813962">
            <w:pPr>
              <w:spacing w:line="240" w:lineRule="auto"/>
              <w:jc w:val="center"/>
              <w:rPr>
                <w:color w:val="F8F8F8"/>
                <w:sz w:val="14"/>
                <w:szCs w:val="14"/>
                <w:lang w:val="bg-BG"/>
              </w:rPr>
            </w:pPr>
            <w:r w:rsidRPr="007375EB">
              <w:rPr>
                <w:color w:val="F8F8F8"/>
                <w:sz w:val="14"/>
                <w:szCs w:val="14"/>
                <w:lang w:val="bg-BG"/>
              </w:rPr>
              <w:t>Промяна в качеството на въздуха</w:t>
            </w:r>
          </w:p>
        </w:tc>
        <w:tc>
          <w:tcPr>
            <w:tcW w:w="868" w:type="dxa"/>
            <w:shd w:val="clear" w:color="auto" w:fill="00A2E8"/>
            <w:noWrap/>
            <w:hideMark/>
          </w:tcPr>
          <w:p w14:paraId="7505865E" w14:textId="557AB34B" w:rsidR="00813962" w:rsidRPr="007375EB" w:rsidRDefault="00813962" w:rsidP="00813962">
            <w:pPr>
              <w:spacing w:line="240" w:lineRule="auto"/>
              <w:jc w:val="center"/>
              <w:rPr>
                <w:color w:val="F8F8F8"/>
                <w:sz w:val="14"/>
                <w:szCs w:val="14"/>
                <w:lang w:val="bg-BG"/>
              </w:rPr>
            </w:pPr>
            <w:r w:rsidRPr="007375EB">
              <w:rPr>
                <w:color w:val="F8F8F8"/>
                <w:sz w:val="14"/>
                <w:szCs w:val="14"/>
                <w:lang w:val="bg-BG"/>
              </w:rPr>
              <w:t>Повишен шум и вибрации</w:t>
            </w:r>
          </w:p>
        </w:tc>
        <w:tc>
          <w:tcPr>
            <w:tcW w:w="630" w:type="dxa"/>
            <w:shd w:val="clear" w:color="auto" w:fill="00A2E8"/>
            <w:noWrap/>
            <w:hideMark/>
          </w:tcPr>
          <w:p w14:paraId="7000C313" w14:textId="5F3D1F95" w:rsidR="00813962" w:rsidRPr="007375EB" w:rsidRDefault="00813962" w:rsidP="00813962">
            <w:pPr>
              <w:spacing w:line="240" w:lineRule="auto"/>
              <w:jc w:val="center"/>
              <w:rPr>
                <w:color w:val="F8F8F8"/>
                <w:sz w:val="14"/>
                <w:szCs w:val="14"/>
                <w:lang w:val="bg-BG"/>
              </w:rPr>
            </w:pPr>
            <w:r w:rsidRPr="007375EB">
              <w:rPr>
                <w:color w:val="F8F8F8"/>
                <w:sz w:val="14"/>
                <w:szCs w:val="14"/>
                <w:lang w:val="bg-BG"/>
              </w:rPr>
              <w:t>Повишен шум и вибрации</w:t>
            </w:r>
          </w:p>
        </w:tc>
        <w:tc>
          <w:tcPr>
            <w:tcW w:w="810" w:type="dxa"/>
            <w:shd w:val="clear" w:color="auto" w:fill="00A2E8"/>
            <w:noWrap/>
            <w:textDirection w:val="btLr"/>
            <w:vAlign w:val="center"/>
            <w:hideMark/>
          </w:tcPr>
          <w:p w14:paraId="6848A4B7" w14:textId="13082E61" w:rsidR="00813962" w:rsidRPr="007375EB" w:rsidRDefault="00813962" w:rsidP="00813962">
            <w:pPr>
              <w:spacing w:line="240" w:lineRule="auto"/>
              <w:jc w:val="center"/>
              <w:rPr>
                <w:color w:val="F8F8F8"/>
                <w:sz w:val="14"/>
                <w:szCs w:val="14"/>
                <w:lang w:val="bg-BG"/>
              </w:rPr>
            </w:pPr>
            <w:r w:rsidRPr="007375EB">
              <w:rPr>
                <w:color w:val="F8F8F8"/>
                <w:sz w:val="14"/>
                <w:szCs w:val="14"/>
                <w:lang w:val="bg-BG"/>
              </w:rPr>
              <w:t>Повишена концентрация на замърсители в почвата/замърсяване</w:t>
            </w:r>
          </w:p>
        </w:tc>
        <w:tc>
          <w:tcPr>
            <w:tcW w:w="630" w:type="dxa"/>
            <w:shd w:val="clear" w:color="auto" w:fill="00A2E8"/>
            <w:noWrap/>
            <w:textDirection w:val="btLr"/>
            <w:vAlign w:val="center"/>
            <w:hideMark/>
          </w:tcPr>
          <w:p w14:paraId="45E3E136" w14:textId="1BD3F4B6" w:rsidR="00813962" w:rsidRPr="007375EB" w:rsidRDefault="00813962" w:rsidP="00813962">
            <w:pPr>
              <w:spacing w:line="240" w:lineRule="auto"/>
              <w:jc w:val="center"/>
              <w:rPr>
                <w:color w:val="F8F8F8"/>
                <w:sz w:val="14"/>
                <w:szCs w:val="14"/>
                <w:lang w:val="bg-BG"/>
              </w:rPr>
            </w:pPr>
            <w:r w:rsidRPr="007375EB">
              <w:rPr>
                <w:color w:val="F8F8F8"/>
                <w:sz w:val="14"/>
                <w:szCs w:val="14"/>
                <w:lang w:val="bg-BG"/>
              </w:rPr>
              <w:t>Заемане на земя</w:t>
            </w:r>
          </w:p>
        </w:tc>
        <w:tc>
          <w:tcPr>
            <w:tcW w:w="720" w:type="dxa"/>
            <w:shd w:val="clear" w:color="auto" w:fill="00A2E8"/>
            <w:noWrap/>
            <w:textDirection w:val="btLr"/>
            <w:vAlign w:val="center"/>
            <w:hideMark/>
          </w:tcPr>
          <w:p w14:paraId="5243C190" w14:textId="5120A661" w:rsidR="00813962" w:rsidRPr="007375EB" w:rsidRDefault="00813962" w:rsidP="00813962">
            <w:pPr>
              <w:spacing w:line="240" w:lineRule="auto"/>
              <w:jc w:val="center"/>
              <w:rPr>
                <w:color w:val="F8F8F8"/>
                <w:sz w:val="14"/>
                <w:szCs w:val="14"/>
                <w:lang w:val="bg-BG"/>
              </w:rPr>
            </w:pPr>
            <w:r w:rsidRPr="007375EB">
              <w:rPr>
                <w:color w:val="F8F8F8"/>
                <w:sz w:val="14"/>
                <w:szCs w:val="14"/>
                <w:lang w:val="bg-BG"/>
              </w:rPr>
              <w:t>Промени в растителността</w:t>
            </w:r>
          </w:p>
        </w:tc>
        <w:tc>
          <w:tcPr>
            <w:tcW w:w="720" w:type="dxa"/>
            <w:shd w:val="clear" w:color="auto" w:fill="00A2E8"/>
            <w:noWrap/>
            <w:textDirection w:val="btLr"/>
            <w:vAlign w:val="center"/>
            <w:hideMark/>
          </w:tcPr>
          <w:p w14:paraId="0C658F33" w14:textId="4B5E7DED" w:rsidR="00813962" w:rsidRPr="007375EB" w:rsidRDefault="00813962" w:rsidP="00813962">
            <w:pPr>
              <w:spacing w:line="240" w:lineRule="auto"/>
              <w:jc w:val="center"/>
              <w:rPr>
                <w:color w:val="F8F8F8"/>
                <w:sz w:val="14"/>
                <w:szCs w:val="14"/>
                <w:lang w:val="bg-BG"/>
              </w:rPr>
            </w:pPr>
            <w:r w:rsidRPr="007375EB">
              <w:rPr>
                <w:color w:val="F8F8F8"/>
                <w:sz w:val="14"/>
                <w:szCs w:val="14"/>
                <w:lang w:val="bg-BG"/>
              </w:rPr>
              <w:t>Въвеждане/разпространение на инвазивни видове</w:t>
            </w:r>
          </w:p>
        </w:tc>
        <w:tc>
          <w:tcPr>
            <w:tcW w:w="540" w:type="dxa"/>
            <w:shd w:val="clear" w:color="auto" w:fill="00A2E8"/>
            <w:noWrap/>
            <w:textDirection w:val="btLr"/>
            <w:vAlign w:val="center"/>
            <w:hideMark/>
          </w:tcPr>
          <w:p w14:paraId="2F3361DC" w14:textId="492E0899" w:rsidR="00813962" w:rsidRPr="007375EB" w:rsidRDefault="00813962" w:rsidP="00813962">
            <w:pPr>
              <w:spacing w:line="240" w:lineRule="auto"/>
              <w:jc w:val="center"/>
              <w:rPr>
                <w:color w:val="F8F8F8"/>
                <w:sz w:val="14"/>
                <w:szCs w:val="14"/>
                <w:lang w:val="bg-BG"/>
              </w:rPr>
            </w:pPr>
            <w:r w:rsidRPr="007375EB">
              <w:rPr>
                <w:color w:val="F8F8F8"/>
                <w:sz w:val="14"/>
                <w:szCs w:val="14"/>
                <w:lang w:val="bg-BG"/>
              </w:rPr>
              <w:t>Смъртност сред дивите животни</w:t>
            </w:r>
          </w:p>
        </w:tc>
        <w:tc>
          <w:tcPr>
            <w:tcW w:w="990" w:type="dxa"/>
            <w:shd w:val="clear" w:color="auto" w:fill="00A2E8"/>
            <w:textDirection w:val="btLr"/>
            <w:vAlign w:val="center"/>
            <w:hideMark/>
          </w:tcPr>
          <w:p w14:paraId="621BE4D9" w14:textId="46F18114" w:rsidR="00813962" w:rsidRPr="007375EB" w:rsidRDefault="00813962" w:rsidP="00813962">
            <w:pPr>
              <w:spacing w:line="240" w:lineRule="auto"/>
              <w:jc w:val="center"/>
              <w:rPr>
                <w:color w:val="F8F8F8"/>
                <w:sz w:val="14"/>
                <w:szCs w:val="14"/>
                <w:lang w:val="bg-BG"/>
              </w:rPr>
            </w:pPr>
            <w:r w:rsidRPr="007375EB">
              <w:rPr>
                <w:color w:val="F8F8F8"/>
                <w:sz w:val="14"/>
                <w:szCs w:val="14"/>
                <w:lang w:val="bg-BG"/>
              </w:rPr>
              <w:t>Възникване на поведенчески бариери</w:t>
            </w:r>
          </w:p>
          <w:p w14:paraId="613DEF97" w14:textId="632747B9" w:rsidR="00813962" w:rsidRPr="007375EB" w:rsidRDefault="00813962" w:rsidP="00813962">
            <w:pPr>
              <w:spacing w:line="240" w:lineRule="auto"/>
              <w:jc w:val="center"/>
              <w:rPr>
                <w:color w:val="F8F8F8"/>
                <w:sz w:val="14"/>
                <w:szCs w:val="14"/>
                <w:lang w:val="bg-BG"/>
              </w:rPr>
            </w:pPr>
            <w:r w:rsidRPr="007375EB">
              <w:rPr>
                <w:color w:val="F8F8F8"/>
                <w:sz w:val="14"/>
                <w:szCs w:val="14"/>
                <w:lang w:val="bg-BG"/>
              </w:rPr>
              <w:t>за дивите животни</w:t>
            </w:r>
          </w:p>
        </w:tc>
        <w:tc>
          <w:tcPr>
            <w:tcW w:w="499" w:type="dxa"/>
            <w:shd w:val="clear" w:color="auto" w:fill="00A2E8"/>
            <w:noWrap/>
            <w:vAlign w:val="center"/>
            <w:hideMark/>
          </w:tcPr>
          <w:p w14:paraId="201D5650" w14:textId="77777777" w:rsidR="00813962" w:rsidRPr="007375EB" w:rsidRDefault="00813962" w:rsidP="00813962">
            <w:pPr>
              <w:rPr>
                <w:color w:val="F8F8F8"/>
                <w:sz w:val="14"/>
                <w:szCs w:val="14"/>
                <w:lang w:val="bg-BG"/>
              </w:rPr>
            </w:pPr>
            <w:r w:rsidRPr="007375EB">
              <w:rPr>
                <w:color w:val="F8F8F8"/>
                <w:sz w:val="14"/>
                <w:szCs w:val="14"/>
                <w:lang w:val="bg-BG"/>
              </w:rPr>
              <w:t>PH</w:t>
            </w:r>
          </w:p>
        </w:tc>
        <w:tc>
          <w:tcPr>
            <w:tcW w:w="507" w:type="dxa"/>
            <w:shd w:val="clear" w:color="auto" w:fill="00A2E8"/>
            <w:noWrap/>
            <w:vAlign w:val="center"/>
            <w:hideMark/>
          </w:tcPr>
          <w:p w14:paraId="20850877" w14:textId="77777777" w:rsidR="00813962" w:rsidRPr="007375EB" w:rsidRDefault="00813962" w:rsidP="00813962">
            <w:pPr>
              <w:rPr>
                <w:color w:val="F8F8F8"/>
                <w:sz w:val="14"/>
                <w:szCs w:val="14"/>
                <w:lang w:val="bg-BG"/>
              </w:rPr>
            </w:pPr>
            <w:r w:rsidRPr="007375EB">
              <w:rPr>
                <w:color w:val="F8F8F8"/>
                <w:sz w:val="14"/>
                <w:szCs w:val="14"/>
                <w:lang w:val="bg-BG"/>
              </w:rPr>
              <w:t>AH</w:t>
            </w:r>
          </w:p>
        </w:tc>
        <w:tc>
          <w:tcPr>
            <w:tcW w:w="524" w:type="dxa"/>
            <w:shd w:val="clear" w:color="auto" w:fill="00A2E8"/>
            <w:noWrap/>
            <w:vAlign w:val="center"/>
            <w:hideMark/>
          </w:tcPr>
          <w:p w14:paraId="2AA2890F" w14:textId="77777777" w:rsidR="00813962" w:rsidRPr="007375EB" w:rsidRDefault="00813962" w:rsidP="00813962">
            <w:pPr>
              <w:rPr>
                <w:color w:val="F8F8F8"/>
                <w:sz w:val="14"/>
                <w:szCs w:val="14"/>
                <w:lang w:val="bg-BG"/>
              </w:rPr>
            </w:pPr>
            <w:r w:rsidRPr="007375EB">
              <w:rPr>
                <w:color w:val="F8F8F8"/>
                <w:sz w:val="14"/>
                <w:szCs w:val="14"/>
                <w:lang w:val="bg-BG"/>
              </w:rPr>
              <w:t>FH</w:t>
            </w:r>
          </w:p>
        </w:tc>
        <w:tc>
          <w:tcPr>
            <w:tcW w:w="616" w:type="dxa"/>
            <w:shd w:val="clear" w:color="auto" w:fill="00A2E8"/>
            <w:noWrap/>
            <w:vAlign w:val="center"/>
            <w:hideMark/>
          </w:tcPr>
          <w:p w14:paraId="3870D765" w14:textId="77777777" w:rsidR="00813962" w:rsidRPr="007375EB" w:rsidRDefault="00813962" w:rsidP="00813962">
            <w:pPr>
              <w:rPr>
                <w:color w:val="F8F8F8"/>
                <w:sz w:val="14"/>
                <w:szCs w:val="14"/>
                <w:lang w:val="bg-BG"/>
              </w:rPr>
            </w:pPr>
            <w:r w:rsidRPr="007375EB">
              <w:rPr>
                <w:color w:val="F8F8F8"/>
                <w:sz w:val="14"/>
                <w:szCs w:val="14"/>
                <w:lang w:val="bg-BG"/>
              </w:rPr>
              <w:t>PAS</w:t>
            </w:r>
          </w:p>
        </w:tc>
        <w:tc>
          <w:tcPr>
            <w:tcW w:w="612" w:type="dxa"/>
            <w:shd w:val="clear" w:color="auto" w:fill="00A2E8"/>
            <w:noWrap/>
            <w:vAlign w:val="center"/>
            <w:hideMark/>
          </w:tcPr>
          <w:p w14:paraId="5C041A74" w14:textId="77777777" w:rsidR="00813962" w:rsidRPr="007375EB" w:rsidRDefault="00813962" w:rsidP="00813962">
            <w:pPr>
              <w:rPr>
                <w:color w:val="F8F8F8"/>
                <w:sz w:val="14"/>
                <w:szCs w:val="14"/>
                <w:lang w:val="bg-BG"/>
              </w:rPr>
            </w:pPr>
            <w:r w:rsidRPr="007375EB">
              <w:rPr>
                <w:color w:val="F8F8F8"/>
                <w:sz w:val="14"/>
                <w:szCs w:val="14"/>
                <w:lang w:val="bg-BG"/>
              </w:rPr>
              <w:t>REP</w:t>
            </w:r>
          </w:p>
        </w:tc>
      </w:tr>
      <w:tr w:rsidR="0095077B" w:rsidRPr="007375EB" w14:paraId="1A5C292B" w14:textId="77777777" w:rsidTr="00813962">
        <w:trPr>
          <w:trHeight w:val="210"/>
        </w:trPr>
        <w:tc>
          <w:tcPr>
            <w:tcW w:w="15555" w:type="dxa"/>
            <w:gridSpan w:val="17"/>
            <w:shd w:val="clear" w:color="auto" w:fill="F2F2F2" w:themeFill="background1" w:themeFillShade="F2"/>
            <w:noWrap/>
            <w:hideMark/>
          </w:tcPr>
          <w:p w14:paraId="1D9C9065" w14:textId="5671C791" w:rsidR="0095077B" w:rsidRPr="007375EB" w:rsidRDefault="0095077B" w:rsidP="0095077B">
            <w:pPr>
              <w:rPr>
                <w:b/>
                <w:bCs/>
                <w:lang w:val="bg-BG"/>
              </w:rPr>
            </w:pPr>
            <w:r w:rsidRPr="007375EB">
              <w:rPr>
                <w:b/>
                <w:bCs/>
                <w:lang w:val="bg-BG"/>
              </w:rPr>
              <w:t xml:space="preserve">ROSCI0071/ROSAC0071 </w:t>
            </w:r>
            <w:r w:rsidR="00813962" w:rsidRPr="007375EB">
              <w:rPr>
                <w:b/>
                <w:bCs/>
                <w:lang w:val="bg-BG"/>
              </w:rPr>
              <w:t xml:space="preserve">Думбръвени - долината Урлуя - езерото Ведероаса </w:t>
            </w:r>
          </w:p>
        </w:tc>
      </w:tr>
      <w:tr w:rsidR="0095077B" w:rsidRPr="007375EB" w14:paraId="2DDED326" w14:textId="77777777" w:rsidTr="00813962">
        <w:trPr>
          <w:trHeight w:val="210"/>
        </w:trPr>
        <w:tc>
          <w:tcPr>
            <w:tcW w:w="621" w:type="dxa"/>
            <w:noWrap/>
            <w:hideMark/>
          </w:tcPr>
          <w:p w14:paraId="5CA40C1E" w14:textId="77777777" w:rsidR="0095077B" w:rsidRPr="007375EB" w:rsidRDefault="0095077B" w:rsidP="0095077B">
            <w:pPr>
              <w:rPr>
                <w:lang w:val="bg-BG"/>
              </w:rPr>
            </w:pPr>
            <w:r w:rsidRPr="007375EB">
              <w:rPr>
                <w:lang w:val="bg-BG"/>
              </w:rPr>
              <w:t>1</w:t>
            </w:r>
          </w:p>
        </w:tc>
        <w:tc>
          <w:tcPr>
            <w:tcW w:w="3769" w:type="dxa"/>
            <w:noWrap/>
            <w:hideMark/>
          </w:tcPr>
          <w:p w14:paraId="1C71CF44" w14:textId="4B291AEE" w:rsidR="0095077B" w:rsidRPr="007375EB" w:rsidRDefault="00813962" w:rsidP="0095077B">
            <w:pPr>
              <w:rPr>
                <w:lang w:val="bg-BG"/>
              </w:rPr>
            </w:pPr>
            <w:r w:rsidRPr="007375EB">
              <w:rPr>
                <w:lang w:val="bg-BG"/>
              </w:rPr>
              <w:t>Вятърен парк на Кирногени (съществуващ)</w:t>
            </w:r>
          </w:p>
        </w:tc>
        <w:tc>
          <w:tcPr>
            <w:tcW w:w="2017" w:type="dxa"/>
            <w:noWrap/>
            <w:vAlign w:val="center"/>
            <w:hideMark/>
          </w:tcPr>
          <w:p w14:paraId="55291A8D" w14:textId="0A4FF5FE" w:rsidR="0095077B" w:rsidRPr="007375EB" w:rsidRDefault="0095077B" w:rsidP="0095077B">
            <w:pPr>
              <w:rPr>
                <w:lang w:val="bg-BG"/>
              </w:rPr>
            </w:pPr>
            <w:r w:rsidRPr="007375EB">
              <w:rPr>
                <w:lang w:val="bg-BG"/>
              </w:rPr>
              <w:t xml:space="preserve">5,1 </w:t>
            </w:r>
            <w:r w:rsidR="0034375E" w:rsidRPr="007375EB">
              <w:rPr>
                <w:lang w:val="bg-BG"/>
              </w:rPr>
              <w:t>км</w:t>
            </w:r>
          </w:p>
        </w:tc>
        <w:tc>
          <w:tcPr>
            <w:tcW w:w="482" w:type="dxa"/>
            <w:noWrap/>
            <w:vAlign w:val="center"/>
            <w:hideMark/>
          </w:tcPr>
          <w:p w14:paraId="24EC6B91" w14:textId="77777777" w:rsidR="0095077B" w:rsidRPr="007375EB" w:rsidRDefault="0095077B" w:rsidP="0095077B">
            <w:pPr>
              <w:rPr>
                <w:lang w:val="bg-BG"/>
              </w:rPr>
            </w:pPr>
            <w:r w:rsidRPr="007375EB">
              <w:rPr>
                <w:lang w:val="bg-BG"/>
              </w:rPr>
              <w:t>-</w:t>
            </w:r>
          </w:p>
        </w:tc>
        <w:tc>
          <w:tcPr>
            <w:tcW w:w="868" w:type="dxa"/>
            <w:noWrap/>
            <w:vAlign w:val="center"/>
            <w:hideMark/>
          </w:tcPr>
          <w:p w14:paraId="1CE75313" w14:textId="77777777" w:rsidR="0095077B" w:rsidRPr="007375EB" w:rsidRDefault="0095077B" w:rsidP="0095077B">
            <w:pPr>
              <w:rPr>
                <w:lang w:val="bg-BG"/>
              </w:rPr>
            </w:pPr>
            <w:r w:rsidRPr="007375EB">
              <w:rPr>
                <w:lang w:val="bg-BG"/>
              </w:rPr>
              <w:t>-</w:t>
            </w:r>
          </w:p>
        </w:tc>
        <w:tc>
          <w:tcPr>
            <w:tcW w:w="630" w:type="dxa"/>
            <w:noWrap/>
            <w:vAlign w:val="center"/>
            <w:hideMark/>
          </w:tcPr>
          <w:p w14:paraId="716AB89F" w14:textId="77777777" w:rsidR="0095077B" w:rsidRPr="007375EB" w:rsidRDefault="0095077B" w:rsidP="0095077B">
            <w:pPr>
              <w:rPr>
                <w:lang w:val="bg-BG"/>
              </w:rPr>
            </w:pPr>
            <w:r w:rsidRPr="007375EB">
              <w:rPr>
                <w:lang w:val="bg-BG"/>
              </w:rPr>
              <w:t>-</w:t>
            </w:r>
          </w:p>
        </w:tc>
        <w:tc>
          <w:tcPr>
            <w:tcW w:w="810" w:type="dxa"/>
            <w:noWrap/>
            <w:vAlign w:val="center"/>
            <w:hideMark/>
          </w:tcPr>
          <w:p w14:paraId="263998DC" w14:textId="77777777" w:rsidR="0095077B" w:rsidRPr="007375EB" w:rsidRDefault="0095077B" w:rsidP="0095077B">
            <w:pPr>
              <w:rPr>
                <w:lang w:val="bg-BG"/>
              </w:rPr>
            </w:pPr>
            <w:r w:rsidRPr="007375EB">
              <w:rPr>
                <w:lang w:val="bg-BG"/>
              </w:rPr>
              <w:t>-</w:t>
            </w:r>
          </w:p>
        </w:tc>
        <w:tc>
          <w:tcPr>
            <w:tcW w:w="630" w:type="dxa"/>
            <w:noWrap/>
            <w:vAlign w:val="center"/>
            <w:hideMark/>
          </w:tcPr>
          <w:p w14:paraId="0AA9F562" w14:textId="77777777" w:rsidR="0095077B" w:rsidRPr="007375EB" w:rsidRDefault="0095077B" w:rsidP="0095077B">
            <w:pPr>
              <w:rPr>
                <w:lang w:val="bg-BG"/>
              </w:rPr>
            </w:pPr>
            <w:r w:rsidRPr="007375EB">
              <w:rPr>
                <w:lang w:val="bg-BG"/>
              </w:rPr>
              <w:t>-</w:t>
            </w:r>
          </w:p>
        </w:tc>
        <w:tc>
          <w:tcPr>
            <w:tcW w:w="720" w:type="dxa"/>
            <w:noWrap/>
            <w:vAlign w:val="center"/>
            <w:hideMark/>
          </w:tcPr>
          <w:p w14:paraId="353772B0" w14:textId="77777777" w:rsidR="0095077B" w:rsidRPr="007375EB" w:rsidRDefault="0095077B" w:rsidP="0095077B">
            <w:pPr>
              <w:rPr>
                <w:lang w:val="bg-BG"/>
              </w:rPr>
            </w:pPr>
            <w:r w:rsidRPr="007375EB">
              <w:rPr>
                <w:lang w:val="bg-BG"/>
              </w:rPr>
              <w:t>-</w:t>
            </w:r>
          </w:p>
        </w:tc>
        <w:tc>
          <w:tcPr>
            <w:tcW w:w="720" w:type="dxa"/>
            <w:noWrap/>
            <w:vAlign w:val="center"/>
            <w:hideMark/>
          </w:tcPr>
          <w:p w14:paraId="2B37ABB8" w14:textId="77777777" w:rsidR="0095077B" w:rsidRPr="007375EB" w:rsidRDefault="0095077B" w:rsidP="0095077B">
            <w:pPr>
              <w:rPr>
                <w:lang w:val="bg-BG"/>
              </w:rPr>
            </w:pPr>
            <w:r w:rsidRPr="007375EB">
              <w:rPr>
                <w:lang w:val="bg-BG"/>
              </w:rPr>
              <w:t>-</w:t>
            </w:r>
          </w:p>
        </w:tc>
        <w:tc>
          <w:tcPr>
            <w:tcW w:w="540" w:type="dxa"/>
            <w:noWrap/>
            <w:vAlign w:val="center"/>
            <w:hideMark/>
          </w:tcPr>
          <w:p w14:paraId="11C38D42" w14:textId="77777777" w:rsidR="0095077B" w:rsidRPr="007375EB" w:rsidRDefault="0095077B" w:rsidP="0095077B">
            <w:pPr>
              <w:rPr>
                <w:lang w:val="bg-BG"/>
              </w:rPr>
            </w:pPr>
            <w:r w:rsidRPr="007375EB">
              <w:rPr>
                <w:lang w:val="bg-BG"/>
              </w:rPr>
              <w:t>X</w:t>
            </w:r>
          </w:p>
        </w:tc>
        <w:tc>
          <w:tcPr>
            <w:tcW w:w="990" w:type="dxa"/>
            <w:noWrap/>
            <w:vAlign w:val="center"/>
            <w:hideMark/>
          </w:tcPr>
          <w:p w14:paraId="160EE788" w14:textId="77777777" w:rsidR="0095077B" w:rsidRPr="007375EB" w:rsidRDefault="0095077B" w:rsidP="0095077B">
            <w:pPr>
              <w:rPr>
                <w:lang w:val="bg-BG"/>
              </w:rPr>
            </w:pPr>
            <w:r w:rsidRPr="007375EB">
              <w:rPr>
                <w:lang w:val="bg-BG"/>
              </w:rPr>
              <w:t>X</w:t>
            </w:r>
          </w:p>
        </w:tc>
        <w:tc>
          <w:tcPr>
            <w:tcW w:w="499" w:type="dxa"/>
            <w:noWrap/>
            <w:vAlign w:val="center"/>
            <w:hideMark/>
          </w:tcPr>
          <w:p w14:paraId="54D51BFB" w14:textId="77777777" w:rsidR="0095077B" w:rsidRPr="007375EB" w:rsidRDefault="0095077B" w:rsidP="0095077B">
            <w:pPr>
              <w:rPr>
                <w:lang w:val="bg-BG"/>
              </w:rPr>
            </w:pPr>
            <w:r w:rsidRPr="007375EB">
              <w:rPr>
                <w:lang w:val="bg-BG"/>
              </w:rPr>
              <w:t>-</w:t>
            </w:r>
          </w:p>
        </w:tc>
        <w:tc>
          <w:tcPr>
            <w:tcW w:w="507" w:type="dxa"/>
            <w:noWrap/>
            <w:vAlign w:val="center"/>
            <w:hideMark/>
          </w:tcPr>
          <w:p w14:paraId="0E9F4248" w14:textId="77777777" w:rsidR="0095077B" w:rsidRPr="007375EB" w:rsidRDefault="0095077B" w:rsidP="0095077B">
            <w:pPr>
              <w:rPr>
                <w:lang w:val="bg-BG"/>
              </w:rPr>
            </w:pPr>
            <w:r w:rsidRPr="007375EB">
              <w:rPr>
                <w:lang w:val="bg-BG"/>
              </w:rPr>
              <w:t>X</w:t>
            </w:r>
          </w:p>
        </w:tc>
        <w:tc>
          <w:tcPr>
            <w:tcW w:w="524" w:type="dxa"/>
            <w:noWrap/>
            <w:vAlign w:val="center"/>
            <w:hideMark/>
          </w:tcPr>
          <w:p w14:paraId="0EBE6C52" w14:textId="77777777" w:rsidR="0095077B" w:rsidRPr="007375EB" w:rsidRDefault="0095077B" w:rsidP="0095077B">
            <w:pPr>
              <w:rPr>
                <w:lang w:val="bg-BG"/>
              </w:rPr>
            </w:pPr>
            <w:r w:rsidRPr="007375EB">
              <w:rPr>
                <w:lang w:val="bg-BG"/>
              </w:rPr>
              <w:t>X</w:t>
            </w:r>
          </w:p>
        </w:tc>
        <w:tc>
          <w:tcPr>
            <w:tcW w:w="616" w:type="dxa"/>
            <w:noWrap/>
            <w:vAlign w:val="center"/>
            <w:hideMark/>
          </w:tcPr>
          <w:p w14:paraId="3A4E470D" w14:textId="77777777" w:rsidR="0095077B" w:rsidRPr="007375EB" w:rsidRDefault="0095077B" w:rsidP="0095077B">
            <w:pPr>
              <w:rPr>
                <w:lang w:val="bg-BG"/>
              </w:rPr>
            </w:pPr>
            <w:r w:rsidRPr="007375EB">
              <w:rPr>
                <w:lang w:val="bg-BG"/>
              </w:rPr>
              <w:t>X</w:t>
            </w:r>
          </w:p>
        </w:tc>
        <w:tc>
          <w:tcPr>
            <w:tcW w:w="612" w:type="dxa"/>
            <w:noWrap/>
            <w:vAlign w:val="center"/>
            <w:hideMark/>
          </w:tcPr>
          <w:p w14:paraId="68089F94" w14:textId="77777777" w:rsidR="0095077B" w:rsidRPr="007375EB" w:rsidRDefault="0095077B" w:rsidP="0095077B">
            <w:pPr>
              <w:rPr>
                <w:lang w:val="bg-BG"/>
              </w:rPr>
            </w:pPr>
            <w:r w:rsidRPr="007375EB">
              <w:rPr>
                <w:lang w:val="bg-BG"/>
              </w:rPr>
              <w:t>X</w:t>
            </w:r>
          </w:p>
        </w:tc>
      </w:tr>
      <w:tr w:rsidR="0095077B" w:rsidRPr="007375EB" w14:paraId="668FCF83" w14:textId="77777777" w:rsidTr="00813962">
        <w:trPr>
          <w:trHeight w:val="210"/>
        </w:trPr>
        <w:tc>
          <w:tcPr>
            <w:tcW w:w="621" w:type="dxa"/>
            <w:noWrap/>
          </w:tcPr>
          <w:p w14:paraId="33D1F223" w14:textId="45C440C7" w:rsidR="0095077B" w:rsidRPr="007375EB" w:rsidRDefault="00D84C00" w:rsidP="0095077B">
            <w:pPr>
              <w:rPr>
                <w:lang w:val="bg-BG"/>
              </w:rPr>
            </w:pPr>
            <w:r w:rsidRPr="007375EB">
              <w:rPr>
                <w:lang w:val="bg-BG"/>
              </w:rPr>
              <w:t>2</w:t>
            </w:r>
          </w:p>
        </w:tc>
        <w:tc>
          <w:tcPr>
            <w:tcW w:w="3769" w:type="dxa"/>
            <w:noWrap/>
          </w:tcPr>
          <w:p w14:paraId="184306E7" w14:textId="38EE5C86" w:rsidR="0095077B" w:rsidRPr="007375EB" w:rsidRDefault="00813962" w:rsidP="0095077B">
            <w:pPr>
              <w:rPr>
                <w:lang w:val="bg-BG"/>
              </w:rPr>
            </w:pPr>
            <w:r w:rsidRPr="007375EB">
              <w:rPr>
                <w:lang w:val="bg-BG"/>
              </w:rPr>
              <w:t>Вятърен парк Карнобат (съществуващ)</w:t>
            </w:r>
          </w:p>
        </w:tc>
        <w:tc>
          <w:tcPr>
            <w:tcW w:w="2017" w:type="dxa"/>
            <w:noWrap/>
            <w:vAlign w:val="center"/>
          </w:tcPr>
          <w:p w14:paraId="5E6C8BC1" w14:textId="72D2B8CC" w:rsidR="0095077B" w:rsidRPr="007375EB" w:rsidRDefault="0095077B" w:rsidP="0095077B">
            <w:pPr>
              <w:rPr>
                <w:lang w:val="bg-BG"/>
              </w:rPr>
            </w:pPr>
            <w:r w:rsidRPr="007375EB">
              <w:rPr>
                <w:lang w:val="bg-BG"/>
              </w:rPr>
              <w:t xml:space="preserve">16,89 </w:t>
            </w:r>
            <w:r w:rsidR="0034375E" w:rsidRPr="007375EB">
              <w:rPr>
                <w:lang w:val="bg-BG"/>
              </w:rPr>
              <w:t>км</w:t>
            </w:r>
          </w:p>
        </w:tc>
        <w:tc>
          <w:tcPr>
            <w:tcW w:w="482" w:type="dxa"/>
            <w:noWrap/>
            <w:vAlign w:val="center"/>
          </w:tcPr>
          <w:p w14:paraId="053A6207" w14:textId="77777777" w:rsidR="0095077B" w:rsidRPr="007375EB" w:rsidRDefault="0095077B" w:rsidP="0095077B">
            <w:pPr>
              <w:rPr>
                <w:lang w:val="bg-BG"/>
              </w:rPr>
            </w:pPr>
            <w:r w:rsidRPr="007375EB">
              <w:rPr>
                <w:lang w:val="bg-BG"/>
              </w:rPr>
              <w:t>-</w:t>
            </w:r>
          </w:p>
        </w:tc>
        <w:tc>
          <w:tcPr>
            <w:tcW w:w="868" w:type="dxa"/>
            <w:noWrap/>
            <w:vAlign w:val="center"/>
          </w:tcPr>
          <w:p w14:paraId="2BCF6423" w14:textId="77777777" w:rsidR="0095077B" w:rsidRPr="007375EB" w:rsidRDefault="0095077B" w:rsidP="0095077B">
            <w:pPr>
              <w:rPr>
                <w:lang w:val="bg-BG"/>
              </w:rPr>
            </w:pPr>
            <w:r w:rsidRPr="007375EB">
              <w:rPr>
                <w:lang w:val="bg-BG"/>
              </w:rPr>
              <w:t>-</w:t>
            </w:r>
          </w:p>
        </w:tc>
        <w:tc>
          <w:tcPr>
            <w:tcW w:w="630" w:type="dxa"/>
            <w:noWrap/>
            <w:vAlign w:val="center"/>
          </w:tcPr>
          <w:p w14:paraId="4E415207" w14:textId="77777777" w:rsidR="0095077B" w:rsidRPr="007375EB" w:rsidRDefault="0095077B" w:rsidP="0095077B">
            <w:pPr>
              <w:rPr>
                <w:lang w:val="bg-BG"/>
              </w:rPr>
            </w:pPr>
            <w:r w:rsidRPr="007375EB">
              <w:rPr>
                <w:lang w:val="bg-BG"/>
              </w:rPr>
              <w:t>-</w:t>
            </w:r>
          </w:p>
        </w:tc>
        <w:tc>
          <w:tcPr>
            <w:tcW w:w="810" w:type="dxa"/>
            <w:noWrap/>
            <w:vAlign w:val="center"/>
          </w:tcPr>
          <w:p w14:paraId="3AF4C30A" w14:textId="77777777" w:rsidR="0095077B" w:rsidRPr="007375EB" w:rsidRDefault="0095077B" w:rsidP="0095077B">
            <w:pPr>
              <w:rPr>
                <w:lang w:val="bg-BG"/>
              </w:rPr>
            </w:pPr>
            <w:r w:rsidRPr="007375EB">
              <w:rPr>
                <w:lang w:val="bg-BG"/>
              </w:rPr>
              <w:t>-</w:t>
            </w:r>
          </w:p>
        </w:tc>
        <w:tc>
          <w:tcPr>
            <w:tcW w:w="630" w:type="dxa"/>
            <w:noWrap/>
            <w:vAlign w:val="center"/>
          </w:tcPr>
          <w:p w14:paraId="5AEB3112" w14:textId="77777777" w:rsidR="0095077B" w:rsidRPr="007375EB" w:rsidRDefault="0095077B" w:rsidP="0095077B">
            <w:pPr>
              <w:rPr>
                <w:lang w:val="bg-BG"/>
              </w:rPr>
            </w:pPr>
            <w:r w:rsidRPr="007375EB">
              <w:rPr>
                <w:lang w:val="bg-BG"/>
              </w:rPr>
              <w:t>-</w:t>
            </w:r>
          </w:p>
        </w:tc>
        <w:tc>
          <w:tcPr>
            <w:tcW w:w="720" w:type="dxa"/>
            <w:noWrap/>
            <w:vAlign w:val="center"/>
          </w:tcPr>
          <w:p w14:paraId="0BC66299" w14:textId="77777777" w:rsidR="0095077B" w:rsidRPr="007375EB" w:rsidRDefault="0095077B" w:rsidP="0095077B">
            <w:pPr>
              <w:rPr>
                <w:lang w:val="bg-BG"/>
              </w:rPr>
            </w:pPr>
            <w:r w:rsidRPr="007375EB">
              <w:rPr>
                <w:lang w:val="bg-BG"/>
              </w:rPr>
              <w:t>-</w:t>
            </w:r>
          </w:p>
        </w:tc>
        <w:tc>
          <w:tcPr>
            <w:tcW w:w="720" w:type="dxa"/>
            <w:noWrap/>
            <w:vAlign w:val="center"/>
          </w:tcPr>
          <w:p w14:paraId="54C14001" w14:textId="77777777" w:rsidR="0095077B" w:rsidRPr="007375EB" w:rsidRDefault="0095077B" w:rsidP="0095077B">
            <w:pPr>
              <w:rPr>
                <w:lang w:val="bg-BG"/>
              </w:rPr>
            </w:pPr>
            <w:r w:rsidRPr="007375EB">
              <w:rPr>
                <w:lang w:val="bg-BG"/>
              </w:rPr>
              <w:t>-</w:t>
            </w:r>
          </w:p>
        </w:tc>
        <w:tc>
          <w:tcPr>
            <w:tcW w:w="540" w:type="dxa"/>
            <w:noWrap/>
            <w:vAlign w:val="center"/>
          </w:tcPr>
          <w:p w14:paraId="14C13797" w14:textId="77777777" w:rsidR="0095077B" w:rsidRPr="007375EB" w:rsidRDefault="0095077B" w:rsidP="0095077B">
            <w:pPr>
              <w:rPr>
                <w:lang w:val="bg-BG"/>
              </w:rPr>
            </w:pPr>
            <w:r w:rsidRPr="007375EB">
              <w:rPr>
                <w:lang w:val="bg-BG"/>
              </w:rPr>
              <w:t>-</w:t>
            </w:r>
          </w:p>
        </w:tc>
        <w:tc>
          <w:tcPr>
            <w:tcW w:w="990" w:type="dxa"/>
            <w:noWrap/>
            <w:vAlign w:val="center"/>
          </w:tcPr>
          <w:p w14:paraId="537E4B6F" w14:textId="77777777" w:rsidR="0095077B" w:rsidRPr="007375EB" w:rsidRDefault="0095077B" w:rsidP="0095077B">
            <w:pPr>
              <w:rPr>
                <w:lang w:val="bg-BG"/>
              </w:rPr>
            </w:pPr>
            <w:r w:rsidRPr="007375EB">
              <w:rPr>
                <w:lang w:val="bg-BG"/>
              </w:rPr>
              <w:t>-</w:t>
            </w:r>
          </w:p>
        </w:tc>
        <w:tc>
          <w:tcPr>
            <w:tcW w:w="499" w:type="dxa"/>
            <w:noWrap/>
            <w:vAlign w:val="center"/>
          </w:tcPr>
          <w:p w14:paraId="2F20C847" w14:textId="77777777" w:rsidR="0095077B" w:rsidRPr="007375EB" w:rsidRDefault="0095077B" w:rsidP="0095077B">
            <w:pPr>
              <w:rPr>
                <w:lang w:val="bg-BG"/>
              </w:rPr>
            </w:pPr>
            <w:r w:rsidRPr="007375EB">
              <w:rPr>
                <w:lang w:val="bg-BG"/>
              </w:rPr>
              <w:t>-</w:t>
            </w:r>
          </w:p>
        </w:tc>
        <w:tc>
          <w:tcPr>
            <w:tcW w:w="507" w:type="dxa"/>
            <w:noWrap/>
            <w:vAlign w:val="center"/>
          </w:tcPr>
          <w:p w14:paraId="17B0154D" w14:textId="77777777" w:rsidR="0095077B" w:rsidRPr="007375EB" w:rsidRDefault="0095077B" w:rsidP="0095077B">
            <w:pPr>
              <w:rPr>
                <w:lang w:val="bg-BG"/>
              </w:rPr>
            </w:pPr>
            <w:r w:rsidRPr="007375EB">
              <w:rPr>
                <w:lang w:val="bg-BG"/>
              </w:rPr>
              <w:t>-</w:t>
            </w:r>
          </w:p>
        </w:tc>
        <w:tc>
          <w:tcPr>
            <w:tcW w:w="524" w:type="dxa"/>
            <w:noWrap/>
            <w:vAlign w:val="center"/>
          </w:tcPr>
          <w:p w14:paraId="592DE5B7" w14:textId="77777777" w:rsidR="0095077B" w:rsidRPr="007375EB" w:rsidRDefault="0095077B" w:rsidP="0095077B">
            <w:pPr>
              <w:rPr>
                <w:lang w:val="bg-BG"/>
              </w:rPr>
            </w:pPr>
            <w:r w:rsidRPr="007375EB">
              <w:rPr>
                <w:lang w:val="bg-BG"/>
              </w:rPr>
              <w:t>-</w:t>
            </w:r>
          </w:p>
        </w:tc>
        <w:tc>
          <w:tcPr>
            <w:tcW w:w="616" w:type="dxa"/>
            <w:noWrap/>
            <w:vAlign w:val="center"/>
          </w:tcPr>
          <w:p w14:paraId="50D286E7" w14:textId="77777777" w:rsidR="0095077B" w:rsidRPr="007375EB" w:rsidRDefault="0095077B" w:rsidP="0095077B">
            <w:pPr>
              <w:rPr>
                <w:lang w:val="bg-BG"/>
              </w:rPr>
            </w:pPr>
            <w:r w:rsidRPr="007375EB">
              <w:rPr>
                <w:lang w:val="bg-BG"/>
              </w:rPr>
              <w:t>-</w:t>
            </w:r>
          </w:p>
        </w:tc>
        <w:tc>
          <w:tcPr>
            <w:tcW w:w="612" w:type="dxa"/>
            <w:noWrap/>
            <w:vAlign w:val="center"/>
          </w:tcPr>
          <w:p w14:paraId="378E3B90" w14:textId="77777777" w:rsidR="0095077B" w:rsidRPr="007375EB" w:rsidRDefault="0095077B" w:rsidP="0095077B">
            <w:pPr>
              <w:rPr>
                <w:lang w:val="bg-BG"/>
              </w:rPr>
            </w:pPr>
            <w:r w:rsidRPr="007375EB">
              <w:rPr>
                <w:lang w:val="bg-BG"/>
              </w:rPr>
              <w:t>-</w:t>
            </w:r>
          </w:p>
        </w:tc>
      </w:tr>
      <w:tr w:rsidR="0095077B" w:rsidRPr="007375EB" w14:paraId="7018B364" w14:textId="77777777" w:rsidTr="00813962">
        <w:trPr>
          <w:trHeight w:val="210"/>
        </w:trPr>
        <w:tc>
          <w:tcPr>
            <w:tcW w:w="15555" w:type="dxa"/>
            <w:gridSpan w:val="17"/>
            <w:shd w:val="clear" w:color="auto" w:fill="F2F2F2" w:themeFill="background1" w:themeFillShade="F2"/>
            <w:noWrap/>
            <w:hideMark/>
          </w:tcPr>
          <w:p w14:paraId="3618CA61" w14:textId="4AF777BB" w:rsidR="0095077B" w:rsidRPr="007375EB" w:rsidRDefault="0095077B" w:rsidP="0095077B">
            <w:pPr>
              <w:rPr>
                <w:b/>
                <w:bCs/>
                <w:lang w:val="bg-BG"/>
              </w:rPr>
            </w:pPr>
            <w:r w:rsidRPr="007375EB">
              <w:rPr>
                <w:b/>
                <w:bCs/>
                <w:lang w:val="bg-BG"/>
              </w:rPr>
              <w:t xml:space="preserve">ROSCI0157/ROSAC157 </w:t>
            </w:r>
            <w:r w:rsidR="0034375E" w:rsidRPr="007375EB">
              <w:rPr>
                <w:b/>
                <w:bCs/>
                <w:lang w:val="bg-BG"/>
              </w:rPr>
              <w:t>Гората Хаджиени – Коту Въи</w:t>
            </w:r>
          </w:p>
        </w:tc>
      </w:tr>
      <w:tr w:rsidR="0095077B" w:rsidRPr="007375EB" w14:paraId="7F0EF9CC" w14:textId="77777777" w:rsidTr="00813962">
        <w:trPr>
          <w:trHeight w:val="210"/>
        </w:trPr>
        <w:tc>
          <w:tcPr>
            <w:tcW w:w="621" w:type="dxa"/>
            <w:noWrap/>
            <w:hideMark/>
          </w:tcPr>
          <w:p w14:paraId="7EA70074" w14:textId="77777777" w:rsidR="0095077B" w:rsidRPr="007375EB" w:rsidRDefault="0095077B" w:rsidP="0095077B">
            <w:pPr>
              <w:rPr>
                <w:lang w:val="bg-BG"/>
              </w:rPr>
            </w:pPr>
            <w:r w:rsidRPr="007375EB">
              <w:rPr>
                <w:lang w:val="bg-BG"/>
              </w:rPr>
              <w:t>1</w:t>
            </w:r>
          </w:p>
        </w:tc>
        <w:tc>
          <w:tcPr>
            <w:tcW w:w="3769" w:type="dxa"/>
            <w:noWrap/>
            <w:hideMark/>
          </w:tcPr>
          <w:p w14:paraId="67C96F87" w14:textId="3EF9AD4F" w:rsidR="0095077B" w:rsidRPr="007375EB" w:rsidRDefault="00813962" w:rsidP="0095077B">
            <w:pPr>
              <w:rPr>
                <w:lang w:val="bg-BG"/>
              </w:rPr>
            </w:pPr>
            <w:r w:rsidRPr="007375EB">
              <w:rPr>
                <w:lang w:val="bg-BG"/>
              </w:rPr>
              <w:t>Вятърен парк на Кирногени (съществуващ)</w:t>
            </w:r>
          </w:p>
        </w:tc>
        <w:tc>
          <w:tcPr>
            <w:tcW w:w="2017" w:type="dxa"/>
            <w:noWrap/>
            <w:vAlign w:val="center"/>
            <w:hideMark/>
          </w:tcPr>
          <w:p w14:paraId="35C884F5" w14:textId="7020309F" w:rsidR="0095077B" w:rsidRPr="007375EB" w:rsidRDefault="0095077B" w:rsidP="0095077B">
            <w:pPr>
              <w:rPr>
                <w:lang w:val="bg-BG"/>
              </w:rPr>
            </w:pPr>
            <w:r w:rsidRPr="007375EB">
              <w:rPr>
                <w:lang w:val="bg-BG"/>
              </w:rPr>
              <w:t xml:space="preserve">13,57 </w:t>
            </w:r>
            <w:r w:rsidR="0034375E" w:rsidRPr="007375EB">
              <w:rPr>
                <w:lang w:val="bg-BG"/>
              </w:rPr>
              <w:t>км</w:t>
            </w:r>
          </w:p>
        </w:tc>
        <w:tc>
          <w:tcPr>
            <w:tcW w:w="482" w:type="dxa"/>
            <w:noWrap/>
            <w:vAlign w:val="center"/>
            <w:hideMark/>
          </w:tcPr>
          <w:p w14:paraId="68A16898" w14:textId="77777777" w:rsidR="0095077B" w:rsidRPr="007375EB" w:rsidRDefault="0095077B" w:rsidP="0095077B">
            <w:pPr>
              <w:rPr>
                <w:lang w:val="bg-BG"/>
              </w:rPr>
            </w:pPr>
            <w:r w:rsidRPr="007375EB">
              <w:rPr>
                <w:lang w:val="bg-BG"/>
              </w:rPr>
              <w:t>-</w:t>
            </w:r>
          </w:p>
        </w:tc>
        <w:tc>
          <w:tcPr>
            <w:tcW w:w="868" w:type="dxa"/>
            <w:noWrap/>
            <w:vAlign w:val="center"/>
            <w:hideMark/>
          </w:tcPr>
          <w:p w14:paraId="133674E6" w14:textId="77777777" w:rsidR="0095077B" w:rsidRPr="007375EB" w:rsidRDefault="0095077B" w:rsidP="0095077B">
            <w:pPr>
              <w:rPr>
                <w:lang w:val="bg-BG"/>
              </w:rPr>
            </w:pPr>
            <w:r w:rsidRPr="007375EB">
              <w:rPr>
                <w:lang w:val="bg-BG"/>
              </w:rPr>
              <w:t>-</w:t>
            </w:r>
          </w:p>
        </w:tc>
        <w:tc>
          <w:tcPr>
            <w:tcW w:w="630" w:type="dxa"/>
            <w:noWrap/>
            <w:vAlign w:val="center"/>
            <w:hideMark/>
          </w:tcPr>
          <w:p w14:paraId="2B2F61B0" w14:textId="77777777" w:rsidR="0095077B" w:rsidRPr="007375EB" w:rsidRDefault="0095077B" w:rsidP="0095077B">
            <w:pPr>
              <w:rPr>
                <w:lang w:val="bg-BG"/>
              </w:rPr>
            </w:pPr>
            <w:r w:rsidRPr="007375EB">
              <w:rPr>
                <w:lang w:val="bg-BG"/>
              </w:rPr>
              <w:t>-</w:t>
            </w:r>
          </w:p>
        </w:tc>
        <w:tc>
          <w:tcPr>
            <w:tcW w:w="810" w:type="dxa"/>
            <w:noWrap/>
            <w:vAlign w:val="center"/>
            <w:hideMark/>
          </w:tcPr>
          <w:p w14:paraId="53C37760" w14:textId="77777777" w:rsidR="0095077B" w:rsidRPr="007375EB" w:rsidRDefault="0095077B" w:rsidP="0095077B">
            <w:pPr>
              <w:rPr>
                <w:lang w:val="bg-BG"/>
              </w:rPr>
            </w:pPr>
            <w:r w:rsidRPr="007375EB">
              <w:rPr>
                <w:lang w:val="bg-BG"/>
              </w:rPr>
              <w:t>-</w:t>
            </w:r>
          </w:p>
        </w:tc>
        <w:tc>
          <w:tcPr>
            <w:tcW w:w="630" w:type="dxa"/>
            <w:noWrap/>
            <w:vAlign w:val="center"/>
            <w:hideMark/>
          </w:tcPr>
          <w:p w14:paraId="0CC780EF" w14:textId="77777777" w:rsidR="0095077B" w:rsidRPr="007375EB" w:rsidRDefault="0095077B" w:rsidP="0095077B">
            <w:pPr>
              <w:rPr>
                <w:lang w:val="bg-BG"/>
              </w:rPr>
            </w:pPr>
            <w:r w:rsidRPr="007375EB">
              <w:rPr>
                <w:lang w:val="bg-BG"/>
              </w:rPr>
              <w:t>-</w:t>
            </w:r>
          </w:p>
        </w:tc>
        <w:tc>
          <w:tcPr>
            <w:tcW w:w="720" w:type="dxa"/>
            <w:noWrap/>
            <w:vAlign w:val="center"/>
            <w:hideMark/>
          </w:tcPr>
          <w:p w14:paraId="5CAA093E" w14:textId="77777777" w:rsidR="0095077B" w:rsidRPr="007375EB" w:rsidRDefault="0095077B" w:rsidP="0095077B">
            <w:pPr>
              <w:rPr>
                <w:lang w:val="bg-BG"/>
              </w:rPr>
            </w:pPr>
            <w:r w:rsidRPr="007375EB">
              <w:rPr>
                <w:lang w:val="bg-BG"/>
              </w:rPr>
              <w:t>-</w:t>
            </w:r>
          </w:p>
        </w:tc>
        <w:tc>
          <w:tcPr>
            <w:tcW w:w="720" w:type="dxa"/>
            <w:noWrap/>
            <w:vAlign w:val="center"/>
            <w:hideMark/>
          </w:tcPr>
          <w:p w14:paraId="0231871D" w14:textId="77777777" w:rsidR="0095077B" w:rsidRPr="007375EB" w:rsidRDefault="0095077B" w:rsidP="0095077B">
            <w:pPr>
              <w:rPr>
                <w:lang w:val="bg-BG"/>
              </w:rPr>
            </w:pPr>
            <w:r w:rsidRPr="007375EB">
              <w:rPr>
                <w:lang w:val="bg-BG"/>
              </w:rPr>
              <w:t>-</w:t>
            </w:r>
          </w:p>
        </w:tc>
        <w:tc>
          <w:tcPr>
            <w:tcW w:w="540" w:type="dxa"/>
            <w:noWrap/>
            <w:vAlign w:val="center"/>
            <w:hideMark/>
          </w:tcPr>
          <w:p w14:paraId="4119131D" w14:textId="77777777" w:rsidR="0095077B" w:rsidRPr="007375EB" w:rsidRDefault="0095077B" w:rsidP="0095077B">
            <w:pPr>
              <w:rPr>
                <w:lang w:val="bg-BG"/>
              </w:rPr>
            </w:pPr>
            <w:r w:rsidRPr="007375EB">
              <w:rPr>
                <w:lang w:val="bg-BG"/>
              </w:rPr>
              <w:t>X</w:t>
            </w:r>
          </w:p>
        </w:tc>
        <w:tc>
          <w:tcPr>
            <w:tcW w:w="990" w:type="dxa"/>
            <w:noWrap/>
            <w:vAlign w:val="center"/>
            <w:hideMark/>
          </w:tcPr>
          <w:p w14:paraId="79FF267C" w14:textId="77777777" w:rsidR="0095077B" w:rsidRPr="007375EB" w:rsidRDefault="0095077B" w:rsidP="0095077B">
            <w:pPr>
              <w:rPr>
                <w:lang w:val="bg-BG"/>
              </w:rPr>
            </w:pPr>
            <w:r w:rsidRPr="007375EB">
              <w:rPr>
                <w:lang w:val="bg-BG"/>
              </w:rPr>
              <w:t>X</w:t>
            </w:r>
          </w:p>
        </w:tc>
        <w:tc>
          <w:tcPr>
            <w:tcW w:w="499" w:type="dxa"/>
            <w:noWrap/>
            <w:vAlign w:val="center"/>
            <w:hideMark/>
          </w:tcPr>
          <w:p w14:paraId="4C7469EB" w14:textId="77777777" w:rsidR="0095077B" w:rsidRPr="007375EB" w:rsidRDefault="0095077B" w:rsidP="0095077B">
            <w:pPr>
              <w:rPr>
                <w:lang w:val="bg-BG"/>
              </w:rPr>
            </w:pPr>
            <w:r w:rsidRPr="007375EB">
              <w:rPr>
                <w:lang w:val="bg-BG"/>
              </w:rPr>
              <w:t>-</w:t>
            </w:r>
          </w:p>
        </w:tc>
        <w:tc>
          <w:tcPr>
            <w:tcW w:w="507" w:type="dxa"/>
            <w:noWrap/>
            <w:vAlign w:val="center"/>
            <w:hideMark/>
          </w:tcPr>
          <w:p w14:paraId="2910346A" w14:textId="77777777" w:rsidR="0095077B" w:rsidRPr="007375EB" w:rsidRDefault="0095077B" w:rsidP="0095077B">
            <w:pPr>
              <w:rPr>
                <w:lang w:val="bg-BG"/>
              </w:rPr>
            </w:pPr>
            <w:r w:rsidRPr="007375EB">
              <w:rPr>
                <w:lang w:val="bg-BG"/>
              </w:rPr>
              <w:t>X</w:t>
            </w:r>
          </w:p>
        </w:tc>
        <w:tc>
          <w:tcPr>
            <w:tcW w:w="524" w:type="dxa"/>
            <w:noWrap/>
            <w:vAlign w:val="center"/>
            <w:hideMark/>
          </w:tcPr>
          <w:p w14:paraId="6DB78A64" w14:textId="77777777" w:rsidR="0095077B" w:rsidRPr="007375EB" w:rsidRDefault="0095077B" w:rsidP="0095077B">
            <w:pPr>
              <w:rPr>
                <w:lang w:val="bg-BG"/>
              </w:rPr>
            </w:pPr>
            <w:r w:rsidRPr="007375EB">
              <w:rPr>
                <w:lang w:val="bg-BG"/>
              </w:rPr>
              <w:t>X</w:t>
            </w:r>
          </w:p>
        </w:tc>
        <w:tc>
          <w:tcPr>
            <w:tcW w:w="616" w:type="dxa"/>
            <w:noWrap/>
            <w:vAlign w:val="center"/>
            <w:hideMark/>
          </w:tcPr>
          <w:p w14:paraId="35450DE6" w14:textId="77777777" w:rsidR="0095077B" w:rsidRPr="007375EB" w:rsidRDefault="0095077B" w:rsidP="0095077B">
            <w:pPr>
              <w:rPr>
                <w:lang w:val="bg-BG"/>
              </w:rPr>
            </w:pPr>
            <w:r w:rsidRPr="007375EB">
              <w:rPr>
                <w:lang w:val="bg-BG"/>
              </w:rPr>
              <w:t>X</w:t>
            </w:r>
          </w:p>
        </w:tc>
        <w:tc>
          <w:tcPr>
            <w:tcW w:w="612" w:type="dxa"/>
            <w:noWrap/>
            <w:vAlign w:val="center"/>
            <w:hideMark/>
          </w:tcPr>
          <w:p w14:paraId="3532F5DD" w14:textId="77777777" w:rsidR="0095077B" w:rsidRPr="007375EB" w:rsidRDefault="0095077B" w:rsidP="0095077B">
            <w:pPr>
              <w:rPr>
                <w:lang w:val="bg-BG"/>
              </w:rPr>
            </w:pPr>
            <w:r w:rsidRPr="007375EB">
              <w:rPr>
                <w:lang w:val="bg-BG"/>
              </w:rPr>
              <w:t>X</w:t>
            </w:r>
          </w:p>
        </w:tc>
      </w:tr>
      <w:tr w:rsidR="0095077B" w:rsidRPr="007375EB" w14:paraId="3AD72AF3" w14:textId="77777777" w:rsidTr="00813962">
        <w:trPr>
          <w:trHeight w:val="210"/>
        </w:trPr>
        <w:tc>
          <w:tcPr>
            <w:tcW w:w="621" w:type="dxa"/>
            <w:noWrap/>
          </w:tcPr>
          <w:p w14:paraId="2FBE2BD6" w14:textId="27371742" w:rsidR="0095077B" w:rsidRPr="007375EB" w:rsidRDefault="00D84C00" w:rsidP="0095077B">
            <w:pPr>
              <w:rPr>
                <w:lang w:val="bg-BG"/>
              </w:rPr>
            </w:pPr>
            <w:r w:rsidRPr="007375EB">
              <w:rPr>
                <w:lang w:val="bg-BG"/>
              </w:rPr>
              <w:t>2</w:t>
            </w:r>
          </w:p>
        </w:tc>
        <w:tc>
          <w:tcPr>
            <w:tcW w:w="3769" w:type="dxa"/>
            <w:noWrap/>
          </w:tcPr>
          <w:p w14:paraId="2DA46FE8" w14:textId="26DA1BE4" w:rsidR="0095077B" w:rsidRPr="007375EB" w:rsidRDefault="00813962" w:rsidP="0095077B">
            <w:pPr>
              <w:rPr>
                <w:lang w:val="bg-BG"/>
              </w:rPr>
            </w:pPr>
            <w:r w:rsidRPr="007375EB">
              <w:rPr>
                <w:lang w:val="bg-BG"/>
              </w:rPr>
              <w:t>Вятърен парк Карнобат (съществуващ)</w:t>
            </w:r>
          </w:p>
        </w:tc>
        <w:tc>
          <w:tcPr>
            <w:tcW w:w="2017" w:type="dxa"/>
            <w:noWrap/>
            <w:vAlign w:val="center"/>
          </w:tcPr>
          <w:p w14:paraId="1865F5D8" w14:textId="0947272D" w:rsidR="0095077B" w:rsidRPr="007375EB" w:rsidRDefault="0095077B" w:rsidP="0095077B">
            <w:pPr>
              <w:rPr>
                <w:lang w:val="bg-BG"/>
              </w:rPr>
            </w:pPr>
            <w:r w:rsidRPr="007375EB">
              <w:rPr>
                <w:lang w:val="bg-BG"/>
              </w:rPr>
              <w:t xml:space="preserve">13,62 </w:t>
            </w:r>
            <w:r w:rsidR="0034375E" w:rsidRPr="007375EB">
              <w:rPr>
                <w:lang w:val="bg-BG"/>
              </w:rPr>
              <w:t>км</w:t>
            </w:r>
          </w:p>
        </w:tc>
        <w:tc>
          <w:tcPr>
            <w:tcW w:w="482" w:type="dxa"/>
            <w:noWrap/>
            <w:vAlign w:val="center"/>
          </w:tcPr>
          <w:p w14:paraId="1A951BCA" w14:textId="77777777" w:rsidR="0095077B" w:rsidRPr="007375EB" w:rsidRDefault="0095077B" w:rsidP="0095077B">
            <w:pPr>
              <w:rPr>
                <w:lang w:val="bg-BG"/>
              </w:rPr>
            </w:pPr>
            <w:r w:rsidRPr="007375EB">
              <w:rPr>
                <w:lang w:val="bg-BG"/>
              </w:rPr>
              <w:t>-</w:t>
            </w:r>
          </w:p>
        </w:tc>
        <w:tc>
          <w:tcPr>
            <w:tcW w:w="868" w:type="dxa"/>
            <w:noWrap/>
            <w:vAlign w:val="center"/>
          </w:tcPr>
          <w:p w14:paraId="6557D053" w14:textId="77777777" w:rsidR="0095077B" w:rsidRPr="007375EB" w:rsidRDefault="0095077B" w:rsidP="0095077B">
            <w:pPr>
              <w:rPr>
                <w:lang w:val="bg-BG"/>
              </w:rPr>
            </w:pPr>
            <w:r w:rsidRPr="007375EB">
              <w:rPr>
                <w:lang w:val="bg-BG"/>
              </w:rPr>
              <w:t>-</w:t>
            </w:r>
          </w:p>
        </w:tc>
        <w:tc>
          <w:tcPr>
            <w:tcW w:w="630" w:type="dxa"/>
            <w:noWrap/>
            <w:vAlign w:val="center"/>
          </w:tcPr>
          <w:p w14:paraId="74DFE5FA" w14:textId="77777777" w:rsidR="0095077B" w:rsidRPr="007375EB" w:rsidRDefault="0095077B" w:rsidP="0095077B">
            <w:pPr>
              <w:rPr>
                <w:lang w:val="bg-BG"/>
              </w:rPr>
            </w:pPr>
            <w:r w:rsidRPr="007375EB">
              <w:rPr>
                <w:lang w:val="bg-BG"/>
              </w:rPr>
              <w:t>-</w:t>
            </w:r>
          </w:p>
        </w:tc>
        <w:tc>
          <w:tcPr>
            <w:tcW w:w="810" w:type="dxa"/>
            <w:noWrap/>
            <w:vAlign w:val="center"/>
          </w:tcPr>
          <w:p w14:paraId="4C86A241" w14:textId="77777777" w:rsidR="0095077B" w:rsidRPr="007375EB" w:rsidRDefault="0095077B" w:rsidP="0095077B">
            <w:pPr>
              <w:rPr>
                <w:lang w:val="bg-BG"/>
              </w:rPr>
            </w:pPr>
            <w:r w:rsidRPr="007375EB">
              <w:rPr>
                <w:lang w:val="bg-BG"/>
              </w:rPr>
              <w:t>-</w:t>
            </w:r>
          </w:p>
        </w:tc>
        <w:tc>
          <w:tcPr>
            <w:tcW w:w="630" w:type="dxa"/>
            <w:noWrap/>
            <w:vAlign w:val="center"/>
          </w:tcPr>
          <w:p w14:paraId="640B69F5" w14:textId="77777777" w:rsidR="0095077B" w:rsidRPr="007375EB" w:rsidRDefault="0095077B" w:rsidP="0095077B">
            <w:pPr>
              <w:rPr>
                <w:lang w:val="bg-BG"/>
              </w:rPr>
            </w:pPr>
            <w:r w:rsidRPr="007375EB">
              <w:rPr>
                <w:lang w:val="bg-BG"/>
              </w:rPr>
              <w:t>-</w:t>
            </w:r>
          </w:p>
        </w:tc>
        <w:tc>
          <w:tcPr>
            <w:tcW w:w="720" w:type="dxa"/>
            <w:noWrap/>
            <w:vAlign w:val="center"/>
          </w:tcPr>
          <w:p w14:paraId="24ECCDBF" w14:textId="77777777" w:rsidR="0095077B" w:rsidRPr="007375EB" w:rsidRDefault="0095077B" w:rsidP="0095077B">
            <w:pPr>
              <w:rPr>
                <w:lang w:val="bg-BG"/>
              </w:rPr>
            </w:pPr>
            <w:r w:rsidRPr="007375EB">
              <w:rPr>
                <w:lang w:val="bg-BG"/>
              </w:rPr>
              <w:t>-</w:t>
            </w:r>
          </w:p>
        </w:tc>
        <w:tc>
          <w:tcPr>
            <w:tcW w:w="720" w:type="dxa"/>
            <w:noWrap/>
            <w:vAlign w:val="center"/>
          </w:tcPr>
          <w:p w14:paraId="2B9DE7E3" w14:textId="77777777" w:rsidR="0095077B" w:rsidRPr="007375EB" w:rsidRDefault="0095077B" w:rsidP="0095077B">
            <w:pPr>
              <w:rPr>
                <w:lang w:val="bg-BG"/>
              </w:rPr>
            </w:pPr>
            <w:r w:rsidRPr="007375EB">
              <w:rPr>
                <w:lang w:val="bg-BG"/>
              </w:rPr>
              <w:t>-</w:t>
            </w:r>
          </w:p>
        </w:tc>
        <w:tc>
          <w:tcPr>
            <w:tcW w:w="540" w:type="dxa"/>
            <w:noWrap/>
            <w:vAlign w:val="center"/>
          </w:tcPr>
          <w:p w14:paraId="63D5BE96" w14:textId="77777777" w:rsidR="0095077B" w:rsidRPr="007375EB" w:rsidRDefault="0095077B" w:rsidP="0095077B">
            <w:pPr>
              <w:rPr>
                <w:lang w:val="bg-BG"/>
              </w:rPr>
            </w:pPr>
            <w:r w:rsidRPr="007375EB">
              <w:rPr>
                <w:lang w:val="bg-BG"/>
              </w:rPr>
              <w:t>-</w:t>
            </w:r>
          </w:p>
        </w:tc>
        <w:tc>
          <w:tcPr>
            <w:tcW w:w="990" w:type="dxa"/>
            <w:noWrap/>
            <w:vAlign w:val="center"/>
          </w:tcPr>
          <w:p w14:paraId="19FD7981" w14:textId="77777777" w:rsidR="0095077B" w:rsidRPr="007375EB" w:rsidRDefault="0095077B" w:rsidP="0095077B">
            <w:pPr>
              <w:rPr>
                <w:lang w:val="bg-BG"/>
              </w:rPr>
            </w:pPr>
            <w:r w:rsidRPr="007375EB">
              <w:rPr>
                <w:lang w:val="bg-BG"/>
              </w:rPr>
              <w:t>-</w:t>
            </w:r>
          </w:p>
        </w:tc>
        <w:tc>
          <w:tcPr>
            <w:tcW w:w="499" w:type="dxa"/>
            <w:noWrap/>
            <w:vAlign w:val="center"/>
          </w:tcPr>
          <w:p w14:paraId="2C2B0AC1" w14:textId="77777777" w:rsidR="0095077B" w:rsidRPr="007375EB" w:rsidRDefault="0095077B" w:rsidP="0095077B">
            <w:pPr>
              <w:rPr>
                <w:lang w:val="bg-BG"/>
              </w:rPr>
            </w:pPr>
            <w:r w:rsidRPr="007375EB">
              <w:rPr>
                <w:lang w:val="bg-BG"/>
              </w:rPr>
              <w:t>-</w:t>
            </w:r>
          </w:p>
        </w:tc>
        <w:tc>
          <w:tcPr>
            <w:tcW w:w="507" w:type="dxa"/>
            <w:noWrap/>
            <w:vAlign w:val="center"/>
          </w:tcPr>
          <w:p w14:paraId="0A484D22" w14:textId="77777777" w:rsidR="0095077B" w:rsidRPr="007375EB" w:rsidRDefault="0095077B" w:rsidP="0095077B">
            <w:pPr>
              <w:rPr>
                <w:lang w:val="bg-BG"/>
              </w:rPr>
            </w:pPr>
            <w:r w:rsidRPr="007375EB">
              <w:rPr>
                <w:lang w:val="bg-BG"/>
              </w:rPr>
              <w:t>-</w:t>
            </w:r>
          </w:p>
        </w:tc>
        <w:tc>
          <w:tcPr>
            <w:tcW w:w="524" w:type="dxa"/>
            <w:noWrap/>
            <w:vAlign w:val="center"/>
          </w:tcPr>
          <w:p w14:paraId="12C3BB9D" w14:textId="77777777" w:rsidR="0095077B" w:rsidRPr="007375EB" w:rsidRDefault="0095077B" w:rsidP="0095077B">
            <w:pPr>
              <w:rPr>
                <w:lang w:val="bg-BG"/>
              </w:rPr>
            </w:pPr>
            <w:r w:rsidRPr="007375EB">
              <w:rPr>
                <w:lang w:val="bg-BG"/>
              </w:rPr>
              <w:t>-</w:t>
            </w:r>
          </w:p>
        </w:tc>
        <w:tc>
          <w:tcPr>
            <w:tcW w:w="616" w:type="dxa"/>
            <w:noWrap/>
            <w:vAlign w:val="center"/>
          </w:tcPr>
          <w:p w14:paraId="7A013A97" w14:textId="77777777" w:rsidR="0095077B" w:rsidRPr="007375EB" w:rsidRDefault="0095077B" w:rsidP="0095077B">
            <w:pPr>
              <w:rPr>
                <w:lang w:val="bg-BG"/>
              </w:rPr>
            </w:pPr>
            <w:r w:rsidRPr="007375EB">
              <w:rPr>
                <w:lang w:val="bg-BG"/>
              </w:rPr>
              <w:t>-</w:t>
            </w:r>
          </w:p>
        </w:tc>
        <w:tc>
          <w:tcPr>
            <w:tcW w:w="612" w:type="dxa"/>
            <w:noWrap/>
            <w:vAlign w:val="center"/>
          </w:tcPr>
          <w:p w14:paraId="1C31BAC7" w14:textId="77777777" w:rsidR="0095077B" w:rsidRPr="007375EB" w:rsidRDefault="0095077B" w:rsidP="0095077B">
            <w:pPr>
              <w:rPr>
                <w:lang w:val="bg-BG"/>
              </w:rPr>
            </w:pPr>
            <w:r w:rsidRPr="007375EB">
              <w:rPr>
                <w:lang w:val="bg-BG"/>
              </w:rPr>
              <w:t>-</w:t>
            </w:r>
          </w:p>
        </w:tc>
      </w:tr>
      <w:tr w:rsidR="0095077B" w:rsidRPr="007375EB" w14:paraId="30A78B90" w14:textId="77777777" w:rsidTr="00813962">
        <w:trPr>
          <w:trHeight w:val="210"/>
        </w:trPr>
        <w:tc>
          <w:tcPr>
            <w:tcW w:w="15555" w:type="dxa"/>
            <w:gridSpan w:val="17"/>
            <w:shd w:val="clear" w:color="auto" w:fill="F2F2F2" w:themeFill="background1" w:themeFillShade="F2"/>
            <w:noWrap/>
            <w:hideMark/>
          </w:tcPr>
          <w:p w14:paraId="6B979121" w14:textId="00203E0E" w:rsidR="0095077B" w:rsidRPr="007375EB" w:rsidRDefault="0095077B" w:rsidP="0095077B">
            <w:pPr>
              <w:rPr>
                <w:b/>
                <w:bCs/>
                <w:lang w:val="bg-BG"/>
              </w:rPr>
            </w:pPr>
            <w:r w:rsidRPr="007375EB">
              <w:rPr>
                <w:b/>
                <w:bCs/>
                <w:lang w:val="bg-BG"/>
              </w:rPr>
              <w:t xml:space="preserve">ROSPA0036 </w:t>
            </w:r>
            <w:r w:rsidR="00813962" w:rsidRPr="007375EB">
              <w:rPr>
                <w:b/>
                <w:bCs/>
                <w:lang w:val="bg-BG"/>
              </w:rPr>
              <w:t>Думбръвени</w:t>
            </w:r>
          </w:p>
        </w:tc>
      </w:tr>
      <w:tr w:rsidR="0095077B" w:rsidRPr="007375EB" w14:paraId="42451DFC" w14:textId="77777777" w:rsidTr="00813962">
        <w:trPr>
          <w:trHeight w:val="210"/>
        </w:trPr>
        <w:tc>
          <w:tcPr>
            <w:tcW w:w="621" w:type="dxa"/>
            <w:noWrap/>
            <w:hideMark/>
          </w:tcPr>
          <w:p w14:paraId="26A1CE6F" w14:textId="77777777" w:rsidR="0095077B" w:rsidRPr="007375EB" w:rsidRDefault="0095077B" w:rsidP="0095077B">
            <w:pPr>
              <w:rPr>
                <w:lang w:val="bg-BG"/>
              </w:rPr>
            </w:pPr>
            <w:r w:rsidRPr="007375EB">
              <w:rPr>
                <w:lang w:val="bg-BG"/>
              </w:rPr>
              <w:t>1</w:t>
            </w:r>
          </w:p>
        </w:tc>
        <w:tc>
          <w:tcPr>
            <w:tcW w:w="3769" w:type="dxa"/>
            <w:noWrap/>
            <w:hideMark/>
          </w:tcPr>
          <w:p w14:paraId="287937DD" w14:textId="77CD1B5C" w:rsidR="0095077B" w:rsidRPr="007375EB" w:rsidRDefault="00813962" w:rsidP="0095077B">
            <w:pPr>
              <w:rPr>
                <w:lang w:val="bg-BG"/>
              </w:rPr>
            </w:pPr>
            <w:r w:rsidRPr="007375EB">
              <w:rPr>
                <w:lang w:val="bg-BG"/>
              </w:rPr>
              <w:t>Вятърен парк на Кирногени (съществуващ)</w:t>
            </w:r>
          </w:p>
        </w:tc>
        <w:tc>
          <w:tcPr>
            <w:tcW w:w="2017" w:type="dxa"/>
            <w:noWrap/>
            <w:vAlign w:val="center"/>
            <w:hideMark/>
          </w:tcPr>
          <w:p w14:paraId="4D60F453" w14:textId="3EF5AD74" w:rsidR="0095077B" w:rsidRPr="007375EB" w:rsidRDefault="0095077B" w:rsidP="0095077B">
            <w:pPr>
              <w:rPr>
                <w:lang w:val="bg-BG"/>
              </w:rPr>
            </w:pPr>
            <w:r w:rsidRPr="007375EB">
              <w:rPr>
                <w:lang w:val="bg-BG"/>
              </w:rPr>
              <w:t xml:space="preserve">10,66 </w:t>
            </w:r>
            <w:r w:rsidR="0034375E" w:rsidRPr="007375EB">
              <w:rPr>
                <w:lang w:val="bg-BG"/>
              </w:rPr>
              <w:t>км</w:t>
            </w:r>
          </w:p>
        </w:tc>
        <w:tc>
          <w:tcPr>
            <w:tcW w:w="482" w:type="dxa"/>
            <w:noWrap/>
            <w:vAlign w:val="center"/>
            <w:hideMark/>
          </w:tcPr>
          <w:p w14:paraId="1B89E23B" w14:textId="77777777" w:rsidR="0095077B" w:rsidRPr="007375EB" w:rsidRDefault="0095077B" w:rsidP="0095077B">
            <w:pPr>
              <w:rPr>
                <w:lang w:val="bg-BG"/>
              </w:rPr>
            </w:pPr>
            <w:r w:rsidRPr="007375EB">
              <w:rPr>
                <w:lang w:val="bg-BG"/>
              </w:rPr>
              <w:t>-</w:t>
            </w:r>
          </w:p>
        </w:tc>
        <w:tc>
          <w:tcPr>
            <w:tcW w:w="868" w:type="dxa"/>
            <w:noWrap/>
            <w:vAlign w:val="center"/>
            <w:hideMark/>
          </w:tcPr>
          <w:p w14:paraId="13B8AF41" w14:textId="77777777" w:rsidR="0095077B" w:rsidRPr="007375EB" w:rsidRDefault="0095077B" w:rsidP="0095077B">
            <w:pPr>
              <w:rPr>
                <w:lang w:val="bg-BG"/>
              </w:rPr>
            </w:pPr>
            <w:r w:rsidRPr="007375EB">
              <w:rPr>
                <w:lang w:val="bg-BG"/>
              </w:rPr>
              <w:t>-</w:t>
            </w:r>
          </w:p>
        </w:tc>
        <w:tc>
          <w:tcPr>
            <w:tcW w:w="630" w:type="dxa"/>
            <w:noWrap/>
            <w:vAlign w:val="center"/>
            <w:hideMark/>
          </w:tcPr>
          <w:p w14:paraId="2F27FE79" w14:textId="77777777" w:rsidR="0095077B" w:rsidRPr="007375EB" w:rsidRDefault="0095077B" w:rsidP="0095077B">
            <w:pPr>
              <w:rPr>
                <w:lang w:val="bg-BG"/>
              </w:rPr>
            </w:pPr>
            <w:r w:rsidRPr="007375EB">
              <w:rPr>
                <w:lang w:val="bg-BG"/>
              </w:rPr>
              <w:t>-</w:t>
            </w:r>
          </w:p>
        </w:tc>
        <w:tc>
          <w:tcPr>
            <w:tcW w:w="810" w:type="dxa"/>
            <w:noWrap/>
            <w:vAlign w:val="center"/>
            <w:hideMark/>
          </w:tcPr>
          <w:p w14:paraId="2C5A21BA" w14:textId="77777777" w:rsidR="0095077B" w:rsidRPr="007375EB" w:rsidRDefault="0095077B" w:rsidP="0095077B">
            <w:pPr>
              <w:rPr>
                <w:lang w:val="bg-BG"/>
              </w:rPr>
            </w:pPr>
            <w:r w:rsidRPr="007375EB">
              <w:rPr>
                <w:lang w:val="bg-BG"/>
              </w:rPr>
              <w:t>-</w:t>
            </w:r>
          </w:p>
        </w:tc>
        <w:tc>
          <w:tcPr>
            <w:tcW w:w="630" w:type="dxa"/>
            <w:noWrap/>
            <w:vAlign w:val="center"/>
            <w:hideMark/>
          </w:tcPr>
          <w:p w14:paraId="18CCB823" w14:textId="77777777" w:rsidR="0095077B" w:rsidRPr="007375EB" w:rsidRDefault="0095077B" w:rsidP="0095077B">
            <w:pPr>
              <w:rPr>
                <w:lang w:val="bg-BG"/>
              </w:rPr>
            </w:pPr>
            <w:r w:rsidRPr="007375EB">
              <w:rPr>
                <w:lang w:val="bg-BG"/>
              </w:rPr>
              <w:t>-</w:t>
            </w:r>
          </w:p>
        </w:tc>
        <w:tc>
          <w:tcPr>
            <w:tcW w:w="720" w:type="dxa"/>
            <w:noWrap/>
            <w:vAlign w:val="center"/>
            <w:hideMark/>
          </w:tcPr>
          <w:p w14:paraId="00C0C8D9" w14:textId="77777777" w:rsidR="0095077B" w:rsidRPr="007375EB" w:rsidRDefault="0095077B" w:rsidP="0095077B">
            <w:pPr>
              <w:rPr>
                <w:lang w:val="bg-BG"/>
              </w:rPr>
            </w:pPr>
            <w:r w:rsidRPr="007375EB">
              <w:rPr>
                <w:lang w:val="bg-BG"/>
              </w:rPr>
              <w:t>-</w:t>
            </w:r>
          </w:p>
        </w:tc>
        <w:tc>
          <w:tcPr>
            <w:tcW w:w="720" w:type="dxa"/>
            <w:noWrap/>
            <w:vAlign w:val="center"/>
            <w:hideMark/>
          </w:tcPr>
          <w:p w14:paraId="7EE5CDCC" w14:textId="77777777" w:rsidR="0095077B" w:rsidRPr="007375EB" w:rsidRDefault="0095077B" w:rsidP="0095077B">
            <w:pPr>
              <w:rPr>
                <w:lang w:val="bg-BG"/>
              </w:rPr>
            </w:pPr>
            <w:r w:rsidRPr="007375EB">
              <w:rPr>
                <w:lang w:val="bg-BG"/>
              </w:rPr>
              <w:t>-</w:t>
            </w:r>
          </w:p>
        </w:tc>
        <w:tc>
          <w:tcPr>
            <w:tcW w:w="540" w:type="dxa"/>
            <w:noWrap/>
            <w:vAlign w:val="center"/>
            <w:hideMark/>
          </w:tcPr>
          <w:p w14:paraId="51150851" w14:textId="77777777" w:rsidR="0095077B" w:rsidRPr="007375EB" w:rsidRDefault="0095077B" w:rsidP="0095077B">
            <w:pPr>
              <w:rPr>
                <w:lang w:val="bg-BG"/>
              </w:rPr>
            </w:pPr>
            <w:r w:rsidRPr="007375EB">
              <w:rPr>
                <w:lang w:val="bg-BG"/>
              </w:rPr>
              <w:t>X</w:t>
            </w:r>
          </w:p>
        </w:tc>
        <w:tc>
          <w:tcPr>
            <w:tcW w:w="990" w:type="dxa"/>
            <w:noWrap/>
            <w:vAlign w:val="center"/>
            <w:hideMark/>
          </w:tcPr>
          <w:p w14:paraId="2EECDE86" w14:textId="77777777" w:rsidR="0095077B" w:rsidRPr="007375EB" w:rsidRDefault="0095077B" w:rsidP="0095077B">
            <w:pPr>
              <w:rPr>
                <w:lang w:val="bg-BG"/>
              </w:rPr>
            </w:pPr>
            <w:r w:rsidRPr="007375EB">
              <w:rPr>
                <w:lang w:val="bg-BG"/>
              </w:rPr>
              <w:t>X</w:t>
            </w:r>
          </w:p>
        </w:tc>
        <w:tc>
          <w:tcPr>
            <w:tcW w:w="499" w:type="dxa"/>
            <w:noWrap/>
            <w:vAlign w:val="center"/>
            <w:hideMark/>
          </w:tcPr>
          <w:p w14:paraId="50217F03" w14:textId="77777777" w:rsidR="0095077B" w:rsidRPr="007375EB" w:rsidRDefault="0095077B" w:rsidP="0095077B">
            <w:pPr>
              <w:rPr>
                <w:lang w:val="bg-BG"/>
              </w:rPr>
            </w:pPr>
            <w:r w:rsidRPr="007375EB">
              <w:rPr>
                <w:lang w:val="bg-BG"/>
              </w:rPr>
              <w:t>-</w:t>
            </w:r>
          </w:p>
        </w:tc>
        <w:tc>
          <w:tcPr>
            <w:tcW w:w="507" w:type="dxa"/>
            <w:noWrap/>
            <w:vAlign w:val="center"/>
            <w:hideMark/>
          </w:tcPr>
          <w:p w14:paraId="3012891B" w14:textId="77777777" w:rsidR="0095077B" w:rsidRPr="007375EB" w:rsidRDefault="0095077B" w:rsidP="0095077B">
            <w:pPr>
              <w:rPr>
                <w:lang w:val="bg-BG"/>
              </w:rPr>
            </w:pPr>
            <w:r w:rsidRPr="007375EB">
              <w:rPr>
                <w:lang w:val="bg-BG"/>
              </w:rPr>
              <w:t>X</w:t>
            </w:r>
          </w:p>
        </w:tc>
        <w:tc>
          <w:tcPr>
            <w:tcW w:w="524" w:type="dxa"/>
            <w:noWrap/>
            <w:vAlign w:val="center"/>
            <w:hideMark/>
          </w:tcPr>
          <w:p w14:paraId="5222A3AE" w14:textId="77777777" w:rsidR="0095077B" w:rsidRPr="007375EB" w:rsidRDefault="0095077B" w:rsidP="0095077B">
            <w:pPr>
              <w:rPr>
                <w:lang w:val="bg-BG"/>
              </w:rPr>
            </w:pPr>
            <w:r w:rsidRPr="007375EB">
              <w:rPr>
                <w:lang w:val="bg-BG"/>
              </w:rPr>
              <w:t>X</w:t>
            </w:r>
          </w:p>
        </w:tc>
        <w:tc>
          <w:tcPr>
            <w:tcW w:w="616" w:type="dxa"/>
            <w:noWrap/>
            <w:vAlign w:val="center"/>
            <w:hideMark/>
          </w:tcPr>
          <w:p w14:paraId="15EE2002" w14:textId="77777777" w:rsidR="0095077B" w:rsidRPr="007375EB" w:rsidRDefault="0095077B" w:rsidP="0095077B">
            <w:pPr>
              <w:rPr>
                <w:lang w:val="bg-BG"/>
              </w:rPr>
            </w:pPr>
            <w:r w:rsidRPr="007375EB">
              <w:rPr>
                <w:lang w:val="bg-BG"/>
              </w:rPr>
              <w:t>X</w:t>
            </w:r>
          </w:p>
        </w:tc>
        <w:tc>
          <w:tcPr>
            <w:tcW w:w="612" w:type="dxa"/>
            <w:noWrap/>
            <w:vAlign w:val="center"/>
            <w:hideMark/>
          </w:tcPr>
          <w:p w14:paraId="6B4E9F60" w14:textId="77777777" w:rsidR="0095077B" w:rsidRPr="007375EB" w:rsidRDefault="0095077B" w:rsidP="0095077B">
            <w:pPr>
              <w:rPr>
                <w:lang w:val="bg-BG"/>
              </w:rPr>
            </w:pPr>
            <w:r w:rsidRPr="007375EB">
              <w:rPr>
                <w:lang w:val="bg-BG"/>
              </w:rPr>
              <w:t>X</w:t>
            </w:r>
          </w:p>
        </w:tc>
      </w:tr>
      <w:tr w:rsidR="0095077B" w:rsidRPr="007375EB" w14:paraId="6A54F0D8" w14:textId="77777777" w:rsidTr="00813962">
        <w:trPr>
          <w:trHeight w:val="210"/>
        </w:trPr>
        <w:tc>
          <w:tcPr>
            <w:tcW w:w="621" w:type="dxa"/>
            <w:noWrap/>
          </w:tcPr>
          <w:p w14:paraId="7A05FF92" w14:textId="054F3A3E" w:rsidR="0095077B" w:rsidRPr="007375EB" w:rsidRDefault="00C6299B" w:rsidP="0095077B">
            <w:pPr>
              <w:rPr>
                <w:lang w:val="bg-BG"/>
              </w:rPr>
            </w:pPr>
            <w:r w:rsidRPr="007375EB">
              <w:rPr>
                <w:lang w:val="bg-BG"/>
              </w:rPr>
              <w:t>2</w:t>
            </w:r>
          </w:p>
        </w:tc>
        <w:tc>
          <w:tcPr>
            <w:tcW w:w="3769" w:type="dxa"/>
            <w:noWrap/>
          </w:tcPr>
          <w:p w14:paraId="532A7627" w14:textId="20D06681" w:rsidR="0095077B" w:rsidRPr="007375EB" w:rsidRDefault="00813962" w:rsidP="0095077B">
            <w:pPr>
              <w:rPr>
                <w:lang w:val="bg-BG"/>
              </w:rPr>
            </w:pPr>
            <w:r w:rsidRPr="007375EB">
              <w:rPr>
                <w:lang w:val="bg-BG"/>
              </w:rPr>
              <w:t>Вятърен парк Карнобат (съществуващ)</w:t>
            </w:r>
          </w:p>
        </w:tc>
        <w:tc>
          <w:tcPr>
            <w:tcW w:w="2017" w:type="dxa"/>
            <w:noWrap/>
            <w:vAlign w:val="center"/>
          </w:tcPr>
          <w:p w14:paraId="1F03A896" w14:textId="52742B0A" w:rsidR="0095077B" w:rsidRPr="007375EB" w:rsidRDefault="0095077B" w:rsidP="0095077B">
            <w:pPr>
              <w:rPr>
                <w:lang w:val="bg-BG"/>
              </w:rPr>
            </w:pPr>
            <w:r w:rsidRPr="007375EB">
              <w:rPr>
                <w:lang w:val="bg-BG"/>
              </w:rPr>
              <w:t xml:space="preserve">23,05 </w:t>
            </w:r>
            <w:r w:rsidR="0034375E" w:rsidRPr="007375EB">
              <w:rPr>
                <w:lang w:val="bg-BG"/>
              </w:rPr>
              <w:t>км</w:t>
            </w:r>
          </w:p>
        </w:tc>
        <w:tc>
          <w:tcPr>
            <w:tcW w:w="482" w:type="dxa"/>
            <w:noWrap/>
            <w:vAlign w:val="center"/>
          </w:tcPr>
          <w:p w14:paraId="6A6743FA" w14:textId="77777777" w:rsidR="0095077B" w:rsidRPr="007375EB" w:rsidRDefault="0095077B" w:rsidP="0095077B">
            <w:pPr>
              <w:rPr>
                <w:lang w:val="bg-BG"/>
              </w:rPr>
            </w:pPr>
            <w:r w:rsidRPr="007375EB">
              <w:rPr>
                <w:lang w:val="bg-BG"/>
              </w:rPr>
              <w:t>-</w:t>
            </w:r>
          </w:p>
        </w:tc>
        <w:tc>
          <w:tcPr>
            <w:tcW w:w="868" w:type="dxa"/>
            <w:noWrap/>
            <w:vAlign w:val="center"/>
          </w:tcPr>
          <w:p w14:paraId="16A7C496" w14:textId="77777777" w:rsidR="0095077B" w:rsidRPr="007375EB" w:rsidRDefault="0095077B" w:rsidP="0095077B">
            <w:pPr>
              <w:rPr>
                <w:lang w:val="bg-BG"/>
              </w:rPr>
            </w:pPr>
            <w:r w:rsidRPr="007375EB">
              <w:rPr>
                <w:lang w:val="bg-BG"/>
              </w:rPr>
              <w:t>-</w:t>
            </w:r>
          </w:p>
        </w:tc>
        <w:tc>
          <w:tcPr>
            <w:tcW w:w="630" w:type="dxa"/>
            <w:noWrap/>
            <w:vAlign w:val="center"/>
          </w:tcPr>
          <w:p w14:paraId="3D2D5E26" w14:textId="77777777" w:rsidR="0095077B" w:rsidRPr="007375EB" w:rsidRDefault="0095077B" w:rsidP="0095077B">
            <w:pPr>
              <w:rPr>
                <w:lang w:val="bg-BG"/>
              </w:rPr>
            </w:pPr>
            <w:r w:rsidRPr="007375EB">
              <w:rPr>
                <w:lang w:val="bg-BG"/>
              </w:rPr>
              <w:t>-</w:t>
            </w:r>
          </w:p>
        </w:tc>
        <w:tc>
          <w:tcPr>
            <w:tcW w:w="810" w:type="dxa"/>
            <w:noWrap/>
            <w:vAlign w:val="center"/>
          </w:tcPr>
          <w:p w14:paraId="10819F5D" w14:textId="77777777" w:rsidR="0095077B" w:rsidRPr="007375EB" w:rsidRDefault="0095077B" w:rsidP="0095077B">
            <w:pPr>
              <w:rPr>
                <w:lang w:val="bg-BG"/>
              </w:rPr>
            </w:pPr>
            <w:r w:rsidRPr="007375EB">
              <w:rPr>
                <w:lang w:val="bg-BG"/>
              </w:rPr>
              <w:t>-</w:t>
            </w:r>
          </w:p>
        </w:tc>
        <w:tc>
          <w:tcPr>
            <w:tcW w:w="630" w:type="dxa"/>
            <w:noWrap/>
            <w:vAlign w:val="center"/>
          </w:tcPr>
          <w:p w14:paraId="57CB782B" w14:textId="77777777" w:rsidR="0095077B" w:rsidRPr="007375EB" w:rsidRDefault="0095077B" w:rsidP="0095077B">
            <w:pPr>
              <w:rPr>
                <w:lang w:val="bg-BG"/>
              </w:rPr>
            </w:pPr>
            <w:r w:rsidRPr="007375EB">
              <w:rPr>
                <w:lang w:val="bg-BG"/>
              </w:rPr>
              <w:t>-</w:t>
            </w:r>
          </w:p>
        </w:tc>
        <w:tc>
          <w:tcPr>
            <w:tcW w:w="720" w:type="dxa"/>
            <w:noWrap/>
            <w:vAlign w:val="center"/>
          </w:tcPr>
          <w:p w14:paraId="33CDEB1B" w14:textId="77777777" w:rsidR="0095077B" w:rsidRPr="007375EB" w:rsidRDefault="0095077B" w:rsidP="0095077B">
            <w:pPr>
              <w:rPr>
                <w:lang w:val="bg-BG"/>
              </w:rPr>
            </w:pPr>
            <w:r w:rsidRPr="007375EB">
              <w:rPr>
                <w:lang w:val="bg-BG"/>
              </w:rPr>
              <w:t>-</w:t>
            </w:r>
          </w:p>
        </w:tc>
        <w:tc>
          <w:tcPr>
            <w:tcW w:w="720" w:type="dxa"/>
            <w:noWrap/>
            <w:vAlign w:val="center"/>
          </w:tcPr>
          <w:p w14:paraId="7DC12A58" w14:textId="77777777" w:rsidR="0095077B" w:rsidRPr="007375EB" w:rsidRDefault="0095077B" w:rsidP="0095077B">
            <w:pPr>
              <w:rPr>
                <w:lang w:val="bg-BG"/>
              </w:rPr>
            </w:pPr>
            <w:r w:rsidRPr="007375EB">
              <w:rPr>
                <w:lang w:val="bg-BG"/>
              </w:rPr>
              <w:t>-</w:t>
            </w:r>
          </w:p>
        </w:tc>
        <w:tc>
          <w:tcPr>
            <w:tcW w:w="540" w:type="dxa"/>
            <w:noWrap/>
            <w:vAlign w:val="center"/>
          </w:tcPr>
          <w:p w14:paraId="7682735E" w14:textId="77777777" w:rsidR="0095077B" w:rsidRPr="007375EB" w:rsidRDefault="0095077B" w:rsidP="0095077B">
            <w:pPr>
              <w:rPr>
                <w:lang w:val="bg-BG"/>
              </w:rPr>
            </w:pPr>
            <w:r w:rsidRPr="007375EB">
              <w:rPr>
                <w:lang w:val="bg-BG"/>
              </w:rPr>
              <w:t>-</w:t>
            </w:r>
          </w:p>
        </w:tc>
        <w:tc>
          <w:tcPr>
            <w:tcW w:w="990" w:type="dxa"/>
            <w:noWrap/>
            <w:vAlign w:val="center"/>
          </w:tcPr>
          <w:p w14:paraId="0590D1AA" w14:textId="77777777" w:rsidR="0095077B" w:rsidRPr="007375EB" w:rsidRDefault="0095077B" w:rsidP="0095077B">
            <w:pPr>
              <w:rPr>
                <w:lang w:val="bg-BG"/>
              </w:rPr>
            </w:pPr>
            <w:r w:rsidRPr="007375EB">
              <w:rPr>
                <w:lang w:val="bg-BG"/>
              </w:rPr>
              <w:t>-</w:t>
            </w:r>
          </w:p>
        </w:tc>
        <w:tc>
          <w:tcPr>
            <w:tcW w:w="499" w:type="dxa"/>
            <w:noWrap/>
            <w:vAlign w:val="center"/>
          </w:tcPr>
          <w:p w14:paraId="1FC82B9F" w14:textId="77777777" w:rsidR="0095077B" w:rsidRPr="007375EB" w:rsidRDefault="0095077B" w:rsidP="0095077B">
            <w:pPr>
              <w:rPr>
                <w:lang w:val="bg-BG"/>
              </w:rPr>
            </w:pPr>
            <w:r w:rsidRPr="007375EB">
              <w:rPr>
                <w:lang w:val="bg-BG"/>
              </w:rPr>
              <w:t>-</w:t>
            </w:r>
          </w:p>
        </w:tc>
        <w:tc>
          <w:tcPr>
            <w:tcW w:w="507" w:type="dxa"/>
            <w:noWrap/>
            <w:vAlign w:val="center"/>
          </w:tcPr>
          <w:p w14:paraId="5D3E2377" w14:textId="77777777" w:rsidR="0095077B" w:rsidRPr="007375EB" w:rsidRDefault="0095077B" w:rsidP="0095077B">
            <w:pPr>
              <w:rPr>
                <w:lang w:val="bg-BG"/>
              </w:rPr>
            </w:pPr>
            <w:r w:rsidRPr="007375EB">
              <w:rPr>
                <w:lang w:val="bg-BG"/>
              </w:rPr>
              <w:t>-</w:t>
            </w:r>
          </w:p>
        </w:tc>
        <w:tc>
          <w:tcPr>
            <w:tcW w:w="524" w:type="dxa"/>
            <w:noWrap/>
            <w:vAlign w:val="center"/>
          </w:tcPr>
          <w:p w14:paraId="33E3689E" w14:textId="77777777" w:rsidR="0095077B" w:rsidRPr="007375EB" w:rsidRDefault="0095077B" w:rsidP="0095077B">
            <w:pPr>
              <w:rPr>
                <w:lang w:val="bg-BG"/>
              </w:rPr>
            </w:pPr>
            <w:r w:rsidRPr="007375EB">
              <w:rPr>
                <w:lang w:val="bg-BG"/>
              </w:rPr>
              <w:t>-</w:t>
            </w:r>
          </w:p>
        </w:tc>
        <w:tc>
          <w:tcPr>
            <w:tcW w:w="616" w:type="dxa"/>
            <w:noWrap/>
            <w:vAlign w:val="center"/>
          </w:tcPr>
          <w:p w14:paraId="36314DD1" w14:textId="77777777" w:rsidR="0095077B" w:rsidRPr="007375EB" w:rsidRDefault="0095077B" w:rsidP="0095077B">
            <w:pPr>
              <w:rPr>
                <w:lang w:val="bg-BG"/>
              </w:rPr>
            </w:pPr>
            <w:r w:rsidRPr="007375EB">
              <w:rPr>
                <w:lang w:val="bg-BG"/>
              </w:rPr>
              <w:t>-</w:t>
            </w:r>
          </w:p>
        </w:tc>
        <w:tc>
          <w:tcPr>
            <w:tcW w:w="612" w:type="dxa"/>
            <w:noWrap/>
            <w:vAlign w:val="center"/>
          </w:tcPr>
          <w:p w14:paraId="1C830B4B" w14:textId="77777777" w:rsidR="0095077B" w:rsidRPr="007375EB" w:rsidRDefault="0095077B" w:rsidP="0095077B">
            <w:pPr>
              <w:rPr>
                <w:lang w:val="bg-BG"/>
              </w:rPr>
            </w:pPr>
            <w:r w:rsidRPr="007375EB">
              <w:rPr>
                <w:lang w:val="bg-BG"/>
              </w:rPr>
              <w:t>-</w:t>
            </w:r>
          </w:p>
        </w:tc>
      </w:tr>
      <w:tr w:rsidR="0095077B" w:rsidRPr="007375EB" w14:paraId="75A78E7C" w14:textId="77777777" w:rsidTr="00813962">
        <w:trPr>
          <w:trHeight w:val="210"/>
        </w:trPr>
        <w:tc>
          <w:tcPr>
            <w:tcW w:w="15555" w:type="dxa"/>
            <w:gridSpan w:val="17"/>
            <w:shd w:val="clear" w:color="auto" w:fill="F2F2F2" w:themeFill="background1" w:themeFillShade="F2"/>
            <w:noWrap/>
            <w:hideMark/>
          </w:tcPr>
          <w:p w14:paraId="57A87BF0" w14:textId="2C472963" w:rsidR="0095077B" w:rsidRPr="007375EB" w:rsidRDefault="0095077B" w:rsidP="0095077B">
            <w:pPr>
              <w:rPr>
                <w:b/>
                <w:bCs/>
                <w:lang w:val="bg-BG"/>
              </w:rPr>
            </w:pPr>
            <w:r w:rsidRPr="007375EB">
              <w:rPr>
                <w:b/>
                <w:bCs/>
                <w:lang w:val="bg-BG"/>
              </w:rPr>
              <w:t xml:space="preserve">ROSPA0166 </w:t>
            </w:r>
            <w:r w:rsidR="00813962" w:rsidRPr="007375EB">
              <w:rPr>
                <w:b/>
                <w:bCs/>
                <w:lang w:val="bg-BG"/>
              </w:rPr>
              <w:t>Плопени - Кирногени</w:t>
            </w:r>
          </w:p>
        </w:tc>
      </w:tr>
      <w:tr w:rsidR="0095077B" w:rsidRPr="007375EB" w14:paraId="3492C437" w14:textId="77777777" w:rsidTr="00813962">
        <w:trPr>
          <w:trHeight w:val="210"/>
        </w:trPr>
        <w:tc>
          <w:tcPr>
            <w:tcW w:w="621" w:type="dxa"/>
            <w:noWrap/>
            <w:hideMark/>
          </w:tcPr>
          <w:p w14:paraId="38122541" w14:textId="77777777" w:rsidR="0095077B" w:rsidRPr="007375EB" w:rsidRDefault="0095077B" w:rsidP="0095077B">
            <w:pPr>
              <w:rPr>
                <w:lang w:val="bg-BG"/>
              </w:rPr>
            </w:pPr>
            <w:r w:rsidRPr="007375EB">
              <w:rPr>
                <w:lang w:val="bg-BG"/>
              </w:rPr>
              <w:t>1</w:t>
            </w:r>
          </w:p>
        </w:tc>
        <w:tc>
          <w:tcPr>
            <w:tcW w:w="3769" w:type="dxa"/>
            <w:noWrap/>
            <w:vAlign w:val="center"/>
            <w:hideMark/>
          </w:tcPr>
          <w:p w14:paraId="2B2C1258" w14:textId="10869A40" w:rsidR="0095077B" w:rsidRPr="007375EB" w:rsidRDefault="00813962" w:rsidP="0095077B">
            <w:pPr>
              <w:rPr>
                <w:lang w:val="bg-BG"/>
              </w:rPr>
            </w:pPr>
            <w:r w:rsidRPr="007375EB">
              <w:rPr>
                <w:lang w:val="bg-BG"/>
              </w:rPr>
              <w:t>Вятърен парк на Кирногени (съществуващ)</w:t>
            </w:r>
          </w:p>
        </w:tc>
        <w:tc>
          <w:tcPr>
            <w:tcW w:w="2017" w:type="dxa"/>
            <w:noWrap/>
            <w:vAlign w:val="center"/>
            <w:hideMark/>
          </w:tcPr>
          <w:p w14:paraId="54C88ABE" w14:textId="26F30675" w:rsidR="0095077B" w:rsidRPr="007375EB" w:rsidRDefault="0095077B" w:rsidP="0095077B">
            <w:pPr>
              <w:rPr>
                <w:lang w:val="bg-BG"/>
              </w:rPr>
            </w:pPr>
            <w:r w:rsidRPr="007375EB">
              <w:rPr>
                <w:lang w:val="bg-BG"/>
              </w:rPr>
              <w:t xml:space="preserve">3,18 </w:t>
            </w:r>
            <w:r w:rsidR="0034375E" w:rsidRPr="007375EB">
              <w:rPr>
                <w:lang w:val="bg-BG"/>
              </w:rPr>
              <w:t>км</w:t>
            </w:r>
          </w:p>
        </w:tc>
        <w:tc>
          <w:tcPr>
            <w:tcW w:w="482" w:type="dxa"/>
            <w:noWrap/>
            <w:vAlign w:val="center"/>
            <w:hideMark/>
          </w:tcPr>
          <w:p w14:paraId="2C7F6D85" w14:textId="77777777" w:rsidR="0095077B" w:rsidRPr="007375EB" w:rsidRDefault="0095077B" w:rsidP="0095077B">
            <w:pPr>
              <w:rPr>
                <w:lang w:val="bg-BG"/>
              </w:rPr>
            </w:pPr>
            <w:r w:rsidRPr="007375EB">
              <w:rPr>
                <w:lang w:val="bg-BG"/>
              </w:rPr>
              <w:t>-</w:t>
            </w:r>
          </w:p>
        </w:tc>
        <w:tc>
          <w:tcPr>
            <w:tcW w:w="868" w:type="dxa"/>
            <w:noWrap/>
            <w:vAlign w:val="center"/>
            <w:hideMark/>
          </w:tcPr>
          <w:p w14:paraId="2F9960A2" w14:textId="77777777" w:rsidR="0095077B" w:rsidRPr="007375EB" w:rsidRDefault="0095077B" w:rsidP="0095077B">
            <w:pPr>
              <w:rPr>
                <w:lang w:val="bg-BG"/>
              </w:rPr>
            </w:pPr>
            <w:r w:rsidRPr="007375EB">
              <w:rPr>
                <w:lang w:val="bg-BG"/>
              </w:rPr>
              <w:t>-</w:t>
            </w:r>
          </w:p>
        </w:tc>
        <w:tc>
          <w:tcPr>
            <w:tcW w:w="630" w:type="dxa"/>
            <w:noWrap/>
            <w:vAlign w:val="center"/>
            <w:hideMark/>
          </w:tcPr>
          <w:p w14:paraId="2A1CEE1C" w14:textId="77777777" w:rsidR="0095077B" w:rsidRPr="007375EB" w:rsidRDefault="0095077B" w:rsidP="0095077B">
            <w:pPr>
              <w:rPr>
                <w:lang w:val="bg-BG"/>
              </w:rPr>
            </w:pPr>
            <w:r w:rsidRPr="007375EB">
              <w:rPr>
                <w:lang w:val="bg-BG"/>
              </w:rPr>
              <w:t>-</w:t>
            </w:r>
          </w:p>
        </w:tc>
        <w:tc>
          <w:tcPr>
            <w:tcW w:w="810" w:type="dxa"/>
            <w:noWrap/>
            <w:vAlign w:val="center"/>
            <w:hideMark/>
          </w:tcPr>
          <w:p w14:paraId="32E7780C" w14:textId="77777777" w:rsidR="0095077B" w:rsidRPr="007375EB" w:rsidRDefault="0095077B" w:rsidP="0095077B">
            <w:pPr>
              <w:rPr>
                <w:lang w:val="bg-BG"/>
              </w:rPr>
            </w:pPr>
            <w:r w:rsidRPr="007375EB">
              <w:rPr>
                <w:lang w:val="bg-BG"/>
              </w:rPr>
              <w:t>-</w:t>
            </w:r>
          </w:p>
        </w:tc>
        <w:tc>
          <w:tcPr>
            <w:tcW w:w="630" w:type="dxa"/>
            <w:noWrap/>
            <w:vAlign w:val="center"/>
            <w:hideMark/>
          </w:tcPr>
          <w:p w14:paraId="74F52FF6" w14:textId="77777777" w:rsidR="0095077B" w:rsidRPr="007375EB" w:rsidRDefault="0095077B" w:rsidP="0095077B">
            <w:pPr>
              <w:rPr>
                <w:lang w:val="bg-BG"/>
              </w:rPr>
            </w:pPr>
            <w:r w:rsidRPr="007375EB">
              <w:rPr>
                <w:lang w:val="bg-BG"/>
              </w:rPr>
              <w:t>-</w:t>
            </w:r>
          </w:p>
        </w:tc>
        <w:tc>
          <w:tcPr>
            <w:tcW w:w="720" w:type="dxa"/>
            <w:noWrap/>
            <w:vAlign w:val="center"/>
            <w:hideMark/>
          </w:tcPr>
          <w:p w14:paraId="7D3DD4C5" w14:textId="77777777" w:rsidR="0095077B" w:rsidRPr="007375EB" w:rsidRDefault="0095077B" w:rsidP="0095077B">
            <w:pPr>
              <w:rPr>
                <w:lang w:val="bg-BG"/>
              </w:rPr>
            </w:pPr>
            <w:r w:rsidRPr="007375EB">
              <w:rPr>
                <w:lang w:val="bg-BG"/>
              </w:rPr>
              <w:t>-</w:t>
            </w:r>
          </w:p>
        </w:tc>
        <w:tc>
          <w:tcPr>
            <w:tcW w:w="720" w:type="dxa"/>
            <w:noWrap/>
            <w:vAlign w:val="center"/>
            <w:hideMark/>
          </w:tcPr>
          <w:p w14:paraId="481872B1" w14:textId="77777777" w:rsidR="0095077B" w:rsidRPr="007375EB" w:rsidRDefault="0095077B" w:rsidP="0095077B">
            <w:pPr>
              <w:rPr>
                <w:lang w:val="bg-BG"/>
              </w:rPr>
            </w:pPr>
            <w:r w:rsidRPr="007375EB">
              <w:rPr>
                <w:lang w:val="bg-BG"/>
              </w:rPr>
              <w:t>-</w:t>
            </w:r>
          </w:p>
        </w:tc>
        <w:tc>
          <w:tcPr>
            <w:tcW w:w="540" w:type="dxa"/>
            <w:noWrap/>
            <w:vAlign w:val="center"/>
            <w:hideMark/>
          </w:tcPr>
          <w:p w14:paraId="6CF4C425" w14:textId="77777777" w:rsidR="0095077B" w:rsidRPr="007375EB" w:rsidRDefault="0095077B" w:rsidP="0095077B">
            <w:pPr>
              <w:rPr>
                <w:lang w:val="bg-BG"/>
              </w:rPr>
            </w:pPr>
            <w:r w:rsidRPr="007375EB">
              <w:rPr>
                <w:lang w:val="bg-BG"/>
              </w:rPr>
              <w:t>X</w:t>
            </w:r>
          </w:p>
        </w:tc>
        <w:tc>
          <w:tcPr>
            <w:tcW w:w="990" w:type="dxa"/>
            <w:noWrap/>
            <w:vAlign w:val="center"/>
            <w:hideMark/>
          </w:tcPr>
          <w:p w14:paraId="0515A31A" w14:textId="77777777" w:rsidR="0095077B" w:rsidRPr="007375EB" w:rsidRDefault="0095077B" w:rsidP="0095077B">
            <w:pPr>
              <w:rPr>
                <w:lang w:val="bg-BG"/>
              </w:rPr>
            </w:pPr>
            <w:r w:rsidRPr="007375EB">
              <w:rPr>
                <w:lang w:val="bg-BG"/>
              </w:rPr>
              <w:t>X</w:t>
            </w:r>
          </w:p>
        </w:tc>
        <w:tc>
          <w:tcPr>
            <w:tcW w:w="499" w:type="dxa"/>
            <w:noWrap/>
            <w:vAlign w:val="center"/>
            <w:hideMark/>
          </w:tcPr>
          <w:p w14:paraId="2A1EC00A" w14:textId="77777777" w:rsidR="0095077B" w:rsidRPr="007375EB" w:rsidRDefault="0095077B" w:rsidP="0095077B">
            <w:pPr>
              <w:rPr>
                <w:lang w:val="bg-BG"/>
              </w:rPr>
            </w:pPr>
            <w:r w:rsidRPr="007375EB">
              <w:rPr>
                <w:lang w:val="bg-BG"/>
              </w:rPr>
              <w:t>-</w:t>
            </w:r>
          </w:p>
        </w:tc>
        <w:tc>
          <w:tcPr>
            <w:tcW w:w="507" w:type="dxa"/>
            <w:noWrap/>
            <w:vAlign w:val="center"/>
            <w:hideMark/>
          </w:tcPr>
          <w:p w14:paraId="78B9FDD2" w14:textId="77777777" w:rsidR="0095077B" w:rsidRPr="007375EB" w:rsidRDefault="0095077B" w:rsidP="0095077B">
            <w:pPr>
              <w:rPr>
                <w:lang w:val="bg-BG"/>
              </w:rPr>
            </w:pPr>
            <w:r w:rsidRPr="007375EB">
              <w:rPr>
                <w:lang w:val="bg-BG"/>
              </w:rPr>
              <w:t>X</w:t>
            </w:r>
          </w:p>
        </w:tc>
        <w:tc>
          <w:tcPr>
            <w:tcW w:w="524" w:type="dxa"/>
            <w:noWrap/>
            <w:vAlign w:val="center"/>
            <w:hideMark/>
          </w:tcPr>
          <w:p w14:paraId="124B585A" w14:textId="77777777" w:rsidR="0095077B" w:rsidRPr="007375EB" w:rsidRDefault="0095077B" w:rsidP="0095077B">
            <w:pPr>
              <w:rPr>
                <w:lang w:val="bg-BG"/>
              </w:rPr>
            </w:pPr>
            <w:r w:rsidRPr="007375EB">
              <w:rPr>
                <w:lang w:val="bg-BG"/>
              </w:rPr>
              <w:t>X</w:t>
            </w:r>
          </w:p>
        </w:tc>
        <w:tc>
          <w:tcPr>
            <w:tcW w:w="616" w:type="dxa"/>
            <w:noWrap/>
            <w:vAlign w:val="center"/>
            <w:hideMark/>
          </w:tcPr>
          <w:p w14:paraId="6F89404C" w14:textId="77777777" w:rsidR="0095077B" w:rsidRPr="007375EB" w:rsidRDefault="0095077B" w:rsidP="0095077B">
            <w:pPr>
              <w:rPr>
                <w:lang w:val="bg-BG"/>
              </w:rPr>
            </w:pPr>
            <w:r w:rsidRPr="007375EB">
              <w:rPr>
                <w:lang w:val="bg-BG"/>
              </w:rPr>
              <w:t>X</w:t>
            </w:r>
          </w:p>
        </w:tc>
        <w:tc>
          <w:tcPr>
            <w:tcW w:w="612" w:type="dxa"/>
            <w:noWrap/>
            <w:vAlign w:val="center"/>
            <w:hideMark/>
          </w:tcPr>
          <w:p w14:paraId="7F748802" w14:textId="77777777" w:rsidR="0095077B" w:rsidRPr="007375EB" w:rsidRDefault="0095077B" w:rsidP="0095077B">
            <w:pPr>
              <w:rPr>
                <w:lang w:val="bg-BG"/>
              </w:rPr>
            </w:pPr>
            <w:r w:rsidRPr="007375EB">
              <w:rPr>
                <w:lang w:val="bg-BG"/>
              </w:rPr>
              <w:t>X</w:t>
            </w:r>
          </w:p>
        </w:tc>
      </w:tr>
      <w:tr w:rsidR="0095077B" w:rsidRPr="007375EB" w14:paraId="7EB62109" w14:textId="77777777" w:rsidTr="00813962">
        <w:trPr>
          <w:trHeight w:val="210"/>
        </w:trPr>
        <w:tc>
          <w:tcPr>
            <w:tcW w:w="621" w:type="dxa"/>
            <w:noWrap/>
          </w:tcPr>
          <w:p w14:paraId="39EF3BAB" w14:textId="73D6C16C" w:rsidR="0095077B" w:rsidRPr="007375EB" w:rsidRDefault="00C6299B" w:rsidP="0095077B">
            <w:pPr>
              <w:rPr>
                <w:lang w:val="bg-BG"/>
              </w:rPr>
            </w:pPr>
            <w:r w:rsidRPr="007375EB">
              <w:rPr>
                <w:lang w:val="bg-BG"/>
              </w:rPr>
              <w:t>2</w:t>
            </w:r>
          </w:p>
        </w:tc>
        <w:tc>
          <w:tcPr>
            <w:tcW w:w="3769" w:type="dxa"/>
            <w:noWrap/>
            <w:vAlign w:val="center"/>
          </w:tcPr>
          <w:p w14:paraId="29D0D39B" w14:textId="7202C072" w:rsidR="0095077B" w:rsidRPr="007375EB" w:rsidRDefault="00813962" w:rsidP="0095077B">
            <w:pPr>
              <w:rPr>
                <w:lang w:val="bg-BG"/>
              </w:rPr>
            </w:pPr>
            <w:r w:rsidRPr="007375EB">
              <w:rPr>
                <w:lang w:val="bg-BG"/>
              </w:rPr>
              <w:t>Вятърен парк Карнобат (съществуващ)</w:t>
            </w:r>
          </w:p>
        </w:tc>
        <w:tc>
          <w:tcPr>
            <w:tcW w:w="2017" w:type="dxa"/>
            <w:noWrap/>
            <w:vAlign w:val="center"/>
          </w:tcPr>
          <w:p w14:paraId="4B52BBE6" w14:textId="70272612" w:rsidR="0095077B" w:rsidRPr="007375EB" w:rsidRDefault="0095077B" w:rsidP="0095077B">
            <w:pPr>
              <w:rPr>
                <w:lang w:val="bg-BG"/>
              </w:rPr>
            </w:pPr>
            <w:r w:rsidRPr="007375EB">
              <w:rPr>
                <w:lang w:val="bg-BG"/>
              </w:rPr>
              <w:t xml:space="preserve">18,91 </w:t>
            </w:r>
            <w:r w:rsidR="0034375E" w:rsidRPr="007375EB">
              <w:rPr>
                <w:lang w:val="bg-BG"/>
              </w:rPr>
              <w:t>км</w:t>
            </w:r>
          </w:p>
        </w:tc>
        <w:tc>
          <w:tcPr>
            <w:tcW w:w="482" w:type="dxa"/>
            <w:noWrap/>
            <w:vAlign w:val="center"/>
          </w:tcPr>
          <w:p w14:paraId="3FFF312F" w14:textId="77777777" w:rsidR="0095077B" w:rsidRPr="007375EB" w:rsidRDefault="0095077B" w:rsidP="0095077B">
            <w:pPr>
              <w:rPr>
                <w:lang w:val="bg-BG"/>
              </w:rPr>
            </w:pPr>
            <w:r w:rsidRPr="007375EB">
              <w:rPr>
                <w:lang w:val="bg-BG"/>
              </w:rPr>
              <w:t>-</w:t>
            </w:r>
          </w:p>
        </w:tc>
        <w:tc>
          <w:tcPr>
            <w:tcW w:w="868" w:type="dxa"/>
            <w:noWrap/>
            <w:vAlign w:val="center"/>
          </w:tcPr>
          <w:p w14:paraId="3C0EAE9E" w14:textId="77777777" w:rsidR="0095077B" w:rsidRPr="007375EB" w:rsidRDefault="0095077B" w:rsidP="0095077B">
            <w:pPr>
              <w:rPr>
                <w:lang w:val="bg-BG"/>
              </w:rPr>
            </w:pPr>
            <w:r w:rsidRPr="007375EB">
              <w:rPr>
                <w:lang w:val="bg-BG"/>
              </w:rPr>
              <w:t>-</w:t>
            </w:r>
          </w:p>
        </w:tc>
        <w:tc>
          <w:tcPr>
            <w:tcW w:w="630" w:type="dxa"/>
            <w:noWrap/>
            <w:vAlign w:val="center"/>
          </w:tcPr>
          <w:p w14:paraId="1A4DB55F" w14:textId="77777777" w:rsidR="0095077B" w:rsidRPr="007375EB" w:rsidRDefault="0095077B" w:rsidP="0095077B">
            <w:pPr>
              <w:rPr>
                <w:lang w:val="bg-BG"/>
              </w:rPr>
            </w:pPr>
            <w:r w:rsidRPr="007375EB">
              <w:rPr>
                <w:lang w:val="bg-BG"/>
              </w:rPr>
              <w:t>-</w:t>
            </w:r>
          </w:p>
        </w:tc>
        <w:tc>
          <w:tcPr>
            <w:tcW w:w="810" w:type="dxa"/>
            <w:noWrap/>
            <w:vAlign w:val="center"/>
          </w:tcPr>
          <w:p w14:paraId="3233CC6A" w14:textId="77777777" w:rsidR="0095077B" w:rsidRPr="007375EB" w:rsidRDefault="0095077B" w:rsidP="0095077B">
            <w:pPr>
              <w:rPr>
                <w:lang w:val="bg-BG"/>
              </w:rPr>
            </w:pPr>
            <w:r w:rsidRPr="007375EB">
              <w:rPr>
                <w:lang w:val="bg-BG"/>
              </w:rPr>
              <w:t>-</w:t>
            </w:r>
          </w:p>
        </w:tc>
        <w:tc>
          <w:tcPr>
            <w:tcW w:w="630" w:type="dxa"/>
            <w:noWrap/>
            <w:vAlign w:val="center"/>
          </w:tcPr>
          <w:p w14:paraId="0835BC41" w14:textId="77777777" w:rsidR="0095077B" w:rsidRPr="007375EB" w:rsidRDefault="0095077B" w:rsidP="0095077B">
            <w:pPr>
              <w:rPr>
                <w:lang w:val="bg-BG"/>
              </w:rPr>
            </w:pPr>
            <w:r w:rsidRPr="007375EB">
              <w:rPr>
                <w:lang w:val="bg-BG"/>
              </w:rPr>
              <w:t>-</w:t>
            </w:r>
          </w:p>
        </w:tc>
        <w:tc>
          <w:tcPr>
            <w:tcW w:w="720" w:type="dxa"/>
            <w:noWrap/>
            <w:vAlign w:val="center"/>
          </w:tcPr>
          <w:p w14:paraId="1083B081" w14:textId="77777777" w:rsidR="0095077B" w:rsidRPr="007375EB" w:rsidRDefault="0095077B" w:rsidP="0095077B">
            <w:pPr>
              <w:rPr>
                <w:lang w:val="bg-BG"/>
              </w:rPr>
            </w:pPr>
            <w:r w:rsidRPr="007375EB">
              <w:rPr>
                <w:lang w:val="bg-BG"/>
              </w:rPr>
              <w:t>-</w:t>
            </w:r>
          </w:p>
        </w:tc>
        <w:tc>
          <w:tcPr>
            <w:tcW w:w="720" w:type="dxa"/>
            <w:noWrap/>
            <w:vAlign w:val="center"/>
          </w:tcPr>
          <w:p w14:paraId="271702C2" w14:textId="77777777" w:rsidR="0095077B" w:rsidRPr="007375EB" w:rsidRDefault="0095077B" w:rsidP="0095077B">
            <w:pPr>
              <w:rPr>
                <w:lang w:val="bg-BG"/>
              </w:rPr>
            </w:pPr>
            <w:r w:rsidRPr="007375EB">
              <w:rPr>
                <w:lang w:val="bg-BG"/>
              </w:rPr>
              <w:t>-</w:t>
            </w:r>
          </w:p>
        </w:tc>
        <w:tc>
          <w:tcPr>
            <w:tcW w:w="540" w:type="dxa"/>
            <w:noWrap/>
            <w:vAlign w:val="center"/>
          </w:tcPr>
          <w:p w14:paraId="38D1814D" w14:textId="77777777" w:rsidR="0095077B" w:rsidRPr="007375EB" w:rsidRDefault="0095077B" w:rsidP="0095077B">
            <w:pPr>
              <w:rPr>
                <w:lang w:val="bg-BG"/>
              </w:rPr>
            </w:pPr>
            <w:r w:rsidRPr="007375EB">
              <w:rPr>
                <w:lang w:val="bg-BG"/>
              </w:rPr>
              <w:t>-</w:t>
            </w:r>
          </w:p>
        </w:tc>
        <w:tc>
          <w:tcPr>
            <w:tcW w:w="990" w:type="dxa"/>
            <w:noWrap/>
            <w:vAlign w:val="center"/>
          </w:tcPr>
          <w:p w14:paraId="585A42FC" w14:textId="77777777" w:rsidR="0095077B" w:rsidRPr="007375EB" w:rsidRDefault="0095077B" w:rsidP="0095077B">
            <w:pPr>
              <w:rPr>
                <w:lang w:val="bg-BG"/>
              </w:rPr>
            </w:pPr>
            <w:r w:rsidRPr="007375EB">
              <w:rPr>
                <w:lang w:val="bg-BG"/>
              </w:rPr>
              <w:t>-</w:t>
            </w:r>
          </w:p>
        </w:tc>
        <w:tc>
          <w:tcPr>
            <w:tcW w:w="499" w:type="dxa"/>
            <w:noWrap/>
            <w:vAlign w:val="center"/>
          </w:tcPr>
          <w:p w14:paraId="19C8997D" w14:textId="77777777" w:rsidR="0095077B" w:rsidRPr="007375EB" w:rsidRDefault="0095077B" w:rsidP="0095077B">
            <w:pPr>
              <w:rPr>
                <w:lang w:val="bg-BG"/>
              </w:rPr>
            </w:pPr>
            <w:r w:rsidRPr="007375EB">
              <w:rPr>
                <w:lang w:val="bg-BG"/>
              </w:rPr>
              <w:t>-</w:t>
            </w:r>
          </w:p>
        </w:tc>
        <w:tc>
          <w:tcPr>
            <w:tcW w:w="507" w:type="dxa"/>
            <w:noWrap/>
            <w:vAlign w:val="center"/>
          </w:tcPr>
          <w:p w14:paraId="3FB4FF04" w14:textId="77777777" w:rsidR="0095077B" w:rsidRPr="007375EB" w:rsidRDefault="0095077B" w:rsidP="0095077B">
            <w:pPr>
              <w:rPr>
                <w:lang w:val="bg-BG"/>
              </w:rPr>
            </w:pPr>
            <w:r w:rsidRPr="007375EB">
              <w:rPr>
                <w:lang w:val="bg-BG"/>
              </w:rPr>
              <w:t>-</w:t>
            </w:r>
          </w:p>
        </w:tc>
        <w:tc>
          <w:tcPr>
            <w:tcW w:w="524" w:type="dxa"/>
            <w:noWrap/>
            <w:vAlign w:val="center"/>
          </w:tcPr>
          <w:p w14:paraId="1DA8158C" w14:textId="77777777" w:rsidR="0095077B" w:rsidRPr="007375EB" w:rsidRDefault="0095077B" w:rsidP="0095077B">
            <w:pPr>
              <w:rPr>
                <w:lang w:val="bg-BG"/>
              </w:rPr>
            </w:pPr>
            <w:r w:rsidRPr="007375EB">
              <w:rPr>
                <w:lang w:val="bg-BG"/>
              </w:rPr>
              <w:t>-</w:t>
            </w:r>
          </w:p>
        </w:tc>
        <w:tc>
          <w:tcPr>
            <w:tcW w:w="616" w:type="dxa"/>
            <w:noWrap/>
            <w:vAlign w:val="center"/>
          </w:tcPr>
          <w:p w14:paraId="544F4E36" w14:textId="77777777" w:rsidR="0095077B" w:rsidRPr="007375EB" w:rsidRDefault="0095077B" w:rsidP="0095077B">
            <w:pPr>
              <w:rPr>
                <w:lang w:val="bg-BG"/>
              </w:rPr>
            </w:pPr>
            <w:r w:rsidRPr="007375EB">
              <w:rPr>
                <w:lang w:val="bg-BG"/>
              </w:rPr>
              <w:t>-</w:t>
            </w:r>
          </w:p>
        </w:tc>
        <w:tc>
          <w:tcPr>
            <w:tcW w:w="612" w:type="dxa"/>
            <w:noWrap/>
            <w:vAlign w:val="center"/>
          </w:tcPr>
          <w:p w14:paraId="017849DC" w14:textId="77777777" w:rsidR="0095077B" w:rsidRPr="007375EB" w:rsidRDefault="0095077B" w:rsidP="0095077B">
            <w:pPr>
              <w:rPr>
                <w:lang w:val="bg-BG"/>
              </w:rPr>
            </w:pPr>
            <w:r w:rsidRPr="007375EB">
              <w:rPr>
                <w:lang w:val="bg-BG"/>
              </w:rPr>
              <w:t>-</w:t>
            </w:r>
          </w:p>
        </w:tc>
      </w:tr>
      <w:tr w:rsidR="0095077B" w:rsidRPr="007375EB" w14:paraId="20531AFD" w14:textId="77777777" w:rsidTr="00813962">
        <w:trPr>
          <w:trHeight w:val="210"/>
        </w:trPr>
        <w:tc>
          <w:tcPr>
            <w:tcW w:w="15555" w:type="dxa"/>
            <w:gridSpan w:val="17"/>
            <w:shd w:val="clear" w:color="auto" w:fill="F2F2F2" w:themeFill="background1" w:themeFillShade="F2"/>
            <w:noWrap/>
            <w:hideMark/>
          </w:tcPr>
          <w:p w14:paraId="2C1E453E" w14:textId="2A41D1E7" w:rsidR="0095077B" w:rsidRPr="007375EB" w:rsidRDefault="0095077B" w:rsidP="0095077B">
            <w:pPr>
              <w:rPr>
                <w:b/>
                <w:bCs/>
                <w:lang w:val="bg-BG"/>
              </w:rPr>
            </w:pPr>
            <w:r w:rsidRPr="007375EB">
              <w:rPr>
                <w:b/>
                <w:bCs/>
                <w:lang w:val="bg-BG"/>
              </w:rPr>
              <w:t xml:space="preserve">ROSPA0094 </w:t>
            </w:r>
            <w:r w:rsidR="00813962" w:rsidRPr="007375EB">
              <w:rPr>
                <w:b/>
                <w:bCs/>
                <w:lang w:val="bg-BG"/>
              </w:rPr>
              <w:t>Гората Хаджиени – Коту Въи</w:t>
            </w:r>
          </w:p>
        </w:tc>
      </w:tr>
      <w:tr w:rsidR="0095077B" w:rsidRPr="007375EB" w14:paraId="51DA0040" w14:textId="77777777" w:rsidTr="00813962">
        <w:trPr>
          <w:trHeight w:val="210"/>
        </w:trPr>
        <w:tc>
          <w:tcPr>
            <w:tcW w:w="621" w:type="dxa"/>
            <w:noWrap/>
            <w:hideMark/>
          </w:tcPr>
          <w:p w14:paraId="2F3F2FFB" w14:textId="77777777" w:rsidR="0095077B" w:rsidRPr="007375EB" w:rsidRDefault="0095077B" w:rsidP="0095077B">
            <w:pPr>
              <w:rPr>
                <w:lang w:val="bg-BG"/>
              </w:rPr>
            </w:pPr>
            <w:r w:rsidRPr="007375EB">
              <w:rPr>
                <w:lang w:val="bg-BG"/>
              </w:rPr>
              <w:lastRenderedPageBreak/>
              <w:t>1</w:t>
            </w:r>
          </w:p>
        </w:tc>
        <w:tc>
          <w:tcPr>
            <w:tcW w:w="3769" w:type="dxa"/>
            <w:noWrap/>
            <w:hideMark/>
          </w:tcPr>
          <w:p w14:paraId="26208262" w14:textId="025089B8" w:rsidR="0095077B" w:rsidRPr="007375EB" w:rsidRDefault="00813962" w:rsidP="0095077B">
            <w:pPr>
              <w:rPr>
                <w:lang w:val="bg-BG"/>
              </w:rPr>
            </w:pPr>
            <w:r w:rsidRPr="007375EB">
              <w:rPr>
                <w:lang w:val="bg-BG"/>
              </w:rPr>
              <w:t>Вятърен парк на Кирногени (съществуващ)</w:t>
            </w:r>
          </w:p>
        </w:tc>
        <w:tc>
          <w:tcPr>
            <w:tcW w:w="2017" w:type="dxa"/>
            <w:noWrap/>
            <w:vAlign w:val="center"/>
            <w:hideMark/>
          </w:tcPr>
          <w:p w14:paraId="4836A70B" w14:textId="13DA4D5C" w:rsidR="0095077B" w:rsidRPr="007375EB" w:rsidRDefault="0095077B" w:rsidP="0095077B">
            <w:pPr>
              <w:rPr>
                <w:lang w:val="bg-BG"/>
              </w:rPr>
            </w:pPr>
            <w:r w:rsidRPr="007375EB">
              <w:rPr>
                <w:lang w:val="bg-BG"/>
              </w:rPr>
              <w:t xml:space="preserve">17,05 </w:t>
            </w:r>
            <w:r w:rsidR="0034375E" w:rsidRPr="007375EB">
              <w:rPr>
                <w:lang w:val="bg-BG"/>
              </w:rPr>
              <w:t>км</w:t>
            </w:r>
          </w:p>
        </w:tc>
        <w:tc>
          <w:tcPr>
            <w:tcW w:w="482" w:type="dxa"/>
            <w:noWrap/>
            <w:vAlign w:val="center"/>
            <w:hideMark/>
          </w:tcPr>
          <w:p w14:paraId="73B328BC" w14:textId="77777777" w:rsidR="0095077B" w:rsidRPr="007375EB" w:rsidRDefault="0095077B" w:rsidP="0095077B">
            <w:pPr>
              <w:rPr>
                <w:lang w:val="bg-BG"/>
              </w:rPr>
            </w:pPr>
            <w:r w:rsidRPr="007375EB">
              <w:rPr>
                <w:lang w:val="bg-BG"/>
              </w:rPr>
              <w:t>-</w:t>
            </w:r>
          </w:p>
        </w:tc>
        <w:tc>
          <w:tcPr>
            <w:tcW w:w="868" w:type="dxa"/>
            <w:noWrap/>
            <w:vAlign w:val="center"/>
            <w:hideMark/>
          </w:tcPr>
          <w:p w14:paraId="3B2EA909" w14:textId="77777777" w:rsidR="0095077B" w:rsidRPr="007375EB" w:rsidRDefault="0095077B" w:rsidP="0095077B">
            <w:pPr>
              <w:rPr>
                <w:lang w:val="bg-BG"/>
              </w:rPr>
            </w:pPr>
            <w:r w:rsidRPr="007375EB">
              <w:rPr>
                <w:lang w:val="bg-BG"/>
              </w:rPr>
              <w:t>-</w:t>
            </w:r>
          </w:p>
        </w:tc>
        <w:tc>
          <w:tcPr>
            <w:tcW w:w="630" w:type="dxa"/>
            <w:noWrap/>
            <w:vAlign w:val="center"/>
            <w:hideMark/>
          </w:tcPr>
          <w:p w14:paraId="0817981D" w14:textId="77777777" w:rsidR="0095077B" w:rsidRPr="007375EB" w:rsidRDefault="0095077B" w:rsidP="0095077B">
            <w:pPr>
              <w:rPr>
                <w:lang w:val="bg-BG"/>
              </w:rPr>
            </w:pPr>
            <w:r w:rsidRPr="007375EB">
              <w:rPr>
                <w:lang w:val="bg-BG"/>
              </w:rPr>
              <w:t>-</w:t>
            </w:r>
          </w:p>
        </w:tc>
        <w:tc>
          <w:tcPr>
            <w:tcW w:w="810" w:type="dxa"/>
            <w:noWrap/>
            <w:vAlign w:val="center"/>
            <w:hideMark/>
          </w:tcPr>
          <w:p w14:paraId="0C333BD9" w14:textId="77777777" w:rsidR="0095077B" w:rsidRPr="007375EB" w:rsidRDefault="0095077B" w:rsidP="0095077B">
            <w:pPr>
              <w:rPr>
                <w:lang w:val="bg-BG"/>
              </w:rPr>
            </w:pPr>
            <w:r w:rsidRPr="007375EB">
              <w:rPr>
                <w:lang w:val="bg-BG"/>
              </w:rPr>
              <w:t>-</w:t>
            </w:r>
          </w:p>
        </w:tc>
        <w:tc>
          <w:tcPr>
            <w:tcW w:w="630" w:type="dxa"/>
            <w:noWrap/>
            <w:vAlign w:val="center"/>
            <w:hideMark/>
          </w:tcPr>
          <w:p w14:paraId="248BA6DC" w14:textId="77777777" w:rsidR="0095077B" w:rsidRPr="007375EB" w:rsidRDefault="0095077B" w:rsidP="0095077B">
            <w:pPr>
              <w:rPr>
                <w:lang w:val="bg-BG"/>
              </w:rPr>
            </w:pPr>
            <w:r w:rsidRPr="007375EB">
              <w:rPr>
                <w:lang w:val="bg-BG"/>
              </w:rPr>
              <w:t>-</w:t>
            </w:r>
          </w:p>
        </w:tc>
        <w:tc>
          <w:tcPr>
            <w:tcW w:w="720" w:type="dxa"/>
            <w:noWrap/>
            <w:vAlign w:val="center"/>
            <w:hideMark/>
          </w:tcPr>
          <w:p w14:paraId="1C8D1426" w14:textId="77777777" w:rsidR="0095077B" w:rsidRPr="007375EB" w:rsidRDefault="0095077B" w:rsidP="0095077B">
            <w:pPr>
              <w:rPr>
                <w:lang w:val="bg-BG"/>
              </w:rPr>
            </w:pPr>
            <w:r w:rsidRPr="007375EB">
              <w:rPr>
                <w:lang w:val="bg-BG"/>
              </w:rPr>
              <w:t>-</w:t>
            </w:r>
          </w:p>
        </w:tc>
        <w:tc>
          <w:tcPr>
            <w:tcW w:w="720" w:type="dxa"/>
            <w:noWrap/>
            <w:vAlign w:val="center"/>
            <w:hideMark/>
          </w:tcPr>
          <w:p w14:paraId="6B4AC18E" w14:textId="77777777" w:rsidR="0095077B" w:rsidRPr="007375EB" w:rsidRDefault="0095077B" w:rsidP="0095077B">
            <w:pPr>
              <w:rPr>
                <w:lang w:val="bg-BG"/>
              </w:rPr>
            </w:pPr>
            <w:r w:rsidRPr="007375EB">
              <w:rPr>
                <w:lang w:val="bg-BG"/>
              </w:rPr>
              <w:t>-</w:t>
            </w:r>
          </w:p>
        </w:tc>
        <w:tc>
          <w:tcPr>
            <w:tcW w:w="540" w:type="dxa"/>
            <w:noWrap/>
            <w:vAlign w:val="center"/>
            <w:hideMark/>
          </w:tcPr>
          <w:p w14:paraId="2DF056EE" w14:textId="77777777" w:rsidR="0095077B" w:rsidRPr="007375EB" w:rsidRDefault="0095077B" w:rsidP="0095077B">
            <w:pPr>
              <w:rPr>
                <w:lang w:val="bg-BG"/>
              </w:rPr>
            </w:pPr>
            <w:r w:rsidRPr="007375EB">
              <w:rPr>
                <w:lang w:val="bg-BG"/>
              </w:rPr>
              <w:t>X</w:t>
            </w:r>
          </w:p>
        </w:tc>
        <w:tc>
          <w:tcPr>
            <w:tcW w:w="990" w:type="dxa"/>
            <w:noWrap/>
            <w:vAlign w:val="center"/>
            <w:hideMark/>
          </w:tcPr>
          <w:p w14:paraId="7843A320" w14:textId="77777777" w:rsidR="0095077B" w:rsidRPr="007375EB" w:rsidRDefault="0095077B" w:rsidP="0095077B">
            <w:pPr>
              <w:rPr>
                <w:lang w:val="bg-BG"/>
              </w:rPr>
            </w:pPr>
            <w:r w:rsidRPr="007375EB">
              <w:rPr>
                <w:lang w:val="bg-BG"/>
              </w:rPr>
              <w:t>X</w:t>
            </w:r>
          </w:p>
        </w:tc>
        <w:tc>
          <w:tcPr>
            <w:tcW w:w="499" w:type="dxa"/>
            <w:noWrap/>
            <w:vAlign w:val="center"/>
            <w:hideMark/>
          </w:tcPr>
          <w:p w14:paraId="55D60B71" w14:textId="77777777" w:rsidR="0095077B" w:rsidRPr="007375EB" w:rsidRDefault="0095077B" w:rsidP="0095077B">
            <w:pPr>
              <w:rPr>
                <w:lang w:val="bg-BG"/>
              </w:rPr>
            </w:pPr>
            <w:r w:rsidRPr="007375EB">
              <w:rPr>
                <w:lang w:val="bg-BG"/>
              </w:rPr>
              <w:t>-</w:t>
            </w:r>
          </w:p>
        </w:tc>
        <w:tc>
          <w:tcPr>
            <w:tcW w:w="507" w:type="dxa"/>
            <w:noWrap/>
            <w:vAlign w:val="center"/>
            <w:hideMark/>
          </w:tcPr>
          <w:p w14:paraId="0F81E1F8" w14:textId="77777777" w:rsidR="0095077B" w:rsidRPr="007375EB" w:rsidRDefault="0095077B" w:rsidP="0095077B">
            <w:pPr>
              <w:rPr>
                <w:lang w:val="bg-BG"/>
              </w:rPr>
            </w:pPr>
            <w:r w:rsidRPr="007375EB">
              <w:rPr>
                <w:lang w:val="bg-BG"/>
              </w:rPr>
              <w:t>X</w:t>
            </w:r>
          </w:p>
        </w:tc>
        <w:tc>
          <w:tcPr>
            <w:tcW w:w="524" w:type="dxa"/>
            <w:noWrap/>
            <w:vAlign w:val="center"/>
            <w:hideMark/>
          </w:tcPr>
          <w:p w14:paraId="04C69A80" w14:textId="77777777" w:rsidR="0095077B" w:rsidRPr="007375EB" w:rsidRDefault="0095077B" w:rsidP="0095077B">
            <w:pPr>
              <w:rPr>
                <w:lang w:val="bg-BG"/>
              </w:rPr>
            </w:pPr>
            <w:r w:rsidRPr="007375EB">
              <w:rPr>
                <w:lang w:val="bg-BG"/>
              </w:rPr>
              <w:t>X</w:t>
            </w:r>
          </w:p>
        </w:tc>
        <w:tc>
          <w:tcPr>
            <w:tcW w:w="616" w:type="dxa"/>
            <w:noWrap/>
            <w:vAlign w:val="center"/>
            <w:hideMark/>
          </w:tcPr>
          <w:p w14:paraId="5221C4D7" w14:textId="77777777" w:rsidR="0095077B" w:rsidRPr="007375EB" w:rsidRDefault="0095077B" w:rsidP="0095077B">
            <w:pPr>
              <w:rPr>
                <w:lang w:val="bg-BG"/>
              </w:rPr>
            </w:pPr>
            <w:r w:rsidRPr="007375EB">
              <w:rPr>
                <w:lang w:val="bg-BG"/>
              </w:rPr>
              <w:t>X</w:t>
            </w:r>
          </w:p>
        </w:tc>
        <w:tc>
          <w:tcPr>
            <w:tcW w:w="612" w:type="dxa"/>
            <w:noWrap/>
            <w:vAlign w:val="center"/>
            <w:hideMark/>
          </w:tcPr>
          <w:p w14:paraId="7489499D" w14:textId="77777777" w:rsidR="0095077B" w:rsidRPr="007375EB" w:rsidRDefault="0095077B" w:rsidP="0095077B">
            <w:pPr>
              <w:rPr>
                <w:lang w:val="bg-BG"/>
              </w:rPr>
            </w:pPr>
            <w:r w:rsidRPr="007375EB">
              <w:rPr>
                <w:lang w:val="bg-BG"/>
              </w:rPr>
              <w:t>X</w:t>
            </w:r>
          </w:p>
        </w:tc>
      </w:tr>
      <w:tr w:rsidR="0095077B" w:rsidRPr="007375EB" w14:paraId="17AAE350" w14:textId="77777777" w:rsidTr="00813962">
        <w:trPr>
          <w:trHeight w:val="210"/>
        </w:trPr>
        <w:tc>
          <w:tcPr>
            <w:tcW w:w="621" w:type="dxa"/>
            <w:noWrap/>
          </w:tcPr>
          <w:p w14:paraId="0F30E8E2" w14:textId="661799F7" w:rsidR="0095077B" w:rsidRPr="007375EB" w:rsidRDefault="00C6299B" w:rsidP="0095077B">
            <w:pPr>
              <w:rPr>
                <w:lang w:val="bg-BG"/>
              </w:rPr>
            </w:pPr>
            <w:r w:rsidRPr="007375EB">
              <w:rPr>
                <w:lang w:val="bg-BG"/>
              </w:rPr>
              <w:t>2</w:t>
            </w:r>
          </w:p>
        </w:tc>
        <w:tc>
          <w:tcPr>
            <w:tcW w:w="3769" w:type="dxa"/>
            <w:noWrap/>
          </w:tcPr>
          <w:p w14:paraId="6262DBF9" w14:textId="34758A0C" w:rsidR="0095077B" w:rsidRPr="007375EB" w:rsidRDefault="00813962" w:rsidP="0095077B">
            <w:pPr>
              <w:rPr>
                <w:lang w:val="bg-BG"/>
              </w:rPr>
            </w:pPr>
            <w:r w:rsidRPr="007375EB">
              <w:rPr>
                <w:lang w:val="bg-BG"/>
              </w:rPr>
              <w:t>Вятърен парк Карнобат (съществуващ)</w:t>
            </w:r>
          </w:p>
        </w:tc>
        <w:tc>
          <w:tcPr>
            <w:tcW w:w="2017" w:type="dxa"/>
            <w:noWrap/>
            <w:vAlign w:val="center"/>
          </w:tcPr>
          <w:p w14:paraId="059DD04E" w14:textId="184A5526" w:rsidR="0095077B" w:rsidRPr="007375EB" w:rsidRDefault="0095077B" w:rsidP="0095077B">
            <w:pPr>
              <w:rPr>
                <w:lang w:val="bg-BG"/>
              </w:rPr>
            </w:pPr>
            <w:r w:rsidRPr="007375EB">
              <w:rPr>
                <w:lang w:val="bg-BG"/>
              </w:rPr>
              <w:t xml:space="preserve">20 </w:t>
            </w:r>
            <w:r w:rsidR="0034375E" w:rsidRPr="007375EB">
              <w:rPr>
                <w:lang w:val="bg-BG"/>
              </w:rPr>
              <w:t>км</w:t>
            </w:r>
          </w:p>
        </w:tc>
        <w:tc>
          <w:tcPr>
            <w:tcW w:w="482" w:type="dxa"/>
            <w:noWrap/>
            <w:vAlign w:val="center"/>
          </w:tcPr>
          <w:p w14:paraId="124CE295" w14:textId="77777777" w:rsidR="0095077B" w:rsidRPr="007375EB" w:rsidRDefault="0095077B" w:rsidP="0095077B">
            <w:pPr>
              <w:rPr>
                <w:lang w:val="bg-BG"/>
              </w:rPr>
            </w:pPr>
            <w:r w:rsidRPr="007375EB">
              <w:rPr>
                <w:lang w:val="bg-BG"/>
              </w:rPr>
              <w:t>-</w:t>
            </w:r>
          </w:p>
        </w:tc>
        <w:tc>
          <w:tcPr>
            <w:tcW w:w="868" w:type="dxa"/>
            <w:noWrap/>
            <w:vAlign w:val="center"/>
          </w:tcPr>
          <w:p w14:paraId="2A9D21FB" w14:textId="77777777" w:rsidR="0095077B" w:rsidRPr="007375EB" w:rsidRDefault="0095077B" w:rsidP="0095077B">
            <w:pPr>
              <w:rPr>
                <w:lang w:val="bg-BG"/>
              </w:rPr>
            </w:pPr>
            <w:r w:rsidRPr="007375EB">
              <w:rPr>
                <w:lang w:val="bg-BG"/>
              </w:rPr>
              <w:t>-</w:t>
            </w:r>
          </w:p>
        </w:tc>
        <w:tc>
          <w:tcPr>
            <w:tcW w:w="630" w:type="dxa"/>
            <w:noWrap/>
            <w:vAlign w:val="center"/>
          </w:tcPr>
          <w:p w14:paraId="692D6855" w14:textId="77777777" w:rsidR="0095077B" w:rsidRPr="007375EB" w:rsidRDefault="0095077B" w:rsidP="0095077B">
            <w:pPr>
              <w:rPr>
                <w:lang w:val="bg-BG"/>
              </w:rPr>
            </w:pPr>
            <w:r w:rsidRPr="007375EB">
              <w:rPr>
                <w:lang w:val="bg-BG"/>
              </w:rPr>
              <w:t>-</w:t>
            </w:r>
          </w:p>
        </w:tc>
        <w:tc>
          <w:tcPr>
            <w:tcW w:w="810" w:type="dxa"/>
            <w:noWrap/>
            <w:vAlign w:val="center"/>
          </w:tcPr>
          <w:p w14:paraId="0E087008" w14:textId="77777777" w:rsidR="0095077B" w:rsidRPr="007375EB" w:rsidRDefault="0095077B" w:rsidP="0095077B">
            <w:pPr>
              <w:rPr>
                <w:lang w:val="bg-BG"/>
              </w:rPr>
            </w:pPr>
            <w:r w:rsidRPr="007375EB">
              <w:rPr>
                <w:lang w:val="bg-BG"/>
              </w:rPr>
              <w:t>-</w:t>
            </w:r>
          </w:p>
        </w:tc>
        <w:tc>
          <w:tcPr>
            <w:tcW w:w="630" w:type="dxa"/>
            <w:noWrap/>
            <w:vAlign w:val="center"/>
          </w:tcPr>
          <w:p w14:paraId="74BE8CA3" w14:textId="77777777" w:rsidR="0095077B" w:rsidRPr="007375EB" w:rsidRDefault="0095077B" w:rsidP="0095077B">
            <w:pPr>
              <w:rPr>
                <w:lang w:val="bg-BG"/>
              </w:rPr>
            </w:pPr>
            <w:r w:rsidRPr="007375EB">
              <w:rPr>
                <w:lang w:val="bg-BG"/>
              </w:rPr>
              <w:t>-</w:t>
            </w:r>
          </w:p>
        </w:tc>
        <w:tc>
          <w:tcPr>
            <w:tcW w:w="720" w:type="dxa"/>
            <w:noWrap/>
            <w:vAlign w:val="center"/>
          </w:tcPr>
          <w:p w14:paraId="4D265016" w14:textId="77777777" w:rsidR="0095077B" w:rsidRPr="007375EB" w:rsidRDefault="0095077B" w:rsidP="0095077B">
            <w:pPr>
              <w:rPr>
                <w:lang w:val="bg-BG"/>
              </w:rPr>
            </w:pPr>
            <w:r w:rsidRPr="007375EB">
              <w:rPr>
                <w:lang w:val="bg-BG"/>
              </w:rPr>
              <w:t>-</w:t>
            </w:r>
          </w:p>
        </w:tc>
        <w:tc>
          <w:tcPr>
            <w:tcW w:w="720" w:type="dxa"/>
            <w:noWrap/>
            <w:vAlign w:val="center"/>
          </w:tcPr>
          <w:p w14:paraId="51DB3408" w14:textId="77777777" w:rsidR="0095077B" w:rsidRPr="007375EB" w:rsidRDefault="0095077B" w:rsidP="0095077B">
            <w:pPr>
              <w:rPr>
                <w:lang w:val="bg-BG"/>
              </w:rPr>
            </w:pPr>
            <w:r w:rsidRPr="007375EB">
              <w:rPr>
                <w:lang w:val="bg-BG"/>
              </w:rPr>
              <w:t>-</w:t>
            </w:r>
          </w:p>
        </w:tc>
        <w:tc>
          <w:tcPr>
            <w:tcW w:w="540" w:type="dxa"/>
            <w:noWrap/>
            <w:vAlign w:val="center"/>
          </w:tcPr>
          <w:p w14:paraId="61680127" w14:textId="77777777" w:rsidR="0095077B" w:rsidRPr="007375EB" w:rsidRDefault="0095077B" w:rsidP="0095077B">
            <w:pPr>
              <w:rPr>
                <w:lang w:val="bg-BG"/>
              </w:rPr>
            </w:pPr>
            <w:r w:rsidRPr="007375EB">
              <w:rPr>
                <w:lang w:val="bg-BG"/>
              </w:rPr>
              <w:t>-</w:t>
            </w:r>
          </w:p>
        </w:tc>
        <w:tc>
          <w:tcPr>
            <w:tcW w:w="990" w:type="dxa"/>
            <w:noWrap/>
            <w:vAlign w:val="center"/>
          </w:tcPr>
          <w:p w14:paraId="6E0124BC" w14:textId="77777777" w:rsidR="0095077B" w:rsidRPr="007375EB" w:rsidRDefault="0095077B" w:rsidP="0095077B">
            <w:pPr>
              <w:rPr>
                <w:lang w:val="bg-BG"/>
              </w:rPr>
            </w:pPr>
            <w:r w:rsidRPr="007375EB">
              <w:rPr>
                <w:lang w:val="bg-BG"/>
              </w:rPr>
              <w:t>-</w:t>
            </w:r>
          </w:p>
        </w:tc>
        <w:tc>
          <w:tcPr>
            <w:tcW w:w="499" w:type="dxa"/>
            <w:noWrap/>
            <w:vAlign w:val="center"/>
          </w:tcPr>
          <w:p w14:paraId="3CEB2BE5" w14:textId="77777777" w:rsidR="0095077B" w:rsidRPr="007375EB" w:rsidRDefault="0095077B" w:rsidP="0095077B">
            <w:pPr>
              <w:rPr>
                <w:lang w:val="bg-BG"/>
              </w:rPr>
            </w:pPr>
            <w:r w:rsidRPr="007375EB">
              <w:rPr>
                <w:lang w:val="bg-BG"/>
              </w:rPr>
              <w:t>-</w:t>
            </w:r>
          </w:p>
        </w:tc>
        <w:tc>
          <w:tcPr>
            <w:tcW w:w="507" w:type="dxa"/>
            <w:noWrap/>
            <w:vAlign w:val="center"/>
          </w:tcPr>
          <w:p w14:paraId="24FFC3BD" w14:textId="77777777" w:rsidR="0095077B" w:rsidRPr="007375EB" w:rsidRDefault="0095077B" w:rsidP="0095077B">
            <w:pPr>
              <w:rPr>
                <w:lang w:val="bg-BG"/>
              </w:rPr>
            </w:pPr>
            <w:r w:rsidRPr="007375EB">
              <w:rPr>
                <w:lang w:val="bg-BG"/>
              </w:rPr>
              <w:t>-</w:t>
            </w:r>
          </w:p>
        </w:tc>
        <w:tc>
          <w:tcPr>
            <w:tcW w:w="524" w:type="dxa"/>
            <w:noWrap/>
            <w:vAlign w:val="center"/>
          </w:tcPr>
          <w:p w14:paraId="0304F172" w14:textId="77777777" w:rsidR="0095077B" w:rsidRPr="007375EB" w:rsidRDefault="0095077B" w:rsidP="0095077B">
            <w:pPr>
              <w:rPr>
                <w:lang w:val="bg-BG"/>
              </w:rPr>
            </w:pPr>
            <w:r w:rsidRPr="007375EB">
              <w:rPr>
                <w:lang w:val="bg-BG"/>
              </w:rPr>
              <w:t>-</w:t>
            </w:r>
          </w:p>
        </w:tc>
        <w:tc>
          <w:tcPr>
            <w:tcW w:w="616" w:type="dxa"/>
            <w:noWrap/>
            <w:vAlign w:val="center"/>
          </w:tcPr>
          <w:p w14:paraId="6FAF5656" w14:textId="77777777" w:rsidR="0095077B" w:rsidRPr="007375EB" w:rsidRDefault="0095077B" w:rsidP="0095077B">
            <w:pPr>
              <w:rPr>
                <w:lang w:val="bg-BG"/>
              </w:rPr>
            </w:pPr>
            <w:r w:rsidRPr="007375EB">
              <w:rPr>
                <w:lang w:val="bg-BG"/>
              </w:rPr>
              <w:t>-</w:t>
            </w:r>
          </w:p>
        </w:tc>
        <w:tc>
          <w:tcPr>
            <w:tcW w:w="612" w:type="dxa"/>
            <w:noWrap/>
            <w:vAlign w:val="center"/>
          </w:tcPr>
          <w:p w14:paraId="34901CBA" w14:textId="77777777" w:rsidR="0095077B" w:rsidRPr="007375EB" w:rsidRDefault="0095077B" w:rsidP="0095077B">
            <w:pPr>
              <w:rPr>
                <w:lang w:val="bg-BG"/>
              </w:rPr>
            </w:pPr>
            <w:r w:rsidRPr="007375EB">
              <w:rPr>
                <w:lang w:val="bg-BG"/>
              </w:rPr>
              <w:t>-</w:t>
            </w:r>
          </w:p>
        </w:tc>
      </w:tr>
      <w:tr w:rsidR="0095077B" w:rsidRPr="007375EB" w14:paraId="3D049C61" w14:textId="77777777" w:rsidTr="00813962">
        <w:trPr>
          <w:trHeight w:val="210"/>
        </w:trPr>
        <w:tc>
          <w:tcPr>
            <w:tcW w:w="15555" w:type="dxa"/>
            <w:gridSpan w:val="17"/>
            <w:shd w:val="clear" w:color="auto" w:fill="F2F2F2" w:themeFill="background1" w:themeFillShade="F2"/>
            <w:noWrap/>
            <w:hideMark/>
          </w:tcPr>
          <w:p w14:paraId="11DF4271" w14:textId="0027E82F" w:rsidR="0095077B" w:rsidRPr="007375EB" w:rsidRDefault="0095077B" w:rsidP="0095077B">
            <w:pPr>
              <w:rPr>
                <w:b/>
                <w:bCs/>
                <w:lang w:val="bg-BG"/>
              </w:rPr>
            </w:pPr>
            <w:r w:rsidRPr="007375EB">
              <w:rPr>
                <w:b/>
                <w:bCs/>
                <w:lang w:val="bg-BG"/>
              </w:rPr>
              <w:t xml:space="preserve">BG0000569 </w:t>
            </w:r>
            <w:r w:rsidR="00E35418" w:rsidRPr="007375EB">
              <w:rPr>
                <w:b/>
                <w:bCs/>
                <w:lang w:val="bg-BG"/>
              </w:rPr>
              <w:t>Кардам</w:t>
            </w:r>
          </w:p>
        </w:tc>
      </w:tr>
      <w:tr w:rsidR="0095077B" w:rsidRPr="007375EB" w14:paraId="1F505B45" w14:textId="77777777" w:rsidTr="00813962">
        <w:trPr>
          <w:trHeight w:val="210"/>
        </w:trPr>
        <w:tc>
          <w:tcPr>
            <w:tcW w:w="621" w:type="dxa"/>
            <w:noWrap/>
            <w:hideMark/>
          </w:tcPr>
          <w:p w14:paraId="74EFF8F8" w14:textId="77777777" w:rsidR="0095077B" w:rsidRPr="007375EB" w:rsidRDefault="0095077B" w:rsidP="0095077B">
            <w:pPr>
              <w:rPr>
                <w:lang w:val="bg-BG"/>
              </w:rPr>
            </w:pPr>
            <w:r w:rsidRPr="007375EB">
              <w:rPr>
                <w:lang w:val="bg-BG"/>
              </w:rPr>
              <w:t>1</w:t>
            </w:r>
          </w:p>
        </w:tc>
        <w:tc>
          <w:tcPr>
            <w:tcW w:w="3769" w:type="dxa"/>
            <w:noWrap/>
            <w:hideMark/>
          </w:tcPr>
          <w:p w14:paraId="352F4A17" w14:textId="6F2909DA" w:rsidR="0095077B" w:rsidRPr="007375EB" w:rsidRDefault="00813962" w:rsidP="0095077B">
            <w:pPr>
              <w:rPr>
                <w:lang w:val="bg-BG"/>
              </w:rPr>
            </w:pPr>
            <w:r w:rsidRPr="007375EB">
              <w:rPr>
                <w:lang w:val="bg-BG"/>
              </w:rPr>
              <w:t>Вятърен парк на Кирногени (съществуващ)</w:t>
            </w:r>
          </w:p>
        </w:tc>
        <w:tc>
          <w:tcPr>
            <w:tcW w:w="2017" w:type="dxa"/>
            <w:noWrap/>
            <w:vAlign w:val="center"/>
            <w:hideMark/>
          </w:tcPr>
          <w:p w14:paraId="723A21E7" w14:textId="0CA24A26" w:rsidR="0095077B" w:rsidRPr="007375EB" w:rsidRDefault="0095077B" w:rsidP="0095077B">
            <w:pPr>
              <w:rPr>
                <w:lang w:val="bg-BG"/>
              </w:rPr>
            </w:pPr>
            <w:r w:rsidRPr="007375EB">
              <w:rPr>
                <w:lang w:val="bg-BG"/>
              </w:rPr>
              <w:t xml:space="preserve">9,65 </w:t>
            </w:r>
            <w:r w:rsidR="0034375E" w:rsidRPr="007375EB">
              <w:rPr>
                <w:lang w:val="bg-BG"/>
              </w:rPr>
              <w:t>км</w:t>
            </w:r>
          </w:p>
        </w:tc>
        <w:tc>
          <w:tcPr>
            <w:tcW w:w="482" w:type="dxa"/>
            <w:noWrap/>
            <w:vAlign w:val="center"/>
            <w:hideMark/>
          </w:tcPr>
          <w:p w14:paraId="3B339B0C" w14:textId="77777777" w:rsidR="0095077B" w:rsidRPr="007375EB" w:rsidRDefault="0095077B" w:rsidP="0095077B">
            <w:pPr>
              <w:rPr>
                <w:lang w:val="bg-BG"/>
              </w:rPr>
            </w:pPr>
            <w:r w:rsidRPr="007375EB">
              <w:rPr>
                <w:lang w:val="bg-BG"/>
              </w:rPr>
              <w:t>-</w:t>
            </w:r>
          </w:p>
        </w:tc>
        <w:tc>
          <w:tcPr>
            <w:tcW w:w="868" w:type="dxa"/>
            <w:noWrap/>
            <w:vAlign w:val="center"/>
            <w:hideMark/>
          </w:tcPr>
          <w:p w14:paraId="45CFE636" w14:textId="77777777" w:rsidR="0095077B" w:rsidRPr="007375EB" w:rsidRDefault="0095077B" w:rsidP="0095077B">
            <w:pPr>
              <w:rPr>
                <w:lang w:val="bg-BG"/>
              </w:rPr>
            </w:pPr>
            <w:r w:rsidRPr="007375EB">
              <w:rPr>
                <w:lang w:val="bg-BG"/>
              </w:rPr>
              <w:t>-</w:t>
            </w:r>
          </w:p>
        </w:tc>
        <w:tc>
          <w:tcPr>
            <w:tcW w:w="630" w:type="dxa"/>
            <w:noWrap/>
            <w:vAlign w:val="center"/>
            <w:hideMark/>
          </w:tcPr>
          <w:p w14:paraId="53BF9110" w14:textId="77777777" w:rsidR="0095077B" w:rsidRPr="007375EB" w:rsidRDefault="0095077B" w:rsidP="0095077B">
            <w:pPr>
              <w:rPr>
                <w:lang w:val="bg-BG"/>
              </w:rPr>
            </w:pPr>
            <w:r w:rsidRPr="007375EB">
              <w:rPr>
                <w:lang w:val="bg-BG"/>
              </w:rPr>
              <w:t>-</w:t>
            </w:r>
          </w:p>
        </w:tc>
        <w:tc>
          <w:tcPr>
            <w:tcW w:w="810" w:type="dxa"/>
            <w:noWrap/>
            <w:vAlign w:val="center"/>
            <w:hideMark/>
          </w:tcPr>
          <w:p w14:paraId="772CFEC8" w14:textId="77777777" w:rsidR="0095077B" w:rsidRPr="007375EB" w:rsidRDefault="0095077B" w:rsidP="0095077B">
            <w:pPr>
              <w:rPr>
                <w:lang w:val="bg-BG"/>
              </w:rPr>
            </w:pPr>
            <w:r w:rsidRPr="007375EB">
              <w:rPr>
                <w:lang w:val="bg-BG"/>
              </w:rPr>
              <w:t>-</w:t>
            </w:r>
          </w:p>
        </w:tc>
        <w:tc>
          <w:tcPr>
            <w:tcW w:w="630" w:type="dxa"/>
            <w:noWrap/>
            <w:vAlign w:val="center"/>
            <w:hideMark/>
          </w:tcPr>
          <w:p w14:paraId="1437350C" w14:textId="77777777" w:rsidR="0095077B" w:rsidRPr="007375EB" w:rsidRDefault="0095077B" w:rsidP="0095077B">
            <w:pPr>
              <w:rPr>
                <w:lang w:val="bg-BG"/>
              </w:rPr>
            </w:pPr>
            <w:r w:rsidRPr="007375EB">
              <w:rPr>
                <w:lang w:val="bg-BG"/>
              </w:rPr>
              <w:t>-</w:t>
            </w:r>
          </w:p>
        </w:tc>
        <w:tc>
          <w:tcPr>
            <w:tcW w:w="720" w:type="dxa"/>
            <w:noWrap/>
            <w:vAlign w:val="center"/>
            <w:hideMark/>
          </w:tcPr>
          <w:p w14:paraId="24FAC08A" w14:textId="77777777" w:rsidR="0095077B" w:rsidRPr="007375EB" w:rsidRDefault="0095077B" w:rsidP="0095077B">
            <w:pPr>
              <w:rPr>
                <w:lang w:val="bg-BG"/>
              </w:rPr>
            </w:pPr>
            <w:r w:rsidRPr="007375EB">
              <w:rPr>
                <w:lang w:val="bg-BG"/>
              </w:rPr>
              <w:t>-</w:t>
            </w:r>
          </w:p>
        </w:tc>
        <w:tc>
          <w:tcPr>
            <w:tcW w:w="720" w:type="dxa"/>
            <w:noWrap/>
            <w:vAlign w:val="center"/>
            <w:hideMark/>
          </w:tcPr>
          <w:p w14:paraId="42B923EE" w14:textId="77777777" w:rsidR="0095077B" w:rsidRPr="007375EB" w:rsidRDefault="0095077B" w:rsidP="0095077B">
            <w:pPr>
              <w:rPr>
                <w:lang w:val="bg-BG"/>
              </w:rPr>
            </w:pPr>
            <w:r w:rsidRPr="007375EB">
              <w:rPr>
                <w:lang w:val="bg-BG"/>
              </w:rPr>
              <w:t>-</w:t>
            </w:r>
          </w:p>
        </w:tc>
        <w:tc>
          <w:tcPr>
            <w:tcW w:w="540" w:type="dxa"/>
            <w:noWrap/>
            <w:vAlign w:val="center"/>
            <w:hideMark/>
          </w:tcPr>
          <w:p w14:paraId="53A44B55" w14:textId="77777777" w:rsidR="0095077B" w:rsidRPr="007375EB" w:rsidRDefault="0095077B" w:rsidP="0095077B">
            <w:pPr>
              <w:rPr>
                <w:lang w:val="bg-BG"/>
              </w:rPr>
            </w:pPr>
            <w:r w:rsidRPr="007375EB">
              <w:rPr>
                <w:lang w:val="bg-BG"/>
              </w:rPr>
              <w:t>X</w:t>
            </w:r>
          </w:p>
        </w:tc>
        <w:tc>
          <w:tcPr>
            <w:tcW w:w="990" w:type="dxa"/>
            <w:noWrap/>
            <w:vAlign w:val="center"/>
            <w:hideMark/>
          </w:tcPr>
          <w:p w14:paraId="60EAEEF8" w14:textId="77777777" w:rsidR="0095077B" w:rsidRPr="007375EB" w:rsidRDefault="0095077B" w:rsidP="0095077B">
            <w:pPr>
              <w:rPr>
                <w:lang w:val="bg-BG"/>
              </w:rPr>
            </w:pPr>
            <w:r w:rsidRPr="007375EB">
              <w:rPr>
                <w:lang w:val="bg-BG"/>
              </w:rPr>
              <w:t>X</w:t>
            </w:r>
          </w:p>
        </w:tc>
        <w:tc>
          <w:tcPr>
            <w:tcW w:w="499" w:type="dxa"/>
            <w:noWrap/>
            <w:vAlign w:val="center"/>
            <w:hideMark/>
          </w:tcPr>
          <w:p w14:paraId="2FDE79EF" w14:textId="77777777" w:rsidR="0095077B" w:rsidRPr="007375EB" w:rsidRDefault="0095077B" w:rsidP="0095077B">
            <w:pPr>
              <w:rPr>
                <w:lang w:val="bg-BG"/>
              </w:rPr>
            </w:pPr>
            <w:r w:rsidRPr="007375EB">
              <w:rPr>
                <w:lang w:val="bg-BG"/>
              </w:rPr>
              <w:t>-</w:t>
            </w:r>
          </w:p>
        </w:tc>
        <w:tc>
          <w:tcPr>
            <w:tcW w:w="507" w:type="dxa"/>
            <w:noWrap/>
            <w:vAlign w:val="center"/>
            <w:hideMark/>
          </w:tcPr>
          <w:p w14:paraId="04F89780" w14:textId="77777777" w:rsidR="0095077B" w:rsidRPr="007375EB" w:rsidRDefault="0095077B" w:rsidP="0095077B">
            <w:pPr>
              <w:rPr>
                <w:lang w:val="bg-BG"/>
              </w:rPr>
            </w:pPr>
            <w:r w:rsidRPr="007375EB">
              <w:rPr>
                <w:lang w:val="bg-BG"/>
              </w:rPr>
              <w:t>X</w:t>
            </w:r>
          </w:p>
        </w:tc>
        <w:tc>
          <w:tcPr>
            <w:tcW w:w="524" w:type="dxa"/>
            <w:noWrap/>
            <w:vAlign w:val="center"/>
            <w:hideMark/>
          </w:tcPr>
          <w:p w14:paraId="4FD8BC87" w14:textId="77777777" w:rsidR="0095077B" w:rsidRPr="007375EB" w:rsidRDefault="0095077B" w:rsidP="0095077B">
            <w:pPr>
              <w:rPr>
                <w:lang w:val="bg-BG"/>
              </w:rPr>
            </w:pPr>
            <w:r w:rsidRPr="007375EB">
              <w:rPr>
                <w:lang w:val="bg-BG"/>
              </w:rPr>
              <w:t>X</w:t>
            </w:r>
          </w:p>
        </w:tc>
        <w:tc>
          <w:tcPr>
            <w:tcW w:w="616" w:type="dxa"/>
            <w:noWrap/>
            <w:vAlign w:val="center"/>
            <w:hideMark/>
          </w:tcPr>
          <w:p w14:paraId="48C55545" w14:textId="77777777" w:rsidR="0095077B" w:rsidRPr="007375EB" w:rsidRDefault="0095077B" w:rsidP="0095077B">
            <w:pPr>
              <w:rPr>
                <w:lang w:val="bg-BG"/>
              </w:rPr>
            </w:pPr>
            <w:r w:rsidRPr="007375EB">
              <w:rPr>
                <w:lang w:val="bg-BG"/>
              </w:rPr>
              <w:t>X</w:t>
            </w:r>
          </w:p>
        </w:tc>
        <w:tc>
          <w:tcPr>
            <w:tcW w:w="612" w:type="dxa"/>
            <w:noWrap/>
            <w:vAlign w:val="center"/>
            <w:hideMark/>
          </w:tcPr>
          <w:p w14:paraId="556503D1" w14:textId="77777777" w:rsidR="0095077B" w:rsidRPr="007375EB" w:rsidRDefault="0095077B" w:rsidP="0095077B">
            <w:pPr>
              <w:rPr>
                <w:lang w:val="bg-BG"/>
              </w:rPr>
            </w:pPr>
            <w:r w:rsidRPr="007375EB">
              <w:rPr>
                <w:lang w:val="bg-BG"/>
              </w:rPr>
              <w:t>X</w:t>
            </w:r>
          </w:p>
        </w:tc>
      </w:tr>
      <w:tr w:rsidR="0095077B" w:rsidRPr="007375EB" w14:paraId="2F7A0697" w14:textId="77777777" w:rsidTr="00813962">
        <w:trPr>
          <w:trHeight w:val="210"/>
        </w:trPr>
        <w:tc>
          <w:tcPr>
            <w:tcW w:w="621" w:type="dxa"/>
            <w:noWrap/>
          </w:tcPr>
          <w:p w14:paraId="64F965A3" w14:textId="32CA1CA5" w:rsidR="0095077B" w:rsidRPr="007375EB" w:rsidRDefault="00245AF6" w:rsidP="0095077B">
            <w:pPr>
              <w:rPr>
                <w:lang w:val="bg-BG"/>
              </w:rPr>
            </w:pPr>
            <w:r w:rsidRPr="007375EB">
              <w:rPr>
                <w:lang w:val="bg-BG"/>
              </w:rPr>
              <w:t>2</w:t>
            </w:r>
          </w:p>
        </w:tc>
        <w:tc>
          <w:tcPr>
            <w:tcW w:w="3769" w:type="dxa"/>
            <w:noWrap/>
          </w:tcPr>
          <w:p w14:paraId="4EBD089D" w14:textId="09139FC1" w:rsidR="0095077B" w:rsidRPr="007375EB" w:rsidRDefault="00813962" w:rsidP="0095077B">
            <w:pPr>
              <w:rPr>
                <w:lang w:val="bg-BG"/>
              </w:rPr>
            </w:pPr>
            <w:r w:rsidRPr="007375EB">
              <w:rPr>
                <w:lang w:val="bg-BG"/>
              </w:rPr>
              <w:t>Вятърен парк Карнобат (съществуващ)</w:t>
            </w:r>
          </w:p>
        </w:tc>
        <w:tc>
          <w:tcPr>
            <w:tcW w:w="2017" w:type="dxa"/>
            <w:noWrap/>
            <w:vAlign w:val="center"/>
          </w:tcPr>
          <w:p w14:paraId="4500462D" w14:textId="1BEF7C8F" w:rsidR="0095077B" w:rsidRPr="007375EB" w:rsidRDefault="0095077B" w:rsidP="0095077B">
            <w:pPr>
              <w:rPr>
                <w:lang w:val="bg-BG"/>
              </w:rPr>
            </w:pPr>
            <w:r w:rsidRPr="007375EB">
              <w:rPr>
                <w:lang w:val="bg-BG"/>
              </w:rPr>
              <w:t xml:space="preserve">0,54 </w:t>
            </w:r>
            <w:r w:rsidR="0034375E" w:rsidRPr="007375EB">
              <w:rPr>
                <w:lang w:val="bg-BG"/>
              </w:rPr>
              <w:t>км</w:t>
            </w:r>
          </w:p>
        </w:tc>
        <w:tc>
          <w:tcPr>
            <w:tcW w:w="482" w:type="dxa"/>
            <w:noWrap/>
            <w:vAlign w:val="center"/>
          </w:tcPr>
          <w:p w14:paraId="36910FB4" w14:textId="77777777" w:rsidR="0095077B" w:rsidRPr="007375EB" w:rsidRDefault="0095077B" w:rsidP="0095077B">
            <w:pPr>
              <w:rPr>
                <w:lang w:val="bg-BG"/>
              </w:rPr>
            </w:pPr>
            <w:r w:rsidRPr="007375EB">
              <w:rPr>
                <w:lang w:val="bg-BG"/>
              </w:rPr>
              <w:t>-</w:t>
            </w:r>
          </w:p>
        </w:tc>
        <w:tc>
          <w:tcPr>
            <w:tcW w:w="868" w:type="dxa"/>
            <w:noWrap/>
            <w:vAlign w:val="center"/>
          </w:tcPr>
          <w:p w14:paraId="761440AF" w14:textId="77777777" w:rsidR="0095077B" w:rsidRPr="007375EB" w:rsidRDefault="0095077B" w:rsidP="0095077B">
            <w:pPr>
              <w:rPr>
                <w:lang w:val="bg-BG"/>
              </w:rPr>
            </w:pPr>
            <w:r w:rsidRPr="007375EB">
              <w:rPr>
                <w:lang w:val="bg-BG"/>
              </w:rPr>
              <w:t>-</w:t>
            </w:r>
          </w:p>
        </w:tc>
        <w:tc>
          <w:tcPr>
            <w:tcW w:w="630" w:type="dxa"/>
            <w:noWrap/>
            <w:vAlign w:val="center"/>
          </w:tcPr>
          <w:p w14:paraId="020260AE" w14:textId="77777777" w:rsidR="0095077B" w:rsidRPr="007375EB" w:rsidRDefault="0095077B" w:rsidP="0095077B">
            <w:pPr>
              <w:rPr>
                <w:lang w:val="bg-BG"/>
              </w:rPr>
            </w:pPr>
            <w:r w:rsidRPr="007375EB">
              <w:rPr>
                <w:lang w:val="bg-BG"/>
              </w:rPr>
              <w:t>-</w:t>
            </w:r>
          </w:p>
        </w:tc>
        <w:tc>
          <w:tcPr>
            <w:tcW w:w="810" w:type="dxa"/>
            <w:noWrap/>
            <w:vAlign w:val="center"/>
          </w:tcPr>
          <w:p w14:paraId="3043A44A" w14:textId="77777777" w:rsidR="0095077B" w:rsidRPr="007375EB" w:rsidRDefault="0095077B" w:rsidP="0095077B">
            <w:pPr>
              <w:rPr>
                <w:lang w:val="bg-BG"/>
              </w:rPr>
            </w:pPr>
            <w:r w:rsidRPr="007375EB">
              <w:rPr>
                <w:lang w:val="bg-BG"/>
              </w:rPr>
              <w:t>-</w:t>
            </w:r>
          </w:p>
        </w:tc>
        <w:tc>
          <w:tcPr>
            <w:tcW w:w="630" w:type="dxa"/>
            <w:noWrap/>
            <w:vAlign w:val="center"/>
          </w:tcPr>
          <w:p w14:paraId="2E0283C0" w14:textId="77777777" w:rsidR="0095077B" w:rsidRPr="007375EB" w:rsidRDefault="0095077B" w:rsidP="0095077B">
            <w:pPr>
              <w:rPr>
                <w:lang w:val="bg-BG"/>
              </w:rPr>
            </w:pPr>
            <w:r w:rsidRPr="007375EB">
              <w:rPr>
                <w:lang w:val="bg-BG"/>
              </w:rPr>
              <w:t>-</w:t>
            </w:r>
          </w:p>
        </w:tc>
        <w:tc>
          <w:tcPr>
            <w:tcW w:w="720" w:type="dxa"/>
            <w:noWrap/>
            <w:vAlign w:val="center"/>
          </w:tcPr>
          <w:p w14:paraId="31853790" w14:textId="77777777" w:rsidR="0095077B" w:rsidRPr="007375EB" w:rsidRDefault="0095077B" w:rsidP="0095077B">
            <w:pPr>
              <w:rPr>
                <w:lang w:val="bg-BG"/>
              </w:rPr>
            </w:pPr>
            <w:r w:rsidRPr="007375EB">
              <w:rPr>
                <w:lang w:val="bg-BG"/>
              </w:rPr>
              <w:t>-</w:t>
            </w:r>
          </w:p>
        </w:tc>
        <w:tc>
          <w:tcPr>
            <w:tcW w:w="720" w:type="dxa"/>
            <w:noWrap/>
            <w:vAlign w:val="center"/>
          </w:tcPr>
          <w:p w14:paraId="5EB16ED8" w14:textId="77777777" w:rsidR="0095077B" w:rsidRPr="007375EB" w:rsidRDefault="0095077B" w:rsidP="0095077B">
            <w:pPr>
              <w:rPr>
                <w:lang w:val="bg-BG"/>
              </w:rPr>
            </w:pPr>
            <w:r w:rsidRPr="007375EB">
              <w:rPr>
                <w:lang w:val="bg-BG"/>
              </w:rPr>
              <w:t>-</w:t>
            </w:r>
          </w:p>
        </w:tc>
        <w:tc>
          <w:tcPr>
            <w:tcW w:w="540" w:type="dxa"/>
            <w:noWrap/>
            <w:vAlign w:val="center"/>
          </w:tcPr>
          <w:p w14:paraId="57F64503" w14:textId="77777777" w:rsidR="0095077B" w:rsidRPr="007375EB" w:rsidRDefault="0095077B" w:rsidP="0095077B">
            <w:pPr>
              <w:rPr>
                <w:lang w:val="bg-BG"/>
              </w:rPr>
            </w:pPr>
            <w:r w:rsidRPr="007375EB">
              <w:rPr>
                <w:lang w:val="bg-BG"/>
              </w:rPr>
              <w:t>X</w:t>
            </w:r>
          </w:p>
        </w:tc>
        <w:tc>
          <w:tcPr>
            <w:tcW w:w="990" w:type="dxa"/>
            <w:noWrap/>
            <w:vAlign w:val="center"/>
          </w:tcPr>
          <w:p w14:paraId="1DC25730" w14:textId="77777777" w:rsidR="0095077B" w:rsidRPr="007375EB" w:rsidRDefault="0095077B" w:rsidP="0095077B">
            <w:pPr>
              <w:rPr>
                <w:lang w:val="bg-BG"/>
              </w:rPr>
            </w:pPr>
            <w:r w:rsidRPr="007375EB">
              <w:rPr>
                <w:lang w:val="bg-BG"/>
              </w:rPr>
              <w:t>X</w:t>
            </w:r>
          </w:p>
        </w:tc>
        <w:tc>
          <w:tcPr>
            <w:tcW w:w="499" w:type="dxa"/>
            <w:noWrap/>
            <w:vAlign w:val="center"/>
          </w:tcPr>
          <w:p w14:paraId="439790C6" w14:textId="77777777" w:rsidR="0095077B" w:rsidRPr="007375EB" w:rsidRDefault="0095077B" w:rsidP="0095077B">
            <w:pPr>
              <w:rPr>
                <w:lang w:val="bg-BG"/>
              </w:rPr>
            </w:pPr>
            <w:r w:rsidRPr="007375EB">
              <w:rPr>
                <w:lang w:val="bg-BG"/>
              </w:rPr>
              <w:t>-</w:t>
            </w:r>
          </w:p>
        </w:tc>
        <w:tc>
          <w:tcPr>
            <w:tcW w:w="507" w:type="dxa"/>
            <w:noWrap/>
            <w:vAlign w:val="center"/>
          </w:tcPr>
          <w:p w14:paraId="2899C895" w14:textId="77777777" w:rsidR="0095077B" w:rsidRPr="007375EB" w:rsidRDefault="0095077B" w:rsidP="0095077B">
            <w:pPr>
              <w:rPr>
                <w:lang w:val="bg-BG"/>
              </w:rPr>
            </w:pPr>
            <w:r w:rsidRPr="007375EB">
              <w:rPr>
                <w:lang w:val="bg-BG"/>
              </w:rPr>
              <w:t>X</w:t>
            </w:r>
          </w:p>
        </w:tc>
        <w:tc>
          <w:tcPr>
            <w:tcW w:w="524" w:type="dxa"/>
            <w:noWrap/>
            <w:vAlign w:val="center"/>
          </w:tcPr>
          <w:p w14:paraId="2EB0CF00" w14:textId="77777777" w:rsidR="0095077B" w:rsidRPr="007375EB" w:rsidRDefault="0095077B" w:rsidP="0095077B">
            <w:pPr>
              <w:rPr>
                <w:lang w:val="bg-BG"/>
              </w:rPr>
            </w:pPr>
            <w:r w:rsidRPr="007375EB">
              <w:rPr>
                <w:lang w:val="bg-BG"/>
              </w:rPr>
              <w:t>X</w:t>
            </w:r>
          </w:p>
        </w:tc>
        <w:tc>
          <w:tcPr>
            <w:tcW w:w="616" w:type="dxa"/>
            <w:noWrap/>
            <w:vAlign w:val="center"/>
          </w:tcPr>
          <w:p w14:paraId="500208CB" w14:textId="77777777" w:rsidR="0095077B" w:rsidRPr="007375EB" w:rsidRDefault="0095077B" w:rsidP="0095077B">
            <w:pPr>
              <w:rPr>
                <w:lang w:val="bg-BG"/>
              </w:rPr>
            </w:pPr>
            <w:r w:rsidRPr="007375EB">
              <w:rPr>
                <w:lang w:val="bg-BG"/>
              </w:rPr>
              <w:t>X</w:t>
            </w:r>
          </w:p>
        </w:tc>
        <w:tc>
          <w:tcPr>
            <w:tcW w:w="612" w:type="dxa"/>
            <w:noWrap/>
            <w:vAlign w:val="center"/>
          </w:tcPr>
          <w:p w14:paraId="79182CC2" w14:textId="77777777" w:rsidR="0095077B" w:rsidRPr="007375EB" w:rsidRDefault="0095077B" w:rsidP="0095077B">
            <w:pPr>
              <w:rPr>
                <w:lang w:val="bg-BG"/>
              </w:rPr>
            </w:pPr>
            <w:r w:rsidRPr="007375EB">
              <w:rPr>
                <w:lang w:val="bg-BG"/>
              </w:rPr>
              <w:t>X</w:t>
            </w:r>
          </w:p>
        </w:tc>
      </w:tr>
      <w:tr w:rsidR="0095077B" w:rsidRPr="007375EB" w14:paraId="0DA0BD2C" w14:textId="77777777" w:rsidTr="00813962">
        <w:trPr>
          <w:trHeight w:val="210"/>
        </w:trPr>
        <w:tc>
          <w:tcPr>
            <w:tcW w:w="15555" w:type="dxa"/>
            <w:gridSpan w:val="17"/>
            <w:shd w:val="clear" w:color="auto" w:fill="F2F2F2" w:themeFill="background1" w:themeFillShade="F2"/>
            <w:noWrap/>
            <w:hideMark/>
          </w:tcPr>
          <w:p w14:paraId="775B88EC" w14:textId="6483DA5E" w:rsidR="0095077B" w:rsidRPr="007375EB" w:rsidRDefault="0095077B" w:rsidP="0095077B">
            <w:pPr>
              <w:rPr>
                <w:b/>
                <w:bCs/>
                <w:lang w:val="bg-BG"/>
              </w:rPr>
            </w:pPr>
            <w:r w:rsidRPr="007375EB">
              <w:rPr>
                <w:b/>
                <w:bCs/>
                <w:lang w:val="bg-BG"/>
              </w:rPr>
              <w:t xml:space="preserve">1BG0000570 </w:t>
            </w:r>
            <w:r w:rsidR="00E35418" w:rsidRPr="007375EB">
              <w:rPr>
                <w:b/>
                <w:bCs/>
                <w:lang w:val="bg-BG"/>
              </w:rPr>
              <w:t>Изворово - Краище</w:t>
            </w:r>
          </w:p>
        </w:tc>
      </w:tr>
      <w:tr w:rsidR="0095077B" w:rsidRPr="007375EB" w14:paraId="71F3CA0F" w14:textId="77777777" w:rsidTr="00813962">
        <w:trPr>
          <w:trHeight w:val="210"/>
        </w:trPr>
        <w:tc>
          <w:tcPr>
            <w:tcW w:w="621" w:type="dxa"/>
            <w:noWrap/>
            <w:hideMark/>
          </w:tcPr>
          <w:p w14:paraId="6A860923" w14:textId="77777777" w:rsidR="0095077B" w:rsidRPr="007375EB" w:rsidRDefault="0095077B" w:rsidP="0095077B">
            <w:pPr>
              <w:rPr>
                <w:lang w:val="bg-BG"/>
              </w:rPr>
            </w:pPr>
            <w:r w:rsidRPr="007375EB">
              <w:rPr>
                <w:lang w:val="bg-BG"/>
              </w:rPr>
              <w:t>1</w:t>
            </w:r>
          </w:p>
        </w:tc>
        <w:tc>
          <w:tcPr>
            <w:tcW w:w="3769" w:type="dxa"/>
            <w:noWrap/>
            <w:hideMark/>
          </w:tcPr>
          <w:p w14:paraId="331980D9" w14:textId="0854B473" w:rsidR="0095077B" w:rsidRPr="007375EB" w:rsidRDefault="00813962" w:rsidP="0095077B">
            <w:pPr>
              <w:rPr>
                <w:lang w:val="bg-BG"/>
              </w:rPr>
            </w:pPr>
            <w:r w:rsidRPr="007375EB">
              <w:rPr>
                <w:lang w:val="bg-BG"/>
              </w:rPr>
              <w:t>Вятърен парк на Кирногени (съществуващ)</w:t>
            </w:r>
          </w:p>
        </w:tc>
        <w:tc>
          <w:tcPr>
            <w:tcW w:w="2017" w:type="dxa"/>
            <w:noWrap/>
            <w:vAlign w:val="center"/>
            <w:hideMark/>
          </w:tcPr>
          <w:p w14:paraId="7470C558" w14:textId="49313DF1" w:rsidR="0095077B" w:rsidRPr="007375EB" w:rsidRDefault="0095077B" w:rsidP="0095077B">
            <w:pPr>
              <w:rPr>
                <w:lang w:val="bg-BG"/>
              </w:rPr>
            </w:pPr>
            <w:r w:rsidRPr="007375EB">
              <w:rPr>
                <w:lang w:val="bg-BG"/>
              </w:rPr>
              <w:t xml:space="preserve">12,70 </w:t>
            </w:r>
            <w:r w:rsidR="0034375E" w:rsidRPr="007375EB">
              <w:rPr>
                <w:lang w:val="bg-BG"/>
              </w:rPr>
              <w:t>км</w:t>
            </w:r>
          </w:p>
        </w:tc>
        <w:tc>
          <w:tcPr>
            <w:tcW w:w="482" w:type="dxa"/>
            <w:noWrap/>
            <w:vAlign w:val="center"/>
            <w:hideMark/>
          </w:tcPr>
          <w:p w14:paraId="254FA9DF" w14:textId="77777777" w:rsidR="0095077B" w:rsidRPr="007375EB" w:rsidRDefault="0095077B" w:rsidP="0095077B">
            <w:pPr>
              <w:rPr>
                <w:lang w:val="bg-BG"/>
              </w:rPr>
            </w:pPr>
            <w:r w:rsidRPr="007375EB">
              <w:rPr>
                <w:lang w:val="bg-BG"/>
              </w:rPr>
              <w:t>-</w:t>
            </w:r>
          </w:p>
        </w:tc>
        <w:tc>
          <w:tcPr>
            <w:tcW w:w="868" w:type="dxa"/>
            <w:noWrap/>
            <w:vAlign w:val="center"/>
            <w:hideMark/>
          </w:tcPr>
          <w:p w14:paraId="7C348EE0" w14:textId="77777777" w:rsidR="0095077B" w:rsidRPr="007375EB" w:rsidRDefault="0095077B" w:rsidP="0095077B">
            <w:pPr>
              <w:rPr>
                <w:lang w:val="bg-BG"/>
              </w:rPr>
            </w:pPr>
            <w:r w:rsidRPr="007375EB">
              <w:rPr>
                <w:lang w:val="bg-BG"/>
              </w:rPr>
              <w:t>-</w:t>
            </w:r>
          </w:p>
        </w:tc>
        <w:tc>
          <w:tcPr>
            <w:tcW w:w="630" w:type="dxa"/>
            <w:noWrap/>
            <w:vAlign w:val="center"/>
            <w:hideMark/>
          </w:tcPr>
          <w:p w14:paraId="075A106E" w14:textId="77777777" w:rsidR="0095077B" w:rsidRPr="007375EB" w:rsidRDefault="0095077B" w:rsidP="0095077B">
            <w:pPr>
              <w:rPr>
                <w:lang w:val="bg-BG"/>
              </w:rPr>
            </w:pPr>
            <w:r w:rsidRPr="007375EB">
              <w:rPr>
                <w:lang w:val="bg-BG"/>
              </w:rPr>
              <w:t>-</w:t>
            </w:r>
          </w:p>
        </w:tc>
        <w:tc>
          <w:tcPr>
            <w:tcW w:w="810" w:type="dxa"/>
            <w:noWrap/>
            <w:vAlign w:val="center"/>
            <w:hideMark/>
          </w:tcPr>
          <w:p w14:paraId="2534F28D" w14:textId="77777777" w:rsidR="0095077B" w:rsidRPr="007375EB" w:rsidRDefault="0095077B" w:rsidP="0095077B">
            <w:pPr>
              <w:rPr>
                <w:lang w:val="bg-BG"/>
              </w:rPr>
            </w:pPr>
            <w:r w:rsidRPr="007375EB">
              <w:rPr>
                <w:lang w:val="bg-BG"/>
              </w:rPr>
              <w:t>-</w:t>
            </w:r>
          </w:p>
        </w:tc>
        <w:tc>
          <w:tcPr>
            <w:tcW w:w="630" w:type="dxa"/>
            <w:noWrap/>
            <w:vAlign w:val="center"/>
            <w:hideMark/>
          </w:tcPr>
          <w:p w14:paraId="7B49D39A" w14:textId="77777777" w:rsidR="0095077B" w:rsidRPr="007375EB" w:rsidRDefault="0095077B" w:rsidP="0095077B">
            <w:pPr>
              <w:rPr>
                <w:lang w:val="bg-BG"/>
              </w:rPr>
            </w:pPr>
            <w:r w:rsidRPr="007375EB">
              <w:rPr>
                <w:lang w:val="bg-BG"/>
              </w:rPr>
              <w:t>-</w:t>
            </w:r>
          </w:p>
        </w:tc>
        <w:tc>
          <w:tcPr>
            <w:tcW w:w="720" w:type="dxa"/>
            <w:noWrap/>
            <w:vAlign w:val="center"/>
            <w:hideMark/>
          </w:tcPr>
          <w:p w14:paraId="5A47A69E" w14:textId="77777777" w:rsidR="0095077B" w:rsidRPr="007375EB" w:rsidRDefault="0095077B" w:rsidP="0095077B">
            <w:pPr>
              <w:rPr>
                <w:lang w:val="bg-BG"/>
              </w:rPr>
            </w:pPr>
            <w:r w:rsidRPr="007375EB">
              <w:rPr>
                <w:lang w:val="bg-BG"/>
              </w:rPr>
              <w:t>-</w:t>
            </w:r>
          </w:p>
        </w:tc>
        <w:tc>
          <w:tcPr>
            <w:tcW w:w="720" w:type="dxa"/>
            <w:noWrap/>
            <w:vAlign w:val="center"/>
            <w:hideMark/>
          </w:tcPr>
          <w:p w14:paraId="09CFD5FE" w14:textId="77777777" w:rsidR="0095077B" w:rsidRPr="007375EB" w:rsidRDefault="0095077B" w:rsidP="0095077B">
            <w:pPr>
              <w:rPr>
                <w:lang w:val="bg-BG"/>
              </w:rPr>
            </w:pPr>
            <w:r w:rsidRPr="007375EB">
              <w:rPr>
                <w:lang w:val="bg-BG"/>
              </w:rPr>
              <w:t>-</w:t>
            </w:r>
          </w:p>
        </w:tc>
        <w:tc>
          <w:tcPr>
            <w:tcW w:w="540" w:type="dxa"/>
            <w:noWrap/>
            <w:vAlign w:val="center"/>
            <w:hideMark/>
          </w:tcPr>
          <w:p w14:paraId="0551158B" w14:textId="77777777" w:rsidR="0095077B" w:rsidRPr="007375EB" w:rsidRDefault="0095077B" w:rsidP="0095077B">
            <w:pPr>
              <w:rPr>
                <w:lang w:val="bg-BG"/>
              </w:rPr>
            </w:pPr>
            <w:r w:rsidRPr="007375EB">
              <w:rPr>
                <w:lang w:val="bg-BG"/>
              </w:rPr>
              <w:t>X</w:t>
            </w:r>
          </w:p>
        </w:tc>
        <w:tc>
          <w:tcPr>
            <w:tcW w:w="990" w:type="dxa"/>
            <w:noWrap/>
            <w:vAlign w:val="center"/>
            <w:hideMark/>
          </w:tcPr>
          <w:p w14:paraId="12B425AE" w14:textId="77777777" w:rsidR="0095077B" w:rsidRPr="007375EB" w:rsidRDefault="0095077B" w:rsidP="0095077B">
            <w:pPr>
              <w:rPr>
                <w:lang w:val="bg-BG"/>
              </w:rPr>
            </w:pPr>
            <w:r w:rsidRPr="007375EB">
              <w:rPr>
                <w:lang w:val="bg-BG"/>
              </w:rPr>
              <w:t>X</w:t>
            </w:r>
          </w:p>
        </w:tc>
        <w:tc>
          <w:tcPr>
            <w:tcW w:w="499" w:type="dxa"/>
            <w:noWrap/>
            <w:vAlign w:val="center"/>
            <w:hideMark/>
          </w:tcPr>
          <w:p w14:paraId="24162FD2" w14:textId="77777777" w:rsidR="0095077B" w:rsidRPr="007375EB" w:rsidRDefault="0095077B" w:rsidP="0095077B">
            <w:pPr>
              <w:rPr>
                <w:lang w:val="bg-BG"/>
              </w:rPr>
            </w:pPr>
            <w:r w:rsidRPr="007375EB">
              <w:rPr>
                <w:lang w:val="bg-BG"/>
              </w:rPr>
              <w:t>-</w:t>
            </w:r>
          </w:p>
        </w:tc>
        <w:tc>
          <w:tcPr>
            <w:tcW w:w="507" w:type="dxa"/>
            <w:noWrap/>
            <w:vAlign w:val="center"/>
            <w:hideMark/>
          </w:tcPr>
          <w:p w14:paraId="02355A31" w14:textId="77777777" w:rsidR="0095077B" w:rsidRPr="007375EB" w:rsidRDefault="0095077B" w:rsidP="0095077B">
            <w:pPr>
              <w:rPr>
                <w:lang w:val="bg-BG"/>
              </w:rPr>
            </w:pPr>
            <w:r w:rsidRPr="007375EB">
              <w:rPr>
                <w:lang w:val="bg-BG"/>
              </w:rPr>
              <w:t>X</w:t>
            </w:r>
          </w:p>
        </w:tc>
        <w:tc>
          <w:tcPr>
            <w:tcW w:w="524" w:type="dxa"/>
            <w:noWrap/>
            <w:vAlign w:val="center"/>
            <w:hideMark/>
          </w:tcPr>
          <w:p w14:paraId="53D1C78A" w14:textId="77777777" w:rsidR="0095077B" w:rsidRPr="007375EB" w:rsidRDefault="0095077B" w:rsidP="0095077B">
            <w:pPr>
              <w:rPr>
                <w:lang w:val="bg-BG"/>
              </w:rPr>
            </w:pPr>
            <w:r w:rsidRPr="007375EB">
              <w:rPr>
                <w:lang w:val="bg-BG"/>
              </w:rPr>
              <w:t>X</w:t>
            </w:r>
          </w:p>
        </w:tc>
        <w:tc>
          <w:tcPr>
            <w:tcW w:w="616" w:type="dxa"/>
            <w:noWrap/>
            <w:vAlign w:val="center"/>
            <w:hideMark/>
          </w:tcPr>
          <w:p w14:paraId="31E0ECC0" w14:textId="77777777" w:rsidR="0095077B" w:rsidRPr="007375EB" w:rsidRDefault="0095077B" w:rsidP="0095077B">
            <w:pPr>
              <w:rPr>
                <w:lang w:val="bg-BG"/>
              </w:rPr>
            </w:pPr>
            <w:r w:rsidRPr="007375EB">
              <w:rPr>
                <w:lang w:val="bg-BG"/>
              </w:rPr>
              <w:t>X</w:t>
            </w:r>
          </w:p>
        </w:tc>
        <w:tc>
          <w:tcPr>
            <w:tcW w:w="612" w:type="dxa"/>
            <w:noWrap/>
            <w:vAlign w:val="center"/>
            <w:hideMark/>
          </w:tcPr>
          <w:p w14:paraId="1CE756A5" w14:textId="77777777" w:rsidR="0095077B" w:rsidRPr="007375EB" w:rsidRDefault="0095077B" w:rsidP="0095077B">
            <w:pPr>
              <w:rPr>
                <w:lang w:val="bg-BG"/>
              </w:rPr>
            </w:pPr>
            <w:r w:rsidRPr="007375EB">
              <w:rPr>
                <w:lang w:val="bg-BG"/>
              </w:rPr>
              <w:t>X</w:t>
            </w:r>
          </w:p>
        </w:tc>
      </w:tr>
      <w:tr w:rsidR="0095077B" w:rsidRPr="007375EB" w14:paraId="171CA9FD" w14:textId="77777777" w:rsidTr="00813962">
        <w:trPr>
          <w:trHeight w:val="210"/>
        </w:trPr>
        <w:tc>
          <w:tcPr>
            <w:tcW w:w="621" w:type="dxa"/>
            <w:noWrap/>
          </w:tcPr>
          <w:p w14:paraId="17377324" w14:textId="72FFF789" w:rsidR="0095077B" w:rsidRPr="007375EB" w:rsidRDefault="007A3653" w:rsidP="0095077B">
            <w:pPr>
              <w:rPr>
                <w:lang w:val="bg-BG"/>
              </w:rPr>
            </w:pPr>
            <w:r w:rsidRPr="007375EB">
              <w:rPr>
                <w:lang w:val="bg-BG"/>
              </w:rPr>
              <w:t>2</w:t>
            </w:r>
          </w:p>
        </w:tc>
        <w:tc>
          <w:tcPr>
            <w:tcW w:w="3769" w:type="dxa"/>
            <w:noWrap/>
          </w:tcPr>
          <w:p w14:paraId="4548FB81" w14:textId="663F3A29" w:rsidR="0095077B" w:rsidRPr="007375EB" w:rsidRDefault="00813962" w:rsidP="0095077B">
            <w:pPr>
              <w:rPr>
                <w:lang w:val="bg-BG"/>
              </w:rPr>
            </w:pPr>
            <w:r w:rsidRPr="007375EB">
              <w:rPr>
                <w:lang w:val="bg-BG"/>
              </w:rPr>
              <w:t>Вятърен парк Карнобат (съществуващ)</w:t>
            </w:r>
          </w:p>
        </w:tc>
        <w:tc>
          <w:tcPr>
            <w:tcW w:w="2017" w:type="dxa"/>
            <w:noWrap/>
            <w:vAlign w:val="center"/>
          </w:tcPr>
          <w:p w14:paraId="1BE54C06" w14:textId="1591EA62" w:rsidR="0095077B" w:rsidRPr="007375EB" w:rsidRDefault="0095077B" w:rsidP="0095077B">
            <w:pPr>
              <w:rPr>
                <w:lang w:val="bg-BG"/>
              </w:rPr>
            </w:pPr>
            <w:r w:rsidRPr="007375EB">
              <w:rPr>
                <w:lang w:val="bg-BG"/>
              </w:rPr>
              <w:t xml:space="preserve">12,79 </w:t>
            </w:r>
            <w:r w:rsidR="0034375E" w:rsidRPr="007375EB">
              <w:rPr>
                <w:lang w:val="bg-BG"/>
              </w:rPr>
              <w:t>км</w:t>
            </w:r>
          </w:p>
        </w:tc>
        <w:tc>
          <w:tcPr>
            <w:tcW w:w="482" w:type="dxa"/>
            <w:noWrap/>
            <w:vAlign w:val="center"/>
          </w:tcPr>
          <w:p w14:paraId="46A23295" w14:textId="77777777" w:rsidR="0095077B" w:rsidRPr="007375EB" w:rsidRDefault="0095077B" w:rsidP="0095077B">
            <w:pPr>
              <w:rPr>
                <w:lang w:val="bg-BG"/>
              </w:rPr>
            </w:pPr>
            <w:r w:rsidRPr="007375EB">
              <w:rPr>
                <w:lang w:val="bg-BG"/>
              </w:rPr>
              <w:t>-</w:t>
            </w:r>
          </w:p>
        </w:tc>
        <w:tc>
          <w:tcPr>
            <w:tcW w:w="868" w:type="dxa"/>
            <w:noWrap/>
            <w:vAlign w:val="center"/>
          </w:tcPr>
          <w:p w14:paraId="577B6501" w14:textId="77777777" w:rsidR="0095077B" w:rsidRPr="007375EB" w:rsidRDefault="0095077B" w:rsidP="0095077B">
            <w:pPr>
              <w:rPr>
                <w:lang w:val="bg-BG"/>
              </w:rPr>
            </w:pPr>
            <w:r w:rsidRPr="007375EB">
              <w:rPr>
                <w:lang w:val="bg-BG"/>
              </w:rPr>
              <w:t>-</w:t>
            </w:r>
          </w:p>
        </w:tc>
        <w:tc>
          <w:tcPr>
            <w:tcW w:w="630" w:type="dxa"/>
            <w:noWrap/>
            <w:vAlign w:val="center"/>
          </w:tcPr>
          <w:p w14:paraId="33DEC044" w14:textId="77777777" w:rsidR="0095077B" w:rsidRPr="007375EB" w:rsidRDefault="0095077B" w:rsidP="0095077B">
            <w:pPr>
              <w:rPr>
                <w:lang w:val="bg-BG"/>
              </w:rPr>
            </w:pPr>
            <w:r w:rsidRPr="007375EB">
              <w:rPr>
                <w:lang w:val="bg-BG"/>
              </w:rPr>
              <w:t>-</w:t>
            </w:r>
          </w:p>
        </w:tc>
        <w:tc>
          <w:tcPr>
            <w:tcW w:w="810" w:type="dxa"/>
            <w:noWrap/>
            <w:vAlign w:val="center"/>
          </w:tcPr>
          <w:p w14:paraId="0382AF92" w14:textId="77777777" w:rsidR="0095077B" w:rsidRPr="007375EB" w:rsidRDefault="0095077B" w:rsidP="0095077B">
            <w:pPr>
              <w:rPr>
                <w:lang w:val="bg-BG"/>
              </w:rPr>
            </w:pPr>
            <w:r w:rsidRPr="007375EB">
              <w:rPr>
                <w:lang w:val="bg-BG"/>
              </w:rPr>
              <w:t>-</w:t>
            </w:r>
          </w:p>
        </w:tc>
        <w:tc>
          <w:tcPr>
            <w:tcW w:w="630" w:type="dxa"/>
            <w:noWrap/>
            <w:vAlign w:val="center"/>
          </w:tcPr>
          <w:p w14:paraId="479636BA" w14:textId="77777777" w:rsidR="0095077B" w:rsidRPr="007375EB" w:rsidRDefault="0095077B" w:rsidP="0095077B">
            <w:pPr>
              <w:rPr>
                <w:lang w:val="bg-BG"/>
              </w:rPr>
            </w:pPr>
            <w:r w:rsidRPr="007375EB">
              <w:rPr>
                <w:lang w:val="bg-BG"/>
              </w:rPr>
              <w:t>-</w:t>
            </w:r>
          </w:p>
        </w:tc>
        <w:tc>
          <w:tcPr>
            <w:tcW w:w="720" w:type="dxa"/>
            <w:noWrap/>
            <w:vAlign w:val="center"/>
          </w:tcPr>
          <w:p w14:paraId="68BE4A5F" w14:textId="77777777" w:rsidR="0095077B" w:rsidRPr="007375EB" w:rsidRDefault="0095077B" w:rsidP="0095077B">
            <w:pPr>
              <w:rPr>
                <w:lang w:val="bg-BG"/>
              </w:rPr>
            </w:pPr>
            <w:r w:rsidRPr="007375EB">
              <w:rPr>
                <w:lang w:val="bg-BG"/>
              </w:rPr>
              <w:t>-</w:t>
            </w:r>
          </w:p>
        </w:tc>
        <w:tc>
          <w:tcPr>
            <w:tcW w:w="720" w:type="dxa"/>
            <w:noWrap/>
            <w:vAlign w:val="center"/>
          </w:tcPr>
          <w:p w14:paraId="6737FF51" w14:textId="77777777" w:rsidR="0095077B" w:rsidRPr="007375EB" w:rsidRDefault="0095077B" w:rsidP="0095077B">
            <w:pPr>
              <w:rPr>
                <w:lang w:val="bg-BG"/>
              </w:rPr>
            </w:pPr>
            <w:r w:rsidRPr="007375EB">
              <w:rPr>
                <w:lang w:val="bg-BG"/>
              </w:rPr>
              <w:t>-</w:t>
            </w:r>
          </w:p>
        </w:tc>
        <w:tc>
          <w:tcPr>
            <w:tcW w:w="540" w:type="dxa"/>
            <w:noWrap/>
            <w:vAlign w:val="center"/>
          </w:tcPr>
          <w:p w14:paraId="6A4ABA56" w14:textId="77777777" w:rsidR="0095077B" w:rsidRPr="007375EB" w:rsidRDefault="0095077B" w:rsidP="0095077B">
            <w:pPr>
              <w:rPr>
                <w:lang w:val="bg-BG"/>
              </w:rPr>
            </w:pPr>
            <w:r w:rsidRPr="007375EB">
              <w:rPr>
                <w:lang w:val="bg-BG"/>
              </w:rPr>
              <w:t>X</w:t>
            </w:r>
          </w:p>
        </w:tc>
        <w:tc>
          <w:tcPr>
            <w:tcW w:w="990" w:type="dxa"/>
            <w:noWrap/>
            <w:vAlign w:val="center"/>
          </w:tcPr>
          <w:p w14:paraId="4FDB755E" w14:textId="77777777" w:rsidR="0095077B" w:rsidRPr="007375EB" w:rsidRDefault="0095077B" w:rsidP="0095077B">
            <w:pPr>
              <w:rPr>
                <w:lang w:val="bg-BG"/>
              </w:rPr>
            </w:pPr>
            <w:r w:rsidRPr="007375EB">
              <w:rPr>
                <w:lang w:val="bg-BG"/>
              </w:rPr>
              <w:t>X</w:t>
            </w:r>
          </w:p>
        </w:tc>
        <w:tc>
          <w:tcPr>
            <w:tcW w:w="499" w:type="dxa"/>
            <w:noWrap/>
            <w:vAlign w:val="center"/>
          </w:tcPr>
          <w:p w14:paraId="31328837" w14:textId="77777777" w:rsidR="0095077B" w:rsidRPr="007375EB" w:rsidRDefault="0095077B" w:rsidP="0095077B">
            <w:pPr>
              <w:rPr>
                <w:lang w:val="bg-BG"/>
              </w:rPr>
            </w:pPr>
            <w:r w:rsidRPr="007375EB">
              <w:rPr>
                <w:lang w:val="bg-BG"/>
              </w:rPr>
              <w:t>-</w:t>
            </w:r>
          </w:p>
        </w:tc>
        <w:tc>
          <w:tcPr>
            <w:tcW w:w="507" w:type="dxa"/>
            <w:noWrap/>
            <w:vAlign w:val="center"/>
          </w:tcPr>
          <w:p w14:paraId="7AA0837D" w14:textId="77777777" w:rsidR="0095077B" w:rsidRPr="007375EB" w:rsidRDefault="0095077B" w:rsidP="0095077B">
            <w:pPr>
              <w:rPr>
                <w:lang w:val="bg-BG"/>
              </w:rPr>
            </w:pPr>
            <w:r w:rsidRPr="007375EB">
              <w:rPr>
                <w:lang w:val="bg-BG"/>
              </w:rPr>
              <w:t>X</w:t>
            </w:r>
          </w:p>
        </w:tc>
        <w:tc>
          <w:tcPr>
            <w:tcW w:w="524" w:type="dxa"/>
            <w:noWrap/>
            <w:vAlign w:val="center"/>
          </w:tcPr>
          <w:p w14:paraId="7AE1469F" w14:textId="77777777" w:rsidR="0095077B" w:rsidRPr="007375EB" w:rsidRDefault="0095077B" w:rsidP="0095077B">
            <w:pPr>
              <w:rPr>
                <w:lang w:val="bg-BG"/>
              </w:rPr>
            </w:pPr>
            <w:r w:rsidRPr="007375EB">
              <w:rPr>
                <w:lang w:val="bg-BG"/>
              </w:rPr>
              <w:t>X</w:t>
            </w:r>
          </w:p>
        </w:tc>
        <w:tc>
          <w:tcPr>
            <w:tcW w:w="616" w:type="dxa"/>
            <w:noWrap/>
            <w:vAlign w:val="center"/>
          </w:tcPr>
          <w:p w14:paraId="2F5F377A" w14:textId="77777777" w:rsidR="0095077B" w:rsidRPr="007375EB" w:rsidRDefault="0095077B" w:rsidP="0095077B">
            <w:pPr>
              <w:rPr>
                <w:lang w:val="bg-BG"/>
              </w:rPr>
            </w:pPr>
            <w:r w:rsidRPr="007375EB">
              <w:rPr>
                <w:lang w:val="bg-BG"/>
              </w:rPr>
              <w:t>X</w:t>
            </w:r>
          </w:p>
        </w:tc>
        <w:tc>
          <w:tcPr>
            <w:tcW w:w="612" w:type="dxa"/>
            <w:noWrap/>
            <w:vAlign w:val="center"/>
          </w:tcPr>
          <w:p w14:paraId="72E00494" w14:textId="77777777" w:rsidR="0095077B" w:rsidRPr="007375EB" w:rsidRDefault="0095077B" w:rsidP="0095077B">
            <w:pPr>
              <w:rPr>
                <w:lang w:val="bg-BG"/>
              </w:rPr>
            </w:pPr>
            <w:r w:rsidRPr="007375EB">
              <w:rPr>
                <w:lang w:val="bg-BG"/>
              </w:rPr>
              <w:t>X</w:t>
            </w:r>
          </w:p>
        </w:tc>
      </w:tr>
    </w:tbl>
    <w:p w14:paraId="55774E1F" w14:textId="77777777" w:rsidR="0095077B" w:rsidRPr="007375EB" w:rsidRDefault="0095077B" w:rsidP="00345AE0">
      <w:pPr>
        <w:spacing w:line="360" w:lineRule="auto"/>
        <w:rPr>
          <w:lang w:val="bg-BG" w:eastAsia="ro-RO"/>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8"/>
        <w:gridCol w:w="960"/>
        <w:gridCol w:w="4341"/>
      </w:tblGrid>
      <w:tr w:rsidR="00AE3B21" w:rsidRPr="007375EB" w14:paraId="5981CC3E" w14:textId="77777777" w:rsidTr="00E35418">
        <w:trPr>
          <w:trHeight w:val="210"/>
        </w:trPr>
        <w:tc>
          <w:tcPr>
            <w:tcW w:w="1078" w:type="dxa"/>
            <w:shd w:val="clear" w:color="auto" w:fill="00B0F0"/>
            <w:noWrap/>
            <w:hideMark/>
          </w:tcPr>
          <w:p w14:paraId="092DB906" w14:textId="7CC08C2F" w:rsidR="00AE3B21" w:rsidRPr="007375EB" w:rsidRDefault="00E35418" w:rsidP="00AE3B21">
            <w:pPr>
              <w:spacing w:line="240" w:lineRule="auto"/>
              <w:rPr>
                <w:b/>
                <w:bCs/>
                <w:lang w:val="bg-BG" w:eastAsia="ro-RO"/>
              </w:rPr>
            </w:pPr>
            <w:r w:rsidRPr="007375EB">
              <w:rPr>
                <w:b/>
                <w:bCs/>
                <w:lang w:val="bg-BG" w:eastAsia="ro-RO"/>
              </w:rPr>
              <w:t>Легенда</w:t>
            </w:r>
          </w:p>
        </w:tc>
        <w:tc>
          <w:tcPr>
            <w:tcW w:w="960" w:type="dxa"/>
            <w:noWrap/>
            <w:hideMark/>
          </w:tcPr>
          <w:p w14:paraId="3A1FE236" w14:textId="77777777" w:rsidR="00AE3B21" w:rsidRPr="007375EB" w:rsidRDefault="00AE3B21" w:rsidP="00AE3B21">
            <w:pPr>
              <w:spacing w:line="240" w:lineRule="auto"/>
              <w:rPr>
                <w:lang w:val="bg-BG" w:eastAsia="ro-RO"/>
              </w:rPr>
            </w:pPr>
            <w:r w:rsidRPr="007375EB">
              <w:rPr>
                <w:lang w:val="bg-BG" w:eastAsia="ro-RO"/>
              </w:rPr>
              <w:t>PH</w:t>
            </w:r>
          </w:p>
        </w:tc>
        <w:tc>
          <w:tcPr>
            <w:tcW w:w="4341" w:type="dxa"/>
            <w:noWrap/>
            <w:hideMark/>
          </w:tcPr>
          <w:p w14:paraId="743612F2" w14:textId="4D245090" w:rsidR="00AE3B21" w:rsidRPr="007375EB" w:rsidRDefault="00E35418" w:rsidP="00AE3B21">
            <w:pPr>
              <w:spacing w:line="240" w:lineRule="auto"/>
              <w:rPr>
                <w:lang w:val="bg-BG" w:eastAsia="ro-RO"/>
              </w:rPr>
            </w:pPr>
            <w:r w:rsidRPr="007375EB">
              <w:rPr>
                <w:lang w:val="bg-BG" w:eastAsia="ro-RO"/>
              </w:rPr>
              <w:t>загуба на местообитания</w:t>
            </w:r>
          </w:p>
        </w:tc>
      </w:tr>
      <w:tr w:rsidR="00AE3B21" w:rsidRPr="007375EB" w14:paraId="70DF3F5E" w14:textId="77777777" w:rsidTr="00E35418">
        <w:trPr>
          <w:trHeight w:val="210"/>
        </w:trPr>
        <w:tc>
          <w:tcPr>
            <w:tcW w:w="1078" w:type="dxa"/>
            <w:noWrap/>
            <w:hideMark/>
          </w:tcPr>
          <w:p w14:paraId="638549F4" w14:textId="77777777" w:rsidR="00AE3B21" w:rsidRPr="007375EB" w:rsidRDefault="00AE3B21" w:rsidP="00AE3B21">
            <w:pPr>
              <w:spacing w:line="240" w:lineRule="auto"/>
              <w:rPr>
                <w:lang w:val="bg-BG" w:eastAsia="ro-RO"/>
              </w:rPr>
            </w:pPr>
          </w:p>
        </w:tc>
        <w:tc>
          <w:tcPr>
            <w:tcW w:w="960" w:type="dxa"/>
            <w:noWrap/>
            <w:hideMark/>
          </w:tcPr>
          <w:p w14:paraId="0B72F0E8" w14:textId="77777777" w:rsidR="00AE3B21" w:rsidRPr="007375EB" w:rsidRDefault="00AE3B21" w:rsidP="00AE3B21">
            <w:pPr>
              <w:spacing w:line="240" w:lineRule="auto"/>
              <w:rPr>
                <w:lang w:val="bg-BG" w:eastAsia="ro-RO"/>
              </w:rPr>
            </w:pPr>
            <w:r w:rsidRPr="007375EB">
              <w:rPr>
                <w:lang w:val="bg-BG" w:eastAsia="ro-RO"/>
              </w:rPr>
              <w:t>AH</w:t>
            </w:r>
          </w:p>
        </w:tc>
        <w:tc>
          <w:tcPr>
            <w:tcW w:w="4341" w:type="dxa"/>
            <w:noWrap/>
            <w:hideMark/>
          </w:tcPr>
          <w:p w14:paraId="5390B0E6" w14:textId="749E37A9" w:rsidR="00AE3B21" w:rsidRPr="007375EB" w:rsidRDefault="00E35418" w:rsidP="00E35418">
            <w:pPr>
              <w:rPr>
                <w:lang w:val="bg-BG" w:eastAsia="ro-RO"/>
              </w:rPr>
            </w:pPr>
            <w:r w:rsidRPr="007375EB">
              <w:rPr>
                <w:lang w:val="bg-BG" w:eastAsia="ro-RO"/>
              </w:rPr>
              <w:t>променени условия на местообитанията</w:t>
            </w:r>
          </w:p>
        </w:tc>
      </w:tr>
      <w:tr w:rsidR="00AE3B21" w:rsidRPr="007375EB" w14:paraId="2C580816" w14:textId="77777777" w:rsidTr="00E35418">
        <w:trPr>
          <w:trHeight w:val="70"/>
        </w:trPr>
        <w:tc>
          <w:tcPr>
            <w:tcW w:w="1078" w:type="dxa"/>
            <w:noWrap/>
            <w:hideMark/>
          </w:tcPr>
          <w:p w14:paraId="3F8EF4DB" w14:textId="77777777" w:rsidR="00AE3B21" w:rsidRPr="007375EB" w:rsidRDefault="00AE3B21" w:rsidP="00AE3B21">
            <w:pPr>
              <w:spacing w:line="240" w:lineRule="auto"/>
              <w:rPr>
                <w:lang w:val="bg-BG" w:eastAsia="ro-RO"/>
              </w:rPr>
            </w:pPr>
          </w:p>
        </w:tc>
        <w:tc>
          <w:tcPr>
            <w:tcW w:w="960" w:type="dxa"/>
            <w:noWrap/>
            <w:hideMark/>
          </w:tcPr>
          <w:p w14:paraId="6A544B33" w14:textId="77777777" w:rsidR="00AE3B21" w:rsidRPr="007375EB" w:rsidRDefault="00AE3B21" w:rsidP="00AE3B21">
            <w:pPr>
              <w:spacing w:line="240" w:lineRule="auto"/>
              <w:rPr>
                <w:lang w:val="bg-BG" w:eastAsia="ro-RO"/>
              </w:rPr>
            </w:pPr>
            <w:r w:rsidRPr="007375EB">
              <w:rPr>
                <w:lang w:val="bg-BG" w:eastAsia="ro-RO"/>
              </w:rPr>
              <w:t>FH</w:t>
            </w:r>
          </w:p>
        </w:tc>
        <w:tc>
          <w:tcPr>
            <w:tcW w:w="4341" w:type="dxa"/>
            <w:noWrap/>
            <w:hideMark/>
          </w:tcPr>
          <w:p w14:paraId="3ED5D4F8" w14:textId="74D107CC" w:rsidR="00AE3B21" w:rsidRPr="007375EB" w:rsidRDefault="00E35418" w:rsidP="00E35418">
            <w:pPr>
              <w:rPr>
                <w:lang w:val="bg-BG" w:eastAsia="ro-RO"/>
              </w:rPr>
            </w:pPr>
            <w:r w:rsidRPr="007375EB">
              <w:rPr>
                <w:lang w:val="bg-BG" w:eastAsia="ro-RO"/>
              </w:rPr>
              <w:t>фрагментация на местообитанията</w:t>
            </w:r>
          </w:p>
        </w:tc>
      </w:tr>
      <w:tr w:rsidR="00AE3B21" w:rsidRPr="007375EB" w14:paraId="2A05A08F" w14:textId="77777777" w:rsidTr="00E35418">
        <w:trPr>
          <w:trHeight w:val="70"/>
        </w:trPr>
        <w:tc>
          <w:tcPr>
            <w:tcW w:w="1078" w:type="dxa"/>
            <w:noWrap/>
            <w:hideMark/>
          </w:tcPr>
          <w:p w14:paraId="483AED3D" w14:textId="77777777" w:rsidR="00AE3B21" w:rsidRPr="007375EB" w:rsidRDefault="00AE3B21" w:rsidP="00AE3B21">
            <w:pPr>
              <w:spacing w:line="240" w:lineRule="auto"/>
              <w:rPr>
                <w:lang w:val="bg-BG" w:eastAsia="ro-RO"/>
              </w:rPr>
            </w:pPr>
          </w:p>
        </w:tc>
        <w:tc>
          <w:tcPr>
            <w:tcW w:w="960" w:type="dxa"/>
            <w:noWrap/>
            <w:hideMark/>
          </w:tcPr>
          <w:p w14:paraId="17AC0E4F" w14:textId="77777777" w:rsidR="00AE3B21" w:rsidRPr="007375EB" w:rsidRDefault="00AE3B21" w:rsidP="00AE3B21">
            <w:pPr>
              <w:spacing w:line="240" w:lineRule="auto"/>
              <w:rPr>
                <w:lang w:val="bg-BG" w:eastAsia="ro-RO"/>
              </w:rPr>
            </w:pPr>
            <w:r w:rsidRPr="007375EB">
              <w:rPr>
                <w:lang w:val="bg-BG" w:eastAsia="ro-RO"/>
              </w:rPr>
              <w:t>PAS</w:t>
            </w:r>
          </w:p>
        </w:tc>
        <w:tc>
          <w:tcPr>
            <w:tcW w:w="4341" w:type="dxa"/>
            <w:noWrap/>
            <w:hideMark/>
          </w:tcPr>
          <w:p w14:paraId="3EADBBAD" w14:textId="14A768C7" w:rsidR="00AE3B21" w:rsidRPr="007375EB" w:rsidRDefault="00E35418" w:rsidP="00E35418">
            <w:pPr>
              <w:rPr>
                <w:lang w:val="bg-BG" w:eastAsia="ro-RO"/>
              </w:rPr>
            </w:pPr>
            <w:r w:rsidRPr="007375EB">
              <w:rPr>
                <w:lang w:val="bg-BG" w:eastAsia="ro-RO"/>
              </w:rPr>
              <w:t>нарушаване на активността на видовете</w:t>
            </w:r>
          </w:p>
        </w:tc>
      </w:tr>
      <w:tr w:rsidR="00AE3B21" w:rsidRPr="007375EB" w14:paraId="7BEA3553" w14:textId="77777777" w:rsidTr="00E35418">
        <w:trPr>
          <w:trHeight w:val="420"/>
        </w:trPr>
        <w:tc>
          <w:tcPr>
            <w:tcW w:w="1078" w:type="dxa"/>
            <w:noWrap/>
            <w:hideMark/>
          </w:tcPr>
          <w:p w14:paraId="34ED5715" w14:textId="77777777" w:rsidR="00AE3B21" w:rsidRPr="007375EB" w:rsidRDefault="00AE3B21" w:rsidP="00AE3B21">
            <w:pPr>
              <w:spacing w:line="240" w:lineRule="auto"/>
              <w:rPr>
                <w:lang w:val="bg-BG" w:eastAsia="ro-RO"/>
              </w:rPr>
            </w:pPr>
          </w:p>
        </w:tc>
        <w:tc>
          <w:tcPr>
            <w:tcW w:w="960" w:type="dxa"/>
            <w:noWrap/>
            <w:hideMark/>
          </w:tcPr>
          <w:p w14:paraId="10327EE6" w14:textId="77777777" w:rsidR="00AE3B21" w:rsidRPr="007375EB" w:rsidRDefault="00AE3B21" w:rsidP="00AE3B21">
            <w:pPr>
              <w:spacing w:line="240" w:lineRule="auto"/>
              <w:rPr>
                <w:lang w:val="bg-BG" w:eastAsia="ro-RO"/>
              </w:rPr>
            </w:pPr>
            <w:r w:rsidRPr="007375EB">
              <w:rPr>
                <w:lang w:val="bg-BG" w:eastAsia="ro-RO"/>
              </w:rPr>
              <w:t>REP</w:t>
            </w:r>
          </w:p>
        </w:tc>
        <w:tc>
          <w:tcPr>
            <w:tcW w:w="4341" w:type="dxa"/>
            <w:noWrap/>
            <w:hideMark/>
          </w:tcPr>
          <w:p w14:paraId="7C3AEEDB" w14:textId="7C425698" w:rsidR="00AE3B21" w:rsidRPr="007375EB" w:rsidRDefault="00E35418" w:rsidP="00AE3B21">
            <w:pPr>
              <w:spacing w:line="240" w:lineRule="auto"/>
              <w:rPr>
                <w:lang w:val="bg-BG" w:eastAsia="ro-RO"/>
              </w:rPr>
            </w:pPr>
            <w:r w:rsidRPr="007375EB">
              <w:rPr>
                <w:lang w:val="bg-BG" w:eastAsia="ro-RO"/>
              </w:rPr>
              <w:t>намаляване на размера на запасите</w:t>
            </w:r>
          </w:p>
        </w:tc>
      </w:tr>
    </w:tbl>
    <w:p w14:paraId="50D2FF22" w14:textId="77777777" w:rsidR="00C3475B" w:rsidRPr="007375EB" w:rsidRDefault="00C3475B" w:rsidP="00345AE0">
      <w:pPr>
        <w:spacing w:line="360" w:lineRule="auto"/>
        <w:rPr>
          <w:lang w:val="bg-BG" w:eastAsia="ro-RO"/>
        </w:rPr>
      </w:pPr>
    </w:p>
    <w:p w14:paraId="1A77B085" w14:textId="77777777" w:rsidR="0095077B" w:rsidRPr="007375EB" w:rsidRDefault="0095077B" w:rsidP="00345AE0">
      <w:pPr>
        <w:spacing w:line="360" w:lineRule="auto"/>
        <w:rPr>
          <w:lang w:val="bg-BG" w:eastAsia="ro-RO"/>
        </w:rPr>
        <w:sectPr w:rsidR="0095077B" w:rsidRPr="007375EB" w:rsidSect="00C36DC7">
          <w:pgSz w:w="16838" w:h="11906" w:orient="landscape" w:code="9"/>
          <w:pgMar w:top="1191" w:right="2013" w:bottom="1560" w:left="1418" w:header="839" w:footer="680" w:gutter="0"/>
          <w:cols w:space="708"/>
          <w:docGrid w:linePitch="360"/>
        </w:sectPr>
      </w:pPr>
    </w:p>
    <w:p w14:paraId="07C7C812" w14:textId="3BB8C409" w:rsidR="00E35418" w:rsidRPr="007375EB" w:rsidRDefault="00E35418" w:rsidP="00A225C0">
      <w:pPr>
        <w:spacing w:after="120" w:line="360" w:lineRule="auto"/>
        <w:jc w:val="both"/>
        <w:rPr>
          <w:lang w:val="bg-BG"/>
        </w:rPr>
      </w:pPr>
      <w:r w:rsidRPr="007375EB">
        <w:rPr>
          <w:lang w:val="bg-BG"/>
        </w:rPr>
        <w:lastRenderedPageBreak/>
        <w:t>За да се оцени кумулативното въздействие на предложената PUZ с одобрените проекти и/или планове или в процедурата за оценка на въздействието върху околната среда, е направено групиране по видове проекти, както следва: проекти за вятърни паркове, фотоволтаични паркове, проекти за оптични кабели, проекти за подземно електроснабдяване, проекти за разпределение на природен газ, проекти за асфалтиране, проекти за пътни настилки, проекти за мостове, PUZ „Индепенденца“, община. Що се отнася до кумулативното въздействие на проекта, предложен от PUZ, с другите проекти, които се предлага да бъдат разработени в района, е трудно да се оцени при липсата на конкретни данни за състоянието на проектите и очаквания период на започване на изпълнението им, поради което ще се прилага принципът на предпазливостта.</w:t>
      </w:r>
    </w:p>
    <w:p w14:paraId="7F7EFF84" w14:textId="3B8C5705" w:rsidR="00A225C0" w:rsidRPr="007375EB" w:rsidRDefault="00E35418" w:rsidP="00A225C0">
      <w:pPr>
        <w:spacing w:after="120" w:line="360" w:lineRule="auto"/>
        <w:jc w:val="both"/>
        <w:rPr>
          <w:lang w:val="bg-BG"/>
        </w:rPr>
      </w:pPr>
      <w:r w:rsidRPr="007375EB">
        <w:rPr>
          <w:lang w:val="bg-BG"/>
        </w:rPr>
        <w:t>Следователно, за да се оцени кумулативното въздействие на проекта, предложен в PUZ, с другите проекти за вятърни паркове, предложени да бъдат разработени в района, като се прилага принципът на предпазливостта, ще бъде оценена най-неблагоприятната ситуация, при която ще се счита, че всички проекти ще бъдат изпълнени в един и същи период. Като се вземат предвид разположението на предложените вятърни паркове, разстоянията между обектите, броят на предложените вятърни турбини (около 118 вятърни турбини), може да се оцени, че кумулативното въздействие през периода на изпълнение е значително отрицателно за аспектите на околната среда, свързани с биоразнообразието - въздух, почва/почва и използване на природни ресурси, което се обосновава от броя на турбините, засегнатите от работите площи и ресурсите, необходими за реализирането на фундаментите, платформите, връзките и пътищата (нови или рехабилитирани), и незначително отрицателно за аспектите на околната среда: вода, управление на отпадъците, шум и вибрации, население и човешко здраве, изменение на климата, ландшафт и културно наследство</w:t>
      </w:r>
      <w:r w:rsidR="00A225C0" w:rsidRPr="007375EB">
        <w:rPr>
          <w:lang w:val="bg-BG"/>
        </w:rPr>
        <w:t>.</w:t>
      </w:r>
    </w:p>
    <w:p w14:paraId="1C119FD6" w14:textId="77777777" w:rsidR="00E35418" w:rsidRPr="007375EB" w:rsidRDefault="00E35418" w:rsidP="00E35418">
      <w:pPr>
        <w:spacing w:after="120" w:line="360" w:lineRule="auto"/>
        <w:jc w:val="both"/>
        <w:rPr>
          <w:lang w:val="bg-BG"/>
        </w:rPr>
      </w:pPr>
      <w:r w:rsidRPr="007375EB">
        <w:rPr>
          <w:lang w:val="bg-BG"/>
        </w:rPr>
        <w:t>В етапа на едновременна експлоатация на вятърните паркове не се очаква въздействие върху екологичните аспекти: вода, почва/почва, управление на отпадъците, ландшафт и културно наследство. Очаква се обаче потенциално отрицателно въздействие върху компонента на биологичното разнообразие, по-специално върху видовете от орнитофауната и хироптерите, които са податливи на отрицателни въздействия, дължащи се на вятърната инфраструктура.</w:t>
      </w:r>
    </w:p>
    <w:p w14:paraId="6B2D88F7" w14:textId="77777777" w:rsidR="00E35418" w:rsidRPr="007375EB" w:rsidRDefault="00E35418" w:rsidP="00E35418">
      <w:pPr>
        <w:spacing w:after="120" w:line="360" w:lineRule="auto"/>
        <w:jc w:val="both"/>
        <w:rPr>
          <w:lang w:val="bg-BG"/>
        </w:rPr>
      </w:pPr>
      <w:r w:rsidRPr="007375EB">
        <w:rPr>
          <w:lang w:val="bg-BG"/>
        </w:rPr>
        <w:t>Едновременното функциониране на вятърните паркове обаче ще има значително положително кумулативно въздействие върху качеството на въздуха и изменението на климата (намаляване на емисиите на парникови газове), като замени количеството електроенергия, произведено от изкопаеми горива в отсъствието на вятърните паркове. Друго значително положително въздействие е подобряването на жизнения стандарт и социалните условия на населението в районите на проекта.</w:t>
      </w:r>
    </w:p>
    <w:p w14:paraId="22494ED6" w14:textId="4CEC5CB9" w:rsidR="00CF33AB" w:rsidRPr="007375EB" w:rsidRDefault="00E35418" w:rsidP="00E35418">
      <w:pPr>
        <w:spacing w:after="120" w:line="360" w:lineRule="auto"/>
        <w:jc w:val="both"/>
        <w:rPr>
          <w:lang w:val="bg-BG"/>
        </w:rPr>
      </w:pPr>
      <w:r w:rsidRPr="007375EB">
        <w:rPr>
          <w:lang w:val="bg-BG"/>
        </w:rPr>
        <w:t>По време на експлоатацията ще се обърне специално внимание на мониторинга на шума, засенчването и биоразнообразието, за да се сведе до минимум кумулативното въздействие</w:t>
      </w:r>
      <w:r w:rsidR="00A225C0" w:rsidRPr="007375EB">
        <w:rPr>
          <w:lang w:val="bg-BG"/>
        </w:rPr>
        <w:t>.</w:t>
      </w:r>
    </w:p>
    <w:p w14:paraId="57973792" w14:textId="2D3FD8B2" w:rsidR="007302E6" w:rsidRPr="007375EB" w:rsidRDefault="00E35418" w:rsidP="007302E6">
      <w:pPr>
        <w:spacing w:after="120" w:line="360" w:lineRule="auto"/>
        <w:jc w:val="both"/>
        <w:rPr>
          <w:lang w:val="bg-BG"/>
        </w:rPr>
      </w:pPr>
      <w:r w:rsidRPr="007375EB">
        <w:rPr>
          <w:lang w:val="bg-BG"/>
        </w:rPr>
        <w:t xml:space="preserve">Що се отнася до кумулативното въздействие на проекта, предложен от PUZ, с проектите за оптична мрежа, подземно електроснабдяване и разпределение на природен газ, като се прилага принципът на предпазливост, ще бъде оценена най-лошата ситуация, при която ще се счита, че всички проекти ще бъдат изпълнени в един и същи период. С оглед на специфичния характер на работите, свързани с изпълнението на предложените проекти, може да се прецени, че кумулативното </w:t>
      </w:r>
      <w:r w:rsidRPr="007375EB">
        <w:rPr>
          <w:lang w:val="bg-BG"/>
        </w:rPr>
        <w:lastRenderedPageBreak/>
        <w:t>въздействие през периода на изпълнение е значително отрицателно за екологичните аспекти биоразнообразие, въздух и почва/почва, обосновано от необходимите работи (изкопаване на основи и траншеи за полагане на електрически кабели, оптични кабели, газопроводи) и засегнатите от работите райони, и незначително отрицателно за екологичните аспекти: води, управление на отпадъците, шум и вибрации, население и човешко здраве, изменение на климата, ландшафт и културно наследство.</w:t>
      </w:r>
    </w:p>
    <w:p w14:paraId="6E4319E9" w14:textId="77777777" w:rsidR="00E35418" w:rsidRPr="007375EB" w:rsidRDefault="00E35418" w:rsidP="00E35418">
      <w:pPr>
        <w:spacing w:after="120" w:line="360" w:lineRule="auto"/>
        <w:jc w:val="both"/>
        <w:rPr>
          <w:lang w:val="bg-BG"/>
        </w:rPr>
      </w:pPr>
      <w:r w:rsidRPr="007375EB">
        <w:rPr>
          <w:lang w:val="bg-BG"/>
        </w:rPr>
        <w:t xml:space="preserve">През периода на експлоатация на проекта, предложен от PUZ с проектите за оптични влакна, подземното електроснабдяване и разпределението на природен газ, е незначителен за екологичните аспекти: вода, въздух, почва/почва, управление на отпадъците, шум и вибрации, биологично разнообразие, население и човешко здраве, изменение на климата, ландшафт и културно наследство, </w:t>
      </w:r>
    </w:p>
    <w:p w14:paraId="1F45F835" w14:textId="656D5BCF" w:rsidR="00E35418" w:rsidRPr="007375EB" w:rsidRDefault="00E35418" w:rsidP="00E35418">
      <w:pPr>
        <w:spacing w:after="120" w:line="360" w:lineRule="auto"/>
        <w:jc w:val="both"/>
        <w:rPr>
          <w:lang w:val="bg-BG"/>
        </w:rPr>
      </w:pPr>
      <w:r w:rsidRPr="007375EB">
        <w:rPr>
          <w:lang w:val="bg-BG"/>
        </w:rPr>
        <w:t>По отношение на кумулативното въздействие на проекта, предложен в PUZ, с проектите за асфалтиране на улици и мостове, прилагайки принципа на предпазливостта, ще бъде оценена най-лошата ситуация, при която всички проекти ще се считат за изпълнени в един и същи период. Като се вземе предвид специфичното естество на работите, свързани с асфалтирането на улици и изграждането на мостове, може да се оцени, че кумулативното въздействие през периода на изпълнение е значително отрицателно за екологичните аспекти: въздух и вода, обосновано от необходимите работи, и незначително отрицателно за екологичните аспекти: почва/подземен слой, управление на отпадъците, шум и вибрации, биологично разнообразие, население и човешко здраве, изменение на климата, ландшафт и културно наследство.</w:t>
      </w:r>
    </w:p>
    <w:p w14:paraId="20CAFB7A" w14:textId="5A4FC6C5" w:rsidR="007257E3" w:rsidRPr="007375EB" w:rsidRDefault="00E35418" w:rsidP="00E35418">
      <w:pPr>
        <w:spacing w:after="120" w:line="360" w:lineRule="auto"/>
        <w:jc w:val="both"/>
        <w:rPr>
          <w:lang w:val="bg-BG" w:eastAsia="ro-RO"/>
        </w:rPr>
      </w:pPr>
      <w:r w:rsidRPr="007375EB">
        <w:rPr>
          <w:lang w:val="bg-BG"/>
        </w:rPr>
        <w:t>По-долу е представена оценка на видовете въздействия на предложения план върху биоразнообразието в сравнение с други планове и проекти, които се изпълняват, одобряват или са в процес на оценка</w:t>
      </w:r>
      <w:r w:rsidR="00E8618A" w:rsidRPr="007375EB">
        <w:rPr>
          <w:lang w:val="bg-BG" w:eastAsia="ro-RO"/>
        </w:rPr>
        <w:t>.</w:t>
      </w:r>
    </w:p>
    <w:p w14:paraId="70B28AE1" w14:textId="77777777" w:rsidR="007257E3" w:rsidRPr="007375EB" w:rsidRDefault="007257E3" w:rsidP="007257E3">
      <w:pPr>
        <w:pStyle w:val="ListParagraph"/>
        <w:spacing w:after="120" w:line="360" w:lineRule="auto"/>
        <w:jc w:val="both"/>
        <w:rPr>
          <w:lang w:val="bg-BG" w:eastAsia="ro-RO"/>
        </w:rPr>
      </w:pPr>
    </w:p>
    <w:p w14:paraId="2A589BD6" w14:textId="77777777" w:rsidR="007257E3" w:rsidRPr="007375EB" w:rsidRDefault="007257E3" w:rsidP="007257E3">
      <w:pPr>
        <w:pStyle w:val="ListParagraph"/>
        <w:spacing w:after="120" w:line="360" w:lineRule="auto"/>
        <w:jc w:val="both"/>
        <w:rPr>
          <w:lang w:val="bg-BG" w:eastAsia="ro-RO"/>
        </w:rPr>
      </w:pPr>
    </w:p>
    <w:p w14:paraId="72BC2A4B" w14:textId="77777777" w:rsidR="007257E3" w:rsidRPr="007375EB" w:rsidRDefault="007257E3" w:rsidP="007257E3">
      <w:pPr>
        <w:pStyle w:val="ListParagraph"/>
        <w:spacing w:after="120" w:line="360" w:lineRule="auto"/>
        <w:jc w:val="both"/>
        <w:rPr>
          <w:lang w:val="bg-BG" w:eastAsia="ro-RO"/>
        </w:rPr>
      </w:pPr>
    </w:p>
    <w:p w14:paraId="0AEFAFE9" w14:textId="77777777" w:rsidR="007257E3" w:rsidRPr="007375EB" w:rsidRDefault="007257E3" w:rsidP="007257E3">
      <w:pPr>
        <w:pStyle w:val="ListParagraph"/>
        <w:spacing w:after="120" w:line="360" w:lineRule="auto"/>
        <w:jc w:val="both"/>
        <w:rPr>
          <w:lang w:val="bg-BG" w:eastAsia="ro-RO"/>
        </w:rPr>
        <w:sectPr w:rsidR="007257E3" w:rsidRPr="007375EB" w:rsidSect="0072540F">
          <w:pgSz w:w="11906" w:h="16838" w:code="9"/>
          <w:pgMar w:top="1560" w:right="1416" w:bottom="1418" w:left="1191" w:header="839" w:footer="680" w:gutter="0"/>
          <w:cols w:space="708"/>
          <w:docGrid w:linePitch="360"/>
        </w:sectPr>
      </w:pPr>
    </w:p>
    <w:tbl>
      <w:tblPr>
        <w:tblStyle w:val="TableGrid"/>
        <w:tblpPr w:leftFromText="180" w:rightFromText="180" w:vertAnchor="text" w:horzAnchor="margin" w:tblpXSpec="center" w:tblpY="-1352"/>
        <w:tblW w:w="1541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1"/>
        <w:gridCol w:w="3189"/>
        <w:gridCol w:w="2125"/>
        <w:gridCol w:w="482"/>
        <w:gridCol w:w="916"/>
        <w:gridCol w:w="916"/>
        <w:gridCol w:w="810"/>
        <w:gridCol w:w="630"/>
        <w:gridCol w:w="720"/>
        <w:gridCol w:w="720"/>
        <w:gridCol w:w="540"/>
        <w:gridCol w:w="990"/>
        <w:gridCol w:w="499"/>
        <w:gridCol w:w="507"/>
        <w:gridCol w:w="524"/>
        <w:gridCol w:w="616"/>
        <w:gridCol w:w="612"/>
      </w:tblGrid>
      <w:tr w:rsidR="006C1B17" w:rsidRPr="007375EB" w14:paraId="6946DEC3" w14:textId="77777777" w:rsidTr="006C1B17">
        <w:trPr>
          <w:trHeight w:val="210"/>
          <w:tblHeader/>
        </w:trPr>
        <w:tc>
          <w:tcPr>
            <w:tcW w:w="621" w:type="dxa"/>
            <w:vMerge w:val="restart"/>
            <w:shd w:val="clear" w:color="auto" w:fill="00A2E8"/>
            <w:vAlign w:val="center"/>
            <w:hideMark/>
          </w:tcPr>
          <w:p w14:paraId="3344F2D7" w14:textId="77777777" w:rsidR="006C1B17" w:rsidRPr="007375EB" w:rsidRDefault="006C1B17" w:rsidP="006C1B17">
            <w:pPr>
              <w:rPr>
                <w:b/>
                <w:bCs/>
                <w:color w:val="FFFFFF" w:themeColor="background1"/>
                <w:lang w:val="bg-BG"/>
              </w:rPr>
            </w:pPr>
            <w:r w:rsidRPr="007375EB">
              <w:rPr>
                <w:b/>
                <w:bCs/>
                <w:color w:val="FFFFFF" w:themeColor="background1"/>
                <w:lang w:val="bg-BG"/>
              </w:rPr>
              <w:lastRenderedPageBreak/>
              <w:t>№</w:t>
            </w:r>
          </w:p>
        </w:tc>
        <w:tc>
          <w:tcPr>
            <w:tcW w:w="3189" w:type="dxa"/>
            <w:vMerge w:val="restart"/>
            <w:shd w:val="clear" w:color="auto" w:fill="00A2E8"/>
            <w:noWrap/>
            <w:hideMark/>
          </w:tcPr>
          <w:p w14:paraId="7724E3AA" w14:textId="77777777" w:rsidR="006C1B17" w:rsidRPr="007375EB" w:rsidRDefault="006C1B17" w:rsidP="006C1B17">
            <w:pPr>
              <w:rPr>
                <w:b/>
                <w:bCs/>
                <w:color w:val="FFFFFF" w:themeColor="background1"/>
                <w:lang w:val="bg-BG"/>
              </w:rPr>
            </w:pPr>
            <w:r w:rsidRPr="007375EB">
              <w:rPr>
                <w:b/>
                <w:bCs/>
                <w:color w:val="FFFFFF"/>
                <w:lang w:val="bg-BG"/>
              </w:rPr>
              <w:t xml:space="preserve">Име PP </w:t>
            </w:r>
          </w:p>
        </w:tc>
        <w:tc>
          <w:tcPr>
            <w:tcW w:w="2125" w:type="dxa"/>
            <w:vMerge w:val="restart"/>
            <w:shd w:val="clear" w:color="auto" w:fill="00A2E8"/>
            <w:noWrap/>
            <w:hideMark/>
          </w:tcPr>
          <w:p w14:paraId="5D3EEE7C" w14:textId="77777777" w:rsidR="006C1B17" w:rsidRPr="007375EB" w:rsidRDefault="006C1B17" w:rsidP="006C1B17">
            <w:pPr>
              <w:rPr>
                <w:b/>
                <w:bCs/>
                <w:color w:val="FFFFFF" w:themeColor="background1"/>
                <w:lang w:val="bg-BG"/>
              </w:rPr>
            </w:pPr>
            <w:r w:rsidRPr="007375EB">
              <w:rPr>
                <w:b/>
                <w:bCs/>
                <w:color w:val="FFFFFF"/>
                <w:lang w:val="bg-BG"/>
              </w:rPr>
              <w:t>Местоположение спрямо ANPIC (разстояние)</w:t>
            </w:r>
          </w:p>
        </w:tc>
        <w:tc>
          <w:tcPr>
            <w:tcW w:w="5734" w:type="dxa"/>
            <w:gridSpan w:val="8"/>
            <w:shd w:val="clear" w:color="auto" w:fill="00A2E8"/>
            <w:noWrap/>
            <w:vAlign w:val="center"/>
            <w:hideMark/>
          </w:tcPr>
          <w:p w14:paraId="52500375" w14:textId="77777777" w:rsidR="006C1B17" w:rsidRPr="007375EB" w:rsidRDefault="006C1B17" w:rsidP="006C1B17">
            <w:pPr>
              <w:rPr>
                <w:b/>
                <w:bCs/>
                <w:color w:val="FFFFFF" w:themeColor="background1"/>
                <w:lang w:val="bg-BG"/>
              </w:rPr>
            </w:pPr>
            <w:r w:rsidRPr="007375EB">
              <w:rPr>
                <w:b/>
                <w:bCs/>
                <w:color w:val="FFFFFF" w:themeColor="background1"/>
                <w:lang w:val="bg-BG"/>
              </w:rPr>
              <w:t>Създадени ефекти</w:t>
            </w:r>
          </w:p>
        </w:tc>
        <w:tc>
          <w:tcPr>
            <w:tcW w:w="990" w:type="dxa"/>
            <w:shd w:val="clear" w:color="auto" w:fill="00A2E8"/>
            <w:noWrap/>
            <w:vAlign w:val="center"/>
            <w:hideMark/>
          </w:tcPr>
          <w:p w14:paraId="62A1755F" w14:textId="77777777" w:rsidR="006C1B17" w:rsidRPr="007375EB" w:rsidRDefault="006C1B17" w:rsidP="006C1B17">
            <w:pPr>
              <w:rPr>
                <w:b/>
                <w:bCs/>
                <w:color w:val="FFFFFF" w:themeColor="background1"/>
                <w:lang w:val="bg-BG"/>
              </w:rPr>
            </w:pPr>
          </w:p>
        </w:tc>
        <w:tc>
          <w:tcPr>
            <w:tcW w:w="2758" w:type="dxa"/>
            <w:gridSpan w:val="5"/>
            <w:shd w:val="clear" w:color="auto" w:fill="00A2E8"/>
            <w:noWrap/>
            <w:vAlign w:val="center"/>
            <w:hideMark/>
          </w:tcPr>
          <w:p w14:paraId="67209D7E" w14:textId="77777777" w:rsidR="006C1B17" w:rsidRPr="007375EB" w:rsidRDefault="006C1B17" w:rsidP="006C1B17">
            <w:pPr>
              <w:rPr>
                <w:b/>
                <w:bCs/>
                <w:color w:val="FFFFFF" w:themeColor="background1"/>
                <w:lang w:val="bg-BG"/>
              </w:rPr>
            </w:pPr>
            <w:r w:rsidRPr="007375EB">
              <w:rPr>
                <w:b/>
                <w:bCs/>
                <w:color w:val="FFFFFF" w:themeColor="background1"/>
                <w:lang w:val="bg-BG"/>
              </w:rPr>
              <w:t>Въздействия</w:t>
            </w:r>
          </w:p>
        </w:tc>
      </w:tr>
      <w:tr w:rsidR="006C1B17" w:rsidRPr="007375EB" w14:paraId="216AB50A" w14:textId="77777777" w:rsidTr="006C1B17">
        <w:trPr>
          <w:trHeight w:val="3191"/>
          <w:tblHeader/>
        </w:trPr>
        <w:tc>
          <w:tcPr>
            <w:tcW w:w="621" w:type="dxa"/>
            <w:vMerge/>
            <w:shd w:val="clear" w:color="auto" w:fill="00A2E8"/>
            <w:vAlign w:val="center"/>
            <w:hideMark/>
          </w:tcPr>
          <w:p w14:paraId="5EDCBF92" w14:textId="77777777" w:rsidR="006C1B17" w:rsidRPr="007375EB" w:rsidRDefault="006C1B17" w:rsidP="006C1B17">
            <w:pPr>
              <w:rPr>
                <w:b/>
                <w:bCs/>
                <w:color w:val="FFFFFF" w:themeColor="background1"/>
                <w:lang w:val="bg-BG"/>
              </w:rPr>
            </w:pPr>
          </w:p>
        </w:tc>
        <w:tc>
          <w:tcPr>
            <w:tcW w:w="3189" w:type="dxa"/>
            <w:vMerge/>
            <w:shd w:val="clear" w:color="auto" w:fill="00A2E8"/>
            <w:vAlign w:val="center"/>
            <w:hideMark/>
          </w:tcPr>
          <w:p w14:paraId="55AE30FC" w14:textId="77777777" w:rsidR="006C1B17" w:rsidRPr="007375EB" w:rsidRDefault="006C1B17" w:rsidP="006C1B17">
            <w:pPr>
              <w:rPr>
                <w:b/>
                <w:bCs/>
                <w:color w:val="FFFFFF" w:themeColor="background1"/>
                <w:lang w:val="bg-BG"/>
              </w:rPr>
            </w:pPr>
          </w:p>
        </w:tc>
        <w:tc>
          <w:tcPr>
            <w:tcW w:w="2125" w:type="dxa"/>
            <w:vMerge/>
            <w:shd w:val="clear" w:color="auto" w:fill="00A2E8"/>
            <w:vAlign w:val="center"/>
            <w:hideMark/>
          </w:tcPr>
          <w:p w14:paraId="169A116F" w14:textId="77777777" w:rsidR="006C1B17" w:rsidRPr="007375EB" w:rsidRDefault="006C1B17" w:rsidP="006C1B17">
            <w:pPr>
              <w:rPr>
                <w:b/>
                <w:bCs/>
                <w:color w:val="FFFFFF" w:themeColor="background1"/>
                <w:lang w:val="bg-BG"/>
              </w:rPr>
            </w:pPr>
          </w:p>
        </w:tc>
        <w:tc>
          <w:tcPr>
            <w:tcW w:w="482" w:type="dxa"/>
            <w:shd w:val="clear" w:color="auto" w:fill="00A2E8"/>
            <w:noWrap/>
            <w:textDirection w:val="btLr"/>
            <w:vAlign w:val="center"/>
            <w:hideMark/>
          </w:tcPr>
          <w:p w14:paraId="2F9B99A8" w14:textId="77777777" w:rsidR="006C1B17" w:rsidRPr="007375EB" w:rsidRDefault="006C1B17" w:rsidP="006C1B17">
            <w:pPr>
              <w:rPr>
                <w:b/>
                <w:bCs/>
                <w:color w:val="FFFFFF" w:themeColor="background1"/>
                <w:lang w:val="bg-BG"/>
              </w:rPr>
            </w:pPr>
            <w:r w:rsidRPr="007375EB">
              <w:rPr>
                <w:color w:val="F8F8F8"/>
                <w:sz w:val="14"/>
                <w:szCs w:val="14"/>
                <w:lang w:val="bg-BG"/>
              </w:rPr>
              <w:t>Промяна в качеството на въздуха</w:t>
            </w:r>
          </w:p>
        </w:tc>
        <w:tc>
          <w:tcPr>
            <w:tcW w:w="916" w:type="dxa"/>
            <w:shd w:val="clear" w:color="auto" w:fill="00A2E8"/>
            <w:noWrap/>
            <w:hideMark/>
          </w:tcPr>
          <w:p w14:paraId="7F627CB2" w14:textId="77777777" w:rsidR="006C1B17" w:rsidRPr="007375EB" w:rsidRDefault="006C1B17" w:rsidP="006C1B17">
            <w:pPr>
              <w:rPr>
                <w:b/>
                <w:bCs/>
                <w:color w:val="FFFFFF" w:themeColor="background1"/>
                <w:lang w:val="bg-BG"/>
              </w:rPr>
            </w:pPr>
            <w:r w:rsidRPr="007375EB">
              <w:rPr>
                <w:color w:val="F8F8F8"/>
                <w:sz w:val="14"/>
                <w:szCs w:val="14"/>
                <w:lang w:val="bg-BG"/>
              </w:rPr>
              <w:t>Повишен шум и вибрации</w:t>
            </w:r>
          </w:p>
        </w:tc>
        <w:tc>
          <w:tcPr>
            <w:tcW w:w="916" w:type="dxa"/>
            <w:shd w:val="clear" w:color="auto" w:fill="00A2E8"/>
            <w:noWrap/>
            <w:hideMark/>
          </w:tcPr>
          <w:p w14:paraId="0056C17D" w14:textId="77777777" w:rsidR="006C1B17" w:rsidRPr="007375EB" w:rsidRDefault="006C1B17" w:rsidP="006C1B17">
            <w:pPr>
              <w:rPr>
                <w:b/>
                <w:bCs/>
                <w:color w:val="FFFFFF" w:themeColor="background1"/>
                <w:lang w:val="bg-BG"/>
              </w:rPr>
            </w:pPr>
            <w:r w:rsidRPr="007375EB">
              <w:rPr>
                <w:color w:val="F8F8F8"/>
                <w:sz w:val="14"/>
                <w:szCs w:val="14"/>
                <w:lang w:val="bg-BG"/>
              </w:rPr>
              <w:t>Повишен шум и вибрации</w:t>
            </w:r>
          </w:p>
        </w:tc>
        <w:tc>
          <w:tcPr>
            <w:tcW w:w="810" w:type="dxa"/>
            <w:shd w:val="clear" w:color="auto" w:fill="00A2E8"/>
            <w:noWrap/>
            <w:textDirection w:val="btLr"/>
            <w:vAlign w:val="center"/>
            <w:hideMark/>
          </w:tcPr>
          <w:p w14:paraId="1B497F9A" w14:textId="77777777" w:rsidR="006C1B17" w:rsidRPr="007375EB" w:rsidRDefault="006C1B17" w:rsidP="006C1B17">
            <w:pPr>
              <w:rPr>
                <w:b/>
                <w:bCs/>
                <w:color w:val="FFFFFF" w:themeColor="background1"/>
                <w:lang w:val="bg-BG"/>
              </w:rPr>
            </w:pPr>
            <w:r w:rsidRPr="007375EB">
              <w:rPr>
                <w:color w:val="F8F8F8"/>
                <w:sz w:val="14"/>
                <w:szCs w:val="14"/>
                <w:lang w:val="bg-BG"/>
              </w:rPr>
              <w:t>Повишена концентрация на замърсители в почвата/замърсяване</w:t>
            </w:r>
          </w:p>
        </w:tc>
        <w:tc>
          <w:tcPr>
            <w:tcW w:w="630" w:type="dxa"/>
            <w:shd w:val="clear" w:color="auto" w:fill="00A2E8"/>
            <w:noWrap/>
            <w:textDirection w:val="btLr"/>
            <w:vAlign w:val="center"/>
            <w:hideMark/>
          </w:tcPr>
          <w:p w14:paraId="6DB0EA58" w14:textId="77777777" w:rsidR="006C1B17" w:rsidRPr="007375EB" w:rsidRDefault="006C1B17" w:rsidP="006C1B17">
            <w:pPr>
              <w:rPr>
                <w:b/>
                <w:bCs/>
                <w:color w:val="FFFFFF" w:themeColor="background1"/>
                <w:lang w:val="bg-BG"/>
              </w:rPr>
            </w:pPr>
            <w:r w:rsidRPr="007375EB">
              <w:rPr>
                <w:color w:val="F8F8F8"/>
                <w:sz w:val="14"/>
                <w:szCs w:val="14"/>
                <w:lang w:val="bg-BG"/>
              </w:rPr>
              <w:t>Заемане на земя</w:t>
            </w:r>
          </w:p>
        </w:tc>
        <w:tc>
          <w:tcPr>
            <w:tcW w:w="720" w:type="dxa"/>
            <w:shd w:val="clear" w:color="auto" w:fill="00A2E8"/>
            <w:noWrap/>
            <w:textDirection w:val="btLr"/>
            <w:vAlign w:val="center"/>
            <w:hideMark/>
          </w:tcPr>
          <w:p w14:paraId="371B316C" w14:textId="77777777" w:rsidR="006C1B17" w:rsidRPr="007375EB" w:rsidRDefault="006C1B17" w:rsidP="006C1B17">
            <w:pPr>
              <w:rPr>
                <w:b/>
                <w:bCs/>
                <w:color w:val="FFFFFF" w:themeColor="background1"/>
                <w:lang w:val="bg-BG"/>
              </w:rPr>
            </w:pPr>
            <w:r w:rsidRPr="007375EB">
              <w:rPr>
                <w:color w:val="F8F8F8"/>
                <w:sz w:val="14"/>
                <w:szCs w:val="14"/>
                <w:lang w:val="bg-BG"/>
              </w:rPr>
              <w:t>Промени в растителността</w:t>
            </w:r>
          </w:p>
        </w:tc>
        <w:tc>
          <w:tcPr>
            <w:tcW w:w="720" w:type="dxa"/>
            <w:shd w:val="clear" w:color="auto" w:fill="00A2E8"/>
            <w:noWrap/>
            <w:textDirection w:val="btLr"/>
            <w:vAlign w:val="center"/>
            <w:hideMark/>
          </w:tcPr>
          <w:p w14:paraId="2943D507" w14:textId="77777777" w:rsidR="006C1B17" w:rsidRPr="007375EB" w:rsidRDefault="006C1B17" w:rsidP="006C1B17">
            <w:pPr>
              <w:rPr>
                <w:b/>
                <w:bCs/>
                <w:color w:val="FFFFFF" w:themeColor="background1"/>
                <w:lang w:val="bg-BG"/>
              </w:rPr>
            </w:pPr>
            <w:r w:rsidRPr="007375EB">
              <w:rPr>
                <w:color w:val="F8F8F8"/>
                <w:sz w:val="14"/>
                <w:szCs w:val="14"/>
                <w:lang w:val="bg-BG"/>
              </w:rPr>
              <w:t>Въвеждане/разпространение на инвазивни видове</w:t>
            </w:r>
          </w:p>
        </w:tc>
        <w:tc>
          <w:tcPr>
            <w:tcW w:w="540" w:type="dxa"/>
            <w:shd w:val="clear" w:color="auto" w:fill="00A2E8"/>
            <w:noWrap/>
            <w:textDirection w:val="btLr"/>
            <w:vAlign w:val="center"/>
            <w:hideMark/>
          </w:tcPr>
          <w:p w14:paraId="2A502A63" w14:textId="77777777" w:rsidR="006C1B17" w:rsidRPr="007375EB" w:rsidRDefault="006C1B17" w:rsidP="006C1B17">
            <w:pPr>
              <w:rPr>
                <w:b/>
                <w:bCs/>
                <w:color w:val="FFFFFF" w:themeColor="background1"/>
                <w:lang w:val="bg-BG"/>
              </w:rPr>
            </w:pPr>
            <w:r w:rsidRPr="007375EB">
              <w:rPr>
                <w:color w:val="F8F8F8"/>
                <w:sz w:val="14"/>
                <w:szCs w:val="14"/>
                <w:lang w:val="bg-BG"/>
              </w:rPr>
              <w:t>Смъртност сред дивите животни</w:t>
            </w:r>
          </w:p>
        </w:tc>
        <w:tc>
          <w:tcPr>
            <w:tcW w:w="990" w:type="dxa"/>
            <w:shd w:val="clear" w:color="auto" w:fill="00A2E8"/>
            <w:textDirection w:val="btLr"/>
            <w:vAlign w:val="center"/>
            <w:hideMark/>
          </w:tcPr>
          <w:p w14:paraId="6076DE52" w14:textId="77777777" w:rsidR="006C1B17" w:rsidRPr="007375EB" w:rsidRDefault="006C1B17" w:rsidP="006C1B17">
            <w:pPr>
              <w:spacing w:line="240" w:lineRule="auto"/>
              <w:jc w:val="center"/>
              <w:rPr>
                <w:color w:val="F8F8F8"/>
                <w:sz w:val="14"/>
                <w:szCs w:val="14"/>
                <w:lang w:val="bg-BG"/>
              </w:rPr>
            </w:pPr>
            <w:r w:rsidRPr="007375EB">
              <w:rPr>
                <w:color w:val="F8F8F8"/>
                <w:sz w:val="14"/>
                <w:szCs w:val="14"/>
                <w:lang w:val="bg-BG"/>
              </w:rPr>
              <w:t>Възникване на поведенчески бариери</w:t>
            </w:r>
          </w:p>
          <w:p w14:paraId="4B3BDF22" w14:textId="77777777" w:rsidR="006C1B17" w:rsidRPr="007375EB" w:rsidRDefault="006C1B17" w:rsidP="006C1B17">
            <w:pPr>
              <w:rPr>
                <w:b/>
                <w:bCs/>
                <w:color w:val="FFFFFF" w:themeColor="background1"/>
                <w:lang w:val="bg-BG"/>
              </w:rPr>
            </w:pPr>
            <w:r w:rsidRPr="007375EB">
              <w:rPr>
                <w:color w:val="F8F8F8"/>
                <w:sz w:val="14"/>
                <w:szCs w:val="14"/>
                <w:lang w:val="bg-BG"/>
              </w:rPr>
              <w:t>за дивите животни</w:t>
            </w:r>
          </w:p>
        </w:tc>
        <w:tc>
          <w:tcPr>
            <w:tcW w:w="499" w:type="dxa"/>
            <w:shd w:val="clear" w:color="auto" w:fill="00A2E8"/>
            <w:noWrap/>
            <w:vAlign w:val="center"/>
            <w:hideMark/>
          </w:tcPr>
          <w:p w14:paraId="52EBF20B" w14:textId="77777777" w:rsidR="006C1B17" w:rsidRPr="007375EB" w:rsidRDefault="006C1B17" w:rsidP="006C1B17">
            <w:pPr>
              <w:rPr>
                <w:b/>
                <w:bCs/>
                <w:color w:val="FFFFFF" w:themeColor="background1"/>
                <w:lang w:val="bg-BG"/>
              </w:rPr>
            </w:pPr>
            <w:r w:rsidRPr="007375EB">
              <w:rPr>
                <w:b/>
                <w:bCs/>
                <w:color w:val="FFFFFF" w:themeColor="background1"/>
                <w:lang w:val="bg-BG"/>
              </w:rPr>
              <w:t>PH</w:t>
            </w:r>
          </w:p>
        </w:tc>
        <w:tc>
          <w:tcPr>
            <w:tcW w:w="507" w:type="dxa"/>
            <w:shd w:val="clear" w:color="auto" w:fill="00A2E8"/>
            <w:noWrap/>
            <w:vAlign w:val="center"/>
            <w:hideMark/>
          </w:tcPr>
          <w:p w14:paraId="40B16FE8" w14:textId="77777777" w:rsidR="006C1B17" w:rsidRPr="007375EB" w:rsidRDefault="006C1B17" w:rsidP="006C1B17">
            <w:pPr>
              <w:rPr>
                <w:b/>
                <w:bCs/>
                <w:color w:val="FFFFFF" w:themeColor="background1"/>
                <w:lang w:val="bg-BG"/>
              </w:rPr>
            </w:pPr>
            <w:r w:rsidRPr="007375EB">
              <w:rPr>
                <w:b/>
                <w:bCs/>
                <w:color w:val="FFFFFF" w:themeColor="background1"/>
                <w:lang w:val="bg-BG"/>
              </w:rPr>
              <w:t>AH</w:t>
            </w:r>
          </w:p>
        </w:tc>
        <w:tc>
          <w:tcPr>
            <w:tcW w:w="524" w:type="dxa"/>
            <w:shd w:val="clear" w:color="auto" w:fill="00A2E8"/>
            <w:noWrap/>
            <w:vAlign w:val="center"/>
            <w:hideMark/>
          </w:tcPr>
          <w:p w14:paraId="721EDDF0" w14:textId="77777777" w:rsidR="006C1B17" w:rsidRPr="007375EB" w:rsidRDefault="006C1B17" w:rsidP="006C1B17">
            <w:pPr>
              <w:rPr>
                <w:b/>
                <w:bCs/>
                <w:color w:val="FFFFFF" w:themeColor="background1"/>
                <w:lang w:val="bg-BG"/>
              </w:rPr>
            </w:pPr>
            <w:r w:rsidRPr="007375EB">
              <w:rPr>
                <w:b/>
                <w:bCs/>
                <w:color w:val="FFFFFF" w:themeColor="background1"/>
                <w:lang w:val="bg-BG"/>
              </w:rPr>
              <w:t>FH</w:t>
            </w:r>
          </w:p>
        </w:tc>
        <w:tc>
          <w:tcPr>
            <w:tcW w:w="616" w:type="dxa"/>
            <w:shd w:val="clear" w:color="auto" w:fill="00A2E8"/>
            <w:noWrap/>
            <w:vAlign w:val="center"/>
            <w:hideMark/>
          </w:tcPr>
          <w:p w14:paraId="2535250B" w14:textId="77777777" w:rsidR="006C1B17" w:rsidRPr="007375EB" w:rsidRDefault="006C1B17" w:rsidP="006C1B17">
            <w:pPr>
              <w:rPr>
                <w:b/>
                <w:bCs/>
                <w:color w:val="FFFFFF" w:themeColor="background1"/>
                <w:lang w:val="bg-BG"/>
              </w:rPr>
            </w:pPr>
            <w:r w:rsidRPr="007375EB">
              <w:rPr>
                <w:b/>
                <w:bCs/>
                <w:color w:val="FFFFFF" w:themeColor="background1"/>
                <w:lang w:val="bg-BG"/>
              </w:rPr>
              <w:t>PAS</w:t>
            </w:r>
          </w:p>
        </w:tc>
        <w:tc>
          <w:tcPr>
            <w:tcW w:w="612" w:type="dxa"/>
            <w:shd w:val="clear" w:color="auto" w:fill="00A2E8"/>
            <w:noWrap/>
            <w:vAlign w:val="center"/>
            <w:hideMark/>
          </w:tcPr>
          <w:p w14:paraId="02DADD5C" w14:textId="77777777" w:rsidR="006C1B17" w:rsidRPr="007375EB" w:rsidRDefault="006C1B17" w:rsidP="006C1B17">
            <w:pPr>
              <w:rPr>
                <w:b/>
                <w:bCs/>
                <w:color w:val="FFFFFF" w:themeColor="background1"/>
                <w:lang w:val="bg-BG"/>
              </w:rPr>
            </w:pPr>
            <w:r w:rsidRPr="007375EB">
              <w:rPr>
                <w:b/>
                <w:bCs/>
                <w:color w:val="FFFFFF" w:themeColor="background1"/>
                <w:lang w:val="bg-BG"/>
              </w:rPr>
              <w:t>REP</w:t>
            </w:r>
          </w:p>
        </w:tc>
      </w:tr>
      <w:tr w:rsidR="006C1B17" w:rsidRPr="007375EB" w14:paraId="1F7BC211" w14:textId="77777777" w:rsidTr="006C1B17">
        <w:trPr>
          <w:trHeight w:val="210"/>
        </w:trPr>
        <w:tc>
          <w:tcPr>
            <w:tcW w:w="15417" w:type="dxa"/>
            <w:gridSpan w:val="17"/>
            <w:shd w:val="clear" w:color="auto" w:fill="F2F2F2" w:themeFill="background1" w:themeFillShade="F2"/>
            <w:noWrap/>
            <w:hideMark/>
          </w:tcPr>
          <w:p w14:paraId="15B01755" w14:textId="77777777" w:rsidR="006C1B17" w:rsidRPr="007375EB" w:rsidRDefault="006C1B17" w:rsidP="006C1B17">
            <w:pPr>
              <w:rPr>
                <w:b/>
                <w:bCs/>
                <w:lang w:val="bg-BG"/>
              </w:rPr>
            </w:pPr>
            <w:r w:rsidRPr="007375EB">
              <w:rPr>
                <w:b/>
                <w:bCs/>
                <w:lang w:val="bg-BG"/>
              </w:rPr>
              <w:t xml:space="preserve">ROSCI0071/ROSAC0071 Думбръвени - долината Урлуя - езерото Ведероаса </w:t>
            </w:r>
          </w:p>
        </w:tc>
      </w:tr>
      <w:tr w:rsidR="006C1B17" w:rsidRPr="007375EB" w14:paraId="525C14EE" w14:textId="77777777" w:rsidTr="006C1B17">
        <w:trPr>
          <w:trHeight w:val="1650"/>
        </w:trPr>
        <w:tc>
          <w:tcPr>
            <w:tcW w:w="621" w:type="dxa"/>
            <w:noWrap/>
          </w:tcPr>
          <w:p w14:paraId="69D0C3C4" w14:textId="77777777" w:rsidR="006C1B17" w:rsidRPr="007375EB" w:rsidRDefault="006C1B17" w:rsidP="006C1B17">
            <w:pPr>
              <w:rPr>
                <w:lang w:val="bg-BG"/>
              </w:rPr>
            </w:pPr>
            <w:r w:rsidRPr="007375EB">
              <w:rPr>
                <w:lang w:val="bg-BG"/>
              </w:rPr>
              <w:t>1</w:t>
            </w:r>
          </w:p>
        </w:tc>
        <w:tc>
          <w:tcPr>
            <w:tcW w:w="3189" w:type="dxa"/>
            <w:hideMark/>
          </w:tcPr>
          <w:p w14:paraId="08F31BE2" w14:textId="60F98FFE" w:rsidR="006C1B17" w:rsidRPr="007375EB" w:rsidRDefault="006C1B17" w:rsidP="006C1B17">
            <w:pPr>
              <w:jc w:val="both"/>
              <w:rPr>
                <w:lang w:val="bg-BG"/>
              </w:rPr>
            </w:pPr>
            <w:r w:rsidRPr="007375EB">
              <w:rPr>
                <w:lang w:val="bg-BG"/>
              </w:rPr>
              <w:t>Парк за вятърна енергия 14 CE-92,4 МВт,  трансформаторна станция, електрически свързващи мрежи, изграждане и модернизиране на комуникации и пътища за достъп - извън село Фънтъна Маре, общ. Индепенденца, окръг Констанца (предложен)</w:t>
            </w:r>
          </w:p>
        </w:tc>
        <w:tc>
          <w:tcPr>
            <w:tcW w:w="2125" w:type="dxa"/>
            <w:noWrap/>
            <w:vAlign w:val="center"/>
            <w:hideMark/>
          </w:tcPr>
          <w:p w14:paraId="7181733B" w14:textId="77777777" w:rsidR="006C1B17" w:rsidRPr="007375EB" w:rsidRDefault="006C1B17" w:rsidP="006C1B17">
            <w:pPr>
              <w:rPr>
                <w:lang w:val="bg-BG"/>
              </w:rPr>
            </w:pPr>
            <w:r w:rsidRPr="007375EB">
              <w:rPr>
                <w:lang w:val="bg-BG"/>
              </w:rPr>
              <w:t>0,25 км</w:t>
            </w:r>
          </w:p>
        </w:tc>
        <w:tc>
          <w:tcPr>
            <w:tcW w:w="482" w:type="dxa"/>
            <w:noWrap/>
            <w:vAlign w:val="center"/>
            <w:hideMark/>
          </w:tcPr>
          <w:p w14:paraId="0E2E9F3D" w14:textId="77777777" w:rsidR="006C1B17" w:rsidRPr="007375EB" w:rsidRDefault="006C1B17" w:rsidP="006C1B17">
            <w:pPr>
              <w:rPr>
                <w:lang w:val="bg-BG"/>
              </w:rPr>
            </w:pPr>
            <w:r w:rsidRPr="007375EB">
              <w:rPr>
                <w:lang w:val="bg-BG"/>
              </w:rPr>
              <w:t>-</w:t>
            </w:r>
          </w:p>
        </w:tc>
        <w:tc>
          <w:tcPr>
            <w:tcW w:w="916" w:type="dxa"/>
            <w:noWrap/>
            <w:vAlign w:val="center"/>
            <w:hideMark/>
          </w:tcPr>
          <w:p w14:paraId="2D9FA3EE" w14:textId="77777777" w:rsidR="006C1B17" w:rsidRPr="007375EB" w:rsidRDefault="006C1B17" w:rsidP="006C1B17">
            <w:pPr>
              <w:rPr>
                <w:lang w:val="bg-BG"/>
              </w:rPr>
            </w:pPr>
            <w:r w:rsidRPr="007375EB">
              <w:rPr>
                <w:lang w:val="bg-BG"/>
              </w:rPr>
              <w:t>-</w:t>
            </w:r>
          </w:p>
        </w:tc>
        <w:tc>
          <w:tcPr>
            <w:tcW w:w="916" w:type="dxa"/>
            <w:noWrap/>
            <w:vAlign w:val="center"/>
            <w:hideMark/>
          </w:tcPr>
          <w:p w14:paraId="6060A0D9" w14:textId="77777777" w:rsidR="006C1B17" w:rsidRPr="007375EB" w:rsidRDefault="006C1B17" w:rsidP="006C1B17">
            <w:pPr>
              <w:rPr>
                <w:lang w:val="bg-BG"/>
              </w:rPr>
            </w:pPr>
            <w:r w:rsidRPr="007375EB">
              <w:rPr>
                <w:lang w:val="bg-BG"/>
              </w:rPr>
              <w:t>-</w:t>
            </w:r>
          </w:p>
        </w:tc>
        <w:tc>
          <w:tcPr>
            <w:tcW w:w="810" w:type="dxa"/>
            <w:noWrap/>
            <w:vAlign w:val="center"/>
            <w:hideMark/>
          </w:tcPr>
          <w:p w14:paraId="7607984B" w14:textId="77777777" w:rsidR="006C1B17" w:rsidRPr="007375EB" w:rsidRDefault="006C1B17" w:rsidP="006C1B17">
            <w:pPr>
              <w:rPr>
                <w:lang w:val="bg-BG"/>
              </w:rPr>
            </w:pPr>
            <w:r w:rsidRPr="007375EB">
              <w:rPr>
                <w:lang w:val="bg-BG"/>
              </w:rPr>
              <w:t>-</w:t>
            </w:r>
          </w:p>
        </w:tc>
        <w:tc>
          <w:tcPr>
            <w:tcW w:w="630" w:type="dxa"/>
            <w:noWrap/>
            <w:vAlign w:val="center"/>
            <w:hideMark/>
          </w:tcPr>
          <w:p w14:paraId="1C6A71EE" w14:textId="77777777" w:rsidR="006C1B17" w:rsidRPr="007375EB" w:rsidRDefault="006C1B17" w:rsidP="006C1B17">
            <w:pPr>
              <w:rPr>
                <w:lang w:val="bg-BG"/>
              </w:rPr>
            </w:pPr>
            <w:r w:rsidRPr="007375EB">
              <w:rPr>
                <w:lang w:val="bg-BG"/>
              </w:rPr>
              <w:t>-</w:t>
            </w:r>
          </w:p>
        </w:tc>
        <w:tc>
          <w:tcPr>
            <w:tcW w:w="720" w:type="dxa"/>
            <w:noWrap/>
            <w:vAlign w:val="center"/>
            <w:hideMark/>
          </w:tcPr>
          <w:p w14:paraId="3AA17487" w14:textId="77777777" w:rsidR="006C1B17" w:rsidRPr="007375EB" w:rsidRDefault="006C1B17" w:rsidP="006C1B17">
            <w:pPr>
              <w:rPr>
                <w:lang w:val="bg-BG"/>
              </w:rPr>
            </w:pPr>
            <w:r w:rsidRPr="007375EB">
              <w:rPr>
                <w:lang w:val="bg-BG"/>
              </w:rPr>
              <w:t>-</w:t>
            </w:r>
          </w:p>
        </w:tc>
        <w:tc>
          <w:tcPr>
            <w:tcW w:w="720" w:type="dxa"/>
            <w:noWrap/>
            <w:vAlign w:val="center"/>
            <w:hideMark/>
          </w:tcPr>
          <w:p w14:paraId="5F003A4E" w14:textId="77777777" w:rsidR="006C1B17" w:rsidRPr="007375EB" w:rsidRDefault="006C1B17" w:rsidP="006C1B17">
            <w:pPr>
              <w:rPr>
                <w:lang w:val="bg-BG"/>
              </w:rPr>
            </w:pPr>
            <w:r w:rsidRPr="007375EB">
              <w:rPr>
                <w:lang w:val="bg-BG"/>
              </w:rPr>
              <w:t>-</w:t>
            </w:r>
          </w:p>
        </w:tc>
        <w:tc>
          <w:tcPr>
            <w:tcW w:w="540" w:type="dxa"/>
            <w:noWrap/>
            <w:vAlign w:val="center"/>
            <w:hideMark/>
          </w:tcPr>
          <w:p w14:paraId="26C9A551" w14:textId="77777777" w:rsidR="006C1B17" w:rsidRPr="007375EB" w:rsidRDefault="006C1B17" w:rsidP="006C1B17">
            <w:pPr>
              <w:rPr>
                <w:lang w:val="bg-BG"/>
              </w:rPr>
            </w:pPr>
            <w:r w:rsidRPr="007375EB">
              <w:rPr>
                <w:lang w:val="bg-BG"/>
              </w:rPr>
              <w:t>X</w:t>
            </w:r>
          </w:p>
        </w:tc>
        <w:tc>
          <w:tcPr>
            <w:tcW w:w="990" w:type="dxa"/>
            <w:noWrap/>
            <w:vAlign w:val="center"/>
            <w:hideMark/>
          </w:tcPr>
          <w:p w14:paraId="20D7EC3E" w14:textId="77777777" w:rsidR="006C1B17" w:rsidRPr="007375EB" w:rsidRDefault="006C1B17" w:rsidP="006C1B17">
            <w:pPr>
              <w:rPr>
                <w:lang w:val="bg-BG"/>
              </w:rPr>
            </w:pPr>
            <w:r w:rsidRPr="007375EB">
              <w:rPr>
                <w:lang w:val="bg-BG"/>
              </w:rPr>
              <w:t>X</w:t>
            </w:r>
          </w:p>
        </w:tc>
        <w:tc>
          <w:tcPr>
            <w:tcW w:w="499" w:type="dxa"/>
            <w:noWrap/>
            <w:vAlign w:val="center"/>
            <w:hideMark/>
          </w:tcPr>
          <w:p w14:paraId="168EDBDF" w14:textId="77777777" w:rsidR="006C1B17" w:rsidRPr="007375EB" w:rsidRDefault="006C1B17" w:rsidP="006C1B17">
            <w:pPr>
              <w:rPr>
                <w:lang w:val="bg-BG"/>
              </w:rPr>
            </w:pPr>
            <w:r w:rsidRPr="007375EB">
              <w:rPr>
                <w:lang w:val="bg-BG"/>
              </w:rPr>
              <w:t>-</w:t>
            </w:r>
          </w:p>
        </w:tc>
        <w:tc>
          <w:tcPr>
            <w:tcW w:w="507" w:type="dxa"/>
            <w:noWrap/>
            <w:vAlign w:val="center"/>
            <w:hideMark/>
          </w:tcPr>
          <w:p w14:paraId="0195A938" w14:textId="77777777" w:rsidR="006C1B17" w:rsidRPr="007375EB" w:rsidRDefault="006C1B17" w:rsidP="006C1B17">
            <w:pPr>
              <w:rPr>
                <w:lang w:val="bg-BG"/>
              </w:rPr>
            </w:pPr>
            <w:r w:rsidRPr="007375EB">
              <w:rPr>
                <w:lang w:val="bg-BG"/>
              </w:rPr>
              <w:t>X</w:t>
            </w:r>
          </w:p>
        </w:tc>
        <w:tc>
          <w:tcPr>
            <w:tcW w:w="524" w:type="dxa"/>
            <w:noWrap/>
            <w:vAlign w:val="center"/>
            <w:hideMark/>
          </w:tcPr>
          <w:p w14:paraId="65898D74" w14:textId="77777777" w:rsidR="006C1B17" w:rsidRPr="007375EB" w:rsidRDefault="006C1B17" w:rsidP="006C1B17">
            <w:pPr>
              <w:rPr>
                <w:lang w:val="bg-BG"/>
              </w:rPr>
            </w:pPr>
            <w:r w:rsidRPr="007375EB">
              <w:rPr>
                <w:lang w:val="bg-BG"/>
              </w:rPr>
              <w:t>X</w:t>
            </w:r>
          </w:p>
        </w:tc>
        <w:tc>
          <w:tcPr>
            <w:tcW w:w="616" w:type="dxa"/>
            <w:noWrap/>
            <w:vAlign w:val="center"/>
            <w:hideMark/>
          </w:tcPr>
          <w:p w14:paraId="69047940" w14:textId="77777777" w:rsidR="006C1B17" w:rsidRPr="007375EB" w:rsidRDefault="006C1B17" w:rsidP="006C1B17">
            <w:pPr>
              <w:rPr>
                <w:lang w:val="bg-BG"/>
              </w:rPr>
            </w:pPr>
            <w:r w:rsidRPr="007375EB">
              <w:rPr>
                <w:lang w:val="bg-BG"/>
              </w:rPr>
              <w:t>X</w:t>
            </w:r>
          </w:p>
        </w:tc>
        <w:tc>
          <w:tcPr>
            <w:tcW w:w="612" w:type="dxa"/>
            <w:noWrap/>
            <w:vAlign w:val="center"/>
            <w:hideMark/>
          </w:tcPr>
          <w:p w14:paraId="6BAC76F2" w14:textId="77777777" w:rsidR="006C1B17" w:rsidRPr="007375EB" w:rsidRDefault="006C1B17" w:rsidP="006C1B17">
            <w:pPr>
              <w:rPr>
                <w:lang w:val="bg-BG"/>
              </w:rPr>
            </w:pPr>
            <w:r w:rsidRPr="007375EB">
              <w:rPr>
                <w:lang w:val="bg-BG"/>
              </w:rPr>
              <w:t>X</w:t>
            </w:r>
          </w:p>
        </w:tc>
      </w:tr>
      <w:tr w:rsidR="006C1B17" w:rsidRPr="007375EB" w14:paraId="47CB6E1E" w14:textId="77777777" w:rsidTr="006C1B17">
        <w:trPr>
          <w:trHeight w:val="1545"/>
        </w:trPr>
        <w:tc>
          <w:tcPr>
            <w:tcW w:w="621" w:type="dxa"/>
            <w:noWrap/>
          </w:tcPr>
          <w:p w14:paraId="319BC168" w14:textId="77777777" w:rsidR="006C1B17" w:rsidRPr="007375EB" w:rsidRDefault="006C1B17" w:rsidP="006C1B17">
            <w:pPr>
              <w:rPr>
                <w:lang w:val="bg-BG"/>
              </w:rPr>
            </w:pPr>
            <w:r w:rsidRPr="007375EB">
              <w:rPr>
                <w:lang w:val="bg-BG"/>
              </w:rPr>
              <w:t>2</w:t>
            </w:r>
          </w:p>
        </w:tc>
        <w:tc>
          <w:tcPr>
            <w:tcW w:w="3189" w:type="dxa"/>
            <w:hideMark/>
          </w:tcPr>
          <w:p w14:paraId="3F578F8B" w14:textId="78E87FEF" w:rsidR="006C1B17" w:rsidRPr="007375EB" w:rsidRDefault="006C1B17" w:rsidP="006C1B17">
            <w:pPr>
              <w:jc w:val="both"/>
              <w:rPr>
                <w:lang w:val="bg-BG"/>
              </w:rPr>
            </w:pPr>
            <w:r w:rsidRPr="007375EB">
              <w:rPr>
                <w:lang w:val="bg-BG"/>
              </w:rPr>
              <w:t>Парк за вятърна енергия 17 CE-112,2 МВт, трансформаторна станция, електрически свързващи мрежи, изграждане и модернизация на комуникации и пътища за достъп -  извън общината Индепенденца и общината Черкезу окръг Констанца (предложен)</w:t>
            </w:r>
          </w:p>
        </w:tc>
        <w:tc>
          <w:tcPr>
            <w:tcW w:w="2125" w:type="dxa"/>
            <w:noWrap/>
            <w:vAlign w:val="center"/>
            <w:hideMark/>
          </w:tcPr>
          <w:p w14:paraId="1D2A9C64" w14:textId="77777777" w:rsidR="006C1B17" w:rsidRPr="007375EB" w:rsidRDefault="006C1B17" w:rsidP="006C1B17">
            <w:pPr>
              <w:rPr>
                <w:lang w:val="bg-BG"/>
              </w:rPr>
            </w:pPr>
            <w:r w:rsidRPr="007375EB">
              <w:rPr>
                <w:lang w:val="bg-BG"/>
              </w:rPr>
              <w:t>0,095 км</w:t>
            </w:r>
          </w:p>
        </w:tc>
        <w:tc>
          <w:tcPr>
            <w:tcW w:w="482" w:type="dxa"/>
            <w:noWrap/>
            <w:vAlign w:val="center"/>
            <w:hideMark/>
          </w:tcPr>
          <w:p w14:paraId="06BE7A74" w14:textId="77777777" w:rsidR="006C1B17" w:rsidRPr="007375EB" w:rsidRDefault="006C1B17" w:rsidP="006C1B17">
            <w:pPr>
              <w:rPr>
                <w:lang w:val="bg-BG"/>
              </w:rPr>
            </w:pPr>
            <w:r w:rsidRPr="007375EB">
              <w:rPr>
                <w:lang w:val="bg-BG"/>
              </w:rPr>
              <w:t>X</w:t>
            </w:r>
          </w:p>
        </w:tc>
        <w:tc>
          <w:tcPr>
            <w:tcW w:w="916" w:type="dxa"/>
            <w:noWrap/>
            <w:vAlign w:val="center"/>
            <w:hideMark/>
          </w:tcPr>
          <w:p w14:paraId="546C6A9D" w14:textId="77777777" w:rsidR="006C1B17" w:rsidRPr="007375EB" w:rsidRDefault="006C1B17" w:rsidP="006C1B17">
            <w:pPr>
              <w:rPr>
                <w:lang w:val="bg-BG"/>
              </w:rPr>
            </w:pPr>
            <w:r w:rsidRPr="007375EB">
              <w:rPr>
                <w:lang w:val="bg-BG"/>
              </w:rPr>
              <w:t>X</w:t>
            </w:r>
          </w:p>
        </w:tc>
        <w:tc>
          <w:tcPr>
            <w:tcW w:w="916" w:type="dxa"/>
            <w:noWrap/>
            <w:vAlign w:val="center"/>
            <w:hideMark/>
          </w:tcPr>
          <w:p w14:paraId="5E42E4E5" w14:textId="77777777" w:rsidR="006C1B17" w:rsidRPr="007375EB" w:rsidRDefault="006C1B17" w:rsidP="006C1B17">
            <w:pPr>
              <w:rPr>
                <w:lang w:val="bg-BG"/>
              </w:rPr>
            </w:pPr>
            <w:r w:rsidRPr="007375EB">
              <w:rPr>
                <w:lang w:val="bg-BG"/>
              </w:rPr>
              <w:t>-</w:t>
            </w:r>
          </w:p>
        </w:tc>
        <w:tc>
          <w:tcPr>
            <w:tcW w:w="810" w:type="dxa"/>
            <w:noWrap/>
            <w:vAlign w:val="center"/>
            <w:hideMark/>
          </w:tcPr>
          <w:p w14:paraId="4754198E" w14:textId="77777777" w:rsidR="006C1B17" w:rsidRPr="007375EB" w:rsidRDefault="006C1B17" w:rsidP="006C1B17">
            <w:pPr>
              <w:rPr>
                <w:lang w:val="bg-BG"/>
              </w:rPr>
            </w:pPr>
            <w:r w:rsidRPr="007375EB">
              <w:rPr>
                <w:lang w:val="bg-BG"/>
              </w:rPr>
              <w:t>-</w:t>
            </w:r>
          </w:p>
        </w:tc>
        <w:tc>
          <w:tcPr>
            <w:tcW w:w="630" w:type="dxa"/>
            <w:noWrap/>
            <w:vAlign w:val="center"/>
            <w:hideMark/>
          </w:tcPr>
          <w:p w14:paraId="006539CD" w14:textId="77777777" w:rsidR="006C1B17" w:rsidRPr="007375EB" w:rsidRDefault="006C1B17" w:rsidP="006C1B17">
            <w:pPr>
              <w:rPr>
                <w:lang w:val="bg-BG"/>
              </w:rPr>
            </w:pPr>
            <w:r w:rsidRPr="007375EB">
              <w:rPr>
                <w:lang w:val="bg-BG"/>
              </w:rPr>
              <w:t>-</w:t>
            </w:r>
          </w:p>
        </w:tc>
        <w:tc>
          <w:tcPr>
            <w:tcW w:w="720" w:type="dxa"/>
            <w:noWrap/>
            <w:vAlign w:val="center"/>
            <w:hideMark/>
          </w:tcPr>
          <w:p w14:paraId="46671F73" w14:textId="77777777" w:rsidR="006C1B17" w:rsidRPr="007375EB" w:rsidRDefault="006C1B17" w:rsidP="006C1B17">
            <w:pPr>
              <w:rPr>
                <w:lang w:val="bg-BG"/>
              </w:rPr>
            </w:pPr>
            <w:r w:rsidRPr="007375EB">
              <w:rPr>
                <w:lang w:val="bg-BG"/>
              </w:rPr>
              <w:t>-</w:t>
            </w:r>
          </w:p>
        </w:tc>
        <w:tc>
          <w:tcPr>
            <w:tcW w:w="720" w:type="dxa"/>
            <w:noWrap/>
            <w:vAlign w:val="center"/>
            <w:hideMark/>
          </w:tcPr>
          <w:p w14:paraId="7D2E5E89" w14:textId="77777777" w:rsidR="006C1B17" w:rsidRPr="007375EB" w:rsidRDefault="006C1B17" w:rsidP="006C1B17">
            <w:pPr>
              <w:rPr>
                <w:lang w:val="bg-BG"/>
              </w:rPr>
            </w:pPr>
            <w:r w:rsidRPr="007375EB">
              <w:rPr>
                <w:lang w:val="bg-BG"/>
              </w:rPr>
              <w:t>X</w:t>
            </w:r>
          </w:p>
        </w:tc>
        <w:tc>
          <w:tcPr>
            <w:tcW w:w="540" w:type="dxa"/>
            <w:noWrap/>
            <w:vAlign w:val="center"/>
            <w:hideMark/>
          </w:tcPr>
          <w:p w14:paraId="76ED9B3D" w14:textId="77777777" w:rsidR="006C1B17" w:rsidRPr="007375EB" w:rsidRDefault="006C1B17" w:rsidP="006C1B17">
            <w:pPr>
              <w:rPr>
                <w:lang w:val="bg-BG"/>
              </w:rPr>
            </w:pPr>
            <w:r w:rsidRPr="007375EB">
              <w:rPr>
                <w:lang w:val="bg-BG"/>
              </w:rPr>
              <w:t>X</w:t>
            </w:r>
          </w:p>
        </w:tc>
        <w:tc>
          <w:tcPr>
            <w:tcW w:w="990" w:type="dxa"/>
            <w:noWrap/>
            <w:vAlign w:val="center"/>
            <w:hideMark/>
          </w:tcPr>
          <w:p w14:paraId="14695B8A" w14:textId="77777777" w:rsidR="006C1B17" w:rsidRPr="007375EB" w:rsidRDefault="006C1B17" w:rsidP="006C1B17">
            <w:pPr>
              <w:rPr>
                <w:lang w:val="bg-BG"/>
              </w:rPr>
            </w:pPr>
            <w:r w:rsidRPr="007375EB">
              <w:rPr>
                <w:lang w:val="bg-BG"/>
              </w:rPr>
              <w:t>X</w:t>
            </w:r>
          </w:p>
        </w:tc>
        <w:tc>
          <w:tcPr>
            <w:tcW w:w="499" w:type="dxa"/>
            <w:noWrap/>
            <w:vAlign w:val="center"/>
            <w:hideMark/>
          </w:tcPr>
          <w:p w14:paraId="28E971A9" w14:textId="77777777" w:rsidR="006C1B17" w:rsidRPr="007375EB" w:rsidRDefault="006C1B17" w:rsidP="006C1B17">
            <w:pPr>
              <w:rPr>
                <w:lang w:val="bg-BG"/>
              </w:rPr>
            </w:pPr>
            <w:r w:rsidRPr="007375EB">
              <w:rPr>
                <w:lang w:val="bg-BG"/>
              </w:rPr>
              <w:t>-</w:t>
            </w:r>
          </w:p>
        </w:tc>
        <w:tc>
          <w:tcPr>
            <w:tcW w:w="507" w:type="dxa"/>
            <w:noWrap/>
            <w:vAlign w:val="center"/>
            <w:hideMark/>
          </w:tcPr>
          <w:p w14:paraId="1EBA2089" w14:textId="77777777" w:rsidR="006C1B17" w:rsidRPr="007375EB" w:rsidRDefault="006C1B17" w:rsidP="006C1B17">
            <w:pPr>
              <w:rPr>
                <w:lang w:val="bg-BG"/>
              </w:rPr>
            </w:pPr>
            <w:r w:rsidRPr="007375EB">
              <w:rPr>
                <w:lang w:val="bg-BG"/>
              </w:rPr>
              <w:t>X</w:t>
            </w:r>
          </w:p>
        </w:tc>
        <w:tc>
          <w:tcPr>
            <w:tcW w:w="524" w:type="dxa"/>
            <w:noWrap/>
            <w:vAlign w:val="center"/>
            <w:hideMark/>
          </w:tcPr>
          <w:p w14:paraId="657EEDD3" w14:textId="77777777" w:rsidR="006C1B17" w:rsidRPr="007375EB" w:rsidRDefault="006C1B17" w:rsidP="006C1B17">
            <w:pPr>
              <w:rPr>
                <w:lang w:val="bg-BG"/>
              </w:rPr>
            </w:pPr>
            <w:r w:rsidRPr="007375EB">
              <w:rPr>
                <w:lang w:val="bg-BG"/>
              </w:rPr>
              <w:t>X</w:t>
            </w:r>
          </w:p>
        </w:tc>
        <w:tc>
          <w:tcPr>
            <w:tcW w:w="616" w:type="dxa"/>
            <w:noWrap/>
            <w:vAlign w:val="center"/>
            <w:hideMark/>
          </w:tcPr>
          <w:p w14:paraId="5176B17C" w14:textId="77777777" w:rsidR="006C1B17" w:rsidRPr="007375EB" w:rsidRDefault="006C1B17" w:rsidP="006C1B17">
            <w:pPr>
              <w:rPr>
                <w:lang w:val="bg-BG"/>
              </w:rPr>
            </w:pPr>
            <w:r w:rsidRPr="007375EB">
              <w:rPr>
                <w:lang w:val="bg-BG"/>
              </w:rPr>
              <w:t>X</w:t>
            </w:r>
          </w:p>
        </w:tc>
        <w:tc>
          <w:tcPr>
            <w:tcW w:w="612" w:type="dxa"/>
            <w:noWrap/>
            <w:vAlign w:val="center"/>
            <w:hideMark/>
          </w:tcPr>
          <w:p w14:paraId="5183C939" w14:textId="77777777" w:rsidR="006C1B17" w:rsidRPr="007375EB" w:rsidRDefault="006C1B17" w:rsidP="006C1B17">
            <w:pPr>
              <w:rPr>
                <w:lang w:val="bg-BG"/>
              </w:rPr>
            </w:pPr>
            <w:r w:rsidRPr="007375EB">
              <w:rPr>
                <w:lang w:val="bg-BG"/>
              </w:rPr>
              <w:t>X</w:t>
            </w:r>
          </w:p>
        </w:tc>
      </w:tr>
      <w:tr w:rsidR="006C1B17" w:rsidRPr="007375EB" w14:paraId="4AD8F55B" w14:textId="77777777" w:rsidTr="006C1B17">
        <w:trPr>
          <w:trHeight w:val="420"/>
        </w:trPr>
        <w:tc>
          <w:tcPr>
            <w:tcW w:w="621" w:type="dxa"/>
            <w:noWrap/>
          </w:tcPr>
          <w:p w14:paraId="624C49A4" w14:textId="77777777" w:rsidR="006C1B17" w:rsidRPr="007375EB" w:rsidRDefault="006C1B17" w:rsidP="006C1B17">
            <w:pPr>
              <w:rPr>
                <w:lang w:val="bg-BG"/>
              </w:rPr>
            </w:pPr>
            <w:r w:rsidRPr="007375EB">
              <w:rPr>
                <w:lang w:val="bg-BG"/>
              </w:rPr>
              <w:t>3</w:t>
            </w:r>
          </w:p>
        </w:tc>
        <w:tc>
          <w:tcPr>
            <w:tcW w:w="3189" w:type="dxa"/>
            <w:hideMark/>
          </w:tcPr>
          <w:p w14:paraId="23B20321" w14:textId="2AF1D74C" w:rsidR="006C1B17" w:rsidRPr="007375EB" w:rsidRDefault="006C1B17" w:rsidP="006C1B17">
            <w:pPr>
              <w:jc w:val="both"/>
              <w:rPr>
                <w:lang w:val="bg-BG"/>
              </w:rPr>
            </w:pPr>
            <w:r w:rsidRPr="007375EB">
              <w:rPr>
                <w:lang w:val="bg-BG"/>
              </w:rPr>
              <w:t>Вятърен парк Комана - Печинеага - трасе за подземен електрически кабел МТ и оптична мрежа (предложена)</w:t>
            </w:r>
          </w:p>
        </w:tc>
        <w:tc>
          <w:tcPr>
            <w:tcW w:w="2125" w:type="dxa"/>
            <w:noWrap/>
            <w:vAlign w:val="center"/>
            <w:hideMark/>
          </w:tcPr>
          <w:p w14:paraId="7F2EC7B3" w14:textId="77777777" w:rsidR="006C1B17" w:rsidRPr="007375EB" w:rsidRDefault="006C1B17" w:rsidP="006C1B17">
            <w:pPr>
              <w:rPr>
                <w:lang w:val="bg-BG"/>
              </w:rPr>
            </w:pPr>
            <w:r w:rsidRPr="007375EB">
              <w:rPr>
                <w:lang w:val="bg-BG"/>
              </w:rPr>
              <w:t>0,59 км</w:t>
            </w:r>
          </w:p>
        </w:tc>
        <w:tc>
          <w:tcPr>
            <w:tcW w:w="482" w:type="dxa"/>
            <w:noWrap/>
            <w:vAlign w:val="center"/>
            <w:hideMark/>
          </w:tcPr>
          <w:p w14:paraId="40B01F81" w14:textId="77777777" w:rsidR="006C1B17" w:rsidRPr="007375EB" w:rsidRDefault="006C1B17" w:rsidP="006C1B17">
            <w:pPr>
              <w:rPr>
                <w:lang w:val="bg-BG"/>
              </w:rPr>
            </w:pPr>
            <w:r w:rsidRPr="007375EB">
              <w:rPr>
                <w:lang w:val="bg-BG"/>
              </w:rPr>
              <w:t>-</w:t>
            </w:r>
          </w:p>
        </w:tc>
        <w:tc>
          <w:tcPr>
            <w:tcW w:w="916" w:type="dxa"/>
            <w:noWrap/>
            <w:vAlign w:val="center"/>
            <w:hideMark/>
          </w:tcPr>
          <w:p w14:paraId="3FB56CE8" w14:textId="77777777" w:rsidR="006C1B17" w:rsidRPr="007375EB" w:rsidRDefault="006C1B17" w:rsidP="006C1B17">
            <w:pPr>
              <w:rPr>
                <w:lang w:val="bg-BG"/>
              </w:rPr>
            </w:pPr>
            <w:r w:rsidRPr="007375EB">
              <w:rPr>
                <w:lang w:val="bg-BG"/>
              </w:rPr>
              <w:t>-</w:t>
            </w:r>
          </w:p>
        </w:tc>
        <w:tc>
          <w:tcPr>
            <w:tcW w:w="916" w:type="dxa"/>
            <w:noWrap/>
            <w:vAlign w:val="center"/>
            <w:hideMark/>
          </w:tcPr>
          <w:p w14:paraId="2E1FE057" w14:textId="77777777" w:rsidR="006C1B17" w:rsidRPr="007375EB" w:rsidRDefault="006C1B17" w:rsidP="006C1B17">
            <w:pPr>
              <w:rPr>
                <w:lang w:val="bg-BG"/>
              </w:rPr>
            </w:pPr>
            <w:r w:rsidRPr="007375EB">
              <w:rPr>
                <w:lang w:val="bg-BG"/>
              </w:rPr>
              <w:t>-</w:t>
            </w:r>
          </w:p>
        </w:tc>
        <w:tc>
          <w:tcPr>
            <w:tcW w:w="810" w:type="dxa"/>
            <w:noWrap/>
            <w:vAlign w:val="center"/>
            <w:hideMark/>
          </w:tcPr>
          <w:p w14:paraId="17EE3E34" w14:textId="77777777" w:rsidR="006C1B17" w:rsidRPr="007375EB" w:rsidRDefault="006C1B17" w:rsidP="006C1B17">
            <w:pPr>
              <w:rPr>
                <w:lang w:val="bg-BG"/>
              </w:rPr>
            </w:pPr>
            <w:r w:rsidRPr="007375EB">
              <w:rPr>
                <w:lang w:val="bg-BG"/>
              </w:rPr>
              <w:t>-</w:t>
            </w:r>
          </w:p>
        </w:tc>
        <w:tc>
          <w:tcPr>
            <w:tcW w:w="630" w:type="dxa"/>
            <w:noWrap/>
            <w:vAlign w:val="center"/>
            <w:hideMark/>
          </w:tcPr>
          <w:p w14:paraId="29D50724" w14:textId="77777777" w:rsidR="006C1B17" w:rsidRPr="007375EB" w:rsidRDefault="006C1B17" w:rsidP="006C1B17">
            <w:pPr>
              <w:rPr>
                <w:lang w:val="bg-BG"/>
              </w:rPr>
            </w:pPr>
            <w:r w:rsidRPr="007375EB">
              <w:rPr>
                <w:lang w:val="bg-BG"/>
              </w:rPr>
              <w:t>-</w:t>
            </w:r>
          </w:p>
        </w:tc>
        <w:tc>
          <w:tcPr>
            <w:tcW w:w="720" w:type="dxa"/>
            <w:noWrap/>
            <w:vAlign w:val="center"/>
            <w:hideMark/>
          </w:tcPr>
          <w:p w14:paraId="6C7FB708" w14:textId="77777777" w:rsidR="006C1B17" w:rsidRPr="007375EB" w:rsidRDefault="006C1B17" w:rsidP="006C1B17">
            <w:pPr>
              <w:rPr>
                <w:lang w:val="bg-BG"/>
              </w:rPr>
            </w:pPr>
            <w:r w:rsidRPr="007375EB">
              <w:rPr>
                <w:lang w:val="bg-BG"/>
              </w:rPr>
              <w:t>-</w:t>
            </w:r>
          </w:p>
        </w:tc>
        <w:tc>
          <w:tcPr>
            <w:tcW w:w="720" w:type="dxa"/>
            <w:noWrap/>
            <w:vAlign w:val="center"/>
            <w:hideMark/>
          </w:tcPr>
          <w:p w14:paraId="7A9DAEA1" w14:textId="77777777" w:rsidR="006C1B17" w:rsidRPr="007375EB" w:rsidRDefault="006C1B17" w:rsidP="006C1B17">
            <w:pPr>
              <w:rPr>
                <w:lang w:val="bg-BG"/>
              </w:rPr>
            </w:pPr>
            <w:r w:rsidRPr="007375EB">
              <w:rPr>
                <w:lang w:val="bg-BG"/>
              </w:rPr>
              <w:t>-</w:t>
            </w:r>
          </w:p>
        </w:tc>
        <w:tc>
          <w:tcPr>
            <w:tcW w:w="540" w:type="dxa"/>
            <w:noWrap/>
            <w:vAlign w:val="center"/>
            <w:hideMark/>
          </w:tcPr>
          <w:p w14:paraId="0E415917" w14:textId="77777777" w:rsidR="006C1B17" w:rsidRPr="007375EB" w:rsidRDefault="006C1B17" w:rsidP="006C1B17">
            <w:pPr>
              <w:rPr>
                <w:lang w:val="bg-BG"/>
              </w:rPr>
            </w:pPr>
            <w:r w:rsidRPr="007375EB">
              <w:rPr>
                <w:lang w:val="bg-BG"/>
              </w:rPr>
              <w:t>X</w:t>
            </w:r>
          </w:p>
        </w:tc>
        <w:tc>
          <w:tcPr>
            <w:tcW w:w="990" w:type="dxa"/>
            <w:noWrap/>
            <w:vAlign w:val="center"/>
            <w:hideMark/>
          </w:tcPr>
          <w:p w14:paraId="7C0391E8" w14:textId="77777777" w:rsidR="006C1B17" w:rsidRPr="007375EB" w:rsidRDefault="006C1B17" w:rsidP="006C1B17">
            <w:pPr>
              <w:rPr>
                <w:lang w:val="bg-BG"/>
              </w:rPr>
            </w:pPr>
            <w:r w:rsidRPr="007375EB">
              <w:rPr>
                <w:lang w:val="bg-BG"/>
              </w:rPr>
              <w:t>X</w:t>
            </w:r>
          </w:p>
        </w:tc>
        <w:tc>
          <w:tcPr>
            <w:tcW w:w="499" w:type="dxa"/>
            <w:noWrap/>
            <w:vAlign w:val="center"/>
            <w:hideMark/>
          </w:tcPr>
          <w:p w14:paraId="30016738" w14:textId="77777777" w:rsidR="006C1B17" w:rsidRPr="007375EB" w:rsidRDefault="006C1B17" w:rsidP="006C1B17">
            <w:pPr>
              <w:rPr>
                <w:lang w:val="bg-BG"/>
              </w:rPr>
            </w:pPr>
            <w:r w:rsidRPr="007375EB">
              <w:rPr>
                <w:lang w:val="bg-BG"/>
              </w:rPr>
              <w:t>-</w:t>
            </w:r>
          </w:p>
        </w:tc>
        <w:tc>
          <w:tcPr>
            <w:tcW w:w="507" w:type="dxa"/>
            <w:noWrap/>
            <w:vAlign w:val="center"/>
            <w:hideMark/>
          </w:tcPr>
          <w:p w14:paraId="40E1A596" w14:textId="77777777" w:rsidR="006C1B17" w:rsidRPr="007375EB" w:rsidRDefault="006C1B17" w:rsidP="006C1B17">
            <w:pPr>
              <w:rPr>
                <w:lang w:val="bg-BG"/>
              </w:rPr>
            </w:pPr>
            <w:r w:rsidRPr="007375EB">
              <w:rPr>
                <w:lang w:val="bg-BG"/>
              </w:rPr>
              <w:t>X</w:t>
            </w:r>
          </w:p>
        </w:tc>
        <w:tc>
          <w:tcPr>
            <w:tcW w:w="524" w:type="dxa"/>
            <w:noWrap/>
            <w:vAlign w:val="center"/>
            <w:hideMark/>
          </w:tcPr>
          <w:p w14:paraId="2B9A47F5" w14:textId="77777777" w:rsidR="006C1B17" w:rsidRPr="007375EB" w:rsidRDefault="006C1B17" w:rsidP="006C1B17">
            <w:pPr>
              <w:rPr>
                <w:lang w:val="bg-BG"/>
              </w:rPr>
            </w:pPr>
            <w:r w:rsidRPr="007375EB">
              <w:rPr>
                <w:lang w:val="bg-BG"/>
              </w:rPr>
              <w:t>X</w:t>
            </w:r>
          </w:p>
        </w:tc>
        <w:tc>
          <w:tcPr>
            <w:tcW w:w="616" w:type="dxa"/>
            <w:noWrap/>
            <w:vAlign w:val="center"/>
            <w:hideMark/>
          </w:tcPr>
          <w:p w14:paraId="58C73B06" w14:textId="77777777" w:rsidR="006C1B17" w:rsidRPr="007375EB" w:rsidRDefault="006C1B17" w:rsidP="006C1B17">
            <w:pPr>
              <w:rPr>
                <w:lang w:val="bg-BG"/>
              </w:rPr>
            </w:pPr>
            <w:r w:rsidRPr="007375EB">
              <w:rPr>
                <w:lang w:val="bg-BG"/>
              </w:rPr>
              <w:t>X</w:t>
            </w:r>
          </w:p>
        </w:tc>
        <w:tc>
          <w:tcPr>
            <w:tcW w:w="612" w:type="dxa"/>
            <w:noWrap/>
            <w:vAlign w:val="center"/>
            <w:hideMark/>
          </w:tcPr>
          <w:p w14:paraId="6E3037C8" w14:textId="77777777" w:rsidR="006C1B17" w:rsidRPr="007375EB" w:rsidRDefault="006C1B17" w:rsidP="006C1B17">
            <w:pPr>
              <w:rPr>
                <w:lang w:val="bg-BG"/>
              </w:rPr>
            </w:pPr>
            <w:r w:rsidRPr="007375EB">
              <w:rPr>
                <w:lang w:val="bg-BG"/>
              </w:rPr>
              <w:t>X</w:t>
            </w:r>
          </w:p>
        </w:tc>
      </w:tr>
      <w:tr w:rsidR="006C1B17" w:rsidRPr="007375EB" w14:paraId="35D30E8B" w14:textId="77777777" w:rsidTr="006C1B17">
        <w:trPr>
          <w:trHeight w:val="420"/>
        </w:trPr>
        <w:tc>
          <w:tcPr>
            <w:tcW w:w="621" w:type="dxa"/>
            <w:noWrap/>
          </w:tcPr>
          <w:p w14:paraId="00498E16" w14:textId="77777777" w:rsidR="006C1B17" w:rsidRPr="007375EB" w:rsidRDefault="006C1B17" w:rsidP="006C1B17">
            <w:pPr>
              <w:rPr>
                <w:lang w:val="bg-BG"/>
              </w:rPr>
            </w:pPr>
            <w:r w:rsidRPr="007375EB">
              <w:rPr>
                <w:lang w:val="bg-BG"/>
              </w:rPr>
              <w:t>4</w:t>
            </w:r>
          </w:p>
        </w:tc>
        <w:tc>
          <w:tcPr>
            <w:tcW w:w="3189" w:type="dxa"/>
            <w:hideMark/>
          </w:tcPr>
          <w:p w14:paraId="20DC964B" w14:textId="3491F3C0" w:rsidR="006C1B17" w:rsidRPr="007375EB" w:rsidRDefault="006C1B17" w:rsidP="006C1B17">
            <w:pPr>
              <w:jc w:val="both"/>
              <w:rPr>
                <w:lang w:val="bg-BG"/>
              </w:rPr>
            </w:pPr>
            <w:r w:rsidRPr="007375EB">
              <w:rPr>
                <w:lang w:val="bg-BG"/>
              </w:rPr>
              <w:t xml:space="preserve">Изграждане на вятърна електроцентрала, включваща: </w:t>
            </w:r>
            <w:r w:rsidRPr="007375EB">
              <w:rPr>
                <w:lang w:val="bg-BG"/>
              </w:rPr>
              <w:lastRenderedPageBreak/>
              <w:t>вятърни турбини, пътища за достъп и платформи за монтаж/поддръжка, електрическа трансформаторна станция (собствена), електрическа мрежа средно и високо напрежение, телекомуникационна мрежа, ком. Индепенденца, окръг Констанца (предложен)</w:t>
            </w:r>
          </w:p>
        </w:tc>
        <w:tc>
          <w:tcPr>
            <w:tcW w:w="2125" w:type="dxa"/>
            <w:noWrap/>
            <w:vAlign w:val="center"/>
            <w:hideMark/>
          </w:tcPr>
          <w:p w14:paraId="497E8CD8" w14:textId="77777777" w:rsidR="006C1B17" w:rsidRPr="007375EB" w:rsidRDefault="006C1B17" w:rsidP="006C1B17">
            <w:pPr>
              <w:rPr>
                <w:lang w:val="bg-BG"/>
              </w:rPr>
            </w:pPr>
            <w:r w:rsidRPr="007375EB">
              <w:rPr>
                <w:lang w:val="bg-BG"/>
              </w:rPr>
              <w:lastRenderedPageBreak/>
              <w:t>0,55 км</w:t>
            </w:r>
          </w:p>
        </w:tc>
        <w:tc>
          <w:tcPr>
            <w:tcW w:w="482" w:type="dxa"/>
            <w:noWrap/>
            <w:vAlign w:val="center"/>
            <w:hideMark/>
          </w:tcPr>
          <w:p w14:paraId="16EE1B47" w14:textId="77777777" w:rsidR="006C1B17" w:rsidRPr="007375EB" w:rsidRDefault="006C1B17" w:rsidP="006C1B17">
            <w:pPr>
              <w:rPr>
                <w:lang w:val="bg-BG"/>
              </w:rPr>
            </w:pPr>
            <w:r w:rsidRPr="007375EB">
              <w:rPr>
                <w:lang w:val="bg-BG"/>
              </w:rPr>
              <w:t>-</w:t>
            </w:r>
          </w:p>
        </w:tc>
        <w:tc>
          <w:tcPr>
            <w:tcW w:w="916" w:type="dxa"/>
            <w:noWrap/>
            <w:vAlign w:val="center"/>
            <w:hideMark/>
          </w:tcPr>
          <w:p w14:paraId="47994058" w14:textId="77777777" w:rsidR="006C1B17" w:rsidRPr="007375EB" w:rsidRDefault="006C1B17" w:rsidP="006C1B17">
            <w:pPr>
              <w:rPr>
                <w:lang w:val="bg-BG"/>
              </w:rPr>
            </w:pPr>
            <w:r w:rsidRPr="007375EB">
              <w:rPr>
                <w:lang w:val="bg-BG"/>
              </w:rPr>
              <w:t>-</w:t>
            </w:r>
          </w:p>
        </w:tc>
        <w:tc>
          <w:tcPr>
            <w:tcW w:w="916" w:type="dxa"/>
            <w:noWrap/>
            <w:vAlign w:val="center"/>
            <w:hideMark/>
          </w:tcPr>
          <w:p w14:paraId="5D4649BB" w14:textId="77777777" w:rsidR="006C1B17" w:rsidRPr="007375EB" w:rsidRDefault="006C1B17" w:rsidP="006C1B17">
            <w:pPr>
              <w:rPr>
                <w:lang w:val="bg-BG"/>
              </w:rPr>
            </w:pPr>
            <w:r w:rsidRPr="007375EB">
              <w:rPr>
                <w:lang w:val="bg-BG"/>
              </w:rPr>
              <w:t>-</w:t>
            </w:r>
          </w:p>
        </w:tc>
        <w:tc>
          <w:tcPr>
            <w:tcW w:w="810" w:type="dxa"/>
            <w:noWrap/>
            <w:vAlign w:val="center"/>
            <w:hideMark/>
          </w:tcPr>
          <w:p w14:paraId="6C877BFF" w14:textId="77777777" w:rsidR="006C1B17" w:rsidRPr="007375EB" w:rsidRDefault="006C1B17" w:rsidP="006C1B17">
            <w:pPr>
              <w:rPr>
                <w:lang w:val="bg-BG"/>
              </w:rPr>
            </w:pPr>
            <w:r w:rsidRPr="007375EB">
              <w:rPr>
                <w:lang w:val="bg-BG"/>
              </w:rPr>
              <w:t>-</w:t>
            </w:r>
          </w:p>
        </w:tc>
        <w:tc>
          <w:tcPr>
            <w:tcW w:w="630" w:type="dxa"/>
            <w:noWrap/>
            <w:vAlign w:val="center"/>
            <w:hideMark/>
          </w:tcPr>
          <w:p w14:paraId="24ACE983" w14:textId="77777777" w:rsidR="006C1B17" w:rsidRPr="007375EB" w:rsidRDefault="006C1B17" w:rsidP="006C1B17">
            <w:pPr>
              <w:rPr>
                <w:lang w:val="bg-BG"/>
              </w:rPr>
            </w:pPr>
            <w:r w:rsidRPr="007375EB">
              <w:rPr>
                <w:lang w:val="bg-BG"/>
              </w:rPr>
              <w:t>-</w:t>
            </w:r>
          </w:p>
        </w:tc>
        <w:tc>
          <w:tcPr>
            <w:tcW w:w="720" w:type="dxa"/>
            <w:noWrap/>
            <w:vAlign w:val="center"/>
            <w:hideMark/>
          </w:tcPr>
          <w:p w14:paraId="18871471" w14:textId="77777777" w:rsidR="006C1B17" w:rsidRPr="007375EB" w:rsidRDefault="006C1B17" w:rsidP="006C1B17">
            <w:pPr>
              <w:rPr>
                <w:lang w:val="bg-BG"/>
              </w:rPr>
            </w:pPr>
            <w:r w:rsidRPr="007375EB">
              <w:rPr>
                <w:lang w:val="bg-BG"/>
              </w:rPr>
              <w:t>-</w:t>
            </w:r>
          </w:p>
        </w:tc>
        <w:tc>
          <w:tcPr>
            <w:tcW w:w="720" w:type="dxa"/>
            <w:noWrap/>
            <w:vAlign w:val="center"/>
            <w:hideMark/>
          </w:tcPr>
          <w:p w14:paraId="11280254" w14:textId="77777777" w:rsidR="006C1B17" w:rsidRPr="007375EB" w:rsidRDefault="006C1B17" w:rsidP="006C1B17">
            <w:pPr>
              <w:rPr>
                <w:lang w:val="bg-BG"/>
              </w:rPr>
            </w:pPr>
            <w:r w:rsidRPr="007375EB">
              <w:rPr>
                <w:lang w:val="bg-BG"/>
              </w:rPr>
              <w:t>-</w:t>
            </w:r>
          </w:p>
        </w:tc>
        <w:tc>
          <w:tcPr>
            <w:tcW w:w="540" w:type="dxa"/>
            <w:noWrap/>
            <w:vAlign w:val="center"/>
            <w:hideMark/>
          </w:tcPr>
          <w:p w14:paraId="46EE0ABC" w14:textId="77777777" w:rsidR="006C1B17" w:rsidRPr="007375EB" w:rsidRDefault="006C1B17" w:rsidP="006C1B17">
            <w:pPr>
              <w:rPr>
                <w:lang w:val="bg-BG"/>
              </w:rPr>
            </w:pPr>
            <w:r w:rsidRPr="007375EB">
              <w:rPr>
                <w:lang w:val="bg-BG"/>
              </w:rPr>
              <w:t>X</w:t>
            </w:r>
          </w:p>
        </w:tc>
        <w:tc>
          <w:tcPr>
            <w:tcW w:w="990" w:type="dxa"/>
            <w:noWrap/>
            <w:vAlign w:val="center"/>
            <w:hideMark/>
          </w:tcPr>
          <w:p w14:paraId="351EAD4F" w14:textId="77777777" w:rsidR="006C1B17" w:rsidRPr="007375EB" w:rsidRDefault="006C1B17" w:rsidP="006C1B17">
            <w:pPr>
              <w:rPr>
                <w:lang w:val="bg-BG"/>
              </w:rPr>
            </w:pPr>
            <w:r w:rsidRPr="007375EB">
              <w:rPr>
                <w:lang w:val="bg-BG"/>
              </w:rPr>
              <w:t>X</w:t>
            </w:r>
          </w:p>
        </w:tc>
        <w:tc>
          <w:tcPr>
            <w:tcW w:w="499" w:type="dxa"/>
            <w:noWrap/>
            <w:vAlign w:val="center"/>
            <w:hideMark/>
          </w:tcPr>
          <w:p w14:paraId="74EB6F76" w14:textId="77777777" w:rsidR="006C1B17" w:rsidRPr="007375EB" w:rsidRDefault="006C1B17" w:rsidP="006C1B17">
            <w:pPr>
              <w:rPr>
                <w:lang w:val="bg-BG"/>
              </w:rPr>
            </w:pPr>
            <w:r w:rsidRPr="007375EB">
              <w:rPr>
                <w:lang w:val="bg-BG"/>
              </w:rPr>
              <w:t>-</w:t>
            </w:r>
          </w:p>
        </w:tc>
        <w:tc>
          <w:tcPr>
            <w:tcW w:w="507" w:type="dxa"/>
            <w:noWrap/>
            <w:vAlign w:val="center"/>
            <w:hideMark/>
          </w:tcPr>
          <w:p w14:paraId="071FF1D0" w14:textId="77777777" w:rsidR="006C1B17" w:rsidRPr="007375EB" w:rsidRDefault="006C1B17" w:rsidP="006C1B17">
            <w:pPr>
              <w:rPr>
                <w:lang w:val="bg-BG"/>
              </w:rPr>
            </w:pPr>
            <w:r w:rsidRPr="007375EB">
              <w:rPr>
                <w:lang w:val="bg-BG"/>
              </w:rPr>
              <w:t>X</w:t>
            </w:r>
          </w:p>
        </w:tc>
        <w:tc>
          <w:tcPr>
            <w:tcW w:w="524" w:type="dxa"/>
            <w:noWrap/>
            <w:vAlign w:val="center"/>
            <w:hideMark/>
          </w:tcPr>
          <w:p w14:paraId="6F8C7A6C" w14:textId="77777777" w:rsidR="006C1B17" w:rsidRPr="007375EB" w:rsidRDefault="006C1B17" w:rsidP="006C1B17">
            <w:pPr>
              <w:rPr>
                <w:lang w:val="bg-BG"/>
              </w:rPr>
            </w:pPr>
            <w:r w:rsidRPr="007375EB">
              <w:rPr>
                <w:lang w:val="bg-BG"/>
              </w:rPr>
              <w:t>X</w:t>
            </w:r>
          </w:p>
        </w:tc>
        <w:tc>
          <w:tcPr>
            <w:tcW w:w="616" w:type="dxa"/>
            <w:noWrap/>
            <w:vAlign w:val="center"/>
            <w:hideMark/>
          </w:tcPr>
          <w:p w14:paraId="7B417479" w14:textId="77777777" w:rsidR="006C1B17" w:rsidRPr="007375EB" w:rsidRDefault="006C1B17" w:rsidP="006C1B17">
            <w:pPr>
              <w:rPr>
                <w:lang w:val="bg-BG"/>
              </w:rPr>
            </w:pPr>
            <w:r w:rsidRPr="007375EB">
              <w:rPr>
                <w:lang w:val="bg-BG"/>
              </w:rPr>
              <w:t>X</w:t>
            </w:r>
          </w:p>
        </w:tc>
        <w:tc>
          <w:tcPr>
            <w:tcW w:w="612" w:type="dxa"/>
            <w:noWrap/>
            <w:vAlign w:val="center"/>
            <w:hideMark/>
          </w:tcPr>
          <w:p w14:paraId="191E2DE3" w14:textId="77777777" w:rsidR="006C1B17" w:rsidRPr="007375EB" w:rsidRDefault="006C1B17" w:rsidP="006C1B17">
            <w:pPr>
              <w:rPr>
                <w:lang w:val="bg-BG"/>
              </w:rPr>
            </w:pPr>
            <w:r w:rsidRPr="007375EB">
              <w:rPr>
                <w:lang w:val="bg-BG"/>
              </w:rPr>
              <w:t>X</w:t>
            </w:r>
          </w:p>
        </w:tc>
      </w:tr>
      <w:tr w:rsidR="006C1B17" w:rsidRPr="007375EB" w14:paraId="5E8CA75A" w14:textId="77777777" w:rsidTr="006C1B17">
        <w:trPr>
          <w:trHeight w:val="210"/>
        </w:trPr>
        <w:tc>
          <w:tcPr>
            <w:tcW w:w="621" w:type="dxa"/>
            <w:noWrap/>
          </w:tcPr>
          <w:p w14:paraId="7CE1C35C" w14:textId="77777777" w:rsidR="006C1B17" w:rsidRPr="007375EB" w:rsidRDefault="006C1B17" w:rsidP="006C1B17">
            <w:pPr>
              <w:rPr>
                <w:lang w:val="bg-BG"/>
              </w:rPr>
            </w:pPr>
            <w:r w:rsidRPr="007375EB">
              <w:rPr>
                <w:lang w:val="bg-BG"/>
              </w:rPr>
              <w:t>5</w:t>
            </w:r>
          </w:p>
        </w:tc>
        <w:tc>
          <w:tcPr>
            <w:tcW w:w="3189" w:type="dxa"/>
            <w:noWrap/>
            <w:hideMark/>
          </w:tcPr>
          <w:p w14:paraId="7C108A98" w14:textId="015EC840" w:rsidR="006C1B17" w:rsidRPr="007375EB" w:rsidRDefault="006C1B17" w:rsidP="006C1B17">
            <w:pPr>
              <w:jc w:val="both"/>
              <w:rPr>
                <w:lang w:val="bg-BG"/>
              </w:rPr>
            </w:pPr>
            <w:r w:rsidRPr="007375EB">
              <w:rPr>
                <w:lang w:val="bg-BG"/>
              </w:rPr>
              <w:t xml:space="preserve">Събаряне на съществуващи сгради и изграждане на фотоволтаична електроцентрала с мощност 3,212 МВт, свързване към SEN, инсталиране на PC и PTAB, вътрешен път и достъп, ограждане на терена и организация на строителната </w:t>
            </w:r>
            <w:r w:rsidRPr="007375EB">
              <w:rPr>
                <w:lang w:val="bg-BG"/>
              </w:rPr>
              <w:lastRenderedPageBreak/>
              <w:t>площадка в Индепенденца (предложена)</w:t>
            </w:r>
          </w:p>
        </w:tc>
        <w:tc>
          <w:tcPr>
            <w:tcW w:w="2125" w:type="dxa"/>
            <w:noWrap/>
            <w:vAlign w:val="center"/>
            <w:hideMark/>
          </w:tcPr>
          <w:p w14:paraId="21A1D1E5" w14:textId="77777777" w:rsidR="006C1B17" w:rsidRPr="007375EB" w:rsidRDefault="006C1B17" w:rsidP="006C1B17">
            <w:pPr>
              <w:rPr>
                <w:lang w:val="bg-BG"/>
              </w:rPr>
            </w:pPr>
            <w:r w:rsidRPr="007375EB">
              <w:rPr>
                <w:lang w:val="bg-BG"/>
              </w:rPr>
              <w:lastRenderedPageBreak/>
              <w:t>2,1 км</w:t>
            </w:r>
          </w:p>
        </w:tc>
        <w:tc>
          <w:tcPr>
            <w:tcW w:w="482" w:type="dxa"/>
            <w:noWrap/>
            <w:vAlign w:val="center"/>
            <w:hideMark/>
          </w:tcPr>
          <w:p w14:paraId="57FE0E97" w14:textId="77777777" w:rsidR="006C1B17" w:rsidRPr="007375EB" w:rsidRDefault="006C1B17" w:rsidP="006C1B17">
            <w:pPr>
              <w:rPr>
                <w:lang w:val="bg-BG"/>
              </w:rPr>
            </w:pPr>
            <w:r w:rsidRPr="007375EB">
              <w:rPr>
                <w:lang w:val="bg-BG"/>
              </w:rPr>
              <w:t>-</w:t>
            </w:r>
          </w:p>
        </w:tc>
        <w:tc>
          <w:tcPr>
            <w:tcW w:w="916" w:type="dxa"/>
            <w:noWrap/>
            <w:vAlign w:val="center"/>
            <w:hideMark/>
          </w:tcPr>
          <w:p w14:paraId="48828CDF" w14:textId="77777777" w:rsidR="006C1B17" w:rsidRPr="007375EB" w:rsidRDefault="006C1B17" w:rsidP="006C1B17">
            <w:pPr>
              <w:rPr>
                <w:lang w:val="bg-BG"/>
              </w:rPr>
            </w:pPr>
            <w:r w:rsidRPr="007375EB">
              <w:rPr>
                <w:lang w:val="bg-BG"/>
              </w:rPr>
              <w:t>-</w:t>
            </w:r>
          </w:p>
        </w:tc>
        <w:tc>
          <w:tcPr>
            <w:tcW w:w="916" w:type="dxa"/>
            <w:noWrap/>
            <w:vAlign w:val="center"/>
            <w:hideMark/>
          </w:tcPr>
          <w:p w14:paraId="536334EE" w14:textId="77777777" w:rsidR="006C1B17" w:rsidRPr="007375EB" w:rsidRDefault="006C1B17" w:rsidP="006C1B17">
            <w:pPr>
              <w:rPr>
                <w:lang w:val="bg-BG"/>
              </w:rPr>
            </w:pPr>
            <w:r w:rsidRPr="007375EB">
              <w:rPr>
                <w:lang w:val="bg-BG"/>
              </w:rPr>
              <w:t>-</w:t>
            </w:r>
          </w:p>
        </w:tc>
        <w:tc>
          <w:tcPr>
            <w:tcW w:w="810" w:type="dxa"/>
            <w:noWrap/>
            <w:vAlign w:val="center"/>
            <w:hideMark/>
          </w:tcPr>
          <w:p w14:paraId="1FF27A36" w14:textId="77777777" w:rsidR="006C1B17" w:rsidRPr="007375EB" w:rsidRDefault="006C1B17" w:rsidP="006C1B17">
            <w:pPr>
              <w:rPr>
                <w:lang w:val="bg-BG"/>
              </w:rPr>
            </w:pPr>
            <w:r w:rsidRPr="007375EB">
              <w:rPr>
                <w:lang w:val="bg-BG"/>
              </w:rPr>
              <w:t>-</w:t>
            </w:r>
          </w:p>
        </w:tc>
        <w:tc>
          <w:tcPr>
            <w:tcW w:w="630" w:type="dxa"/>
            <w:noWrap/>
            <w:vAlign w:val="center"/>
            <w:hideMark/>
          </w:tcPr>
          <w:p w14:paraId="344724BD" w14:textId="77777777" w:rsidR="006C1B17" w:rsidRPr="007375EB" w:rsidRDefault="006C1B17" w:rsidP="006C1B17">
            <w:pPr>
              <w:rPr>
                <w:lang w:val="bg-BG"/>
              </w:rPr>
            </w:pPr>
            <w:r w:rsidRPr="007375EB">
              <w:rPr>
                <w:lang w:val="bg-BG"/>
              </w:rPr>
              <w:t>-</w:t>
            </w:r>
          </w:p>
        </w:tc>
        <w:tc>
          <w:tcPr>
            <w:tcW w:w="720" w:type="dxa"/>
            <w:noWrap/>
            <w:vAlign w:val="center"/>
            <w:hideMark/>
          </w:tcPr>
          <w:p w14:paraId="28592633" w14:textId="77777777" w:rsidR="006C1B17" w:rsidRPr="007375EB" w:rsidRDefault="006C1B17" w:rsidP="006C1B17">
            <w:pPr>
              <w:rPr>
                <w:lang w:val="bg-BG"/>
              </w:rPr>
            </w:pPr>
            <w:r w:rsidRPr="007375EB">
              <w:rPr>
                <w:lang w:val="bg-BG"/>
              </w:rPr>
              <w:t>-</w:t>
            </w:r>
          </w:p>
        </w:tc>
        <w:tc>
          <w:tcPr>
            <w:tcW w:w="720" w:type="dxa"/>
            <w:noWrap/>
            <w:vAlign w:val="center"/>
            <w:hideMark/>
          </w:tcPr>
          <w:p w14:paraId="7F1B4D90" w14:textId="77777777" w:rsidR="006C1B17" w:rsidRPr="007375EB" w:rsidRDefault="006C1B17" w:rsidP="006C1B17">
            <w:pPr>
              <w:rPr>
                <w:lang w:val="bg-BG"/>
              </w:rPr>
            </w:pPr>
            <w:r w:rsidRPr="007375EB">
              <w:rPr>
                <w:lang w:val="bg-BG"/>
              </w:rPr>
              <w:t>-</w:t>
            </w:r>
          </w:p>
        </w:tc>
        <w:tc>
          <w:tcPr>
            <w:tcW w:w="540" w:type="dxa"/>
            <w:noWrap/>
            <w:vAlign w:val="center"/>
            <w:hideMark/>
          </w:tcPr>
          <w:p w14:paraId="557B81C0" w14:textId="77777777" w:rsidR="006C1B17" w:rsidRPr="007375EB" w:rsidRDefault="006C1B17" w:rsidP="006C1B17">
            <w:pPr>
              <w:rPr>
                <w:lang w:val="bg-BG"/>
              </w:rPr>
            </w:pPr>
            <w:r w:rsidRPr="007375EB">
              <w:rPr>
                <w:lang w:val="bg-BG"/>
              </w:rPr>
              <w:t>-</w:t>
            </w:r>
          </w:p>
        </w:tc>
        <w:tc>
          <w:tcPr>
            <w:tcW w:w="990" w:type="dxa"/>
            <w:noWrap/>
            <w:vAlign w:val="center"/>
            <w:hideMark/>
          </w:tcPr>
          <w:p w14:paraId="7E2D8713" w14:textId="77777777" w:rsidR="006C1B17" w:rsidRPr="007375EB" w:rsidRDefault="006C1B17" w:rsidP="006C1B17">
            <w:pPr>
              <w:rPr>
                <w:lang w:val="bg-BG"/>
              </w:rPr>
            </w:pPr>
            <w:r w:rsidRPr="007375EB">
              <w:rPr>
                <w:lang w:val="bg-BG"/>
              </w:rPr>
              <w:t>-</w:t>
            </w:r>
          </w:p>
        </w:tc>
        <w:tc>
          <w:tcPr>
            <w:tcW w:w="499" w:type="dxa"/>
            <w:noWrap/>
            <w:vAlign w:val="center"/>
            <w:hideMark/>
          </w:tcPr>
          <w:p w14:paraId="33A3EC6C" w14:textId="77777777" w:rsidR="006C1B17" w:rsidRPr="007375EB" w:rsidRDefault="006C1B17" w:rsidP="006C1B17">
            <w:pPr>
              <w:rPr>
                <w:lang w:val="bg-BG"/>
              </w:rPr>
            </w:pPr>
            <w:r w:rsidRPr="007375EB">
              <w:rPr>
                <w:lang w:val="bg-BG"/>
              </w:rPr>
              <w:t>-</w:t>
            </w:r>
          </w:p>
        </w:tc>
        <w:tc>
          <w:tcPr>
            <w:tcW w:w="507" w:type="dxa"/>
            <w:noWrap/>
            <w:vAlign w:val="center"/>
            <w:hideMark/>
          </w:tcPr>
          <w:p w14:paraId="32B1C347" w14:textId="77777777" w:rsidR="006C1B17" w:rsidRPr="007375EB" w:rsidRDefault="006C1B17" w:rsidP="006C1B17">
            <w:pPr>
              <w:rPr>
                <w:lang w:val="bg-BG"/>
              </w:rPr>
            </w:pPr>
            <w:r w:rsidRPr="007375EB">
              <w:rPr>
                <w:lang w:val="bg-BG"/>
              </w:rPr>
              <w:t>-</w:t>
            </w:r>
          </w:p>
        </w:tc>
        <w:tc>
          <w:tcPr>
            <w:tcW w:w="524" w:type="dxa"/>
            <w:noWrap/>
            <w:vAlign w:val="center"/>
            <w:hideMark/>
          </w:tcPr>
          <w:p w14:paraId="689D3EAD" w14:textId="77777777" w:rsidR="006C1B17" w:rsidRPr="007375EB" w:rsidRDefault="006C1B17" w:rsidP="006C1B17">
            <w:pPr>
              <w:rPr>
                <w:lang w:val="bg-BG"/>
              </w:rPr>
            </w:pPr>
            <w:r w:rsidRPr="007375EB">
              <w:rPr>
                <w:lang w:val="bg-BG"/>
              </w:rPr>
              <w:t>-</w:t>
            </w:r>
          </w:p>
        </w:tc>
        <w:tc>
          <w:tcPr>
            <w:tcW w:w="616" w:type="dxa"/>
            <w:noWrap/>
            <w:vAlign w:val="center"/>
            <w:hideMark/>
          </w:tcPr>
          <w:p w14:paraId="737A626A" w14:textId="77777777" w:rsidR="006C1B17" w:rsidRPr="007375EB" w:rsidRDefault="006C1B17" w:rsidP="006C1B17">
            <w:pPr>
              <w:rPr>
                <w:lang w:val="bg-BG"/>
              </w:rPr>
            </w:pPr>
            <w:r w:rsidRPr="007375EB">
              <w:rPr>
                <w:lang w:val="bg-BG"/>
              </w:rPr>
              <w:t>-</w:t>
            </w:r>
          </w:p>
        </w:tc>
        <w:tc>
          <w:tcPr>
            <w:tcW w:w="612" w:type="dxa"/>
            <w:noWrap/>
            <w:vAlign w:val="center"/>
            <w:hideMark/>
          </w:tcPr>
          <w:p w14:paraId="391E681B" w14:textId="77777777" w:rsidR="006C1B17" w:rsidRPr="007375EB" w:rsidRDefault="006C1B17" w:rsidP="006C1B17">
            <w:pPr>
              <w:rPr>
                <w:lang w:val="bg-BG"/>
              </w:rPr>
            </w:pPr>
            <w:r w:rsidRPr="007375EB">
              <w:rPr>
                <w:lang w:val="bg-BG"/>
              </w:rPr>
              <w:t>-</w:t>
            </w:r>
          </w:p>
        </w:tc>
      </w:tr>
      <w:tr w:rsidR="00AB122B" w:rsidRPr="007375EB" w14:paraId="19ECE980" w14:textId="77777777" w:rsidTr="006C1B17">
        <w:trPr>
          <w:trHeight w:val="210"/>
        </w:trPr>
        <w:tc>
          <w:tcPr>
            <w:tcW w:w="621" w:type="dxa"/>
            <w:noWrap/>
          </w:tcPr>
          <w:p w14:paraId="54FD15D7" w14:textId="77777777" w:rsidR="00AB122B" w:rsidRPr="007375EB" w:rsidRDefault="00AB122B" w:rsidP="00AB122B">
            <w:pPr>
              <w:jc w:val="both"/>
              <w:rPr>
                <w:lang w:val="bg-BG"/>
              </w:rPr>
            </w:pPr>
            <w:r w:rsidRPr="007375EB">
              <w:rPr>
                <w:lang w:val="bg-BG"/>
              </w:rPr>
              <w:t>6</w:t>
            </w:r>
          </w:p>
        </w:tc>
        <w:tc>
          <w:tcPr>
            <w:tcW w:w="3189" w:type="dxa"/>
            <w:noWrap/>
          </w:tcPr>
          <w:p w14:paraId="0C3BB366" w14:textId="76D15AA2" w:rsidR="00AB122B" w:rsidRPr="007375EB" w:rsidRDefault="00AB122B" w:rsidP="00AB122B">
            <w:pPr>
              <w:jc w:val="both"/>
              <w:rPr>
                <w:lang w:val="bg-BG"/>
              </w:rPr>
            </w:pPr>
            <w:r w:rsidRPr="007375EB">
              <w:rPr>
                <w:lang w:val="bg-BG"/>
              </w:rPr>
              <w:t>Изграждане на подземна оптична мрежа за електронни съобщителни услуги в окръг Констанца, Индепенденца, Думбръвени (предложена)</w:t>
            </w:r>
          </w:p>
        </w:tc>
        <w:tc>
          <w:tcPr>
            <w:tcW w:w="2125" w:type="dxa"/>
            <w:noWrap/>
            <w:vAlign w:val="center"/>
          </w:tcPr>
          <w:p w14:paraId="695DFECF" w14:textId="15BE771A" w:rsidR="00AB122B" w:rsidRPr="007375EB" w:rsidRDefault="00AB122B" w:rsidP="00AB122B">
            <w:pPr>
              <w:jc w:val="both"/>
              <w:rPr>
                <w:lang w:val="bg-BG"/>
              </w:rPr>
            </w:pPr>
            <w:r w:rsidRPr="007375EB">
              <w:rPr>
                <w:lang w:val="bg-BG"/>
              </w:rPr>
              <w:t>Пресечено в района на Думбръвени</w:t>
            </w:r>
          </w:p>
        </w:tc>
        <w:tc>
          <w:tcPr>
            <w:tcW w:w="482" w:type="dxa"/>
            <w:noWrap/>
            <w:vAlign w:val="center"/>
          </w:tcPr>
          <w:p w14:paraId="56053239" w14:textId="77777777" w:rsidR="00AB122B" w:rsidRPr="007375EB" w:rsidRDefault="00AB122B" w:rsidP="00AB122B">
            <w:pPr>
              <w:jc w:val="both"/>
              <w:rPr>
                <w:lang w:val="bg-BG"/>
              </w:rPr>
            </w:pPr>
            <w:r w:rsidRPr="007375EB">
              <w:rPr>
                <w:lang w:val="bg-BG"/>
              </w:rPr>
              <w:t>-</w:t>
            </w:r>
          </w:p>
        </w:tc>
        <w:tc>
          <w:tcPr>
            <w:tcW w:w="916" w:type="dxa"/>
            <w:noWrap/>
            <w:vAlign w:val="center"/>
          </w:tcPr>
          <w:p w14:paraId="2064AB8C" w14:textId="77777777" w:rsidR="00AB122B" w:rsidRPr="007375EB" w:rsidRDefault="00AB122B" w:rsidP="00AB122B">
            <w:pPr>
              <w:jc w:val="both"/>
              <w:rPr>
                <w:lang w:val="bg-BG"/>
              </w:rPr>
            </w:pPr>
            <w:r w:rsidRPr="007375EB">
              <w:rPr>
                <w:lang w:val="bg-BG"/>
              </w:rPr>
              <w:t>-</w:t>
            </w:r>
          </w:p>
        </w:tc>
        <w:tc>
          <w:tcPr>
            <w:tcW w:w="916" w:type="dxa"/>
            <w:noWrap/>
            <w:vAlign w:val="center"/>
          </w:tcPr>
          <w:p w14:paraId="5115D07B" w14:textId="77777777" w:rsidR="00AB122B" w:rsidRPr="007375EB" w:rsidRDefault="00AB122B" w:rsidP="00AB122B">
            <w:pPr>
              <w:jc w:val="both"/>
              <w:rPr>
                <w:lang w:val="bg-BG"/>
              </w:rPr>
            </w:pPr>
            <w:r w:rsidRPr="007375EB">
              <w:rPr>
                <w:lang w:val="bg-BG"/>
              </w:rPr>
              <w:t>-</w:t>
            </w:r>
          </w:p>
        </w:tc>
        <w:tc>
          <w:tcPr>
            <w:tcW w:w="810" w:type="dxa"/>
            <w:noWrap/>
            <w:vAlign w:val="center"/>
          </w:tcPr>
          <w:p w14:paraId="4CEBE87B" w14:textId="77777777" w:rsidR="00AB122B" w:rsidRPr="007375EB" w:rsidRDefault="00AB122B" w:rsidP="00AB122B">
            <w:pPr>
              <w:jc w:val="both"/>
              <w:rPr>
                <w:lang w:val="bg-BG"/>
              </w:rPr>
            </w:pPr>
            <w:r w:rsidRPr="007375EB">
              <w:rPr>
                <w:lang w:val="bg-BG"/>
              </w:rPr>
              <w:t>-</w:t>
            </w:r>
          </w:p>
        </w:tc>
        <w:tc>
          <w:tcPr>
            <w:tcW w:w="630" w:type="dxa"/>
            <w:noWrap/>
            <w:vAlign w:val="center"/>
          </w:tcPr>
          <w:p w14:paraId="1142A2CF" w14:textId="77777777" w:rsidR="00AB122B" w:rsidRPr="007375EB" w:rsidRDefault="00AB122B" w:rsidP="00AB122B">
            <w:pPr>
              <w:jc w:val="both"/>
              <w:rPr>
                <w:lang w:val="bg-BG"/>
              </w:rPr>
            </w:pPr>
            <w:r w:rsidRPr="007375EB">
              <w:rPr>
                <w:lang w:val="bg-BG"/>
              </w:rPr>
              <w:t>-</w:t>
            </w:r>
          </w:p>
        </w:tc>
        <w:tc>
          <w:tcPr>
            <w:tcW w:w="720" w:type="dxa"/>
            <w:noWrap/>
            <w:vAlign w:val="center"/>
          </w:tcPr>
          <w:p w14:paraId="446C96CC" w14:textId="77777777" w:rsidR="00AB122B" w:rsidRPr="007375EB" w:rsidRDefault="00AB122B" w:rsidP="00AB122B">
            <w:pPr>
              <w:jc w:val="both"/>
              <w:rPr>
                <w:lang w:val="bg-BG"/>
              </w:rPr>
            </w:pPr>
            <w:r w:rsidRPr="007375EB">
              <w:rPr>
                <w:lang w:val="bg-BG"/>
              </w:rPr>
              <w:t>-</w:t>
            </w:r>
          </w:p>
        </w:tc>
        <w:tc>
          <w:tcPr>
            <w:tcW w:w="720" w:type="dxa"/>
            <w:noWrap/>
            <w:vAlign w:val="center"/>
          </w:tcPr>
          <w:p w14:paraId="14E1E169" w14:textId="77777777" w:rsidR="00AB122B" w:rsidRPr="007375EB" w:rsidRDefault="00AB122B" w:rsidP="00AB122B">
            <w:pPr>
              <w:jc w:val="both"/>
              <w:rPr>
                <w:lang w:val="bg-BG"/>
              </w:rPr>
            </w:pPr>
            <w:r w:rsidRPr="007375EB">
              <w:rPr>
                <w:lang w:val="bg-BG"/>
              </w:rPr>
              <w:t>-</w:t>
            </w:r>
          </w:p>
        </w:tc>
        <w:tc>
          <w:tcPr>
            <w:tcW w:w="540" w:type="dxa"/>
            <w:noWrap/>
            <w:vAlign w:val="center"/>
          </w:tcPr>
          <w:p w14:paraId="38912FB1" w14:textId="77777777" w:rsidR="00AB122B" w:rsidRPr="007375EB" w:rsidRDefault="00AB122B" w:rsidP="00AB122B">
            <w:pPr>
              <w:jc w:val="both"/>
              <w:rPr>
                <w:lang w:val="bg-BG"/>
              </w:rPr>
            </w:pPr>
            <w:r w:rsidRPr="007375EB">
              <w:rPr>
                <w:lang w:val="bg-BG"/>
              </w:rPr>
              <w:t>-</w:t>
            </w:r>
          </w:p>
        </w:tc>
        <w:tc>
          <w:tcPr>
            <w:tcW w:w="990" w:type="dxa"/>
            <w:noWrap/>
            <w:vAlign w:val="center"/>
          </w:tcPr>
          <w:p w14:paraId="34DF7C22" w14:textId="77777777" w:rsidR="00AB122B" w:rsidRPr="007375EB" w:rsidRDefault="00AB122B" w:rsidP="00AB122B">
            <w:pPr>
              <w:jc w:val="both"/>
              <w:rPr>
                <w:lang w:val="bg-BG"/>
              </w:rPr>
            </w:pPr>
            <w:r w:rsidRPr="007375EB">
              <w:rPr>
                <w:lang w:val="bg-BG"/>
              </w:rPr>
              <w:t>-</w:t>
            </w:r>
          </w:p>
        </w:tc>
        <w:tc>
          <w:tcPr>
            <w:tcW w:w="499" w:type="dxa"/>
            <w:noWrap/>
            <w:vAlign w:val="center"/>
          </w:tcPr>
          <w:p w14:paraId="7CA9EE3A" w14:textId="77777777" w:rsidR="00AB122B" w:rsidRPr="007375EB" w:rsidRDefault="00AB122B" w:rsidP="00AB122B">
            <w:pPr>
              <w:jc w:val="both"/>
              <w:rPr>
                <w:lang w:val="bg-BG"/>
              </w:rPr>
            </w:pPr>
            <w:r w:rsidRPr="007375EB">
              <w:rPr>
                <w:lang w:val="bg-BG"/>
              </w:rPr>
              <w:t>-</w:t>
            </w:r>
          </w:p>
        </w:tc>
        <w:tc>
          <w:tcPr>
            <w:tcW w:w="507" w:type="dxa"/>
            <w:noWrap/>
            <w:vAlign w:val="center"/>
          </w:tcPr>
          <w:p w14:paraId="1E252B05" w14:textId="77777777" w:rsidR="00AB122B" w:rsidRPr="007375EB" w:rsidRDefault="00AB122B" w:rsidP="00AB122B">
            <w:pPr>
              <w:jc w:val="both"/>
              <w:rPr>
                <w:lang w:val="bg-BG"/>
              </w:rPr>
            </w:pPr>
            <w:r w:rsidRPr="007375EB">
              <w:rPr>
                <w:lang w:val="bg-BG"/>
              </w:rPr>
              <w:t>-</w:t>
            </w:r>
          </w:p>
        </w:tc>
        <w:tc>
          <w:tcPr>
            <w:tcW w:w="524" w:type="dxa"/>
            <w:noWrap/>
            <w:vAlign w:val="center"/>
          </w:tcPr>
          <w:p w14:paraId="12F033B7" w14:textId="77777777" w:rsidR="00AB122B" w:rsidRPr="007375EB" w:rsidRDefault="00AB122B" w:rsidP="00AB122B">
            <w:pPr>
              <w:jc w:val="both"/>
              <w:rPr>
                <w:lang w:val="bg-BG"/>
              </w:rPr>
            </w:pPr>
            <w:r w:rsidRPr="007375EB">
              <w:rPr>
                <w:lang w:val="bg-BG"/>
              </w:rPr>
              <w:t>-</w:t>
            </w:r>
          </w:p>
        </w:tc>
        <w:tc>
          <w:tcPr>
            <w:tcW w:w="616" w:type="dxa"/>
            <w:noWrap/>
            <w:vAlign w:val="center"/>
          </w:tcPr>
          <w:p w14:paraId="23FC9F3E" w14:textId="77777777" w:rsidR="00AB122B" w:rsidRPr="007375EB" w:rsidRDefault="00AB122B" w:rsidP="00AB122B">
            <w:pPr>
              <w:jc w:val="both"/>
              <w:rPr>
                <w:lang w:val="bg-BG"/>
              </w:rPr>
            </w:pPr>
            <w:r w:rsidRPr="007375EB">
              <w:rPr>
                <w:lang w:val="bg-BG"/>
              </w:rPr>
              <w:t>-</w:t>
            </w:r>
          </w:p>
        </w:tc>
        <w:tc>
          <w:tcPr>
            <w:tcW w:w="612" w:type="dxa"/>
            <w:noWrap/>
            <w:vAlign w:val="center"/>
          </w:tcPr>
          <w:p w14:paraId="2D75C3FF" w14:textId="77777777" w:rsidR="00AB122B" w:rsidRPr="007375EB" w:rsidRDefault="00AB122B" w:rsidP="00AB122B">
            <w:pPr>
              <w:jc w:val="both"/>
              <w:rPr>
                <w:lang w:val="bg-BG"/>
              </w:rPr>
            </w:pPr>
            <w:r w:rsidRPr="007375EB">
              <w:rPr>
                <w:lang w:val="bg-BG"/>
              </w:rPr>
              <w:t>-</w:t>
            </w:r>
          </w:p>
        </w:tc>
      </w:tr>
      <w:tr w:rsidR="00AB122B" w:rsidRPr="007375EB" w14:paraId="6CAF9DBE" w14:textId="77777777" w:rsidTr="006C1B17">
        <w:trPr>
          <w:trHeight w:val="210"/>
        </w:trPr>
        <w:tc>
          <w:tcPr>
            <w:tcW w:w="621" w:type="dxa"/>
            <w:noWrap/>
          </w:tcPr>
          <w:p w14:paraId="30C6A180" w14:textId="77777777" w:rsidR="00AB122B" w:rsidRPr="007375EB" w:rsidRDefault="00AB122B" w:rsidP="00AB122B">
            <w:pPr>
              <w:jc w:val="both"/>
              <w:rPr>
                <w:lang w:val="bg-BG"/>
              </w:rPr>
            </w:pPr>
            <w:r w:rsidRPr="007375EB">
              <w:rPr>
                <w:lang w:val="bg-BG"/>
              </w:rPr>
              <w:t>7</w:t>
            </w:r>
          </w:p>
        </w:tc>
        <w:tc>
          <w:tcPr>
            <w:tcW w:w="3189" w:type="dxa"/>
            <w:noWrap/>
          </w:tcPr>
          <w:p w14:paraId="4F2E88B6" w14:textId="7DFE5663" w:rsidR="00AB122B" w:rsidRPr="007375EB" w:rsidRDefault="00AB122B" w:rsidP="00AB122B">
            <w:pPr>
              <w:jc w:val="both"/>
              <w:rPr>
                <w:lang w:val="bg-BG"/>
              </w:rPr>
            </w:pPr>
            <w:r w:rsidRPr="007375EB">
              <w:rPr>
                <w:lang w:val="bg-BG"/>
              </w:rPr>
              <w:t>Изграждане на подземна оптична мрежа за електронни съобщителни услуги, Негру Вода (предложено)</w:t>
            </w:r>
          </w:p>
        </w:tc>
        <w:tc>
          <w:tcPr>
            <w:tcW w:w="2125" w:type="dxa"/>
            <w:noWrap/>
            <w:vAlign w:val="center"/>
          </w:tcPr>
          <w:p w14:paraId="473F8675" w14:textId="77777777" w:rsidR="00AB122B" w:rsidRPr="007375EB" w:rsidRDefault="00AB122B" w:rsidP="00AB122B">
            <w:pPr>
              <w:jc w:val="both"/>
              <w:rPr>
                <w:lang w:val="bg-BG"/>
              </w:rPr>
            </w:pPr>
            <w:r w:rsidRPr="007375EB">
              <w:rPr>
                <w:lang w:val="bg-BG"/>
              </w:rPr>
              <w:t>13,07 км</w:t>
            </w:r>
          </w:p>
        </w:tc>
        <w:tc>
          <w:tcPr>
            <w:tcW w:w="482" w:type="dxa"/>
            <w:noWrap/>
            <w:vAlign w:val="center"/>
          </w:tcPr>
          <w:p w14:paraId="6B161643" w14:textId="77777777" w:rsidR="00AB122B" w:rsidRPr="007375EB" w:rsidRDefault="00AB122B" w:rsidP="00AB122B">
            <w:pPr>
              <w:jc w:val="both"/>
              <w:rPr>
                <w:lang w:val="bg-BG"/>
              </w:rPr>
            </w:pPr>
            <w:r w:rsidRPr="007375EB">
              <w:rPr>
                <w:lang w:val="bg-BG"/>
              </w:rPr>
              <w:t>-</w:t>
            </w:r>
          </w:p>
        </w:tc>
        <w:tc>
          <w:tcPr>
            <w:tcW w:w="916" w:type="dxa"/>
            <w:noWrap/>
            <w:vAlign w:val="center"/>
          </w:tcPr>
          <w:p w14:paraId="4960E76C" w14:textId="77777777" w:rsidR="00AB122B" w:rsidRPr="007375EB" w:rsidRDefault="00AB122B" w:rsidP="00AB122B">
            <w:pPr>
              <w:jc w:val="both"/>
              <w:rPr>
                <w:lang w:val="bg-BG"/>
              </w:rPr>
            </w:pPr>
            <w:r w:rsidRPr="007375EB">
              <w:rPr>
                <w:lang w:val="bg-BG"/>
              </w:rPr>
              <w:t>-</w:t>
            </w:r>
          </w:p>
        </w:tc>
        <w:tc>
          <w:tcPr>
            <w:tcW w:w="916" w:type="dxa"/>
            <w:noWrap/>
            <w:vAlign w:val="center"/>
          </w:tcPr>
          <w:p w14:paraId="259B0768" w14:textId="77777777" w:rsidR="00AB122B" w:rsidRPr="007375EB" w:rsidRDefault="00AB122B" w:rsidP="00AB122B">
            <w:pPr>
              <w:jc w:val="both"/>
              <w:rPr>
                <w:lang w:val="bg-BG"/>
              </w:rPr>
            </w:pPr>
            <w:r w:rsidRPr="007375EB">
              <w:rPr>
                <w:lang w:val="bg-BG"/>
              </w:rPr>
              <w:t>-</w:t>
            </w:r>
          </w:p>
        </w:tc>
        <w:tc>
          <w:tcPr>
            <w:tcW w:w="810" w:type="dxa"/>
            <w:noWrap/>
            <w:vAlign w:val="center"/>
          </w:tcPr>
          <w:p w14:paraId="4777ED35" w14:textId="77777777" w:rsidR="00AB122B" w:rsidRPr="007375EB" w:rsidRDefault="00AB122B" w:rsidP="00AB122B">
            <w:pPr>
              <w:jc w:val="both"/>
              <w:rPr>
                <w:lang w:val="bg-BG"/>
              </w:rPr>
            </w:pPr>
            <w:r w:rsidRPr="007375EB">
              <w:rPr>
                <w:lang w:val="bg-BG"/>
              </w:rPr>
              <w:t>-</w:t>
            </w:r>
          </w:p>
        </w:tc>
        <w:tc>
          <w:tcPr>
            <w:tcW w:w="630" w:type="dxa"/>
            <w:noWrap/>
            <w:vAlign w:val="center"/>
          </w:tcPr>
          <w:p w14:paraId="5ED3EE95" w14:textId="77777777" w:rsidR="00AB122B" w:rsidRPr="007375EB" w:rsidRDefault="00AB122B" w:rsidP="00AB122B">
            <w:pPr>
              <w:jc w:val="both"/>
              <w:rPr>
                <w:lang w:val="bg-BG"/>
              </w:rPr>
            </w:pPr>
            <w:r w:rsidRPr="007375EB">
              <w:rPr>
                <w:lang w:val="bg-BG"/>
              </w:rPr>
              <w:t>-</w:t>
            </w:r>
          </w:p>
        </w:tc>
        <w:tc>
          <w:tcPr>
            <w:tcW w:w="720" w:type="dxa"/>
            <w:noWrap/>
            <w:vAlign w:val="center"/>
          </w:tcPr>
          <w:p w14:paraId="0374AC4A" w14:textId="77777777" w:rsidR="00AB122B" w:rsidRPr="007375EB" w:rsidRDefault="00AB122B" w:rsidP="00AB122B">
            <w:pPr>
              <w:jc w:val="both"/>
              <w:rPr>
                <w:lang w:val="bg-BG"/>
              </w:rPr>
            </w:pPr>
            <w:r w:rsidRPr="007375EB">
              <w:rPr>
                <w:lang w:val="bg-BG"/>
              </w:rPr>
              <w:t>-</w:t>
            </w:r>
          </w:p>
        </w:tc>
        <w:tc>
          <w:tcPr>
            <w:tcW w:w="720" w:type="dxa"/>
            <w:noWrap/>
            <w:vAlign w:val="center"/>
          </w:tcPr>
          <w:p w14:paraId="2E024469" w14:textId="77777777" w:rsidR="00AB122B" w:rsidRPr="007375EB" w:rsidRDefault="00AB122B" w:rsidP="00AB122B">
            <w:pPr>
              <w:jc w:val="both"/>
              <w:rPr>
                <w:lang w:val="bg-BG"/>
              </w:rPr>
            </w:pPr>
            <w:r w:rsidRPr="007375EB">
              <w:rPr>
                <w:lang w:val="bg-BG"/>
              </w:rPr>
              <w:t>-</w:t>
            </w:r>
          </w:p>
        </w:tc>
        <w:tc>
          <w:tcPr>
            <w:tcW w:w="540" w:type="dxa"/>
            <w:noWrap/>
            <w:vAlign w:val="center"/>
          </w:tcPr>
          <w:p w14:paraId="28074C75" w14:textId="77777777" w:rsidR="00AB122B" w:rsidRPr="007375EB" w:rsidRDefault="00AB122B" w:rsidP="00AB122B">
            <w:pPr>
              <w:jc w:val="both"/>
              <w:rPr>
                <w:lang w:val="bg-BG"/>
              </w:rPr>
            </w:pPr>
            <w:r w:rsidRPr="007375EB">
              <w:rPr>
                <w:lang w:val="bg-BG"/>
              </w:rPr>
              <w:t>-</w:t>
            </w:r>
          </w:p>
        </w:tc>
        <w:tc>
          <w:tcPr>
            <w:tcW w:w="990" w:type="dxa"/>
            <w:noWrap/>
            <w:vAlign w:val="center"/>
          </w:tcPr>
          <w:p w14:paraId="3B0CF5F4" w14:textId="77777777" w:rsidR="00AB122B" w:rsidRPr="007375EB" w:rsidRDefault="00AB122B" w:rsidP="00AB122B">
            <w:pPr>
              <w:jc w:val="both"/>
              <w:rPr>
                <w:lang w:val="bg-BG"/>
              </w:rPr>
            </w:pPr>
            <w:r w:rsidRPr="007375EB">
              <w:rPr>
                <w:lang w:val="bg-BG"/>
              </w:rPr>
              <w:t>-</w:t>
            </w:r>
          </w:p>
        </w:tc>
        <w:tc>
          <w:tcPr>
            <w:tcW w:w="499" w:type="dxa"/>
            <w:noWrap/>
            <w:vAlign w:val="center"/>
          </w:tcPr>
          <w:p w14:paraId="7B44561F" w14:textId="77777777" w:rsidR="00AB122B" w:rsidRPr="007375EB" w:rsidRDefault="00AB122B" w:rsidP="00AB122B">
            <w:pPr>
              <w:jc w:val="both"/>
              <w:rPr>
                <w:lang w:val="bg-BG"/>
              </w:rPr>
            </w:pPr>
            <w:r w:rsidRPr="007375EB">
              <w:rPr>
                <w:lang w:val="bg-BG"/>
              </w:rPr>
              <w:t>-</w:t>
            </w:r>
          </w:p>
        </w:tc>
        <w:tc>
          <w:tcPr>
            <w:tcW w:w="507" w:type="dxa"/>
            <w:noWrap/>
            <w:vAlign w:val="center"/>
          </w:tcPr>
          <w:p w14:paraId="07A8E438" w14:textId="77777777" w:rsidR="00AB122B" w:rsidRPr="007375EB" w:rsidRDefault="00AB122B" w:rsidP="00AB122B">
            <w:pPr>
              <w:jc w:val="both"/>
              <w:rPr>
                <w:lang w:val="bg-BG"/>
              </w:rPr>
            </w:pPr>
            <w:r w:rsidRPr="007375EB">
              <w:rPr>
                <w:lang w:val="bg-BG"/>
              </w:rPr>
              <w:t>-</w:t>
            </w:r>
          </w:p>
        </w:tc>
        <w:tc>
          <w:tcPr>
            <w:tcW w:w="524" w:type="dxa"/>
            <w:noWrap/>
            <w:vAlign w:val="center"/>
          </w:tcPr>
          <w:p w14:paraId="7547DCAE" w14:textId="77777777" w:rsidR="00AB122B" w:rsidRPr="007375EB" w:rsidRDefault="00AB122B" w:rsidP="00AB122B">
            <w:pPr>
              <w:jc w:val="both"/>
              <w:rPr>
                <w:lang w:val="bg-BG"/>
              </w:rPr>
            </w:pPr>
            <w:r w:rsidRPr="007375EB">
              <w:rPr>
                <w:lang w:val="bg-BG"/>
              </w:rPr>
              <w:t>-</w:t>
            </w:r>
          </w:p>
        </w:tc>
        <w:tc>
          <w:tcPr>
            <w:tcW w:w="616" w:type="dxa"/>
            <w:noWrap/>
            <w:vAlign w:val="center"/>
          </w:tcPr>
          <w:p w14:paraId="60EA0315" w14:textId="77777777" w:rsidR="00AB122B" w:rsidRPr="007375EB" w:rsidRDefault="00AB122B" w:rsidP="00AB122B">
            <w:pPr>
              <w:jc w:val="both"/>
              <w:rPr>
                <w:lang w:val="bg-BG"/>
              </w:rPr>
            </w:pPr>
            <w:r w:rsidRPr="007375EB">
              <w:rPr>
                <w:lang w:val="bg-BG"/>
              </w:rPr>
              <w:t>-</w:t>
            </w:r>
          </w:p>
        </w:tc>
        <w:tc>
          <w:tcPr>
            <w:tcW w:w="612" w:type="dxa"/>
            <w:noWrap/>
            <w:vAlign w:val="center"/>
          </w:tcPr>
          <w:p w14:paraId="0C8530D9" w14:textId="77777777" w:rsidR="00AB122B" w:rsidRPr="007375EB" w:rsidRDefault="00AB122B" w:rsidP="00AB122B">
            <w:pPr>
              <w:jc w:val="both"/>
              <w:rPr>
                <w:lang w:val="bg-BG"/>
              </w:rPr>
            </w:pPr>
            <w:r w:rsidRPr="007375EB">
              <w:rPr>
                <w:lang w:val="bg-BG"/>
              </w:rPr>
              <w:t>-</w:t>
            </w:r>
          </w:p>
        </w:tc>
      </w:tr>
      <w:tr w:rsidR="00AB122B" w:rsidRPr="007375EB" w14:paraId="1D56D154" w14:textId="77777777" w:rsidTr="006C1B17">
        <w:trPr>
          <w:trHeight w:val="210"/>
        </w:trPr>
        <w:tc>
          <w:tcPr>
            <w:tcW w:w="621" w:type="dxa"/>
            <w:noWrap/>
          </w:tcPr>
          <w:p w14:paraId="2843629C" w14:textId="77777777" w:rsidR="00AB122B" w:rsidRPr="007375EB" w:rsidRDefault="00AB122B" w:rsidP="00AB122B">
            <w:pPr>
              <w:jc w:val="both"/>
              <w:rPr>
                <w:lang w:val="bg-BG"/>
              </w:rPr>
            </w:pPr>
            <w:r w:rsidRPr="007375EB">
              <w:rPr>
                <w:lang w:val="bg-BG"/>
              </w:rPr>
              <w:t>8</w:t>
            </w:r>
          </w:p>
        </w:tc>
        <w:tc>
          <w:tcPr>
            <w:tcW w:w="3189" w:type="dxa"/>
            <w:noWrap/>
          </w:tcPr>
          <w:p w14:paraId="3C2AB365" w14:textId="6583FBD1" w:rsidR="00AB122B" w:rsidRPr="007375EB" w:rsidRDefault="00AB122B" w:rsidP="00AB122B">
            <w:pPr>
              <w:jc w:val="both"/>
              <w:rPr>
                <w:lang w:val="bg-BG"/>
              </w:rPr>
            </w:pPr>
            <w:r w:rsidRPr="007375EB">
              <w:rPr>
                <w:lang w:val="bg-BG"/>
              </w:rPr>
              <w:t>Електроснабдяване на домакинство с вода, с. Фурника, община Думбръвени, окръг Констанца (предложено)</w:t>
            </w:r>
          </w:p>
        </w:tc>
        <w:tc>
          <w:tcPr>
            <w:tcW w:w="2125" w:type="dxa"/>
            <w:noWrap/>
            <w:vAlign w:val="center"/>
          </w:tcPr>
          <w:p w14:paraId="4D30F06C" w14:textId="77777777" w:rsidR="00AB122B" w:rsidRPr="007375EB" w:rsidRDefault="00AB122B" w:rsidP="00AB122B">
            <w:pPr>
              <w:jc w:val="both"/>
              <w:rPr>
                <w:lang w:val="bg-BG"/>
              </w:rPr>
            </w:pPr>
            <w:r w:rsidRPr="007375EB">
              <w:rPr>
                <w:lang w:val="bg-BG"/>
              </w:rPr>
              <w:t>0,56 км</w:t>
            </w:r>
          </w:p>
        </w:tc>
        <w:tc>
          <w:tcPr>
            <w:tcW w:w="482" w:type="dxa"/>
            <w:noWrap/>
            <w:vAlign w:val="center"/>
          </w:tcPr>
          <w:p w14:paraId="69844B0E" w14:textId="77777777" w:rsidR="00AB122B" w:rsidRPr="007375EB" w:rsidRDefault="00AB122B" w:rsidP="00AB122B">
            <w:pPr>
              <w:jc w:val="both"/>
              <w:rPr>
                <w:lang w:val="bg-BG"/>
              </w:rPr>
            </w:pPr>
            <w:r w:rsidRPr="007375EB">
              <w:rPr>
                <w:lang w:val="bg-BG"/>
              </w:rPr>
              <w:t>-</w:t>
            </w:r>
          </w:p>
        </w:tc>
        <w:tc>
          <w:tcPr>
            <w:tcW w:w="916" w:type="dxa"/>
            <w:noWrap/>
            <w:vAlign w:val="center"/>
          </w:tcPr>
          <w:p w14:paraId="1340408A" w14:textId="77777777" w:rsidR="00AB122B" w:rsidRPr="007375EB" w:rsidRDefault="00AB122B" w:rsidP="00AB122B">
            <w:pPr>
              <w:jc w:val="both"/>
              <w:rPr>
                <w:lang w:val="bg-BG"/>
              </w:rPr>
            </w:pPr>
            <w:r w:rsidRPr="007375EB">
              <w:rPr>
                <w:lang w:val="bg-BG"/>
              </w:rPr>
              <w:t>-</w:t>
            </w:r>
          </w:p>
        </w:tc>
        <w:tc>
          <w:tcPr>
            <w:tcW w:w="916" w:type="dxa"/>
            <w:noWrap/>
            <w:vAlign w:val="center"/>
          </w:tcPr>
          <w:p w14:paraId="22F8A98E" w14:textId="77777777" w:rsidR="00AB122B" w:rsidRPr="007375EB" w:rsidRDefault="00AB122B" w:rsidP="00AB122B">
            <w:pPr>
              <w:jc w:val="both"/>
              <w:rPr>
                <w:lang w:val="bg-BG"/>
              </w:rPr>
            </w:pPr>
            <w:r w:rsidRPr="007375EB">
              <w:rPr>
                <w:lang w:val="bg-BG"/>
              </w:rPr>
              <w:t>-</w:t>
            </w:r>
          </w:p>
        </w:tc>
        <w:tc>
          <w:tcPr>
            <w:tcW w:w="810" w:type="dxa"/>
            <w:noWrap/>
            <w:vAlign w:val="center"/>
          </w:tcPr>
          <w:p w14:paraId="388D61A3" w14:textId="77777777" w:rsidR="00AB122B" w:rsidRPr="007375EB" w:rsidRDefault="00AB122B" w:rsidP="00AB122B">
            <w:pPr>
              <w:jc w:val="both"/>
              <w:rPr>
                <w:lang w:val="bg-BG"/>
              </w:rPr>
            </w:pPr>
            <w:r w:rsidRPr="007375EB">
              <w:rPr>
                <w:lang w:val="bg-BG"/>
              </w:rPr>
              <w:t>-</w:t>
            </w:r>
          </w:p>
        </w:tc>
        <w:tc>
          <w:tcPr>
            <w:tcW w:w="630" w:type="dxa"/>
            <w:noWrap/>
            <w:vAlign w:val="center"/>
          </w:tcPr>
          <w:p w14:paraId="22E774C5" w14:textId="77777777" w:rsidR="00AB122B" w:rsidRPr="007375EB" w:rsidRDefault="00AB122B" w:rsidP="00AB122B">
            <w:pPr>
              <w:jc w:val="both"/>
              <w:rPr>
                <w:lang w:val="bg-BG"/>
              </w:rPr>
            </w:pPr>
            <w:r w:rsidRPr="007375EB">
              <w:rPr>
                <w:lang w:val="bg-BG"/>
              </w:rPr>
              <w:t>-</w:t>
            </w:r>
          </w:p>
        </w:tc>
        <w:tc>
          <w:tcPr>
            <w:tcW w:w="720" w:type="dxa"/>
            <w:noWrap/>
            <w:vAlign w:val="center"/>
          </w:tcPr>
          <w:p w14:paraId="24777924" w14:textId="77777777" w:rsidR="00AB122B" w:rsidRPr="007375EB" w:rsidRDefault="00AB122B" w:rsidP="00AB122B">
            <w:pPr>
              <w:jc w:val="both"/>
              <w:rPr>
                <w:lang w:val="bg-BG"/>
              </w:rPr>
            </w:pPr>
            <w:r w:rsidRPr="007375EB">
              <w:rPr>
                <w:lang w:val="bg-BG"/>
              </w:rPr>
              <w:t>-</w:t>
            </w:r>
          </w:p>
        </w:tc>
        <w:tc>
          <w:tcPr>
            <w:tcW w:w="720" w:type="dxa"/>
            <w:noWrap/>
            <w:vAlign w:val="center"/>
          </w:tcPr>
          <w:p w14:paraId="166F302C" w14:textId="77777777" w:rsidR="00AB122B" w:rsidRPr="007375EB" w:rsidRDefault="00AB122B" w:rsidP="00AB122B">
            <w:pPr>
              <w:jc w:val="both"/>
              <w:rPr>
                <w:lang w:val="bg-BG"/>
              </w:rPr>
            </w:pPr>
            <w:r w:rsidRPr="007375EB">
              <w:rPr>
                <w:lang w:val="bg-BG"/>
              </w:rPr>
              <w:t>-</w:t>
            </w:r>
          </w:p>
        </w:tc>
        <w:tc>
          <w:tcPr>
            <w:tcW w:w="540" w:type="dxa"/>
            <w:noWrap/>
            <w:vAlign w:val="center"/>
          </w:tcPr>
          <w:p w14:paraId="4297D682" w14:textId="77777777" w:rsidR="00AB122B" w:rsidRPr="007375EB" w:rsidRDefault="00AB122B" w:rsidP="00AB122B">
            <w:pPr>
              <w:jc w:val="both"/>
              <w:rPr>
                <w:lang w:val="bg-BG"/>
              </w:rPr>
            </w:pPr>
            <w:r w:rsidRPr="007375EB">
              <w:rPr>
                <w:lang w:val="bg-BG"/>
              </w:rPr>
              <w:t>-</w:t>
            </w:r>
          </w:p>
        </w:tc>
        <w:tc>
          <w:tcPr>
            <w:tcW w:w="990" w:type="dxa"/>
            <w:noWrap/>
            <w:vAlign w:val="center"/>
          </w:tcPr>
          <w:p w14:paraId="560D20DA" w14:textId="77777777" w:rsidR="00AB122B" w:rsidRPr="007375EB" w:rsidRDefault="00AB122B" w:rsidP="00AB122B">
            <w:pPr>
              <w:jc w:val="both"/>
              <w:rPr>
                <w:lang w:val="bg-BG"/>
              </w:rPr>
            </w:pPr>
            <w:r w:rsidRPr="007375EB">
              <w:rPr>
                <w:lang w:val="bg-BG"/>
              </w:rPr>
              <w:t>-</w:t>
            </w:r>
          </w:p>
        </w:tc>
        <w:tc>
          <w:tcPr>
            <w:tcW w:w="499" w:type="dxa"/>
            <w:noWrap/>
            <w:vAlign w:val="center"/>
          </w:tcPr>
          <w:p w14:paraId="50B22D0D" w14:textId="77777777" w:rsidR="00AB122B" w:rsidRPr="007375EB" w:rsidRDefault="00AB122B" w:rsidP="00AB122B">
            <w:pPr>
              <w:jc w:val="both"/>
              <w:rPr>
                <w:lang w:val="bg-BG"/>
              </w:rPr>
            </w:pPr>
            <w:r w:rsidRPr="007375EB">
              <w:rPr>
                <w:lang w:val="bg-BG"/>
              </w:rPr>
              <w:t>-</w:t>
            </w:r>
          </w:p>
        </w:tc>
        <w:tc>
          <w:tcPr>
            <w:tcW w:w="507" w:type="dxa"/>
            <w:noWrap/>
            <w:vAlign w:val="center"/>
          </w:tcPr>
          <w:p w14:paraId="5E772E1A" w14:textId="77777777" w:rsidR="00AB122B" w:rsidRPr="007375EB" w:rsidRDefault="00AB122B" w:rsidP="00AB122B">
            <w:pPr>
              <w:jc w:val="both"/>
              <w:rPr>
                <w:lang w:val="bg-BG"/>
              </w:rPr>
            </w:pPr>
            <w:r w:rsidRPr="007375EB">
              <w:rPr>
                <w:lang w:val="bg-BG"/>
              </w:rPr>
              <w:t>-</w:t>
            </w:r>
          </w:p>
        </w:tc>
        <w:tc>
          <w:tcPr>
            <w:tcW w:w="524" w:type="dxa"/>
            <w:noWrap/>
            <w:vAlign w:val="center"/>
          </w:tcPr>
          <w:p w14:paraId="1D30883E" w14:textId="77777777" w:rsidR="00AB122B" w:rsidRPr="007375EB" w:rsidRDefault="00AB122B" w:rsidP="00AB122B">
            <w:pPr>
              <w:jc w:val="both"/>
              <w:rPr>
                <w:lang w:val="bg-BG"/>
              </w:rPr>
            </w:pPr>
            <w:r w:rsidRPr="007375EB">
              <w:rPr>
                <w:lang w:val="bg-BG"/>
              </w:rPr>
              <w:t>-</w:t>
            </w:r>
          </w:p>
        </w:tc>
        <w:tc>
          <w:tcPr>
            <w:tcW w:w="616" w:type="dxa"/>
            <w:noWrap/>
            <w:vAlign w:val="center"/>
          </w:tcPr>
          <w:p w14:paraId="69E78278" w14:textId="77777777" w:rsidR="00AB122B" w:rsidRPr="007375EB" w:rsidRDefault="00AB122B" w:rsidP="00AB122B">
            <w:pPr>
              <w:jc w:val="both"/>
              <w:rPr>
                <w:lang w:val="bg-BG"/>
              </w:rPr>
            </w:pPr>
            <w:r w:rsidRPr="007375EB">
              <w:rPr>
                <w:lang w:val="bg-BG"/>
              </w:rPr>
              <w:t>-</w:t>
            </w:r>
          </w:p>
        </w:tc>
        <w:tc>
          <w:tcPr>
            <w:tcW w:w="612" w:type="dxa"/>
            <w:noWrap/>
            <w:vAlign w:val="center"/>
          </w:tcPr>
          <w:p w14:paraId="71852E86" w14:textId="77777777" w:rsidR="00AB122B" w:rsidRPr="007375EB" w:rsidRDefault="00AB122B" w:rsidP="00AB122B">
            <w:pPr>
              <w:jc w:val="both"/>
              <w:rPr>
                <w:lang w:val="bg-BG"/>
              </w:rPr>
            </w:pPr>
            <w:r w:rsidRPr="007375EB">
              <w:rPr>
                <w:lang w:val="bg-BG"/>
              </w:rPr>
              <w:t>-</w:t>
            </w:r>
          </w:p>
        </w:tc>
      </w:tr>
      <w:tr w:rsidR="006C1B17" w:rsidRPr="007375EB" w14:paraId="48AAD46F" w14:textId="77777777" w:rsidTr="006C1B17">
        <w:trPr>
          <w:trHeight w:val="210"/>
        </w:trPr>
        <w:tc>
          <w:tcPr>
            <w:tcW w:w="621" w:type="dxa"/>
            <w:noWrap/>
          </w:tcPr>
          <w:p w14:paraId="26A946BA" w14:textId="77777777" w:rsidR="006C1B17" w:rsidRPr="007375EB" w:rsidRDefault="006C1B17" w:rsidP="00AB122B">
            <w:pPr>
              <w:jc w:val="both"/>
              <w:rPr>
                <w:lang w:val="bg-BG"/>
              </w:rPr>
            </w:pPr>
            <w:r w:rsidRPr="007375EB">
              <w:rPr>
                <w:lang w:val="bg-BG"/>
              </w:rPr>
              <w:t>9</w:t>
            </w:r>
          </w:p>
        </w:tc>
        <w:tc>
          <w:tcPr>
            <w:tcW w:w="3189" w:type="dxa"/>
            <w:noWrap/>
          </w:tcPr>
          <w:p w14:paraId="470B24C9" w14:textId="774D80C7" w:rsidR="006C1B17" w:rsidRPr="007375EB" w:rsidRDefault="00AB122B" w:rsidP="00AB122B">
            <w:pPr>
              <w:jc w:val="both"/>
              <w:rPr>
                <w:lang w:val="bg-BG"/>
              </w:rPr>
            </w:pPr>
            <w:r w:rsidRPr="007375EB">
              <w:rPr>
                <w:lang w:val="bg-BG"/>
              </w:rPr>
              <w:t xml:space="preserve">Преместване на международния транспортен тръбопровод за природен газ dn 1000T1 Исакча – Негру Вода, в района на кариерата </w:t>
            </w:r>
            <w:r w:rsidRPr="007375EB">
              <w:rPr>
                <w:lang w:val="bg-BG"/>
              </w:rPr>
              <w:lastRenderedPageBreak/>
              <w:t>ROMCIM, PL Меджидиа (предложено)</w:t>
            </w:r>
          </w:p>
        </w:tc>
        <w:tc>
          <w:tcPr>
            <w:tcW w:w="2125" w:type="dxa"/>
            <w:noWrap/>
            <w:vAlign w:val="center"/>
          </w:tcPr>
          <w:p w14:paraId="118F1D59" w14:textId="77777777" w:rsidR="006C1B17" w:rsidRPr="007375EB" w:rsidRDefault="006C1B17" w:rsidP="00AB122B">
            <w:pPr>
              <w:jc w:val="both"/>
              <w:rPr>
                <w:lang w:val="bg-BG"/>
              </w:rPr>
            </w:pPr>
            <w:r w:rsidRPr="007375EB">
              <w:rPr>
                <w:lang w:val="bg-BG"/>
              </w:rPr>
              <w:lastRenderedPageBreak/>
              <w:t>27,71 км</w:t>
            </w:r>
          </w:p>
        </w:tc>
        <w:tc>
          <w:tcPr>
            <w:tcW w:w="482" w:type="dxa"/>
            <w:noWrap/>
            <w:vAlign w:val="center"/>
          </w:tcPr>
          <w:p w14:paraId="3A658925" w14:textId="77777777" w:rsidR="006C1B17" w:rsidRPr="007375EB" w:rsidRDefault="006C1B17" w:rsidP="00AB122B">
            <w:pPr>
              <w:jc w:val="both"/>
              <w:rPr>
                <w:lang w:val="bg-BG"/>
              </w:rPr>
            </w:pPr>
            <w:r w:rsidRPr="007375EB">
              <w:rPr>
                <w:lang w:val="bg-BG"/>
              </w:rPr>
              <w:t>-</w:t>
            </w:r>
          </w:p>
        </w:tc>
        <w:tc>
          <w:tcPr>
            <w:tcW w:w="916" w:type="dxa"/>
            <w:noWrap/>
            <w:vAlign w:val="center"/>
          </w:tcPr>
          <w:p w14:paraId="644B118D" w14:textId="77777777" w:rsidR="006C1B17" w:rsidRPr="007375EB" w:rsidRDefault="006C1B17" w:rsidP="00AB122B">
            <w:pPr>
              <w:jc w:val="both"/>
              <w:rPr>
                <w:lang w:val="bg-BG"/>
              </w:rPr>
            </w:pPr>
            <w:r w:rsidRPr="007375EB">
              <w:rPr>
                <w:lang w:val="bg-BG"/>
              </w:rPr>
              <w:t>-</w:t>
            </w:r>
          </w:p>
        </w:tc>
        <w:tc>
          <w:tcPr>
            <w:tcW w:w="916" w:type="dxa"/>
            <w:noWrap/>
            <w:vAlign w:val="center"/>
          </w:tcPr>
          <w:p w14:paraId="2EED4882" w14:textId="77777777" w:rsidR="006C1B17" w:rsidRPr="007375EB" w:rsidRDefault="006C1B17" w:rsidP="00AB122B">
            <w:pPr>
              <w:jc w:val="both"/>
              <w:rPr>
                <w:lang w:val="bg-BG"/>
              </w:rPr>
            </w:pPr>
            <w:r w:rsidRPr="007375EB">
              <w:rPr>
                <w:lang w:val="bg-BG"/>
              </w:rPr>
              <w:t>-</w:t>
            </w:r>
          </w:p>
        </w:tc>
        <w:tc>
          <w:tcPr>
            <w:tcW w:w="810" w:type="dxa"/>
            <w:noWrap/>
            <w:vAlign w:val="center"/>
          </w:tcPr>
          <w:p w14:paraId="6003677C" w14:textId="77777777" w:rsidR="006C1B17" w:rsidRPr="007375EB" w:rsidRDefault="006C1B17" w:rsidP="00AB122B">
            <w:pPr>
              <w:jc w:val="both"/>
              <w:rPr>
                <w:lang w:val="bg-BG"/>
              </w:rPr>
            </w:pPr>
            <w:r w:rsidRPr="007375EB">
              <w:rPr>
                <w:lang w:val="bg-BG"/>
              </w:rPr>
              <w:t>-</w:t>
            </w:r>
          </w:p>
        </w:tc>
        <w:tc>
          <w:tcPr>
            <w:tcW w:w="630" w:type="dxa"/>
            <w:noWrap/>
            <w:vAlign w:val="center"/>
          </w:tcPr>
          <w:p w14:paraId="7DA5EC17" w14:textId="77777777" w:rsidR="006C1B17" w:rsidRPr="007375EB" w:rsidRDefault="006C1B17" w:rsidP="00AB122B">
            <w:pPr>
              <w:jc w:val="both"/>
              <w:rPr>
                <w:lang w:val="bg-BG"/>
              </w:rPr>
            </w:pPr>
            <w:r w:rsidRPr="007375EB">
              <w:rPr>
                <w:lang w:val="bg-BG"/>
              </w:rPr>
              <w:t>-</w:t>
            </w:r>
          </w:p>
        </w:tc>
        <w:tc>
          <w:tcPr>
            <w:tcW w:w="720" w:type="dxa"/>
            <w:noWrap/>
            <w:vAlign w:val="center"/>
          </w:tcPr>
          <w:p w14:paraId="615F2BB5" w14:textId="77777777" w:rsidR="006C1B17" w:rsidRPr="007375EB" w:rsidRDefault="006C1B17" w:rsidP="00AB122B">
            <w:pPr>
              <w:jc w:val="both"/>
              <w:rPr>
                <w:lang w:val="bg-BG"/>
              </w:rPr>
            </w:pPr>
            <w:r w:rsidRPr="007375EB">
              <w:rPr>
                <w:lang w:val="bg-BG"/>
              </w:rPr>
              <w:t>-</w:t>
            </w:r>
          </w:p>
        </w:tc>
        <w:tc>
          <w:tcPr>
            <w:tcW w:w="720" w:type="dxa"/>
            <w:noWrap/>
            <w:vAlign w:val="center"/>
          </w:tcPr>
          <w:p w14:paraId="1B1CBA9D" w14:textId="77777777" w:rsidR="006C1B17" w:rsidRPr="007375EB" w:rsidRDefault="006C1B17" w:rsidP="00AB122B">
            <w:pPr>
              <w:jc w:val="both"/>
              <w:rPr>
                <w:lang w:val="bg-BG"/>
              </w:rPr>
            </w:pPr>
            <w:r w:rsidRPr="007375EB">
              <w:rPr>
                <w:lang w:val="bg-BG"/>
              </w:rPr>
              <w:t>-</w:t>
            </w:r>
          </w:p>
        </w:tc>
        <w:tc>
          <w:tcPr>
            <w:tcW w:w="540" w:type="dxa"/>
            <w:noWrap/>
            <w:vAlign w:val="center"/>
          </w:tcPr>
          <w:p w14:paraId="382FD62D" w14:textId="77777777" w:rsidR="006C1B17" w:rsidRPr="007375EB" w:rsidRDefault="006C1B17" w:rsidP="00AB122B">
            <w:pPr>
              <w:jc w:val="both"/>
              <w:rPr>
                <w:lang w:val="bg-BG"/>
              </w:rPr>
            </w:pPr>
            <w:r w:rsidRPr="007375EB">
              <w:rPr>
                <w:lang w:val="bg-BG"/>
              </w:rPr>
              <w:t>-</w:t>
            </w:r>
          </w:p>
        </w:tc>
        <w:tc>
          <w:tcPr>
            <w:tcW w:w="990" w:type="dxa"/>
            <w:noWrap/>
            <w:vAlign w:val="center"/>
          </w:tcPr>
          <w:p w14:paraId="1E385E95" w14:textId="77777777" w:rsidR="006C1B17" w:rsidRPr="007375EB" w:rsidRDefault="006C1B17" w:rsidP="00AB122B">
            <w:pPr>
              <w:jc w:val="both"/>
              <w:rPr>
                <w:lang w:val="bg-BG"/>
              </w:rPr>
            </w:pPr>
            <w:r w:rsidRPr="007375EB">
              <w:rPr>
                <w:lang w:val="bg-BG"/>
              </w:rPr>
              <w:t>-</w:t>
            </w:r>
          </w:p>
        </w:tc>
        <w:tc>
          <w:tcPr>
            <w:tcW w:w="499" w:type="dxa"/>
            <w:noWrap/>
            <w:vAlign w:val="center"/>
          </w:tcPr>
          <w:p w14:paraId="7391329F" w14:textId="77777777" w:rsidR="006C1B17" w:rsidRPr="007375EB" w:rsidRDefault="006C1B17" w:rsidP="00AB122B">
            <w:pPr>
              <w:jc w:val="both"/>
              <w:rPr>
                <w:lang w:val="bg-BG"/>
              </w:rPr>
            </w:pPr>
            <w:r w:rsidRPr="007375EB">
              <w:rPr>
                <w:lang w:val="bg-BG"/>
              </w:rPr>
              <w:t>-</w:t>
            </w:r>
          </w:p>
        </w:tc>
        <w:tc>
          <w:tcPr>
            <w:tcW w:w="507" w:type="dxa"/>
            <w:noWrap/>
            <w:vAlign w:val="center"/>
          </w:tcPr>
          <w:p w14:paraId="244FFC51" w14:textId="77777777" w:rsidR="006C1B17" w:rsidRPr="007375EB" w:rsidRDefault="006C1B17" w:rsidP="00AB122B">
            <w:pPr>
              <w:jc w:val="both"/>
              <w:rPr>
                <w:lang w:val="bg-BG"/>
              </w:rPr>
            </w:pPr>
            <w:r w:rsidRPr="007375EB">
              <w:rPr>
                <w:lang w:val="bg-BG"/>
              </w:rPr>
              <w:t>-</w:t>
            </w:r>
          </w:p>
        </w:tc>
        <w:tc>
          <w:tcPr>
            <w:tcW w:w="524" w:type="dxa"/>
            <w:noWrap/>
            <w:vAlign w:val="center"/>
          </w:tcPr>
          <w:p w14:paraId="2B8F8153" w14:textId="77777777" w:rsidR="006C1B17" w:rsidRPr="007375EB" w:rsidRDefault="006C1B17" w:rsidP="00AB122B">
            <w:pPr>
              <w:jc w:val="both"/>
              <w:rPr>
                <w:lang w:val="bg-BG"/>
              </w:rPr>
            </w:pPr>
            <w:r w:rsidRPr="007375EB">
              <w:rPr>
                <w:lang w:val="bg-BG"/>
              </w:rPr>
              <w:t>-</w:t>
            </w:r>
          </w:p>
        </w:tc>
        <w:tc>
          <w:tcPr>
            <w:tcW w:w="616" w:type="dxa"/>
            <w:noWrap/>
            <w:vAlign w:val="center"/>
          </w:tcPr>
          <w:p w14:paraId="3B611516" w14:textId="77777777" w:rsidR="006C1B17" w:rsidRPr="007375EB" w:rsidRDefault="006C1B17" w:rsidP="00AB122B">
            <w:pPr>
              <w:jc w:val="both"/>
              <w:rPr>
                <w:lang w:val="bg-BG"/>
              </w:rPr>
            </w:pPr>
            <w:r w:rsidRPr="007375EB">
              <w:rPr>
                <w:lang w:val="bg-BG"/>
              </w:rPr>
              <w:t>-</w:t>
            </w:r>
          </w:p>
        </w:tc>
        <w:tc>
          <w:tcPr>
            <w:tcW w:w="612" w:type="dxa"/>
            <w:noWrap/>
            <w:vAlign w:val="center"/>
          </w:tcPr>
          <w:p w14:paraId="1672AEDB" w14:textId="77777777" w:rsidR="006C1B17" w:rsidRPr="007375EB" w:rsidRDefault="006C1B17" w:rsidP="00AB122B">
            <w:pPr>
              <w:jc w:val="both"/>
              <w:rPr>
                <w:lang w:val="bg-BG"/>
              </w:rPr>
            </w:pPr>
            <w:r w:rsidRPr="007375EB">
              <w:rPr>
                <w:lang w:val="bg-BG"/>
              </w:rPr>
              <w:t>-</w:t>
            </w:r>
          </w:p>
        </w:tc>
      </w:tr>
      <w:tr w:rsidR="00AB122B" w:rsidRPr="007375EB" w14:paraId="66C2C64E" w14:textId="77777777" w:rsidTr="006C1B17">
        <w:trPr>
          <w:trHeight w:val="210"/>
        </w:trPr>
        <w:tc>
          <w:tcPr>
            <w:tcW w:w="621" w:type="dxa"/>
            <w:noWrap/>
          </w:tcPr>
          <w:p w14:paraId="5CA48E19" w14:textId="77777777" w:rsidR="00AB122B" w:rsidRPr="007375EB" w:rsidRDefault="00AB122B" w:rsidP="00AB122B">
            <w:pPr>
              <w:jc w:val="both"/>
              <w:rPr>
                <w:lang w:val="bg-BG"/>
              </w:rPr>
            </w:pPr>
            <w:r w:rsidRPr="007375EB">
              <w:rPr>
                <w:lang w:val="bg-BG"/>
              </w:rPr>
              <w:t>10</w:t>
            </w:r>
          </w:p>
        </w:tc>
        <w:tc>
          <w:tcPr>
            <w:tcW w:w="3189" w:type="dxa"/>
            <w:noWrap/>
          </w:tcPr>
          <w:p w14:paraId="2FEC44E0" w14:textId="2098837F" w:rsidR="00AB122B" w:rsidRPr="007375EB" w:rsidRDefault="00AB122B" w:rsidP="00AB122B">
            <w:pPr>
              <w:jc w:val="both"/>
              <w:rPr>
                <w:lang w:val="bg-BG"/>
              </w:rPr>
            </w:pPr>
            <w:r w:rsidRPr="007375EB">
              <w:rPr>
                <w:lang w:val="bg-BG"/>
              </w:rPr>
              <w:t>Общ градоустройствен план на община  Индепенденца (предложен)</w:t>
            </w:r>
          </w:p>
        </w:tc>
        <w:tc>
          <w:tcPr>
            <w:tcW w:w="2125" w:type="dxa"/>
            <w:noWrap/>
            <w:vAlign w:val="center"/>
          </w:tcPr>
          <w:p w14:paraId="161B1F84" w14:textId="6B995793" w:rsidR="00AB122B" w:rsidRPr="007375EB" w:rsidRDefault="00AB122B" w:rsidP="00AB122B">
            <w:pPr>
              <w:jc w:val="both"/>
              <w:rPr>
                <w:lang w:val="bg-BG"/>
              </w:rPr>
            </w:pPr>
            <w:r w:rsidRPr="007375EB">
              <w:rPr>
                <w:lang w:val="bg-BG"/>
              </w:rPr>
              <w:t>Пресечено в района на Индепенденца</w:t>
            </w:r>
          </w:p>
        </w:tc>
        <w:tc>
          <w:tcPr>
            <w:tcW w:w="482" w:type="dxa"/>
            <w:noWrap/>
            <w:vAlign w:val="center"/>
          </w:tcPr>
          <w:p w14:paraId="2994D223" w14:textId="77777777" w:rsidR="00AB122B" w:rsidRPr="007375EB" w:rsidRDefault="00AB122B" w:rsidP="00AB122B">
            <w:pPr>
              <w:jc w:val="both"/>
              <w:rPr>
                <w:lang w:val="bg-BG"/>
              </w:rPr>
            </w:pPr>
            <w:r w:rsidRPr="007375EB">
              <w:rPr>
                <w:lang w:val="bg-BG"/>
              </w:rPr>
              <w:t>-</w:t>
            </w:r>
          </w:p>
        </w:tc>
        <w:tc>
          <w:tcPr>
            <w:tcW w:w="916" w:type="dxa"/>
            <w:noWrap/>
            <w:vAlign w:val="center"/>
          </w:tcPr>
          <w:p w14:paraId="4D4E519F" w14:textId="77777777" w:rsidR="00AB122B" w:rsidRPr="007375EB" w:rsidRDefault="00AB122B" w:rsidP="00AB122B">
            <w:pPr>
              <w:jc w:val="both"/>
              <w:rPr>
                <w:lang w:val="bg-BG"/>
              </w:rPr>
            </w:pPr>
            <w:r w:rsidRPr="007375EB">
              <w:rPr>
                <w:lang w:val="bg-BG"/>
              </w:rPr>
              <w:t>-</w:t>
            </w:r>
          </w:p>
        </w:tc>
        <w:tc>
          <w:tcPr>
            <w:tcW w:w="916" w:type="dxa"/>
            <w:noWrap/>
            <w:vAlign w:val="center"/>
          </w:tcPr>
          <w:p w14:paraId="509E107C" w14:textId="77777777" w:rsidR="00AB122B" w:rsidRPr="007375EB" w:rsidRDefault="00AB122B" w:rsidP="00AB122B">
            <w:pPr>
              <w:jc w:val="both"/>
              <w:rPr>
                <w:lang w:val="bg-BG"/>
              </w:rPr>
            </w:pPr>
            <w:r w:rsidRPr="007375EB">
              <w:rPr>
                <w:lang w:val="bg-BG"/>
              </w:rPr>
              <w:t>-</w:t>
            </w:r>
          </w:p>
        </w:tc>
        <w:tc>
          <w:tcPr>
            <w:tcW w:w="810" w:type="dxa"/>
            <w:noWrap/>
            <w:vAlign w:val="center"/>
          </w:tcPr>
          <w:p w14:paraId="5AEB4913" w14:textId="77777777" w:rsidR="00AB122B" w:rsidRPr="007375EB" w:rsidRDefault="00AB122B" w:rsidP="00AB122B">
            <w:pPr>
              <w:jc w:val="both"/>
              <w:rPr>
                <w:lang w:val="bg-BG"/>
              </w:rPr>
            </w:pPr>
            <w:r w:rsidRPr="007375EB">
              <w:rPr>
                <w:lang w:val="bg-BG"/>
              </w:rPr>
              <w:t>-</w:t>
            </w:r>
          </w:p>
        </w:tc>
        <w:tc>
          <w:tcPr>
            <w:tcW w:w="630" w:type="dxa"/>
            <w:noWrap/>
            <w:vAlign w:val="center"/>
          </w:tcPr>
          <w:p w14:paraId="0F5F4A8D" w14:textId="77777777" w:rsidR="00AB122B" w:rsidRPr="007375EB" w:rsidRDefault="00AB122B" w:rsidP="00AB122B">
            <w:pPr>
              <w:jc w:val="both"/>
              <w:rPr>
                <w:lang w:val="bg-BG"/>
              </w:rPr>
            </w:pPr>
            <w:r w:rsidRPr="007375EB">
              <w:rPr>
                <w:lang w:val="bg-BG"/>
              </w:rPr>
              <w:t>-</w:t>
            </w:r>
          </w:p>
        </w:tc>
        <w:tc>
          <w:tcPr>
            <w:tcW w:w="720" w:type="dxa"/>
            <w:noWrap/>
            <w:vAlign w:val="center"/>
          </w:tcPr>
          <w:p w14:paraId="55BBC53C" w14:textId="77777777" w:rsidR="00AB122B" w:rsidRPr="007375EB" w:rsidRDefault="00AB122B" w:rsidP="00AB122B">
            <w:pPr>
              <w:jc w:val="both"/>
              <w:rPr>
                <w:lang w:val="bg-BG"/>
              </w:rPr>
            </w:pPr>
            <w:r w:rsidRPr="007375EB">
              <w:rPr>
                <w:lang w:val="bg-BG"/>
              </w:rPr>
              <w:t>-</w:t>
            </w:r>
          </w:p>
        </w:tc>
        <w:tc>
          <w:tcPr>
            <w:tcW w:w="720" w:type="dxa"/>
            <w:noWrap/>
            <w:vAlign w:val="center"/>
          </w:tcPr>
          <w:p w14:paraId="1F8A699D" w14:textId="77777777" w:rsidR="00AB122B" w:rsidRPr="007375EB" w:rsidRDefault="00AB122B" w:rsidP="00AB122B">
            <w:pPr>
              <w:jc w:val="both"/>
              <w:rPr>
                <w:lang w:val="bg-BG"/>
              </w:rPr>
            </w:pPr>
            <w:r w:rsidRPr="007375EB">
              <w:rPr>
                <w:lang w:val="bg-BG"/>
              </w:rPr>
              <w:t>-</w:t>
            </w:r>
          </w:p>
        </w:tc>
        <w:tc>
          <w:tcPr>
            <w:tcW w:w="540" w:type="dxa"/>
            <w:noWrap/>
            <w:vAlign w:val="center"/>
          </w:tcPr>
          <w:p w14:paraId="1C026535" w14:textId="77777777" w:rsidR="00AB122B" w:rsidRPr="007375EB" w:rsidRDefault="00AB122B" w:rsidP="00AB122B">
            <w:pPr>
              <w:jc w:val="both"/>
              <w:rPr>
                <w:lang w:val="bg-BG"/>
              </w:rPr>
            </w:pPr>
            <w:r w:rsidRPr="007375EB">
              <w:rPr>
                <w:lang w:val="bg-BG"/>
              </w:rPr>
              <w:t>-</w:t>
            </w:r>
          </w:p>
        </w:tc>
        <w:tc>
          <w:tcPr>
            <w:tcW w:w="990" w:type="dxa"/>
            <w:noWrap/>
            <w:vAlign w:val="center"/>
          </w:tcPr>
          <w:p w14:paraId="22F16C6F" w14:textId="77777777" w:rsidR="00AB122B" w:rsidRPr="007375EB" w:rsidRDefault="00AB122B" w:rsidP="00AB122B">
            <w:pPr>
              <w:jc w:val="both"/>
              <w:rPr>
                <w:lang w:val="bg-BG"/>
              </w:rPr>
            </w:pPr>
            <w:r w:rsidRPr="007375EB">
              <w:rPr>
                <w:lang w:val="bg-BG"/>
              </w:rPr>
              <w:t>-</w:t>
            </w:r>
          </w:p>
        </w:tc>
        <w:tc>
          <w:tcPr>
            <w:tcW w:w="499" w:type="dxa"/>
            <w:noWrap/>
            <w:vAlign w:val="center"/>
          </w:tcPr>
          <w:p w14:paraId="22D9B16C" w14:textId="77777777" w:rsidR="00AB122B" w:rsidRPr="007375EB" w:rsidRDefault="00AB122B" w:rsidP="00AB122B">
            <w:pPr>
              <w:jc w:val="both"/>
              <w:rPr>
                <w:lang w:val="bg-BG"/>
              </w:rPr>
            </w:pPr>
            <w:r w:rsidRPr="007375EB">
              <w:rPr>
                <w:lang w:val="bg-BG"/>
              </w:rPr>
              <w:t>-</w:t>
            </w:r>
          </w:p>
        </w:tc>
        <w:tc>
          <w:tcPr>
            <w:tcW w:w="507" w:type="dxa"/>
            <w:noWrap/>
            <w:vAlign w:val="center"/>
          </w:tcPr>
          <w:p w14:paraId="14784092" w14:textId="77777777" w:rsidR="00AB122B" w:rsidRPr="007375EB" w:rsidRDefault="00AB122B" w:rsidP="00AB122B">
            <w:pPr>
              <w:jc w:val="both"/>
              <w:rPr>
                <w:lang w:val="bg-BG"/>
              </w:rPr>
            </w:pPr>
            <w:r w:rsidRPr="007375EB">
              <w:rPr>
                <w:lang w:val="bg-BG"/>
              </w:rPr>
              <w:t>-</w:t>
            </w:r>
          </w:p>
        </w:tc>
        <w:tc>
          <w:tcPr>
            <w:tcW w:w="524" w:type="dxa"/>
            <w:noWrap/>
            <w:vAlign w:val="center"/>
          </w:tcPr>
          <w:p w14:paraId="6451EDB0" w14:textId="77777777" w:rsidR="00AB122B" w:rsidRPr="007375EB" w:rsidRDefault="00AB122B" w:rsidP="00AB122B">
            <w:pPr>
              <w:jc w:val="both"/>
              <w:rPr>
                <w:lang w:val="bg-BG"/>
              </w:rPr>
            </w:pPr>
            <w:r w:rsidRPr="007375EB">
              <w:rPr>
                <w:lang w:val="bg-BG"/>
              </w:rPr>
              <w:t>-</w:t>
            </w:r>
          </w:p>
        </w:tc>
        <w:tc>
          <w:tcPr>
            <w:tcW w:w="616" w:type="dxa"/>
            <w:noWrap/>
            <w:vAlign w:val="center"/>
          </w:tcPr>
          <w:p w14:paraId="3618722C" w14:textId="77777777" w:rsidR="00AB122B" w:rsidRPr="007375EB" w:rsidRDefault="00AB122B" w:rsidP="00AB122B">
            <w:pPr>
              <w:jc w:val="both"/>
              <w:rPr>
                <w:lang w:val="bg-BG"/>
              </w:rPr>
            </w:pPr>
            <w:r w:rsidRPr="007375EB">
              <w:rPr>
                <w:lang w:val="bg-BG"/>
              </w:rPr>
              <w:t>-</w:t>
            </w:r>
          </w:p>
        </w:tc>
        <w:tc>
          <w:tcPr>
            <w:tcW w:w="612" w:type="dxa"/>
            <w:noWrap/>
            <w:vAlign w:val="center"/>
          </w:tcPr>
          <w:p w14:paraId="62E0D7C7" w14:textId="77777777" w:rsidR="00AB122B" w:rsidRPr="007375EB" w:rsidRDefault="00AB122B" w:rsidP="00AB122B">
            <w:pPr>
              <w:jc w:val="both"/>
              <w:rPr>
                <w:lang w:val="bg-BG"/>
              </w:rPr>
            </w:pPr>
            <w:r w:rsidRPr="007375EB">
              <w:rPr>
                <w:lang w:val="bg-BG"/>
              </w:rPr>
              <w:t>-</w:t>
            </w:r>
          </w:p>
        </w:tc>
      </w:tr>
      <w:tr w:rsidR="00AB122B" w:rsidRPr="007375EB" w14:paraId="61225EAC" w14:textId="77777777" w:rsidTr="006C1B17">
        <w:trPr>
          <w:trHeight w:val="210"/>
        </w:trPr>
        <w:tc>
          <w:tcPr>
            <w:tcW w:w="621" w:type="dxa"/>
            <w:noWrap/>
          </w:tcPr>
          <w:p w14:paraId="593E9672" w14:textId="77777777" w:rsidR="00AB122B" w:rsidRPr="007375EB" w:rsidRDefault="00AB122B" w:rsidP="00AB122B">
            <w:pPr>
              <w:jc w:val="both"/>
              <w:rPr>
                <w:lang w:val="bg-BG"/>
              </w:rPr>
            </w:pPr>
            <w:r w:rsidRPr="007375EB">
              <w:rPr>
                <w:lang w:val="bg-BG"/>
              </w:rPr>
              <w:t>11</w:t>
            </w:r>
          </w:p>
        </w:tc>
        <w:tc>
          <w:tcPr>
            <w:tcW w:w="3189" w:type="dxa"/>
            <w:noWrap/>
          </w:tcPr>
          <w:p w14:paraId="511E73C5" w14:textId="461F3BA4" w:rsidR="00AB122B" w:rsidRPr="007375EB" w:rsidRDefault="00AB122B" w:rsidP="00AB122B">
            <w:pPr>
              <w:jc w:val="both"/>
              <w:rPr>
                <w:lang w:val="bg-BG"/>
              </w:rPr>
            </w:pPr>
            <w:r w:rsidRPr="007375EB">
              <w:rPr>
                <w:lang w:val="bg-BG"/>
              </w:rPr>
              <w:t>Изграждане на интелигентна мрежа за разпределение на природен газ в община Индепенденца, окръг Констанца (предложена)</w:t>
            </w:r>
          </w:p>
        </w:tc>
        <w:tc>
          <w:tcPr>
            <w:tcW w:w="2125" w:type="dxa"/>
            <w:noWrap/>
            <w:vAlign w:val="center"/>
          </w:tcPr>
          <w:p w14:paraId="184C3D09" w14:textId="49F92822" w:rsidR="00AB122B" w:rsidRPr="007375EB" w:rsidRDefault="00AB122B" w:rsidP="00AB122B">
            <w:pPr>
              <w:jc w:val="both"/>
              <w:rPr>
                <w:lang w:val="bg-BG"/>
              </w:rPr>
            </w:pPr>
            <w:r w:rsidRPr="007375EB">
              <w:rPr>
                <w:lang w:val="bg-BG"/>
              </w:rPr>
              <w:t>Пресечено в района на Индепенденца</w:t>
            </w:r>
          </w:p>
        </w:tc>
        <w:tc>
          <w:tcPr>
            <w:tcW w:w="482" w:type="dxa"/>
            <w:noWrap/>
            <w:vAlign w:val="center"/>
          </w:tcPr>
          <w:p w14:paraId="3FCE4E66" w14:textId="77777777" w:rsidR="00AB122B" w:rsidRPr="007375EB" w:rsidRDefault="00AB122B" w:rsidP="00AB122B">
            <w:pPr>
              <w:jc w:val="both"/>
              <w:rPr>
                <w:lang w:val="bg-BG"/>
              </w:rPr>
            </w:pPr>
            <w:r w:rsidRPr="007375EB">
              <w:rPr>
                <w:lang w:val="bg-BG"/>
              </w:rPr>
              <w:t>-</w:t>
            </w:r>
          </w:p>
        </w:tc>
        <w:tc>
          <w:tcPr>
            <w:tcW w:w="916" w:type="dxa"/>
            <w:noWrap/>
            <w:vAlign w:val="center"/>
          </w:tcPr>
          <w:p w14:paraId="68A26782" w14:textId="77777777" w:rsidR="00AB122B" w:rsidRPr="007375EB" w:rsidRDefault="00AB122B" w:rsidP="00AB122B">
            <w:pPr>
              <w:jc w:val="both"/>
              <w:rPr>
                <w:lang w:val="bg-BG"/>
              </w:rPr>
            </w:pPr>
            <w:r w:rsidRPr="007375EB">
              <w:rPr>
                <w:lang w:val="bg-BG"/>
              </w:rPr>
              <w:t>-</w:t>
            </w:r>
          </w:p>
        </w:tc>
        <w:tc>
          <w:tcPr>
            <w:tcW w:w="916" w:type="dxa"/>
            <w:noWrap/>
            <w:vAlign w:val="center"/>
          </w:tcPr>
          <w:p w14:paraId="3969D8DE" w14:textId="77777777" w:rsidR="00AB122B" w:rsidRPr="007375EB" w:rsidRDefault="00AB122B" w:rsidP="00AB122B">
            <w:pPr>
              <w:jc w:val="both"/>
              <w:rPr>
                <w:lang w:val="bg-BG"/>
              </w:rPr>
            </w:pPr>
            <w:r w:rsidRPr="007375EB">
              <w:rPr>
                <w:lang w:val="bg-BG"/>
              </w:rPr>
              <w:t>-</w:t>
            </w:r>
          </w:p>
        </w:tc>
        <w:tc>
          <w:tcPr>
            <w:tcW w:w="810" w:type="dxa"/>
            <w:noWrap/>
            <w:vAlign w:val="center"/>
          </w:tcPr>
          <w:p w14:paraId="2CB1930B" w14:textId="77777777" w:rsidR="00AB122B" w:rsidRPr="007375EB" w:rsidRDefault="00AB122B" w:rsidP="00AB122B">
            <w:pPr>
              <w:jc w:val="both"/>
              <w:rPr>
                <w:lang w:val="bg-BG"/>
              </w:rPr>
            </w:pPr>
            <w:r w:rsidRPr="007375EB">
              <w:rPr>
                <w:lang w:val="bg-BG"/>
              </w:rPr>
              <w:t>-</w:t>
            </w:r>
          </w:p>
        </w:tc>
        <w:tc>
          <w:tcPr>
            <w:tcW w:w="630" w:type="dxa"/>
            <w:noWrap/>
            <w:vAlign w:val="center"/>
          </w:tcPr>
          <w:p w14:paraId="3362D108" w14:textId="77777777" w:rsidR="00AB122B" w:rsidRPr="007375EB" w:rsidRDefault="00AB122B" w:rsidP="00AB122B">
            <w:pPr>
              <w:jc w:val="both"/>
              <w:rPr>
                <w:lang w:val="bg-BG"/>
              </w:rPr>
            </w:pPr>
            <w:r w:rsidRPr="007375EB">
              <w:rPr>
                <w:lang w:val="bg-BG"/>
              </w:rPr>
              <w:t>-</w:t>
            </w:r>
          </w:p>
        </w:tc>
        <w:tc>
          <w:tcPr>
            <w:tcW w:w="720" w:type="dxa"/>
            <w:noWrap/>
            <w:vAlign w:val="center"/>
          </w:tcPr>
          <w:p w14:paraId="70F9F70C" w14:textId="77777777" w:rsidR="00AB122B" w:rsidRPr="007375EB" w:rsidRDefault="00AB122B" w:rsidP="00AB122B">
            <w:pPr>
              <w:jc w:val="both"/>
              <w:rPr>
                <w:lang w:val="bg-BG"/>
              </w:rPr>
            </w:pPr>
            <w:r w:rsidRPr="007375EB">
              <w:rPr>
                <w:lang w:val="bg-BG"/>
              </w:rPr>
              <w:t>-</w:t>
            </w:r>
          </w:p>
        </w:tc>
        <w:tc>
          <w:tcPr>
            <w:tcW w:w="720" w:type="dxa"/>
            <w:noWrap/>
            <w:vAlign w:val="center"/>
          </w:tcPr>
          <w:p w14:paraId="40876AB7" w14:textId="77777777" w:rsidR="00AB122B" w:rsidRPr="007375EB" w:rsidRDefault="00AB122B" w:rsidP="00AB122B">
            <w:pPr>
              <w:jc w:val="both"/>
              <w:rPr>
                <w:lang w:val="bg-BG"/>
              </w:rPr>
            </w:pPr>
            <w:r w:rsidRPr="007375EB">
              <w:rPr>
                <w:lang w:val="bg-BG"/>
              </w:rPr>
              <w:t>-</w:t>
            </w:r>
          </w:p>
        </w:tc>
        <w:tc>
          <w:tcPr>
            <w:tcW w:w="540" w:type="dxa"/>
            <w:noWrap/>
            <w:vAlign w:val="center"/>
          </w:tcPr>
          <w:p w14:paraId="2615C2ED" w14:textId="77777777" w:rsidR="00AB122B" w:rsidRPr="007375EB" w:rsidRDefault="00AB122B" w:rsidP="00AB122B">
            <w:pPr>
              <w:jc w:val="both"/>
              <w:rPr>
                <w:lang w:val="bg-BG"/>
              </w:rPr>
            </w:pPr>
            <w:r w:rsidRPr="007375EB">
              <w:rPr>
                <w:lang w:val="bg-BG"/>
              </w:rPr>
              <w:t>-</w:t>
            </w:r>
          </w:p>
        </w:tc>
        <w:tc>
          <w:tcPr>
            <w:tcW w:w="990" w:type="dxa"/>
            <w:noWrap/>
            <w:vAlign w:val="center"/>
          </w:tcPr>
          <w:p w14:paraId="2BE3CCC6" w14:textId="77777777" w:rsidR="00AB122B" w:rsidRPr="007375EB" w:rsidRDefault="00AB122B" w:rsidP="00AB122B">
            <w:pPr>
              <w:jc w:val="both"/>
              <w:rPr>
                <w:lang w:val="bg-BG"/>
              </w:rPr>
            </w:pPr>
            <w:r w:rsidRPr="007375EB">
              <w:rPr>
                <w:lang w:val="bg-BG"/>
              </w:rPr>
              <w:t>-</w:t>
            </w:r>
          </w:p>
        </w:tc>
        <w:tc>
          <w:tcPr>
            <w:tcW w:w="499" w:type="dxa"/>
            <w:noWrap/>
            <w:vAlign w:val="center"/>
          </w:tcPr>
          <w:p w14:paraId="5D339721" w14:textId="77777777" w:rsidR="00AB122B" w:rsidRPr="007375EB" w:rsidRDefault="00AB122B" w:rsidP="00AB122B">
            <w:pPr>
              <w:jc w:val="both"/>
              <w:rPr>
                <w:lang w:val="bg-BG"/>
              </w:rPr>
            </w:pPr>
            <w:r w:rsidRPr="007375EB">
              <w:rPr>
                <w:lang w:val="bg-BG"/>
              </w:rPr>
              <w:t>-</w:t>
            </w:r>
          </w:p>
        </w:tc>
        <w:tc>
          <w:tcPr>
            <w:tcW w:w="507" w:type="dxa"/>
            <w:noWrap/>
            <w:vAlign w:val="center"/>
          </w:tcPr>
          <w:p w14:paraId="1F39A69B" w14:textId="77777777" w:rsidR="00AB122B" w:rsidRPr="007375EB" w:rsidRDefault="00AB122B" w:rsidP="00AB122B">
            <w:pPr>
              <w:jc w:val="both"/>
              <w:rPr>
                <w:lang w:val="bg-BG"/>
              </w:rPr>
            </w:pPr>
            <w:r w:rsidRPr="007375EB">
              <w:rPr>
                <w:lang w:val="bg-BG"/>
              </w:rPr>
              <w:t>-</w:t>
            </w:r>
          </w:p>
        </w:tc>
        <w:tc>
          <w:tcPr>
            <w:tcW w:w="524" w:type="dxa"/>
            <w:noWrap/>
            <w:vAlign w:val="center"/>
          </w:tcPr>
          <w:p w14:paraId="01B94514" w14:textId="77777777" w:rsidR="00AB122B" w:rsidRPr="007375EB" w:rsidRDefault="00AB122B" w:rsidP="00AB122B">
            <w:pPr>
              <w:jc w:val="both"/>
              <w:rPr>
                <w:lang w:val="bg-BG"/>
              </w:rPr>
            </w:pPr>
            <w:r w:rsidRPr="007375EB">
              <w:rPr>
                <w:lang w:val="bg-BG"/>
              </w:rPr>
              <w:t>-</w:t>
            </w:r>
          </w:p>
        </w:tc>
        <w:tc>
          <w:tcPr>
            <w:tcW w:w="616" w:type="dxa"/>
            <w:noWrap/>
            <w:vAlign w:val="center"/>
          </w:tcPr>
          <w:p w14:paraId="3B9BCFA8" w14:textId="77777777" w:rsidR="00AB122B" w:rsidRPr="007375EB" w:rsidRDefault="00AB122B" w:rsidP="00AB122B">
            <w:pPr>
              <w:jc w:val="both"/>
              <w:rPr>
                <w:lang w:val="bg-BG"/>
              </w:rPr>
            </w:pPr>
            <w:r w:rsidRPr="007375EB">
              <w:rPr>
                <w:lang w:val="bg-BG"/>
              </w:rPr>
              <w:t>-</w:t>
            </w:r>
          </w:p>
        </w:tc>
        <w:tc>
          <w:tcPr>
            <w:tcW w:w="612" w:type="dxa"/>
            <w:noWrap/>
            <w:vAlign w:val="center"/>
          </w:tcPr>
          <w:p w14:paraId="637A2D22" w14:textId="77777777" w:rsidR="00AB122B" w:rsidRPr="007375EB" w:rsidRDefault="00AB122B" w:rsidP="00AB122B">
            <w:pPr>
              <w:jc w:val="both"/>
              <w:rPr>
                <w:lang w:val="bg-BG"/>
              </w:rPr>
            </w:pPr>
            <w:r w:rsidRPr="007375EB">
              <w:rPr>
                <w:lang w:val="bg-BG"/>
              </w:rPr>
              <w:t>-</w:t>
            </w:r>
          </w:p>
        </w:tc>
      </w:tr>
      <w:tr w:rsidR="00AB122B" w:rsidRPr="007375EB" w14:paraId="239C685C" w14:textId="77777777" w:rsidTr="006C1B17">
        <w:trPr>
          <w:trHeight w:val="210"/>
        </w:trPr>
        <w:tc>
          <w:tcPr>
            <w:tcW w:w="621" w:type="dxa"/>
            <w:noWrap/>
          </w:tcPr>
          <w:p w14:paraId="7E96C6D8" w14:textId="77777777" w:rsidR="00AB122B" w:rsidRPr="007375EB" w:rsidRDefault="00AB122B" w:rsidP="00AB122B">
            <w:pPr>
              <w:jc w:val="both"/>
              <w:rPr>
                <w:lang w:val="bg-BG"/>
              </w:rPr>
            </w:pPr>
            <w:r w:rsidRPr="007375EB">
              <w:rPr>
                <w:lang w:val="bg-BG"/>
              </w:rPr>
              <w:t>12</w:t>
            </w:r>
          </w:p>
        </w:tc>
        <w:tc>
          <w:tcPr>
            <w:tcW w:w="3189" w:type="dxa"/>
            <w:noWrap/>
          </w:tcPr>
          <w:p w14:paraId="79574EEA" w14:textId="29F76F86" w:rsidR="00AB122B" w:rsidRPr="007375EB" w:rsidRDefault="00AB122B" w:rsidP="00AB122B">
            <w:pPr>
              <w:jc w:val="both"/>
              <w:rPr>
                <w:lang w:val="bg-BG"/>
              </w:rPr>
            </w:pPr>
            <w:r w:rsidRPr="007375EB">
              <w:rPr>
                <w:lang w:val="bg-BG"/>
              </w:rPr>
              <w:t>Изграждане на мост в Мовила Верде, улица „Бисеричи“, Мовила Верде, община Индепенденца, окръг Констанца (предложен)</w:t>
            </w:r>
          </w:p>
        </w:tc>
        <w:tc>
          <w:tcPr>
            <w:tcW w:w="2125" w:type="dxa"/>
            <w:noWrap/>
            <w:vAlign w:val="center"/>
          </w:tcPr>
          <w:p w14:paraId="257B705A" w14:textId="77777777" w:rsidR="00AB122B" w:rsidRPr="007375EB" w:rsidRDefault="00AB122B" w:rsidP="00AB122B">
            <w:pPr>
              <w:jc w:val="both"/>
              <w:rPr>
                <w:lang w:val="bg-BG"/>
              </w:rPr>
            </w:pPr>
            <w:r w:rsidRPr="007375EB">
              <w:rPr>
                <w:lang w:val="bg-BG"/>
              </w:rPr>
              <w:t>0,41 км</w:t>
            </w:r>
          </w:p>
        </w:tc>
        <w:tc>
          <w:tcPr>
            <w:tcW w:w="482" w:type="dxa"/>
            <w:noWrap/>
            <w:vAlign w:val="center"/>
          </w:tcPr>
          <w:p w14:paraId="0B920497" w14:textId="77777777" w:rsidR="00AB122B" w:rsidRPr="007375EB" w:rsidRDefault="00AB122B" w:rsidP="00AB122B">
            <w:pPr>
              <w:jc w:val="both"/>
              <w:rPr>
                <w:lang w:val="bg-BG"/>
              </w:rPr>
            </w:pPr>
            <w:r w:rsidRPr="007375EB">
              <w:rPr>
                <w:lang w:val="bg-BG"/>
              </w:rPr>
              <w:t>-</w:t>
            </w:r>
          </w:p>
        </w:tc>
        <w:tc>
          <w:tcPr>
            <w:tcW w:w="916" w:type="dxa"/>
            <w:noWrap/>
            <w:vAlign w:val="center"/>
          </w:tcPr>
          <w:p w14:paraId="7BC6CACD" w14:textId="77777777" w:rsidR="00AB122B" w:rsidRPr="007375EB" w:rsidRDefault="00AB122B" w:rsidP="00AB122B">
            <w:pPr>
              <w:jc w:val="both"/>
              <w:rPr>
                <w:lang w:val="bg-BG"/>
              </w:rPr>
            </w:pPr>
            <w:r w:rsidRPr="007375EB">
              <w:rPr>
                <w:lang w:val="bg-BG"/>
              </w:rPr>
              <w:t>-</w:t>
            </w:r>
          </w:p>
        </w:tc>
        <w:tc>
          <w:tcPr>
            <w:tcW w:w="916" w:type="dxa"/>
            <w:noWrap/>
            <w:vAlign w:val="center"/>
          </w:tcPr>
          <w:p w14:paraId="145F1249" w14:textId="77777777" w:rsidR="00AB122B" w:rsidRPr="007375EB" w:rsidRDefault="00AB122B" w:rsidP="00AB122B">
            <w:pPr>
              <w:jc w:val="both"/>
              <w:rPr>
                <w:lang w:val="bg-BG"/>
              </w:rPr>
            </w:pPr>
            <w:r w:rsidRPr="007375EB">
              <w:rPr>
                <w:lang w:val="bg-BG"/>
              </w:rPr>
              <w:t>-</w:t>
            </w:r>
          </w:p>
        </w:tc>
        <w:tc>
          <w:tcPr>
            <w:tcW w:w="810" w:type="dxa"/>
            <w:noWrap/>
            <w:vAlign w:val="center"/>
          </w:tcPr>
          <w:p w14:paraId="1E4D3F15" w14:textId="77777777" w:rsidR="00AB122B" w:rsidRPr="007375EB" w:rsidRDefault="00AB122B" w:rsidP="00AB122B">
            <w:pPr>
              <w:jc w:val="both"/>
              <w:rPr>
                <w:lang w:val="bg-BG"/>
              </w:rPr>
            </w:pPr>
            <w:r w:rsidRPr="007375EB">
              <w:rPr>
                <w:lang w:val="bg-BG"/>
              </w:rPr>
              <w:t>-</w:t>
            </w:r>
          </w:p>
        </w:tc>
        <w:tc>
          <w:tcPr>
            <w:tcW w:w="630" w:type="dxa"/>
            <w:noWrap/>
            <w:vAlign w:val="center"/>
          </w:tcPr>
          <w:p w14:paraId="1479C3D3" w14:textId="77777777" w:rsidR="00AB122B" w:rsidRPr="007375EB" w:rsidRDefault="00AB122B" w:rsidP="00AB122B">
            <w:pPr>
              <w:jc w:val="both"/>
              <w:rPr>
                <w:lang w:val="bg-BG"/>
              </w:rPr>
            </w:pPr>
            <w:r w:rsidRPr="007375EB">
              <w:rPr>
                <w:lang w:val="bg-BG"/>
              </w:rPr>
              <w:t>-</w:t>
            </w:r>
          </w:p>
        </w:tc>
        <w:tc>
          <w:tcPr>
            <w:tcW w:w="720" w:type="dxa"/>
            <w:noWrap/>
            <w:vAlign w:val="center"/>
          </w:tcPr>
          <w:p w14:paraId="1E5A3C2A" w14:textId="77777777" w:rsidR="00AB122B" w:rsidRPr="007375EB" w:rsidRDefault="00AB122B" w:rsidP="00AB122B">
            <w:pPr>
              <w:jc w:val="both"/>
              <w:rPr>
                <w:lang w:val="bg-BG"/>
              </w:rPr>
            </w:pPr>
            <w:r w:rsidRPr="007375EB">
              <w:rPr>
                <w:lang w:val="bg-BG"/>
              </w:rPr>
              <w:t>-</w:t>
            </w:r>
          </w:p>
        </w:tc>
        <w:tc>
          <w:tcPr>
            <w:tcW w:w="720" w:type="dxa"/>
            <w:noWrap/>
            <w:vAlign w:val="center"/>
          </w:tcPr>
          <w:p w14:paraId="06C2C7D1" w14:textId="77777777" w:rsidR="00AB122B" w:rsidRPr="007375EB" w:rsidRDefault="00AB122B" w:rsidP="00AB122B">
            <w:pPr>
              <w:jc w:val="both"/>
              <w:rPr>
                <w:lang w:val="bg-BG"/>
              </w:rPr>
            </w:pPr>
            <w:r w:rsidRPr="007375EB">
              <w:rPr>
                <w:lang w:val="bg-BG"/>
              </w:rPr>
              <w:t>-</w:t>
            </w:r>
          </w:p>
        </w:tc>
        <w:tc>
          <w:tcPr>
            <w:tcW w:w="540" w:type="dxa"/>
            <w:noWrap/>
            <w:vAlign w:val="center"/>
          </w:tcPr>
          <w:p w14:paraId="79784502" w14:textId="77777777" w:rsidR="00AB122B" w:rsidRPr="007375EB" w:rsidRDefault="00AB122B" w:rsidP="00AB122B">
            <w:pPr>
              <w:jc w:val="both"/>
              <w:rPr>
                <w:lang w:val="bg-BG"/>
              </w:rPr>
            </w:pPr>
            <w:r w:rsidRPr="007375EB">
              <w:rPr>
                <w:lang w:val="bg-BG"/>
              </w:rPr>
              <w:t>-</w:t>
            </w:r>
          </w:p>
        </w:tc>
        <w:tc>
          <w:tcPr>
            <w:tcW w:w="990" w:type="dxa"/>
            <w:noWrap/>
            <w:vAlign w:val="center"/>
          </w:tcPr>
          <w:p w14:paraId="15FC64C0" w14:textId="77777777" w:rsidR="00AB122B" w:rsidRPr="007375EB" w:rsidRDefault="00AB122B" w:rsidP="00AB122B">
            <w:pPr>
              <w:jc w:val="both"/>
              <w:rPr>
                <w:lang w:val="bg-BG"/>
              </w:rPr>
            </w:pPr>
            <w:r w:rsidRPr="007375EB">
              <w:rPr>
                <w:lang w:val="bg-BG"/>
              </w:rPr>
              <w:t>-</w:t>
            </w:r>
          </w:p>
        </w:tc>
        <w:tc>
          <w:tcPr>
            <w:tcW w:w="499" w:type="dxa"/>
            <w:noWrap/>
            <w:vAlign w:val="center"/>
          </w:tcPr>
          <w:p w14:paraId="0EB1D984" w14:textId="77777777" w:rsidR="00AB122B" w:rsidRPr="007375EB" w:rsidRDefault="00AB122B" w:rsidP="00AB122B">
            <w:pPr>
              <w:jc w:val="both"/>
              <w:rPr>
                <w:lang w:val="bg-BG"/>
              </w:rPr>
            </w:pPr>
            <w:r w:rsidRPr="007375EB">
              <w:rPr>
                <w:lang w:val="bg-BG"/>
              </w:rPr>
              <w:t>-</w:t>
            </w:r>
          </w:p>
        </w:tc>
        <w:tc>
          <w:tcPr>
            <w:tcW w:w="507" w:type="dxa"/>
            <w:noWrap/>
            <w:vAlign w:val="center"/>
          </w:tcPr>
          <w:p w14:paraId="57F26688" w14:textId="77777777" w:rsidR="00AB122B" w:rsidRPr="007375EB" w:rsidRDefault="00AB122B" w:rsidP="00AB122B">
            <w:pPr>
              <w:jc w:val="both"/>
              <w:rPr>
                <w:lang w:val="bg-BG"/>
              </w:rPr>
            </w:pPr>
            <w:r w:rsidRPr="007375EB">
              <w:rPr>
                <w:lang w:val="bg-BG"/>
              </w:rPr>
              <w:t>-</w:t>
            </w:r>
          </w:p>
        </w:tc>
        <w:tc>
          <w:tcPr>
            <w:tcW w:w="524" w:type="dxa"/>
            <w:noWrap/>
            <w:vAlign w:val="center"/>
          </w:tcPr>
          <w:p w14:paraId="0954577C" w14:textId="77777777" w:rsidR="00AB122B" w:rsidRPr="007375EB" w:rsidRDefault="00AB122B" w:rsidP="00AB122B">
            <w:pPr>
              <w:jc w:val="both"/>
              <w:rPr>
                <w:lang w:val="bg-BG"/>
              </w:rPr>
            </w:pPr>
            <w:r w:rsidRPr="007375EB">
              <w:rPr>
                <w:lang w:val="bg-BG"/>
              </w:rPr>
              <w:t>-</w:t>
            </w:r>
          </w:p>
        </w:tc>
        <w:tc>
          <w:tcPr>
            <w:tcW w:w="616" w:type="dxa"/>
            <w:noWrap/>
            <w:vAlign w:val="center"/>
          </w:tcPr>
          <w:p w14:paraId="03ACEEFE" w14:textId="77777777" w:rsidR="00AB122B" w:rsidRPr="007375EB" w:rsidRDefault="00AB122B" w:rsidP="00AB122B">
            <w:pPr>
              <w:jc w:val="both"/>
              <w:rPr>
                <w:lang w:val="bg-BG"/>
              </w:rPr>
            </w:pPr>
            <w:r w:rsidRPr="007375EB">
              <w:rPr>
                <w:lang w:val="bg-BG"/>
              </w:rPr>
              <w:t>-</w:t>
            </w:r>
          </w:p>
        </w:tc>
        <w:tc>
          <w:tcPr>
            <w:tcW w:w="612" w:type="dxa"/>
            <w:noWrap/>
            <w:vAlign w:val="center"/>
          </w:tcPr>
          <w:p w14:paraId="1C592991" w14:textId="77777777" w:rsidR="00AB122B" w:rsidRPr="007375EB" w:rsidRDefault="00AB122B" w:rsidP="00AB122B">
            <w:pPr>
              <w:jc w:val="both"/>
              <w:rPr>
                <w:lang w:val="bg-BG"/>
              </w:rPr>
            </w:pPr>
            <w:r w:rsidRPr="007375EB">
              <w:rPr>
                <w:lang w:val="bg-BG"/>
              </w:rPr>
              <w:t>-</w:t>
            </w:r>
          </w:p>
        </w:tc>
      </w:tr>
      <w:tr w:rsidR="006C1B17" w:rsidRPr="007375EB" w14:paraId="5985749A" w14:textId="77777777" w:rsidTr="006C1B17">
        <w:trPr>
          <w:trHeight w:val="210"/>
        </w:trPr>
        <w:tc>
          <w:tcPr>
            <w:tcW w:w="621" w:type="dxa"/>
            <w:noWrap/>
          </w:tcPr>
          <w:p w14:paraId="425C4C3E" w14:textId="77777777" w:rsidR="006C1B17" w:rsidRPr="007375EB" w:rsidRDefault="006C1B17" w:rsidP="006C1B17">
            <w:pPr>
              <w:rPr>
                <w:lang w:val="bg-BG"/>
              </w:rPr>
            </w:pPr>
            <w:r w:rsidRPr="007375EB">
              <w:rPr>
                <w:lang w:val="bg-BG"/>
              </w:rPr>
              <w:t>13</w:t>
            </w:r>
          </w:p>
        </w:tc>
        <w:tc>
          <w:tcPr>
            <w:tcW w:w="3189" w:type="dxa"/>
            <w:noWrap/>
          </w:tcPr>
          <w:p w14:paraId="69E5B08D" w14:textId="521E4100" w:rsidR="006C1B17" w:rsidRPr="007375EB" w:rsidRDefault="00AB122B" w:rsidP="00AB122B">
            <w:pPr>
              <w:jc w:val="both"/>
              <w:rPr>
                <w:lang w:val="bg-BG"/>
              </w:rPr>
            </w:pPr>
            <w:r w:rsidRPr="007375EB">
              <w:rPr>
                <w:lang w:val="bg-BG"/>
              </w:rPr>
              <w:t>Асфалтиране на улици Комана, Тътару и Пелину, етап I, община Комана, окръг Констанца (предложено)</w:t>
            </w:r>
          </w:p>
        </w:tc>
        <w:tc>
          <w:tcPr>
            <w:tcW w:w="2125" w:type="dxa"/>
            <w:noWrap/>
            <w:vAlign w:val="center"/>
          </w:tcPr>
          <w:p w14:paraId="2BB2FCBF" w14:textId="77777777" w:rsidR="006C1B17" w:rsidRPr="007375EB" w:rsidRDefault="006C1B17" w:rsidP="006C1B17">
            <w:pPr>
              <w:rPr>
                <w:lang w:val="bg-BG"/>
              </w:rPr>
            </w:pPr>
            <w:r w:rsidRPr="007375EB">
              <w:rPr>
                <w:lang w:val="bg-BG"/>
              </w:rPr>
              <w:t>9,72 км</w:t>
            </w:r>
          </w:p>
        </w:tc>
        <w:tc>
          <w:tcPr>
            <w:tcW w:w="482" w:type="dxa"/>
            <w:noWrap/>
            <w:vAlign w:val="center"/>
          </w:tcPr>
          <w:p w14:paraId="0C96F7F8" w14:textId="77777777" w:rsidR="006C1B17" w:rsidRPr="007375EB" w:rsidRDefault="006C1B17" w:rsidP="006C1B17">
            <w:pPr>
              <w:rPr>
                <w:lang w:val="bg-BG"/>
              </w:rPr>
            </w:pPr>
            <w:r w:rsidRPr="007375EB">
              <w:rPr>
                <w:lang w:val="bg-BG"/>
              </w:rPr>
              <w:t>-</w:t>
            </w:r>
          </w:p>
        </w:tc>
        <w:tc>
          <w:tcPr>
            <w:tcW w:w="916" w:type="dxa"/>
            <w:noWrap/>
            <w:vAlign w:val="center"/>
          </w:tcPr>
          <w:p w14:paraId="16B38AA3" w14:textId="77777777" w:rsidR="006C1B17" w:rsidRPr="007375EB" w:rsidRDefault="006C1B17" w:rsidP="006C1B17">
            <w:pPr>
              <w:rPr>
                <w:lang w:val="bg-BG"/>
              </w:rPr>
            </w:pPr>
            <w:r w:rsidRPr="007375EB">
              <w:rPr>
                <w:lang w:val="bg-BG"/>
              </w:rPr>
              <w:t>-</w:t>
            </w:r>
          </w:p>
        </w:tc>
        <w:tc>
          <w:tcPr>
            <w:tcW w:w="916" w:type="dxa"/>
            <w:noWrap/>
            <w:vAlign w:val="center"/>
          </w:tcPr>
          <w:p w14:paraId="00DA42C5" w14:textId="77777777" w:rsidR="006C1B17" w:rsidRPr="007375EB" w:rsidRDefault="006C1B17" w:rsidP="006C1B17">
            <w:pPr>
              <w:rPr>
                <w:lang w:val="bg-BG"/>
              </w:rPr>
            </w:pPr>
            <w:r w:rsidRPr="007375EB">
              <w:rPr>
                <w:lang w:val="bg-BG"/>
              </w:rPr>
              <w:t>-</w:t>
            </w:r>
          </w:p>
        </w:tc>
        <w:tc>
          <w:tcPr>
            <w:tcW w:w="810" w:type="dxa"/>
            <w:noWrap/>
            <w:vAlign w:val="center"/>
          </w:tcPr>
          <w:p w14:paraId="504031D8" w14:textId="77777777" w:rsidR="006C1B17" w:rsidRPr="007375EB" w:rsidRDefault="006C1B17" w:rsidP="006C1B17">
            <w:pPr>
              <w:rPr>
                <w:lang w:val="bg-BG"/>
              </w:rPr>
            </w:pPr>
            <w:r w:rsidRPr="007375EB">
              <w:rPr>
                <w:lang w:val="bg-BG"/>
              </w:rPr>
              <w:t>-</w:t>
            </w:r>
          </w:p>
        </w:tc>
        <w:tc>
          <w:tcPr>
            <w:tcW w:w="630" w:type="dxa"/>
            <w:noWrap/>
            <w:vAlign w:val="center"/>
          </w:tcPr>
          <w:p w14:paraId="49C500BD" w14:textId="77777777" w:rsidR="006C1B17" w:rsidRPr="007375EB" w:rsidRDefault="006C1B17" w:rsidP="006C1B17">
            <w:pPr>
              <w:rPr>
                <w:lang w:val="bg-BG"/>
              </w:rPr>
            </w:pPr>
            <w:r w:rsidRPr="007375EB">
              <w:rPr>
                <w:lang w:val="bg-BG"/>
              </w:rPr>
              <w:t>-</w:t>
            </w:r>
          </w:p>
        </w:tc>
        <w:tc>
          <w:tcPr>
            <w:tcW w:w="720" w:type="dxa"/>
            <w:noWrap/>
            <w:vAlign w:val="center"/>
          </w:tcPr>
          <w:p w14:paraId="25BA2CBA" w14:textId="77777777" w:rsidR="006C1B17" w:rsidRPr="007375EB" w:rsidRDefault="006C1B17" w:rsidP="006C1B17">
            <w:pPr>
              <w:rPr>
                <w:lang w:val="bg-BG"/>
              </w:rPr>
            </w:pPr>
            <w:r w:rsidRPr="007375EB">
              <w:rPr>
                <w:lang w:val="bg-BG"/>
              </w:rPr>
              <w:t>-</w:t>
            </w:r>
          </w:p>
        </w:tc>
        <w:tc>
          <w:tcPr>
            <w:tcW w:w="720" w:type="dxa"/>
            <w:noWrap/>
            <w:vAlign w:val="center"/>
          </w:tcPr>
          <w:p w14:paraId="72529BC8" w14:textId="77777777" w:rsidR="006C1B17" w:rsidRPr="007375EB" w:rsidRDefault="006C1B17" w:rsidP="006C1B17">
            <w:pPr>
              <w:rPr>
                <w:lang w:val="bg-BG"/>
              </w:rPr>
            </w:pPr>
            <w:r w:rsidRPr="007375EB">
              <w:rPr>
                <w:lang w:val="bg-BG"/>
              </w:rPr>
              <w:t>-</w:t>
            </w:r>
          </w:p>
        </w:tc>
        <w:tc>
          <w:tcPr>
            <w:tcW w:w="540" w:type="dxa"/>
            <w:noWrap/>
            <w:vAlign w:val="center"/>
          </w:tcPr>
          <w:p w14:paraId="662F3B0B" w14:textId="77777777" w:rsidR="006C1B17" w:rsidRPr="007375EB" w:rsidRDefault="006C1B17" w:rsidP="006C1B17">
            <w:pPr>
              <w:rPr>
                <w:lang w:val="bg-BG"/>
              </w:rPr>
            </w:pPr>
            <w:r w:rsidRPr="007375EB">
              <w:rPr>
                <w:lang w:val="bg-BG"/>
              </w:rPr>
              <w:t>-</w:t>
            </w:r>
          </w:p>
        </w:tc>
        <w:tc>
          <w:tcPr>
            <w:tcW w:w="990" w:type="dxa"/>
            <w:noWrap/>
            <w:vAlign w:val="center"/>
          </w:tcPr>
          <w:p w14:paraId="3CF90AB5" w14:textId="77777777" w:rsidR="006C1B17" w:rsidRPr="007375EB" w:rsidRDefault="006C1B17" w:rsidP="006C1B17">
            <w:pPr>
              <w:rPr>
                <w:lang w:val="bg-BG"/>
              </w:rPr>
            </w:pPr>
            <w:r w:rsidRPr="007375EB">
              <w:rPr>
                <w:lang w:val="bg-BG"/>
              </w:rPr>
              <w:t>-</w:t>
            </w:r>
          </w:p>
        </w:tc>
        <w:tc>
          <w:tcPr>
            <w:tcW w:w="499" w:type="dxa"/>
            <w:noWrap/>
            <w:vAlign w:val="center"/>
          </w:tcPr>
          <w:p w14:paraId="391CA94E" w14:textId="77777777" w:rsidR="006C1B17" w:rsidRPr="007375EB" w:rsidRDefault="006C1B17" w:rsidP="006C1B17">
            <w:pPr>
              <w:rPr>
                <w:lang w:val="bg-BG"/>
              </w:rPr>
            </w:pPr>
            <w:r w:rsidRPr="007375EB">
              <w:rPr>
                <w:lang w:val="bg-BG"/>
              </w:rPr>
              <w:t>-</w:t>
            </w:r>
          </w:p>
        </w:tc>
        <w:tc>
          <w:tcPr>
            <w:tcW w:w="507" w:type="dxa"/>
            <w:noWrap/>
            <w:vAlign w:val="center"/>
          </w:tcPr>
          <w:p w14:paraId="1B97F03A" w14:textId="77777777" w:rsidR="006C1B17" w:rsidRPr="007375EB" w:rsidRDefault="006C1B17" w:rsidP="006C1B17">
            <w:pPr>
              <w:rPr>
                <w:lang w:val="bg-BG"/>
              </w:rPr>
            </w:pPr>
            <w:r w:rsidRPr="007375EB">
              <w:rPr>
                <w:lang w:val="bg-BG"/>
              </w:rPr>
              <w:t>-</w:t>
            </w:r>
          </w:p>
        </w:tc>
        <w:tc>
          <w:tcPr>
            <w:tcW w:w="524" w:type="dxa"/>
            <w:noWrap/>
            <w:vAlign w:val="center"/>
          </w:tcPr>
          <w:p w14:paraId="2EE7A136" w14:textId="77777777" w:rsidR="006C1B17" w:rsidRPr="007375EB" w:rsidRDefault="006C1B17" w:rsidP="006C1B17">
            <w:pPr>
              <w:rPr>
                <w:lang w:val="bg-BG"/>
              </w:rPr>
            </w:pPr>
            <w:r w:rsidRPr="007375EB">
              <w:rPr>
                <w:lang w:val="bg-BG"/>
              </w:rPr>
              <w:t>-</w:t>
            </w:r>
          </w:p>
        </w:tc>
        <w:tc>
          <w:tcPr>
            <w:tcW w:w="616" w:type="dxa"/>
            <w:noWrap/>
            <w:vAlign w:val="center"/>
          </w:tcPr>
          <w:p w14:paraId="07205AAE" w14:textId="77777777" w:rsidR="006C1B17" w:rsidRPr="007375EB" w:rsidRDefault="006C1B17" w:rsidP="006C1B17">
            <w:pPr>
              <w:rPr>
                <w:lang w:val="bg-BG"/>
              </w:rPr>
            </w:pPr>
            <w:r w:rsidRPr="007375EB">
              <w:rPr>
                <w:lang w:val="bg-BG"/>
              </w:rPr>
              <w:t>-</w:t>
            </w:r>
          </w:p>
        </w:tc>
        <w:tc>
          <w:tcPr>
            <w:tcW w:w="612" w:type="dxa"/>
            <w:noWrap/>
            <w:vAlign w:val="center"/>
          </w:tcPr>
          <w:p w14:paraId="7F437250" w14:textId="77777777" w:rsidR="006C1B17" w:rsidRPr="007375EB" w:rsidRDefault="006C1B17" w:rsidP="006C1B17">
            <w:pPr>
              <w:rPr>
                <w:lang w:val="bg-BG"/>
              </w:rPr>
            </w:pPr>
            <w:r w:rsidRPr="007375EB">
              <w:rPr>
                <w:lang w:val="bg-BG"/>
              </w:rPr>
              <w:t>-</w:t>
            </w:r>
          </w:p>
        </w:tc>
      </w:tr>
      <w:tr w:rsidR="00AB122B" w:rsidRPr="007375EB" w14:paraId="0EB17919" w14:textId="77777777" w:rsidTr="006C1B17">
        <w:trPr>
          <w:trHeight w:val="210"/>
        </w:trPr>
        <w:tc>
          <w:tcPr>
            <w:tcW w:w="621" w:type="dxa"/>
            <w:noWrap/>
          </w:tcPr>
          <w:p w14:paraId="6FD7166D" w14:textId="77777777" w:rsidR="00AB122B" w:rsidRPr="007375EB" w:rsidRDefault="00AB122B" w:rsidP="00AB122B">
            <w:pPr>
              <w:rPr>
                <w:lang w:val="bg-BG"/>
              </w:rPr>
            </w:pPr>
            <w:r w:rsidRPr="007375EB">
              <w:rPr>
                <w:lang w:val="bg-BG"/>
              </w:rPr>
              <w:lastRenderedPageBreak/>
              <w:t>14</w:t>
            </w:r>
          </w:p>
        </w:tc>
        <w:tc>
          <w:tcPr>
            <w:tcW w:w="3189" w:type="dxa"/>
            <w:noWrap/>
          </w:tcPr>
          <w:p w14:paraId="298455AD" w14:textId="35080C04" w:rsidR="00AB122B" w:rsidRPr="007375EB" w:rsidRDefault="00AB122B" w:rsidP="00AB122B">
            <w:pPr>
              <w:jc w:val="both"/>
              <w:rPr>
                <w:lang w:val="bg-BG"/>
              </w:rPr>
            </w:pPr>
            <w:r w:rsidRPr="007375EB">
              <w:rPr>
                <w:lang w:val="bg-BG"/>
              </w:rPr>
              <w:t>Изграждане на мостове, водостоци и прокарване на дъждовна канализация в Крединца, община Кирногени (предложено)</w:t>
            </w:r>
          </w:p>
        </w:tc>
        <w:tc>
          <w:tcPr>
            <w:tcW w:w="2125" w:type="dxa"/>
            <w:noWrap/>
            <w:vAlign w:val="center"/>
          </w:tcPr>
          <w:p w14:paraId="54D78DE9" w14:textId="672E6B82" w:rsidR="00AB122B" w:rsidRPr="007375EB" w:rsidRDefault="00AB122B" w:rsidP="00AB122B">
            <w:pPr>
              <w:rPr>
                <w:lang w:val="bg-BG"/>
              </w:rPr>
            </w:pPr>
            <w:r w:rsidRPr="007375EB">
              <w:rPr>
                <w:lang w:val="bg-BG"/>
              </w:rPr>
              <w:t>Пресечено в района на Общината Крединца</w:t>
            </w:r>
          </w:p>
        </w:tc>
        <w:tc>
          <w:tcPr>
            <w:tcW w:w="482" w:type="dxa"/>
            <w:noWrap/>
            <w:vAlign w:val="center"/>
          </w:tcPr>
          <w:p w14:paraId="6C6C0918" w14:textId="77777777" w:rsidR="00AB122B" w:rsidRPr="007375EB" w:rsidRDefault="00AB122B" w:rsidP="00AB122B">
            <w:pPr>
              <w:rPr>
                <w:lang w:val="bg-BG"/>
              </w:rPr>
            </w:pPr>
          </w:p>
        </w:tc>
        <w:tc>
          <w:tcPr>
            <w:tcW w:w="916" w:type="dxa"/>
            <w:noWrap/>
            <w:vAlign w:val="center"/>
          </w:tcPr>
          <w:p w14:paraId="07A5DBAD" w14:textId="77777777" w:rsidR="00AB122B" w:rsidRPr="007375EB" w:rsidRDefault="00AB122B" w:rsidP="00AB122B">
            <w:pPr>
              <w:rPr>
                <w:lang w:val="bg-BG"/>
              </w:rPr>
            </w:pPr>
          </w:p>
        </w:tc>
        <w:tc>
          <w:tcPr>
            <w:tcW w:w="916" w:type="dxa"/>
            <w:noWrap/>
            <w:vAlign w:val="center"/>
          </w:tcPr>
          <w:p w14:paraId="00E93C5D" w14:textId="77777777" w:rsidR="00AB122B" w:rsidRPr="007375EB" w:rsidRDefault="00AB122B" w:rsidP="00AB122B">
            <w:pPr>
              <w:rPr>
                <w:lang w:val="bg-BG"/>
              </w:rPr>
            </w:pPr>
          </w:p>
        </w:tc>
        <w:tc>
          <w:tcPr>
            <w:tcW w:w="810" w:type="dxa"/>
            <w:noWrap/>
            <w:vAlign w:val="center"/>
          </w:tcPr>
          <w:p w14:paraId="0EBD7E53" w14:textId="77777777" w:rsidR="00AB122B" w:rsidRPr="007375EB" w:rsidRDefault="00AB122B" w:rsidP="00AB122B">
            <w:pPr>
              <w:rPr>
                <w:lang w:val="bg-BG"/>
              </w:rPr>
            </w:pPr>
          </w:p>
        </w:tc>
        <w:tc>
          <w:tcPr>
            <w:tcW w:w="630" w:type="dxa"/>
            <w:noWrap/>
            <w:vAlign w:val="center"/>
          </w:tcPr>
          <w:p w14:paraId="16A3F505" w14:textId="77777777" w:rsidR="00AB122B" w:rsidRPr="007375EB" w:rsidRDefault="00AB122B" w:rsidP="00AB122B">
            <w:pPr>
              <w:rPr>
                <w:lang w:val="bg-BG"/>
              </w:rPr>
            </w:pPr>
          </w:p>
        </w:tc>
        <w:tc>
          <w:tcPr>
            <w:tcW w:w="720" w:type="dxa"/>
            <w:noWrap/>
            <w:vAlign w:val="center"/>
          </w:tcPr>
          <w:p w14:paraId="2AFB8F01" w14:textId="77777777" w:rsidR="00AB122B" w:rsidRPr="007375EB" w:rsidRDefault="00AB122B" w:rsidP="00AB122B">
            <w:pPr>
              <w:rPr>
                <w:lang w:val="bg-BG"/>
              </w:rPr>
            </w:pPr>
          </w:p>
        </w:tc>
        <w:tc>
          <w:tcPr>
            <w:tcW w:w="720" w:type="dxa"/>
            <w:noWrap/>
            <w:vAlign w:val="center"/>
          </w:tcPr>
          <w:p w14:paraId="0FA9F4D1" w14:textId="77777777" w:rsidR="00AB122B" w:rsidRPr="007375EB" w:rsidRDefault="00AB122B" w:rsidP="00AB122B">
            <w:pPr>
              <w:rPr>
                <w:lang w:val="bg-BG"/>
              </w:rPr>
            </w:pPr>
          </w:p>
        </w:tc>
        <w:tc>
          <w:tcPr>
            <w:tcW w:w="540" w:type="dxa"/>
            <w:noWrap/>
            <w:vAlign w:val="center"/>
          </w:tcPr>
          <w:p w14:paraId="0621B0C9" w14:textId="77777777" w:rsidR="00AB122B" w:rsidRPr="007375EB" w:rsidRDefault="00AB122B" w:rsidP="00AB122B">
            <w:pPr>
              <w:rPr>
                <w:lang w:val="bg-BG"/>
              </w:rPr>
            </w:pPr>
          </w:p>
        </w:tc>
        <w:tc>
          <w:tcPr>
            <w:tcW w:w="990" w:type="dxa"/>
            <w:noWrap/>
            <w:vAlign w:val="center"/>
          </w:tcPr>
          <w:p w14:paraId="5587C95A" w14:textId="77777777" w:rsidR="00AB122B" w:rsidRPr="007375EB" w:rsidRDefault="00AB122B" w:rsidP="00AB122B">
            <w:pPr>
              <w:rPr>
                <w:lang w:val="bg-BG"/>
              </w:rPr>
            </w:pPr>
          </w:p>
        </w:tc>
        <w:tc>
          <w:tcPr>
            <w:tcW w:w="499" w:type="dxa"/>
            <w:noWrap/>
            <w:vAlign w:val="center"/>
          </w:tcPr>
          <w:p w14:paraId="554457F9" w14:textId="77777777" w:rsidR="00AB122B" w:rsidRPr="007375EB" w:rsidRDefault="00AB122B" w:rsidP="00AB122B">
            <w:pPr>
              <w:rPr>
                <w:lang w:val="bg-BG"/>
              </w:rPr>
            </w:pPr>
          </w:p>
        </w:tc>
        <w:tc>
          <w:tcPr>
            <w:tcW w:w="507" w:type="dxa"/>
            <w:noWrap/>
            <w:vAlign w:val="center"/>
          </w:tcPr>
          <w:p w14:paraId="39EFDE8C" w14:textId="77777777" w:rsidR="00AB122B" w:rsidRPr="007375EB" w:rsidRDefault="00AB122B" w:rsidP="00AB122B">
            <w:pPr>
              <w:rPr>
                <w:lang w:val="bg-BG"/>
              </w:rPr>
            </w:pPr>
          </w:p>
        </w:tc>
        <w:tc>
          <w:tcPr>
            <w:tcW w:w="524" w:type="dxa"/>
            <w:noWrap/>
            <w:vAlign w:val="center"/>
          </w:tcPr>
          <w:p w14:paraId="42397AB3" w14:textId="77777777" w:rsidR="00AB122B" w:rsidRPr="007375EB" w:rsidRDefault="00AB122B" w:rsidP="00AB122B">
            <w:pPr>
              <w:rPr>
                <w:lang w:val="bg-BG"/>
              </w:rPr>
            </w:pPr>
          </w:p>
        </w:tc>
        <w:tc>
          <w:tcPr>
            <w:tcW w:w="616" w:type="dxa"/>
            <w:noWrap/>
            <w:vAlign w:val="center"/>
          </w:tcPr>
          <w:p w14:paraId="3224F6B3" w14:textId="77777777" w:rsidR="00AB122B" w:rsidRPr="007375EB" w:rsidRDefault="00AB122B" w:rsidP="00AB122B">
            <w:pPr>
              <w:rPr>
                <w:lang w:val="bg-BG"/>
              </w:rPr>
            </w:pPr>
          </w:p>
        </w:tc>
        <w:tc>
          <w:tcPr>
            <w:tcW w:w="612" w:type="dxa"/>
            <w:noWrap/>
            <w:vAlign w:val="center"/>
          </w:tcPr>
          <w:p w14:paraId="4F190A6B" w14:textId="77777777" w:rsidR="00AB122B" w:rsidRPr="007375EB" w:rsidRDefault="00AB122B" w:rsidP="00AB122B">
            <w:pPr>
              <w:rPr>
                <w:lang w:val="bg-BG"/>
              </w:rPr>
            </w:pPr>
          </w:p>
        </w:tc>
      </w:tr>
      <w:tr w:rsidR="00AB122B" w:rsidRPr="007375EB" w14:paraId="0669DC2C" w14:textId="77777777" w:rsidTr="006C1B17">
        <w:trPr>
          <w:trHeight w:val="210"/>
        </w:trPr>
        <w:tc>
          <w:tcPr>
            <w:tcW w:w="621" w:type="dxa"/>
            <w:noWrap/>
          </w:tcPr>
          <w:p w14:paraId="497F7FD6" w14:textId="77777777" w:rsidR="00AB122B" w:rsidRPr="007375EB" w:rsidRDefault="00AB122B" w:rsidP="00AB122B">
            <w:pPr>
              <w:rPr>
                <w:lang w:val="bg-BG"/>
              </w:rPr>
            </w:pPr>
            <w:r w:rsidRPr="007375EB">
              <w:rPr>
                <w:lang w:val="bg-BG"/>
              </w:rPr>
              <w:t>15</w:t>
            </w:r>
          </w:p>
        </w:tc>
        <w:tc>
          <w:tcPr>
            <w:tcW w:w="3189" w:type="dxa"/>
            <w:noWrap/>
          </w:tcPr>
          <w:p w14:paraId="3B5800B8" w14:textId="73EFDC4C" w:rsidR="00AB122B" w:rsidRPr="007375EB" w:rsidRDefault="00AB122B" w:rsidP="00AB122B">
            <w:pPr>
              <w:jc w:val="both"/>
              <w:rPr>
                <w:lang w:val="bg-BG"/>
              </w:rPr>
            </w:pPr>
            <w:r w:rsidRPr="007375EB">
              <w:rPr>
                <w:lang w:val="bg-BG"/>
              </w:rPr>
              <w:t>Модернизация и реконструкция на улици в община Кирногени, окръг Констанца (предложена)</w:t>
            </w:r>
          </w:p>
        </w:tc>
        <w:tc>
          <w:tcPr>
            <w:tcW w:w="2125" w:type="dxa"/>
            <w:noWrap/>
            <w:vAlign w:val="center"/>
          </w:tcPr>
          <w:p w14:paraId="3A2073BA" w14:textId="77777777" w:rsidR="00AB122B" w:rsidRPr="007375EB" w:rsidRDefault="00AB122B" w:rsidP="00AB122B">
            <w:pPr>
              <w:rPr>
                <w:lang w:val="bg-BG"/>
              </w:rPr>
            </w:pPr>
            <w:r w:rsidRPr="007375EB">
              <w:rPr>
                <w:lang w:val="bg-BG"/>
              </w:rPr>
              <w:t>6,61 км</w:t>
            </w:r>
          </w:p>
        </w:tc>
        <w:tc>
          <w:tcPr>
            <w:tcW w:w="482" w:type="dxa"/>
            <w:noWrap/>
            <w:vAlign w:val="center"/>
          </w:tcPr>
          <w:p w14:paraId="0A047B18" w14:textId="77777777" w:rsidR="00AB122B" w:rsidRPr="007375EB" w:rsidRDefault="00AB122B" w:rsidP="00AB122B">
            <w:pPr>
              <w:rPr>
                <w:lang w:val="bg-BG"/>
              </w:rPr>
            </w:pPr>
            <w:r w:rsidRPr="007375EB">
              <w:rPr>
                <w:lang w:val="bg-BG"/>
              </w:rPr>
              <w:t>-</w:t>
            </w:r>
          </w:p>
        </w:tc>
        <w:tc>
          <w:tcPr>
            <w:tcW w:w="916" w:type="dxa"/>
            <w:noWrap/>
            <w:vAlign w:val="center"/>
          </w:tcPr>
          <w:p w14:paraId="68F2F6FF" w14:textId="77777777" w:rsidR="00AB122B" w:rsidRPr="007375EB" w:rsidRDefault="00AB122B" w:rsidP="00AB122B">
            <w:pPr>
              <w:rPr>
                <w:lang w:val="bg-BG"/>
              </w:rPr>
            </w:pPr>
            <w:r w:rsidRPr="007375EB">
              <w:rPr>
                <w:lang w:val="bg-BG"/>
              </w:rPr>
              <w:t>-</w:t>
            </w:r>
          </w:p>
        </w:tc>
        <w:tc>
          <w:tcPr>
            <w:tcW w:w="916" w:type="dxa"/>
            <w:noWrap/>
            <w:vAlign w:val="center"/>
          </w:tcPr>
          <w:p w14:paraId="4BFA8614" w14:textId="77777777" w:rsidR="00AB122B" w:rsidRPr="007375EB" w:rsidRDefault="00AB122B" w:rsidP="00AB122B">
            <w:pPr>
              <w:rPr>
                <w:lang w:val="bg-BG"/>
              </w:rPr>
            </w:pPr>
            <w:r w:rsidRPr="007375EB">
              <w:rPr>
                <w:lang w:val="bg-BG"/>
              </w:rPr>
              <w:t>-</w:t>
            </w:r>
          </w:p>
        </w:tc>
        <w:tc>
          <w:tcPr>
            <w:tcW w:w="810" w:type="dxa"/>
            <w:noWrap/>
            <w:vAlign w:val="center"/>
          </w:tcPr>
          <w:p w14:paraId="64F68741" w14:textId="77777777" w:rsidR="00AB122B" w:rsidRPr="007375EB" w:rsidRDefault="00AB122B" w:rsidP="00AB122B">
            <w:pPr>
              <w:rPr>
                <w:lang w:val="bg-BG"/>
              </w:rPr>
            </w:pPr>
            <w:r w:rsidRPr="007375EB">
              <w:rPr>
                <w:lang w:val="bg-BG"/>
              </w:rPr>
              <w:t>-</w:t>
            </w:r>
          </w:p>
        </w:tc>
        <w:tc>
          <w:tcPr>
            <w:tcW w:w="630" w:type="dxa"/>
            <w:noWrap/>
            <w:vAlign w:val="center"/>
          </w:tcPr>
          <w:p w14:paraId="60AFA838" w14:textId="77777777" w:rsidR="00AB122B" w:rsidRPr="007375EB" w:rsidRDefault="00AB122B" w:rsidP="00AB122B">
            <w:pPr>
              <w:rPr>
                <w:lang w:val="bg-BG"/>
              </w:rPr>
            </w:pPr>
            <w:r w:rsidRPr="007375EB">
              <w:rPr>
                <w:lang w:val="bg-BG"/>
              </w:rPr>
              <w:t>-</w:t>
            </w:r>
          </w:p>
        </w:tc>
        <w:tc>
          <w:tcPr>
            <w:tcW w:w="720" w:type="dxa"/>
            <w:noWrap/>
            <w:vAlign w:val="center"/>
          </w:tcPr>
          <w:p w14:paraId="4DD563DB" w14:textId="77777777" w:rsidR="00AB122B" w:rsidRPr="007375EB" w:rsidRDefault="00AB122B" w:rsidP="00AB122B">
            <w:pPr>
              <w:rPr>
                <w:lang w:val="bg-BG"/>
              </w:rPr>
            </w:pPr>
            <w:r w:rsidRPr="007375EB">
              <w:rPr>
                <w:lang w:val="bg-BG"/>
              </w:rPr>
              <w:t>-</w:t>
            </w:r>
          </w:p>
        </w:tc>
        <w:tc>
          <w:tcPr>
            <w:tcW w:w="720" w:type="dxa"/>
            <w:noWrap/>
            <w:vAlign w:val="center"/>
          </w:tcPr>
          <w:p w14:paraId="0E649789" w14:textId="77777777" w:rsidR="00AB122B" w:rsidRPr="007375EB" w:rsidRDefault="00AB122B" w:rsidP="00AB122B">
            <w:pPr>
              <w:rPr>
                <w:lang w:val="bg-BG"/>
              </w:rPr>
            </w:pPr>
            <w:r w:rsidRPr="007375EB">
              <w:rPr>
                <w:lang w:val="bg-BG"/>
              </w:rPr>
              <w:t>-</w:t>
            </w:r>
          </w:p>
        </w:tc>
        <w:tc>
          <w:tcPr>
            <w:tcW w:w="540" w:type="dxa"/>
            <w:noWrap/>
            <w:vAlign w:val="center"/>
          </w:tcPr>
          <w:p w14:paraId="4416277B" w14:textId="77777777" w:rsidR="00AB122B" w:rsidRPr="007375EB" w:rsidRDefault="00AB122B" w:rsidP="00AB122B">
            <w:pPr>
              <w:rPr>
                <w:lang w:val="bg-BG"/>
              </w:rPr>
            </w:pPr>
            <w:r w:rsidRPr="007375EB">
              <w:rPr>
                <w:lang w:val="bg-BG"/>
              </w:rPr>
              <w:t>-</w:t>
            </w:r>
          </w:p>
        </w:tc>
        <w:tc>
          <w:tcPr>
            <w:tcW w:w="990" w:type="dxa"/>
            <w:noWrap/>
            <w:vAlign w:val="center"/>
          </w:tcPr>
          <w:p w14:paraId="20F562D1" w14:textId="77777777" w:rsidR="00AB122B" w:rsidRPr="007375EB" w:rsidRDefault="00AB122B" w:rsidP="00AB122B">
            <w:pPr>
              <w:rPr>
                <w:lang w:val="bg-BG"/>
              </w:rPr>
            </w:pPr>
            <w:r w:rsidRPr="007375EB">
              <w:rPr>
                <w:lang w:val="bg-BG"/>
              </w:rPr>
              <w:t>-</w:t>
            </w:r>
          </w:p>
        </w:tc>
        <w:tc>
          <w:tcPr>
            <w:tcW w:w="499" w:type="dxa"/>
            <w:noWrap/>
            <w:vAlign w:val="center"/>
          </w:tcPr>
          <w:p w14:paraId="00DCAA32" w14:textId="77777777" w:rsidR="00AB122B" w:rsidRPr="007375EB" w:rsidRDefault="00AB122B" w:rsidP="00AB122B">
            <w:pPr>
              <w:rPr>
                <w:lang w:val="bg-BG"/>
              </w:rPr>
            </w:pPr>
            <w:r w:rsidRPr="007375EB">
              <w:rPr>
                <w:lang w:val="bg-BG"/>
              </w:rPr>
              <w:t>-</w:t>
            </w:r>
          </w:p>
        </w:tc>
        <w:tc>
          <w:tcPr>
            <w:tcW w:w="507" w:type="dxa"/>
            <w:noWrap/>
            <w:vAlign w:val="center"/>
          </w:tcPr>
          <w:p w14:paraId="2C79F178" w14:textId="77777777" w:rsidR="00AB122B" w:rsidRPr="007375EB" w:rsidRDefault="00AB122B" w:rsidP="00AB122B">
            <w:pPr>
              <w:rPr>
                <w:lang w:val="bg-BG"/>
              </w:rPr>
            </w:pPr>
            <w:r w:rsidRPr="007375EB">
              <w:rPr>
                <w:lang w:val="bg-BG"/>
              </w:rPr>
              <w:t>-</w:t>
            </w:r>
          </w:p>
        </w:tc>
        <w:tc>
          <w:tcPr>
            <w:tcW w:w="524" w:type="dxa"/>
            <w:noWrap/>
            <w:vAlign w:val="center"/>
          </w:tcPr>
          <w:p w14:paraId="5D315000" w14:textId="77777777" w:rsidR="00AB122B" w:rsidRPr="007375EB" w:rsidRDefault="00AB122B" w:rsidP="00AB122B">
            <w:pPr>
              <w:rPr>
                <w:lang w:val="bg-BG"/>
              </w:rPr>
            </w:pPr>
            <w:r w:rsidRPr="007375EB">
              <w:rPr>
                <w:lang w:val="bg-BG"/>
              </w:rPr>
              <w:t>-</w:t>
            </w:r>
          </w:p>
        </w:tc>
        <w:tc>
          <w:tcPr>
            <w:tcW w:w="616" w:type="dxa"/>
            <w:noWrap/>
            <w:vAlign w:val="center"/>
          </w:tcPr>
          <w:p w14:paraId="47D6F950" w14:textId="77777777" w:rsidR="00AB122B" w:rsidRPr="007375EB" w:rsidRDefault="00AB122B" w:rsidP="00AB122B">
            <w:pPr>
              <w:rPr>
                <w:lang w:val="bg-BG"/>
              </w:rPr>
            </w:pPr>
            <w:r w:rsidRPr="007375EB">
              <w:rPr>
                <w:lang w:val="bg-BG"/>
              </w:rPr>
              <w:t>-</w:t>
            </w:r>
          </w:p>
        </w:tc>
        <w:tc>
          <w:tcPr>
            <w:tcW w:w="612" w:type="dxa"/>
            <w:noWrap/>
            <w:vAlign w:val="center"/>
          </w:tcPr>
          <w:p w14:paraId="1D274409" w14:textId="77777777" w:rsidR="00AB122B" w:rsidRPr="007375EB" w:rsidRDefault="00AB122B" w:rsidP="00AB122B">
            <w:pPr>
              <w:rPr>
                <w:lang w:val="bg-BG"/>
              </w:rPr>
            </w:pPr>
            <w:r w:rsidRPr="007375EB">
              <w:rPr>
                <w:lang w:val="bg-BG"/>
              </w:rPr>
              <w:t>-</w:t>
            </w:r>
          </w:p>
        </w:tc>
      </w:tr>
      <w:tr w:rsidR="006C1B17" w:rsidRPr="007375EB" w14:paraId="245649D3" w14:textId="77777777" w:rsidTr="006C1B17">
        <w:trPr>
          <w:trHeight w:val="210"/>
        </w:trPr>
        <w:tc>
          <w:tcPr>
            <w:tcW w:w="15417" w:type="dxa"/>
            <w:gridSpan w:val="17"/>
            <w:shd w:val="clear" w:color="auto" w:fill="F2F2F2" w:themeFill="background1" w:themeFillShade="F2"/>
            <w:noWrap/>
            <w:hideMark/>
          </w:tcPr>
          <w:p w14:paraId="263041BA" w14:textId="77777777" w:rsidR="006C1B17" w:rsidRPr="007375EB" w:rsidRDefault="006C1B17" w:rsidP="006C1B17">
            <w:pPr>
              <w:rPr>
                <w:b/>
                <w:bCs/>
                <w:lang w:val="bg-BG"/>
              </w:rPr>
            </w:pPr>
            <w:r w:rsidRPr="007375EB">
              <w:rPr>
                <w:b/>
                <w:bCs/>
                <w:lang w:val="bg-BG"/>
              </w:rPr>
              <w:t>ROSCI0157/ROSAC157 Гората Хаджиени – Коту Въи</w:t>
            </w:r>
          </w:p>
        </w:tc>
      </w:tr>
      <w:tr w:rsidR="006C1B17" w:rsidRPr="007375EB" w14:paraId="0B6B4DE4" w14:textId="77777777" w:rsidTr="006C1B17">
        <w:trPr>
          <w:trHeight w:val="1050"/>
        </w:trPr>
        <w:tc>
          <w:tcPr>
            <w:tcW w:w="621" w:type="dxa"/>
            <w:noWrap/>
            <w:hideMark/>
          </w:tcPr>
          <w:p w14:paraId="1D5AE18C" w14:textId="77777777" w:rsidR="006C1B17" w:rsidRPr="007375EB" w:rsidRDefault="006C1B17" w:rsidP="006C1B17">
            <w:pPr>
              <w:rPr>
                <w:lang w:val="bg-BG"/>
              </w:rPr>
            </w:pPr>
            <w:r w:rsidRPr="007375EB">
              <w:rPr>
                <w:lang w:val="bg-BG"/>
              </w:rPr>
              <w:t>1</w:t>
            </w:r>
          </w:p>
        </w:tc>
        <w:tc>
          <w:tcPr>
            <w:tcW w:w="3189" w:type="dxa"/>
            <w:hideMark/>
          </w:tcPr>
          <w:p w14:paraId="428B6CAF" w14:textId="3CD25DC5" w:rsidR="006C1B17" w:rsidRPr="007375EB" w:rsidRDefault="00AB122B" w:rsidP="00AB122B">
            <w:pPr>
              <w:jc w:val="both"/>
              <w:rPr>
                <w:lang w:val="bg-BG"/>
              </w:rPr>
            </w:pPr>
            <w:r w:rsidRPr="007375EB">
              <w:rPr>
                <w:lang w:val="bg-BG"/>
              </w:rPr>
              <w:t>Парк за вятърна енергия 14 CE-92,4 МВт,  трансформаторна станция, електрически свързващи мрежи, изграждане и модернизиране на комуникации и пътища за достъп - извън село Фънтъна Маре, общ. Индепенденца, окръг Констанца (предложен</w:t>
            </w:r>
            <w:r w:rsidR="006C1B17" w:rsidRPr="007375EB">
              <w:rPr>
                <w:lang w:val="bg-BG"/>
              </w:rPr>
              <w:t>)</w:t>
            </w:r>
          </w:p>
        </w:tc>
        <w:tc>
          <w:tcPr>
            <w:tcW w:w="2125" w:type="dxa"/>
            <w:noWrap/>
            <w:vAlign w:val="center"/>
            <w:hideMark/>
          </w:tcPr>
          <w:p w14:paraId="79D55195" w14:textId="77777777" w:rsidR="006C1B17" w:rsidRPr="007375EB" w:rsidRDefault="006C1B17" w:rsidP="006C1B17">
            <w:pPr>
              <w:rPr>
                <w:lang w:val="bg-BG"/>
              </w:rPr>
            </w:pPr>
            <w:r w:rsidRPr="007375EB">
              <w:rPr>
                <w:lang w:val="bg-BG"/>
              </w:rPr>
              <w:t>20,50 км</w:t>
            </w:r>
          </w:p>
        </w:tc>
        <w:tc>
          <w:tcPr>
            <w:tcW w:w="482" w:type="dxa"/>
            <w:noWrap/>
            <w:vAlign w:val="center"/>
            <w:hideMark/>
          </w:tcPr>
          <w:p w14:paraId="07A7C36F" w14:textId="77777777" w:rsidR="006C1B17" w:rsidRPr="007375EB" w:rsidRDefault="006C1B17" w:rsidP="006C1B17">
            <w:pPr>
              <w:rPr>
                <w:lang w:val="bg-BG"/>
              </w:rPr>
            </w:pPr>
            <w:r w:rsidRPr="007375EB">
              <w:rPr>
                <w:lang w:val="bg-BG"/>
              </w:rPr>
              <w:t>-</w:t>
            </w:r>
          </w:p>
        </w:tc>
        <w:tc>
          <w:tcPr>
            <w:tcW w:w="916" w:type="dxa"/>
            <w:noWrap/>
            <w:vAlign w:val="center"/>
            <w:hideMark/>
          </w:tcPr>
          <w:p w14:paraId="4A012801" w14:textId="77777777" w:rsidR="006C1B17" w:rsidRPr="007375EB" w:rsidRDefault="006C1B17" w:rsidP="006C1B17">
            <w:pPr>
              <w:rPr>
                <w:lang w:val="bg-BG"/>
              </w:rPr>
            </w:pPr>
            <w:r w:rsidRPr="007375EB">
              <w:rPr>
                <w:lang w:val="bg-BG"/>
              </w:rPr>
              <w:t>-</w:t>
            </w:r>
          </w:p>
        </w:tc>
        <w:tc>
          <w:tcPr>
            <w:tcW w:w="916" w:type="dxa"/>
            <w:noWrap/>
            <w:vAlign w:val="center"/>
            <w:hideMark/>
          </w:tcPr>
          <w:p w14:paraId="29688E6C" w14:textId="77777777" w:rsidR="006C1B17" w:rsidRPr="007375EB" w:rsidRDefault="006C1B17" w:rsidP="006C1B17">
            <w:pPr>
              <w:rPr>
                <w:lang w:val="bg-BG"/>
              </w:rPr>
            </w:pPr>
            <w:r w:rsidRPr="007375EB">
              <w:rPr>
                <w:lang w:val="bg-BG"/>
              </w:rPr>
              <w:t>-</w:t>
            </w:r>
          </w:p>
        </w:tc>
        <w:tc>
          <w:tcPr>
            <w:tcW w:w="810" w:type="dxa"/>
            <w:noWrap/>
            <w:vAlign w:val="center"/>
            <w:hideMark/>
          </w:tcPr>
          <w:p w14:paraId="2B2C99D4" w14:textId="77777777" w:rsidR="006C1B17" w:rsidRPr="007375EB" w:rsidRDefault="006C1B17" w:rsidP="006C1B17">
            <w:pPr>
              <w:rPr>
                <w:lang w:val="bg-BG"/>
              </w:rPr>
            </w:pPr>
            <w:r w:rsidRPr="007375EB">
              <w:rPr>
                <w:lang w:val="bg-BG"/>
              </w:rPr>
              <w:t>-</w:t>
            </w:r>
          </w:p>
        </w:tc>
        <w:tc>
          <w:tcPr>
            <w:tcW w:w="630" w:type="dxa"/>
            <w:noWrap/>
            <w:vAlign w:val="center"/>
            <w:hideMark/>
          </w:tcPr>
          <w:p w14:paraId="691636A0" w14:textId="77777777" w:rsidR="006C1B17" w:rsidRPr="007375EB" w:rsidRDefault="006C1B17" w:rsidP="006C1B17">
            <w:pPr>
              <w:rPr>
                <w:lang w:val="bg-BG"/>
              </w:rPr>
            </w:pPr>
            <w:r w:rsidRPr="007375EB">
              <w:rPr>
                <w:lang w:val="bg-BG"/>
              </w:rPr>
              <w:t>-</w:t>
            </w:r>
          </w:p>
        </w:tc>
        <w:tc>
          <w:tcPr>
            <w:tcW w:w="720" w:type="dxa"/>
            <w:noWrap/>
            <w:vAlign w:val="center"/>
            <w:hideMark/>
          </w:tcPr>
          <w:p w14:paraId="143A8573" w14:textId="77777777" w:rsidR="006C1B17" w:rsidRPr="007375EB" w:rsidRDefault="006C1B17" w:rsidP="006C1B17">
            <w:pPr>
              <w:rPr>
                <w:lang w:val="bg-BG"/>
              </w:rPr>
            </w:pPr>
            <w:r w:rsidRPr="007375EB">
              <w:rPr>
                <w:lang w:val="bg-BG"/>
              </w:rPr>
              <w:t>-</w:t>
            </w:r>
          </w:p>
        </w:tc>
        <w:tc>
          <w:tcPr>
            <w:tcW w:w="720" w:type="dxa"/>
            <w:noWrap/>
            <w:vAlign w:val="center"/>
            <w:hideMark/>
          </w:tcPr>
          <w:p w14:paraId="241E40C8" w14:textId="77777777" w:rsidR="006C1B17" w:rsidRPr="007375EB" w:rsidRDefault="006C1B17" w:rsidP="006C1B17">
            <w:pPr>
              <w:rPr>
                <w:lang w:val="bg-BG"/>
              </w:rPr>
            </w:pPr>
            <w:r w:rsidRPr="007375EB">
              <w:rPr>
                <w:lang w:val="bg-BG"/>
              </w:rPr>
              <w:t>-</w:t>
            </w:r>
          </w:p>
        </w:tc>
        <w:tc>
          <w:tcPr>
            <w:tcW w:w="540" w:type="dxa"/>
            <w:noWrap/>
            <w:vAlign w:val="center"/>
            <w:hideMark/>
          </w:tcPr>
          <w:p w14:paraId="37A7EE61" w14:textId="77777777" w:rsidR="006C1B17" w:rsidRPr="007375EB" w:rsidRDefault="006C1B17" w:rsidP="006C1B17">
            <w:pPr>
              <w:rPr>
                <w:lang w:val="bg-BG"/>
              </w:rPr>
            </w:pPr>
            <w:r w:rsidRPr="007375EB">
              <w:rPr>
                <w:lang w:val="bg-BG"/>
              </w:rPr>
              <w:t>X</w:t>
            </w:r>
          </w:p>
        </w:tc>
        <w:tc>
          <w:tcPr>
            <w:tcW w:w="990" w:type="dxa"/>
            <w:noWrap/>
            <w:vAlign w:val="center"/>
            <w:hideMark/>
          </w:tcPr>
          <w:p w14:paraId="4070E225" w14:textId="77777777" w:rsidR="006C1B17" w:rsidRPr="007375EB" w:rsidRDefault="006C1B17" w:rsidP="006C1B17">
            <w:pPr>
              <w:rPr>
                <w:lang w:val="bg-BG"/>
              </w:rPr>
            </w:pPr>
            <w:r w:rsidRPr="007375EB">
              <w:rPr>
                <w:lang w:val="bg-BG"/>
              </w:rPr>
              <w:t>X</w:t>
            </w:r>
          </w:p>
        </w:tc>
        <w:tc>
          <w:tcPr>
            <w:tcW w:w="499" w:type="dxa"/>
            <w:noWrap/>
            <w:vAlign w:val="center"/>
            <w:hideMark/>
          </w:tcPr>
          <w:p w14:paraId="45A0764A" w14:textId="77777777" w:rsidR="006C1B17" w:rsidRPr="007375EB" w:rsidRDefault="006C1B17" w:rsidP="006C1B17">
            <w:pPr>
              <w:rPr>
                <w:lang w:val="bg-BG"/>
              </w:rPr>
            </w:pPr>
            <w:r w:rsidRPr="007375EB">
              <w:rPr>
                <w:lang w:val="bg-BG"/>
              </w:rPr>
              <w:t>-</w:t>
            </w:r>
          </w:p>
        </w:tc>
        <w:tc>
          <w:tcPr>
            <w:tcW w:w="507" w:type="dxa"/>
            <w:noWrap/>
            <w:vAlign w:val="center"/>
            <w:hideMark/>
          </w:tcPr>
          <w:p w14:paraId="37E6CE59" w14:textId="77777777" w:rsidR="006C1B17" w:rsidRPr="007375EB" w:rsidRDefault="006C1B17" w:rsidP="006C1B17">
            <w:pPr>
              <w:rPr>
                <w:lang w:val="bg-BG"/>
              </w:rPr>
            </w:pPr>
            <w:r w:rsidRPr="007375EB">
              <w:rPr>
                <w:lang w:val="bg-BG"/>
              </w:rPr>
              <w:t>X</w:t>
            </w:r>
          </w:p>
        </w:tc>
        <w:tc>
          <w:tcPr>
            <w:tcW w:w="524" w:type="dxa"/>
            <w:noWrap/>
            <w:vAlign w:val="center"/>
            <w:hideMark/>
          </w:tcPr>
          <w:p w14:paraId="2C870187" w14:textId="77777777" w:rsidR="006C1B17" w:rsidRPr="007375EB" w:rsidRDefault="006C1B17" w:rsidP="006C1B17">
            <w:pPr>
              <w:rPr>
                <w:lang w:val="bg-BG"/>
              </w:rPr>
            </w:pPr>
            <w:r w:rsidRPr="007375EB">
              <w:rPr>
                <w:lang w:val="bg-BG"/>
              </w:rPr>
              <w:t>X</w:t>
            </w:r>
          </w:p>
        </w:tc>
        <w:tc>
          <w:tcPr>
            <w:tcW w:w="616" w:type="dxa"/>
            <w:noWrap/>
            <w:vAlign w:val="center"/>
            <w:hideMark/>
          </w:tcPr>
          <w:p w14:paraId="52525FAC" w14:textId="77777777" w:rsidR="006C1B17" w:rsidRPr="007375EB" w:rsidRDefault="006C1B17" w:rsidP="006C1B17">
            <w:pPr>
              <w:rPr>
                <w:lang w:val="bg-BG"/>
              </w:rPr>
            </w:pPr>
            <w:r w:rsidRPr="007375EB">
              <w:rPr>
                <w:lang w:val="bg-BG"/>
              </w:rPr>
              <w:t>X</w:t>
            </w:r>
          </w:p>
        </w:tc>
        <w:tc>
          <w:tcPr>
            <w:tcW w:w="612" w:type="dxa"/>
            <w:noWrap/>
            <w:vAlign w:val="center"/>
            <w:hideMark/>
          </w:tcPr>
          <w:p w14:paraId="3D2D3C33" w14:textId="77777777" w:rsidR="006C1B17" w:rsidRPr="007375EB" w:rsidRDefault="006C1B17" w:rsidP="006C1B17">
            <w:pPr>
              <w:rPr>
                <w:lang w:val="bg-BG"/>
              </w:rPr>
            </w:pPr>
            <w:r w:rsidRPr="007375EB">
              <w:rPr>
                <w:lang w:val="bg-BG"/>
              </w:rPr>
              <w:t>X</w:t>
            </w:r>
          </w:p>
        </w:tc>
      </w:tr>
      <w:tr w:rsidR="006C1B17" w:rsidRPr="007375EB" w14:paraId="28CCA308" w14:textId="77777777" w:rsidTr="006C1B17">
        <w:trPr>
          <w:trHeight w:val="1050"/>
        </w:trPr>
        <w:tc>
          <w:tcPr>
            <w:tcW w:w="621" w:type="dxa"/>
            <w:noWrap/>
            <w:hideMark/>
          </w:tcPr>
          <w:p w14:paraId="2E97E3BE" w14:textId="77777777" w:rsidR="006C1B17" w:rsidRPr="007375EB" w:rsidRDefault="006C1B17" w:rsidP="006C1B17">
            <w:pPr>
              <w:rPr>
                <w:lang w:val="bg-BG"/>
              </w:rPr>
            </w:pPr>
            <w:r w:rsidRPr="007375EB">
              <w:rPr>
                <w:lang w:val="bg-BG"/>
              </w:rPr>
              <w:lastRenderedPageBreak/>
              <w:t>2</w:t>
            </w:r>
          </w:p>
        </w:tc>
        <w:tc>
          <w:tcPr>
            <w:tcW w:w="3189" w:type="dxa"/>
            <w:hideMark/>
          </w:tcPr>
          <w:p w14:paraId="1408C78B" w14:textId="72B5DF5E" w:rsidR="006C1B17" w:rsidRPr="007375EB" w:rsidRDefault="00730E53" w:rsidP="00730E53">
            <w:pPr>
              <w:jc w:val="both"/>
              <w:rPr>
                <w:lang w:val="bg-BG"/>
              </w:rPr>
            </w:pPr>
            <w:r w:rsidRPr="007375EB">
              <w:rPr>
                <w:lang w:val="bg-BG"/>
              </w:rPr>
              <w:t>Парк за вятърна енергия 17 CE-112,2 МВт, трансформаторна станция, електрически свързващи мрежи, изграждане и модернизация на комуникации и пътища за достъп -  извън общината Индепенденца и общината Черкезу окръг Констанца (предложен)</w:t>
            </w:r>
          </w:p>
        </w:tc>
        <w:tc>
          <w:tcPr>
            <w:tcW w:w="2125" w:type="dxa"/>
            <w:noWrap/>
            <w:vAlign w:val="center"/>
            <w:hideMark/>
          </w:tcPr>
          <w:p w14:paraId="2FDBD8F8" w14:textId="77777777" w:rsidR="006C1B17" w:rsidRPr="007375EB" w:rsidRDefault="006C1B17" w:rsidP="006C1B17">
            <w:pPr>
              <w:rPr>
                <w:lang w:val="bg-BG"/>
              </w:rPr>
            </w:pPr>
            <w:r w:rsidRPr="007375EB">
              <w:rPr>
                <w:lang w:val="bg-BG"/>
              </w:rPr>
              <w:t>19,05 км</w:t>
            </w:r>
          </w:p>
        </w:tc>
        <w:tc>
          <w:tcPr>
            <w:tcW w:w="482" w:type="dxa"/>
            <w:noWrap/>
            <w:vAlign w:val="center"/>
            <w:hideMark/>
          </w:tcPr>
          <w:p w14:paraId="201F61C9" w14:textId="77777777" w:rsidR="006C1B17" w:rsidRPr="007375EB" w:rsidRDefault="006C1B17" w:rsidP="006C1B17">
            <w:pPr>
              <w:rPr>
                <w:lang w:val="bg-BG"/>
              </w:rPr>
            </w:pPr>
            <w:r w:rsidRPr="007375EB">
              <w:rPr>
                <w:lang w:val="bg-BG"/>
              </w:rPr>
              <w:t>-</w:t>
            </w:r>
          </w:p>
        </w:tc>
        <w:tc>
          <w:tcPr>
            <w:tcW w:w="916" w:type="dxa"/>
            <w:noWrap/>
            <w:vAlign w:val="center"/>
            <w:hideMark/>
          </w:tcPr>
          <w:p w14:paraId="6EF71EA1" w14:textId="77777777" w:rsidR="006C1B17" w:rsidRPr="007375EB" w:rsidRDefault="006C1B17" w:rsidP="006C1B17">
            <w:pPr>
              <w:rPr>
                <w:lang w:val="bg-BG"/>
              </w:rPr>
            </w:pPr>
            <w:r w:rsidRPr="007375EB">
              <w:rPr>
                <w:lang w:val="bg-BG"/>
              </w:rPr>
              <w:t>-</w:t>
            </w:r>
          </w:p>
        </w:tc>
        <w:tc>
          <w:tcPr>
            <w:tcW w:w="916" w:type="dxa"/>
            <w:noWrap/>
            <w:vAlign w:val="center"/>
            <w:hideMark/>
          </w:tcPr>
          <w:p w14:paraId="195EF2B0" w14:textId="77777777" w:rsidR="006C1B17" w:rsidRPr="007375EB" w:rsidRDefault="006C1B17" w:rsidP="006C1B17">
            <w:pPr>
              <w:rPr>
                <w:lang w:val="bg-BG"/>
              </w:rPr>
            </w:pPr>
            <w:r w:rsidRPr="007375EB">
              <w:rPr>
                <w:lang w:val="bg-BG"/>
              </w:rPr>
              <w:t>-</w:t>
            </w:r>
          </w:p>
        </w:tc>
        <w:tc>
          <w:tcPr>
            <w:tcW w:w="810" w:type="dxa"/>
            <w:noWrap/>
            <w:vAlign w:val="center"/>
            <w:hideMark/>
          </w:tcPr>
          <w:p w14:paraId="6A910880" w14:textId="77777777" w:rsidR="006C1B17" w:rsidRPr="007375EB" w:rsidRDefault="006C1B17" w:rsidP="006C1B17">
            <w:pPr>
              <w:rPr>
                <w:lang w:val="bg-BG"/>
              </w:rPr>
            </w:pPr>
            <w:r w:rsidRPr="007375EB">
              <w:rPr>
                <w:lang w:val="bg-BG"/>
              </w:rPr>
              <w:t>-</w:t>
            </w:r>
          </w:p>
        </w:tc>
        <w:tc>
          <w:tcPr>
            <w:tcW w:w="630" w:type="dxa"/>
            <w:noWrap/>
            <w:vAlign w:val="center"/>
            <w:hideMark/>
          </w:tcPr>
          <w:p w14:paraId="59000A0A" w14:textId="77777777" w:rsidR="006C1B17" w:rsidRPr="007375EB" w:rsidRDefault="006C1B17" w:rsidP="006C1B17">
            <w:pPr>
              <w:rPr>
                <w:lang w:val="bg-BG"/>
              </w:rPr>
            </w:pPr>
            <w:r w:rsidRPr="007375EB">
              <w:rPr>
                <w:lang w:val="bg-BG"/>
              </w:rPr>
              <w:t>-</w:t>
            </w:r>
          </w:p>
        </w:tc>
        <w:tc>
          <w:tcPr>
            <w:tcW w:w="720" w:type="dxa"/>
            <w:noWrap/>
            <w:vAlign w:val="center"/>
            <w:hideMark/>
          </w:tcPr>
          <w:p w14:paraId="718DFEEA" w14:textId="77777777" w:rsidR="006C1B17" w:rsidRPr="007375EB" w:rsidRDefault="006C1B17" w:rsidP="006C1B17">
            <w:pPr>
              <w:rPr>
                <w:lang w:val="bg-BG"/>
              </w:rPr>
            </w:pPr>
            <w:r w:rsidRPr="007375EB">
              <w:rPr>
                <w:lang w:val="bg-BG"/>
              </w:rPr>
              <w:t>-</w:t>
            </w:r>
          </w:p>
        </w:tc>
        <w:tc>
          <w:tcPr>
            <w:tcW w:w="720" w:type="dxa"/>
            <w:noWrap/>
            <w:vAlign w:val="center"/>
            <w:hideMark/>
          </w:tcPr>
          <w:p w14:paraId="6F795CAD" w14:textId="77777777" w:rsidR="006C1B17" w:rsidRPr="007375EB" w:rsidRDefault="006C1B17" w:rsidP="006C1B17">
            <w:pPr>
              <w:rPr>
                <w:lang w:val="bg-BG"/>
              </w:rPr>
            </w:pPr>
            <w:r w:rsidRPr="007375EB">
              <w:rPr>
                <w:lang w:val="bg-BG"/>
              </w:rPr>
              <w:t>-</w:t>
            </w:r>
          </w:p>
        </w:tc>
        <w:tc>
          <w:tcPr>
            <w:tcW w:w="540" w:type="dxa"/>
            <w:noWrap/>
            <w:vAlign w:val="center"/>
            <w:hideMark/>
          </w:tcPr>
          <w:p w14:paraId="1DE55ADA" w14:textId="77777777" w:rsidR="006C1B17" w:rsidRPr="007375EB" w:rsidRDefault="006C1B17" w:rsidP="006C1B17">
            <w:pPr>
              <w:rPr>
                <w:lang w:val="bg-BG"/>
              </w:rPr>
            </w:pPr>
            <w:r w:rsidRPr="007375EB">
              <w:rPr>
                <w:lang w:val="bg-BG"/>
              </w:rPr>
              <w:t>X</w:t>
            </w:r>
          </w:p>
        </w:tc>
        <w:tc>
          <w:tcPr>
            <w:tcW w:w="990" w:type="dxa"/>
            <w:noWrap/>
            <w:vAlign w:val="center"/>
            <w:hideMark/>
          </w:tcPr>
          <w:p w14:paraId="02DB165F" w14:textId="77777777" w:rsidR="006C1B17" w:rsidRPr="007375EB" w:rsidRDefault="006C1B17" w:rsidP="006C1B17">
            <w:pPr>
              <w:rPr>
                <w:lang w:val="bg-BG"/>
              </w:rPr>
            </w:pPr>
            <w:r w:rsidRPr="007375EB">
              <w:rPr>
                <w:lang w:val="bg-BG"/>
              </w:rPr>
              <w:t>X</w:t>
            </w:r>
          </w:p>
        </w:tc>
        <w:tc>
          <w:tcPr>
            <w:tcW w:w="499" w:type="dxa"/>
            <w:noWrap/>
            <w:vAlign w:val="center"/>
            <w:hideMark/>
          </w:tcPr>
          <w:p w14:paraId="29F5DE54" w14:textId="77777777" w:rsidR="006C1B17" w:rsidRPr="007375EB" w:rsidRDefault="006C1B17" w:rsidP="006C1B17">
            <w:pPr>
              <w:rPr>
                <w:lang w:val="bg-BG"/>
              </w:rPr>
            </w:pPr>
            <w:r w:rsidRPr="007375EB">
              <w:rPr>
                <w:lang w:val="bg-BG"/>
              </w:rPr>
              <w:t>-</w:t>
            </w:r>
          </w:p>
        </w:tc>
        <w:tc>
          <w:tcPr>
            <w:tcW w:w="507" w:type="dxa"/>
            <w:noWrap/>
            <w:vAlign w:val="center"/>
            <w:hideMark/>
          </w:tcPr>
          <w:p w14:paraId="585F0F9D" w14:textId="77777777" w:rsidR="006C1B17" w:rsidRPr="007375EB" w:rsidRDefault="006C1B17" w:rsidP="006C1B17">
            <w:pPr>
              <w:rPr>
                <w:lang w:val="bg-BG"/>
              </w:rPr>
            </w:pPr>
            <w:r w:rsidRPr="007375EB">
              <w:rPr>
                <w:lang w:val="bg-BG"/>
              </w:rPr>
              <w:t>X</w:t>
            </w:r>
          </w:p>
        </w:tc>
        <w:tc>
          <w:tcPr>
            <w:tcW w:w="524" w:type="dxa"/>
            <w:noWrap/>
            <w:vAlign w:val="center"/>
            <w:hideMark/>
          </w:tcPr>
          <w:p w14:paraId="51E6D55F" w14:textId="77777777" w:rsidR="006C1B17" w:rsidRPr="007375EB" w:rsidRDefault="006C1B17" w:rsidP="006C1B17">
            <w:pPr>
              <w:rPr>
                <w:lang w:val="bg-BG"/>
              </w:rPr>
            </w:pPr>
            <w:r w:rsidRPr="007375EB">
              <w:rPr>
                <w:lang w:val="bg-BG"/>
              </w:rPr>
              <w:t>X</w:t>
            </w:r>
          </w:p>
        </w:tc>
        <w:tc>
          <w:tcPr>
            <w:tcW w:w="616" w:type="dxa"/>
            <w:noWrap/>
            <w:vAlign w:val="center"/>
            <w:hideMark/>
          </w:tcPr>
          <w:p w14:paraId="1F948776" w14:textId="77777777" w:rsidR="006C1B17" w:rsidRPr="007375EB" w:rsidRDefault="006C1B17" w:rsidP="006C1B17">
            <w:pPr>
              <w:rPr>
                <w:lang w:val="bg-BG"/>
              </w:rPr>
            </w:pPr>
            <w:r w:rsidRPr="007375EB">
              <w:rPr>
                <w:lang w:val="bg-BG"/>
              </w:rPr>
              <w:t>X</w:t>
            </w:r>
          </w:p>
        </w:tc>
        <w:tc>
          <w:tcPr>
            <w:tcW w:w="612" w:type="dxa"/>
            <w:noWrap/>
            <w:vAlign w:val="center"/>
            <w:hideMark/>
          </w:tcPr>
          <w:p w14:paraId="201D8D90" w14:textId="77777777" w:rsidR="006C1B17" w:rsidRPr="007375EB" w:rsidRDefault="006C1B17" w:rsidP="006C1B17">
            <w:pPr>
              <w:rPr>
                <w:lang w:val="bg-BG"/>
              </w:rPr>
            </w:pPr>
            <w:r w:rsidRPr="007375EB">
              <w:rPr>
                <w:lang w:val="bg-BG"/>
              </w:rPr>
              <w:t>X</w:t>
            </w:r>
          </w:p>
        </w:tc>
      </w:tr>
      <w:tr w:rsidR="00730E53" w:rsidRPr="007375EB" w14:paraId="0F4CBF13" w14:textId="77777777" w:rsidTr="006C1B17">
        <w:trPr>
          <w:trHeight w:val="420"/>
        </w:trPr>
        <w:tc>
          <w:tcPr>
            <w:tcW w:w="621" w:type="dxa"/>
            <w:noWrap/>
            <w:hideMark/>
          </w:tcPr>
          <w:p w14:paraId="4D973BF4" w14:textId="77777777" w:rsidR="00730E53" w:rsidRPr="007375EB" w:rsidRDefault="00730E53" w:rsidP="00730E53">
            <w:pPr>
              <w:rPr>
                <w:lang w:val="bg-BG"/>
              </w:rPr>
            </w:pPr>
            <w:r w:rsidRPr="007375EB">
              <w:rPr>
                <w:lang w:val="bg-BG"/>
              </w:rPr>
              <w:t>3</w:t>
            </w:r>
          </w:p>
        </w:tc>
        <w:tc>
          <w:tcPr>
            <w:tcW w:w="3189" w:type="dxa"/>
            <w:hideMark/>
          </w:tcPr>
          <w:p w14:paraId="3DE3D582" w14:textId="015AA532" w:rsidR="00730E53" w:rsidRPr="007375EB" w:rsidRDefault="00730E53" w:rsidP="00730E53">
            <w:pPr>
              <w:rPr>
                <w:lang w:val="bg-BG"/>
              </w:rPr>
            </w:pPr>
            <w:r w:rsidRPr="007375EB">
              <w:rPr>
                <w:lang w:val="bg-BG"/>
              </w:rPr>
              <w:t>Вятърен парк Комана - Печинеага - трасе за подземен електрически кабел МТ и оптична мрежа (предложена)</w:t>
            </w:r>
          </w:p>
        </w:tc>
        <w:tc>
          <w:tcPr>
            <w:tcW w:w="2125" w:type="dxa"/>
            <w:noWrap/>
            <w:vAlign w:val="center"/>
            <w:hideMark/>
          </w:tcPr>
          <w:p w14:paraId="6882BC35" w14:textId="77777777" w:rsidR="00730E53" w:rsidRPr="007375EB" w:rsidRDefault="00730E53" w:rsidP="00730E53">
            <w:pPr>
              <w:rPr>
                <w:lang w:val="bg-BG"/>
              </w:rPr>
            </w:pPr>
            <w:r w:rsidRPr="007375EB">
              <w:rPr>
                <w:lang w:val="bg-BG"/>
              </w:rPr>
              <w:t>1,66 км</w:t>
            </w:r>
          </w:p>
        </w:tc>
        <w:tc>
          <w:tcPr>
            <w:tcW w:w="482" w:type="dxa"/>
            <w:noWrap/>
            <w:vAlign w:val="center"/>
            <w:hideMark/>
          </w:tcPr>
          <w:p w14:paraId="7A7B313D" w14:textId="77777777" w:rsidR="00730E53" w:rsidRPr="007375EB" w:rsidRDefault="00730E53" w:rsidP="00730E53">
            <w:pPr>
              <w:rPr>
                <w:lang w:val="bg-BG"/>
              </w:rPr>
            </w:pPr>
            <w:r w:rsidRPr="007375EB">
              <w:rPr>
                <w:lang w:val="bg-BG"/>
              </w:rPr>
              <w:t>-</w:t>
            </w:r>
          </w:p>
        </w:tc>
        <w:tc>
          <w:tcPr>
            <w:tcW w:w="916" w:type="dxa"/>
            <w:noWrap/>
            <w:vAlign w:val="center"/>
            <w:hideMark/>
          </w:tcPr>
          <w:p w14:paraId="631CF841" w14:textId="77777777" w:rsidR="00730E53" w:rsidRPr="007375EB" w:rsidRDefault="00730E53" w:rsidP="00730E53">
            <w:pPr>
              <w:rPr>
                <w:lang w:val="bg-BG"/>
              </w:rPr>
            </w:pPr>
            <w:r w:rsidRPr="007375EB">
              <w:rPr>
                <w:lang w:val="bg-BG"/>
              </w:rPr>
              <w:t>-</w:t>
            </w:r>
          </w:p>
        </w:tc>
        <w:tc>
          <w:tcPr>
            <w:tcW w:w="916" w:type="dxa"/>
            <w:noWrap/>
            <w:vAlign w:val="center"/>
            <w:hideMark/>
          </w:tcPr>
          <w:p w14:paraId="696CC2A2" w14:textId="77777777" w:rsidR="00730E53" w:rsidRPr="007375EB" w:rsidRDefault="00730E53" w:rsidP="00730E53">
            <w:pPr>
              <w:rPr>
                <w:lang w:val="bg-BG"/>
              </w:rPr>
            </w:pPr>
            <w:r w:rsidRPr="007375EB">
              <w:rPr>
                <w:lang w:val="bg-BG"/>
              </w:rPr>
              <w:t>-</w:t>
            </w:r>
          </w:p>
        </w:tc>
        <w:tc>
          <w:tcPr>
            <w:tcW w:w="810" w:type="dxa"/>
            <w:noWrap/>
            <w:vAlign w:val="center"/>
            <w:hideMark/>
          </w:tcPr>
          <w:p w14:paraId="0C73A5B5" w14:textId="77777777" w:rsidR="00730E53" w:rsidRPr="007375EB" w:rsidRDefault="00730E53" w:rsidP="00730E53">
            <w:pPr>
              <w:rPr>
                <w:lang w:val="bg-BG"/>
              </w:rPr>
            </w:pPr>
            <w:r w:rsidRPr="007375EB">
              <w:rPr>
                <w:lang w:val="bg-BG"/>
              </w:rPr>
              <w:t>-</w:t>
            </w:r>
          </w:p>
        </w:tc>
        <w:tc>
          <w:tcPr>
            <w:tcW w:w="630" w:type="dxa"/>
            <w:noWrap/>
            <w:vAlign w:val="center"/>
            <w:hideMark/>
          </w:tcPr>
          <w:p w14:paraId="4BA8D6F6" w14:textId="77777777" w:rsidR="00730E53" w:rsidRPr="007375EB" w:rsidRDefault="00730E53" w:rsidP="00730E53">
            <w:pPr>
              <w:rPr>
                <w:lang w:val="bg-BG"/>
              </w:rPr>
            </w:pPr>
            <w:r w:rsidRPr="007375EB">
              <w:rPr>
                <w:lang w:val="bg-BG"/>
              </w:rPr>
              <w:t>-</w:t>
            </w:r>
          </w:p>
        </w:tc>
        <w:tc>
          <w:tcPr>
            <w:tcW w:w="720" w:type="dxa"/>
            <w:noWrap/>
            <w:vAlign w:val="center"/>
            <w:hideMark/>
          </w:tcPr>
          <w:p w14:paraId="274B7CC7" w14:textId="77777777" w:rsidR="00730E53" w:rsidRPr="007375EB" w:rsidRDefault="00730E53" w:rsidP="00730E53">
            <w:pPr>
              <w:rPr>
                <w:lang w:val="bg-BG"/>
              </w:rPr>
            </w:pPr>
            <w:r w:rsidRPr="007375EB">
              <w:rPr>
                <w:lang w:val="bg-BG"/>
              </w:rPr>
              <w:t>-</w:t>
            </w:r>
          </w:p>
        </w:tc>
        <w:tc>
          <w:tcPr>
            <w:tcW w:w="720" w:type="dxa"/>
            <w:noWrap/>
            <w:vAlign w:val="center"/>
            <w:hideMark/>
          </w:tcPr>
          <w:p w14:paraId="15FE96DE" w14:textId="77777777" w:rsidR="00730E53" w:rsidRPr="007375EB" w:rsidRDefault="00730E53" w:rsidP="00730E53">
            <w:pPr>
              <w:rPr>
                <w:lang w:val="bg-BG"/>
              </w:rPr>
            </w:pPr>
            <w:r w:rsidRPr="007375EB">
              <w:rPr>
                <w:lang w:val="bg-BG"/>
              </w:rPr>
              <w:t>-</w:t>
            </w:r>
          </w:p>
        </w:tc>
        <w:tc>
          <w:tcPr>
            <w:tcW w:w="540" w:type="dxa"/>
            <w:noWrap/>
            <w:vAlign w:val="center"/>
            <w:hideMark/>
          </w:tcPr>
          <w:p w14:paraId="62EE7B71" w14:textId="77777777" w:rsidR="00730E53" w:rsidRPr="007375EB" w:rsidRDefault="00730E53" w:rsidP="00730E53">
            <w:pPr>
              <w:rPr>
                <w:lang w:val="bg-BG"/>
              </w:rPr>
            </w:pPr>
            <w:r w:rsidRPr="007375EB">
              <w:rPr>
                <w:lang w:val="bg-BG"/>
              </w:rPr>
              <w:t>X</w:t>
            </w:r>
          </w:p>
        </w:tc>
        <w:tc>
          <w:tcPr>
            <w:tcW w:w="990" w:type="dxa"/>
            <w:noWrap/>
            <w:vAlign w:val="center"/>
            <w:hideMark/>
          </w:tcPr>
          <w:p w14:paraId="7202921D" w14:textId="77777777" w:rsidR="00730E53" w:rsidRPr="007375EB" w:rsidRDefault="00730E53" w:rsidP="00730E53">
            <w:pPr>
              <w:rPr>
                <w:lang w:val="bg-BG"/>
              </w:rPr>
            </w:pPr>
            <w:r w:rsidRPr="007375EB">
              <w:rPr>
                <w:lang w:val="bg-BG"/>
              </w:rPr>
              <w:t>X</w:t>
            </w:r>
          </w:p>
        </w:tc>
        <w:tc>
          <w:tcPr>
            <w:tcW w:w="499" w:type="dxa"/>
            <w:noWrap/>
            <w:vAlign w:val="center"/>
            <w:hideMark/>
          </w:tcPr>
          <w:p w14:paraId="67AC4A3C" w14:textId="77777777" w:rsidR="00730E53" w:rsidRPr="007375EB" w:rsidRDefault="00730E53" w:rsidP="00730E53">
            <w:pPr>
              <w:rPr>
                <w:lang w:val="bg-BG"/>
              </w:rPr>
            </w:pPr>
            <w:r w:rsidRPr="007375EB">
              <w:rPr>
                <w:lang w:val="bg-BG"/>
              </w:rPr>
              <w:t>-</w:t>
            </w:r>
          </w:p>
        </w:tc>
        <w:tc>
          <w:tcPr>
            <w:tcW w:w="507" w:type="dxa"/>
            <w:noWrap/>
            <w:vAlign w:val="center"/>
            <w:hideMark/>
          </w:tcPr>
          <w:p w14:paraId="57A8C89F" w14:textId="77777777" w:rsidR="00730E53" w:rsidRPr="007375EB" w:rsidRDefault="00730E53" w:rsidP="00730E53">
            <w:pPr>
              <w:rPr>
                <w:lang w:val="bg-BG"/>
              </w:rPr>
            </w:pPr>
            <w:r w:rsidRPr="007375EB">
              <w:rPr>
                <w:lang w:val="bg-BG"/>
              </w:rPr>
              <w:t>X</w:t>
            </w:r>
          </w:p>
        </w:tc>
        <w:tc>
          <w:tcPr>
            <w:tcW w:w="524" w:type="dxa"/>
            <w:noWrap/>
            <w:vAlign w:val="center"/>
            <w:hideMark/>
          </w:tcPr>
          <w:p w14:paraId="01255A07" w14:textId="77777777" w:rsidR="00730E53" w:rsidRPr="007375EB" w:rsidRDefault="00730E53" w:rsidP="00730E53">
            <w:pPr>
              <w:rPr>
                <w:lang w:val="bg-BG"/>
              </w:rPr>
            </w:pPr>
            <w:r w:rsidRPr="007375EB">
              <w:rPr>
                <w:lang w:val="bg-BG"/>
              </w:rPr>
              <w:t>X</w:t>
            </w:r>
          </w:p>
        </w:tc>
        <w:tc>
          <w:tcPr>
            <w:tcW w:w="616" w:type="dxa"/>
            <w:noWrap/>
            <w:vAlign w:val="center"/>
            <w:hideMark/>
          </w:tcPr>
          <w:p w14:paraId="10FB5EFD" w14:textId="77777777" w:rsidR="00730E53" w:rsidRPr="007375EB" w:rsidRDefault="00730E53" w:rsidP="00730E53">
            <w:pPr>
              <w:rPr>
                <w:lang w:val="bg-BG"/>
              </w:rPr>
            </w:pPr>
            <w:r w:rsidRPr="007375EB">
              <w:rPr>
                <w:lang w:val="bg-BG"/>
              </w:rPr>
              <w:t>X</w:t>
            </w:r>
          </w:p>
        </w:tc>
        <w:tc>
          <w:tcPr>
            <w:tcW w:w="612" w:type="dxa"/>
            <w:noWrap/>
            <w:vAlign w:val="center"/>
            <w:hideMark/>
          </w:tcPr>
          <w:p w14:paraId="1677DC57" w14:textId="77777777" w:rsidR="00730E53" w:rsidRPr="007375EB" w:rsidRDefault="00730E53" w:rsidP="00730E53">
            <w:pPr>
              <w:rPr>
                <w:lang w:val="bg-BG"/>
              </w:rPr>
            </w:pPr>
            <w:r w:rsidRPr="007375EB">
              <w:rPr>
                <w:lang w:val="bg-BG"/>
              </w:rPr>
              <w:t>X</w:t>
            </w:r>
          </w:p>
        </w:tc>
      </w:tr>
      <w:tr w:rsidR="00730E53" w:rsidRPr="007375EB" w14:paraId="29C75B96" w14:textId="77777777" w:rsidTr="006C1B17">
        <w:trPr>
          <w:trHeight w:val="420"/>
        </w:trPr>
        <w:tc>
          <w:tcPr>
            <w:tcW w:w="621" w:type="dxa"/>
            <w:noWrap/>
            <w:hideMark/>
          </w:tcPr>
          <w:p w14:paraId="0E4B0659" w14:textId="77777777" w:rsidR="00730E53" w:rsidRPr="007375EB" w:rsidRDefault="00730E53" w:rsidP="00730E53">
            <w:pPr>
              <w:rPr>
                <w:lang w:val="bg-BG"/>
              </w:rPr>
            </w:pPr>
            <w:r w:rsidRPr="007375EB">
              <w:rPr>
                <w:lang w:val="bg-BG"/>
              </w:rPr>
              <w:t>4</w:t>
            </w:r>
          </w:p>
        </w:tc>
        <w:tc>
          <w:tcPr>
            <w:tcW w:w="3189" w:type="dxa"/>
            <w:hideMark/>
          </w:tcPr>
          <w:p w14:paraId="6F3F3645" w14:textId="15BEC85A" w:rsidR="00730E53" w:rsidRPr="007375EB" w:rsidRDefault="00730E53" w:rsidP="00730E53">
            <w:pPr>
              <w:rPr>
                <w:lang w:val="bg-BG"/>
              </w:rPr>
            </w:pPr>
            <w:r w:rsidRPr="007375EB">
              <w:rPr>
                <w:lang w:val="bg-BG"/>
              </w:rPr>
              <w:t xml:space="preserve">Изграждане на вятърна електроцентрала, включваща: вятърни турбини, пътища за достъп и платформи за монтаж/поддръжка, електрическа трансформаторна станция </w:t>
            </w:r>
            <w:r w:rsidRPr="007375EB">
              <w:rPr>
                <w:lang w:val="bg-BG"/>
              </w:rPr>
              <w:lastRenderedPageBreak/>
              <w:t>(собствена), електрическа мрежа средно и високо напрежение, телекомуникационна мрежа, общ. Индепенденца, окръг Констанца (предложен)</w:t>
            </w:r>
          </w:p>
        </w:tc>
        <w:tc>
          <w:tcPr>
            <w:tcW w:w="2125" w:type="dxa"/>
            <w:noWrap/>
            <w:vAlign w:val="center"/>
            <w:hideMark/>
          </w:tcPr>
          <w:p w14:paraId="6711E485" w14:textId="77777777" w:rsidR="00730E53" w:rsidRPr="007375EB" w:rsidRDefault="00730E53" w:rsidP="00730E53">
            <w:pPr>
              <w:rPr>
                <w:lang w:val="bg-BG"/>
              </w:rPr>
            </w:pPr>
            <w:r w:rsidRPr="007375EB">
              <w:rPr>
                <w:lang w:val="bg-BG"/>
              </w:rPr>
              <w:lastRenderedPageBreak/>
              <w:t>18,19 км</w:t>
            </w:r>
          </w:p>
        </w:tc>
        <w:tc>
          <w:tcPr>
            <w:tcW w:w="482" w:type="dxa"/>
            <w:noWrap/>
            <w:vAlign w:val="center"/>
            <w:hideMark/>
          </w:tcPr>
          <w:p w14:paraId="3478B6AE" w14:textId="77777777" w:rsidR="00730E53" w:rsidRPr="007375EB" w:rsidRDefault="00730E53" w:rsidP="00730E53">
            <w:pPr>
              <w:rPr>
                <w:lang w:val="bg-BG"/>
              </w:rPr>
            </w:pPr>
            <w:r w:rsidRPr="007375EB">
              <w:rPr>
                <w:lang w:val="bg-BG"/>
              </w:rPr>
              <w:t>-</w:t>
            </w:r>
          </w:p>
        </w:tc>
        <w:tc>
          <w:tcPr>
            <w:tcW w:w="916" w:type="dxa"/>
            <w:noWrap/>
            <w:vAlign w:val="center"/>
            <w:hideMark/>
          </w:tcPr>
          <w:p w14:paraId="16050E6D" w14:textId="77777777" w:rsidR="00730E53" w:rsidRPr="007375EB" w:rsidRDefault="00730E53" w:rsidP="00730E53">
            <w:pPr>
              <w:rPr>
                <w:lang w:val="bg-BG"/>
              </w:rPr>
            </w:pPr>
            <w:r w:rsidRPr="007375EB">
              <w:rPr>
                <w:lang w:val="bg-BG"/>
              </w:rPr>
              <w:t>-</w:t>
            </w:r>
          </w:p>
        </w:tc>
        <w:tc>
          <w:tcPr>
            <w:tcW w:w="916" w:type="dxa"/>
            <w:noWrap/>
            <w:vAlign w:val="center"/>
            <w:hideMark/>
          </w:tcPr>
          <w:p w14:paraId="5B071D93" w14:textId="77777777" w:rsidR="00730E53" w:rsidRPr="007375EB" w:rsidRDefault="00730E53" w:rsidP="00730E53">
            <w:pPr>
              <w:rPr>
                <w:lang w:val="bg-BG"/>
              </w:rPr>
            </w:pPr>
            <w:r w:rsidRPr="007375EB">
              <w:rPr>
                <w:lang w:val="bg-BG"/>
              </w:rPr>
              <w:t>-</w:t>
            </w:r>
          </w:p>
        </w:tc>
        <w:tc>
          <w:tcPr>
            <w:tcW w:w="810" w:type="dxa"/>
            <w:noWrap/>
            <w:vAlign w:val="center"/>
            <w:hideMark/>
          </w:tcPr>
          <w:p w14:paraId="3B067029" w14:textId="77777777" w:rsidR="00730E53" w:rsidRPr="007375EB" w:rsidRDefault="00730E53" w:rsidP="00730E53">
            <w:pPr>
              <w:rPr>
                <w:lang w:val="bg-BG"/>
              </w:rPr>
            </w:pPr>
            <w:r w:rsidRPr="007375EB">
              <w:rPr>
                <w:lang w:val="bg-BG"/>
              </w:rPr>
              <w:t>-</w:t>
            </w:r>
          </w:p>
        </w:tc>
        <w:tc>
          <w:tcPr>
            <w:tcW w:w="630" w:type="dxa"/>
            <w:noWrap/>
            <w:vAlign w:val="center"/>
            <w:hideMark/>
          </w:tcPr>
          <w:p w14:paraId="0109B3FC" w14:textId="77777777" w:rsidR="00730E53" w:rsidRPr="007375EB" w:rsidRDefault="00730E53" w:rsidP="00730E53">
            <w:pPr>
              <w:rPr>
                <w:lang w:val="bg-BG"/>
              </w:rPr>
            </w:pPr>
            <w:r w:rsidRPr="007375EB">
              <w:rPr>
                <w:lang w:val="bg-BG"/>
              </w:rPr>
              <w:t>-</w:t>
            </w:r>
          </w:p>
        </w:tc>
        <w:tc>
          <w:tcPr>
            <w:tcW w:w="720" w:type="dxa"/>
            <w:noWrap/>
            <w:vAlign w:val="center"/>
            <w:hideMark/>
          </w:tcPr>
          <w:p w14:paraId="6C4A6AEA" w14:textId="77777777" w:rsidR="00730E53" w:rsidRPr="007375EB" w:rsidRDefault="00730E53" w:rsidP="00730E53">
            <w:pPr>
              <w:rPr>
                <w:lang w:val="bg-BG"/>
              </w:rPr>
            </w:pPr>
            <w:r w:rsidRPr="007375EB">
              <w:rPr>
                <w:lang w:val="bg-BG"/>
              </w:rPr>
              <w:t>-</w:t>
            </w:r>
          </w:p>
        </w:tc>
        <w:tc>
          <w:tcPr>
            <w:tcW w:w="720" w:type="dxa"/>
            <w:noWrap/>
            <w:vAlign w:val="center"/>
            <w:hideMark/>
          </w:tcPr>
          <w:p w14:paraId="7DF47ED4" w14:textId="77777777" w:rsidR="00730E53" w:rsidRPr="007375EB" w:rsidRDefault="00730E53" w:rsidP="00730E53">
            <w:pPr>
              <w:rPr>
                <w:lang w:val="bg-BG"/>
              </w:rPr>
            </w:pPr>
            <w:r w:rsidRPr="007375EB">
              <w:rPr>
                <w:lang w:val="bg-BG"/>
              </w:rPr>
              <w:t>-</w:t>
            </w:r>
          </w:p>
        </w:tc>
        <w:tc>
          <w:tcPr>
            <w:tcW w:w="540" w:type="dxa"/>
            <w:noWrap/>
            <w:vAlign w:val="center"/>
            <w:hideMark/>
          </w:tcPr>
          <w:p w14:paraId="27B27F15" w14:textId="77777777" w:rsidR="00730E53" w:rsidRPr="007375EB" w:rsidRDefault="00730E53" w:rsidP="00730E53">
            <w:pPr>
              <w:rPr>
                <w:lang w:val="bg-BG"/>
              </w:rPr>
            </w:pPr>
            <w:r w:rsidRPr="007375EB">
              <w:rPr>
                <w:lang w:val="bg-BG"/>
              </w:rPr>
              <w:t>X</w:t>
            </w:r>
          </w:p>
        </w:tc>
        <w:tc>
          <w:tcPr>
            <w:tcW w:w="990" w:type="dxa"/>
            <w:noWrap/>
            <w:vAlign w:val="center"/>
            <w:hideMark/>
          </w:tcPr>
          <w:p w14:paraId="05C20A0C" w14:textId="77777777" w:rsidR="00730E53" w:rsidRPr="007375EB" w:rsidRDefault="00730E53" w:rsidP="00730E53">
            <w:pPr>
              <w:rPr>
                <w:lang w:val="bg-BG"/>
              </w:rPr>
            </w:pPr>
            <w:r w:rsidRPr="007375EB">
              <w:rPr>
                <w:lang w:val="bg-BG"/>
              </w:rPr>
              <w:t>X</w:t>
            </w:r>
          </w:p>
        </w:tc>
        <w:tc>
          <w:tcPr>
            <w:tcW w:w="499" w:type="dxa"/>
            <w:noWrap/>
            <w:vAlign w:val="center"/>
            <w:hideMark/>
          </w:tcPr>
          <w:p w14:paraId="0008116E" w14:textId="77777777" w:rsidR="00730E53" w:rsidRPr="007375EB" w:rsidRDefault="00730E53" w:rsidP="00730E53">
            <w:pPr>
              <w:rPr>
                <w:lang w:val="bg-BG"/>
              </w:rPr>
            </w:pPr>
            <w:r w:rsidRPr="007375EB">
              <w:rPr>
                <w:lang w:val="bg-BG"/>
              </w:rPr>
              <w:t>-</w:t>
            </w:r>
          </w:p>
        </w:tc>
        <w:tc>
          <w:tcPr>
            <w:tcW w:w="507" w:type="dxa"/>
            <w:noWrap/>
            <w:vAlign w:val="center"/>
            <w:hideMark/>
          </w:tcPr>
          <w:p w14:paraId="50915CBC" w14:textId="77777777" w:rsidR="00730E53" w:rsidRPr="007375EB" w:rsidRDefault="00730E53" w:rsidP="00730E53">
            <w:pPr>
              <w:rPr>
                <w:lang w:val="bg-BG"/>
              </w:rPr>
            </w:pPr>
            <w:r w:rsidRPr="007375EB">
              <w:rPr>
                <w:lang w:val="bg-BG"/>
              </w:rPr>
              <w:t>X</w:t>
            </w:r>
          </w:p>
        </w:tc>
        <w:tc>
          <w:tcPr>
            <w:tcW w:w="524" w:type="dxa"/>
            <w:noWrap/>
            <w:vAlign w:val="center"/>
            <w:hideMark/>
          </w:tcPr>
          <w:p w14:paraId="739F85D7" w14:textId="77777777" w:rsidR="00730E53" w:rsidRPr="007375EB" w:rsidRDefault="00730E53" w:rsidP="00730E53">
            <w:pPr>
              <w:rPr>
                <w:lang w:val="bg-BG"/>
              </w:rPr>
            </w:pPr>
            <w:r w:rsidRPr="007375EB">
              <w:rPr>
                <w:lang w:val="bg-BG"/>
              </w:rPr>
              <w:t>X</w:t>
            </w:r>
          </w:p>
        </w:tc>
        <w:tc>
          <w:tcPr>
            <w:tcW w:w="616" w:type="dxa"/>
            <w:noWrap/>
            <w:vAlign w:val="center"/>
            <w:hideMark/>
          </w:tcPr>
          <w:p w14:paraId="49DE8603" w14:textId="77777777" w:rsidR="00730E53" w:rsidRPr="007375EB" w:rsidRDefault="00730E53" w:rsidP="00730E53">
            <w:pPr>
              <w:rPr>
                <w:lang w:val="bg-BG"/>
              </w:rPr>
            </w:pPr>
            <w:r w:rsidRPr="007375EB">
              <w:rPr>
                <w:lang w:val="bg-BG"/>
              </w:rPr>
              <w:t>X</w:t>
            </w:r>
          </w:p>
        </w:tc>
        <w:tc>
          <w:tcPr>
            <w:tcW w:w="612" w:type="dxa"/>
            <w:noWrap/>
            <w:vAlign w:val="center"/>
            <w:hideMark/>
          </w:tcPr>
          <w:p w14:paraId="78C7F322" w14:textId="77777777" w:rsidR="00730E53" w:rsidRPr="007375EB" w:rsidRDefault="00730E53" w:rsidP="00730E53">
            <w:pPr>
              <w:rPr>
                <w:lang w:val="bg-BG"/>
              </w:rPr>
            </w:pPr>
            <w:r w:rsidRPr="007375EB">
              <w:rPr>
                <w:lang w:val="bg-BG"/>
              </w:rPr>
              <w:t>X</w:t>
            </w:r>
          </w:p>
        </w:tc>
      </w:tr>
      <w:tr w:rsidR="00730E53" w:rsidRPr="007375EB" w14:paraId="56107C32" w14:textId="77777777" w:rsidTr="006C1B17">
        <w:trPr>
          <w:trHeight w:val="210"/>
        </w:trPr>
        <w:tc>
          <w:tcPr>
            <w:tcW w:w="621" w:type="dxa"/>
            <w:noWrap/>
            <w:hideMark/>
          </w:tcPr>
          <w:p w14:paraId="60114343" w14:textId="77777777" w:rsidR="00730E53" w:rsidRPr="007375EB" w:rsidRDefault="00730E53" w:rsidP="00730E53">
            <w:pPr>
              <w:rPr>
                <w:lang w:val="bg-BG"/>
              </w:rPr>
            </w:pPr>
            <w:r w:rsidRPr="007375EB">
              <w:rPr>
                <w:lang w:val="bg-BG"/>
              </w:rPr>
              <w:t>5</w:t>
            </w:r>
          </w:p>
        </w:tc>
        <w:tc>
          <w:tcPr>
            <w:tcW w:w="3189" w:type="dxa"/>
            <w:noWrap/>
            <w:hideMark/>
          </w:tcPr>
          <w:p w14:paraId="114E3CE8" w14:textId="4FAC0259" w:rsidR="00730E53" w:rsidRPr="007375EB" w:rsidRDefault="00730E53" w:rsidP="00730E53">
            <w:pPr>
              <w:rPr>
                <w:lang w:val="bg-BG"/>
              </w:rPr>
            </w:pPr>
            <w:r w:rsidRPr="007375EB">
              <w:rPr>
                <w:lang w:val="bg-BG"/>
              </w:rPr>
              <w:t>Събаряне на съществуващи сгради и изграждане на фотоволтаична електроцентрала с мощност 3,212 МВт, свързване към SEN, инсталиране на PC и PTAB, вътрешен път и достъп, ограждане на терена и организация на строителната площадка в Индепенденца (предложена)</w:t>
            </w:r>
          </w:p>
        </w:tc>
        <w:tc>
          <w:tcPr>
            <w:tcW w:w="2125" w:type="dxa"/>
            <w:noWrap/>
            <w:vAlign w:val="center"/>
            <w:hideMark/>
          </w:tcPr>
          <w:p w14:paraId="0183426A" w14:textId="77777777" w:rsidR="00730E53" w:rsidRPr="007375EB" w:rsidRDefault="00730E53" w:rsidP="00730E53">
            <w:pPr>
              <w:rPr>
                <w:lang w:val="bg-BG"/>
              </w:rPr>
            </w:pPr>
            <w:r w:rsidRPr="007375EB">
              <w:rPr>
                <w:lang w:val="bg-BG"/>
              </w:rPr>
              <w:t>23,73</w:t>
            </w:r>
          </w:p>
        </w:tc>
        <w:tc>
          <w:tcPr>
            <w:tcW w:w="482" w:type="dxa"/>
            <w:noWrap/>
            <w:vAlign w:val="center"/>
            <w:hideMark/>
          </w:tcPr>
          <w:p w14:paraId="23977D7A" w14:textId="77777777" w:rsidR="00730E53" w:rsidRPr="007375EB" w:rsidRDefault="00730E53" w:rsidP="00730E53">
            <w:pPr>
              <w:rPr>
                <w:lang w:val="bg-BG"/>
              </w:rPr>
            </w:pPr>
            <w:r w:rsidRPr="007375EB">
              <w:rPr>
                <w:lang w:val="bg-BG"/>
              </w:rPr>
              <w:t>-</w:t>
            </w:r>
          </w:p>
        </w:tc>
        <w:tc>
          <w:tcPr>
            <w:tcW w:w="916" w:type="dxa"/>
            <w:noWrap/>
            <w:vAlign w:val="center"/>
            <w:hideMark/>
          </w:tcPr>
          <w:p w14:paraId="05B5882B" w14:textId="77777777" w:rsidR="00730E53" w:rsidRPr="007375EB" w:rsidRDefault="00730E53" w:rsidP="00730E53">
            <w:pPr>
              <w:rPr>
                <w:lang w:val="bg-BG"/>
              </w:rPr>
            </w:pPr>
            <w:r w:rsidRPr="007375EB">
              <w:rPr>
                <w:lang w:val="bg-BG"/>
              </w:rPr>
              <w:t>-</w:t>
            </w:r>
          </w:p>
        </w:tc>
        <w:tc>
          <w:tcPr>
            <w:tcW w:w="916" w:type="dxa"/>
            <w:noWrap/>
            <w:vAlign w:val="center"/>
            <w:hideMark/>
          </w:tcPr>
          <w:p w14:paraId="2035863E" w14:textId="77777777" w:rsidR="00730E53" w:rsidRPr="007375EB" w:rsidRDefault="00730E53" w:rsidP="00730E53">
            <w:pPr>
              <w:rPr>
                <w:lang w:val="bg-BG"/>
              </w:rPr>
            </w:pPr>
            <w:r w:rsidRPr="007375EB">
              <w:rPr>
                <w:lang w:val="bg-BG"/>
              </w:rPr>
              <w:t>-</w:t>
            </w:r>
          </w:p>
        </w:tc>
        <w:tc>
          <w:tcPr>
            <w:tcW w:w="810" w:type="dxa"/>
            <w:noWrap/>
            <w:vAlign w:val="center"/>
            <w:hideMark/>
          </w:tcPr>
          <w:p w14:paraId="406BC596" w14:textId="77777777" w:rsidR="00730E53" w:rsidRPr="007375EB" w:rsidRDefault="00730E53" w:rsidP="00730E53">
            <w:pPr>
              <w:rPr>
                <w:lang w:val="bg-BG"/>
              </w:rPr>
            </w:pPr>
            <w:r w:rsidRPr="007375EB">
              <w:rPr>
                <w:lang w:val="bg-BG"/>
              </w:rPr>
              <w:t>-</w:t>
            </w:r>
          </w:p>
        </w:tc>
        <w:tc>
          <w:tcPr>
            <w:tcW w:w="630" w:type="dxa"/>
            <w:noWrap/>
            <w:vAlign w:val="center"/>
            <w:hideMark/>
          </w:tcPr>
          <w:p w14:paraId="0187F183" w14:textId="77777777" w:rsidR="00730E53" w:rsidRPr="007375EB" w:rsidRDefault="00730E53" w:rsidP="00730E53">
            <w:pPr>
              <w:rPr>
                <w:lang w:val="bg-BG"/>
              </w:rPr>
            </w:pPr>
            <w:r w:rsidRPr="007375EB">
              <w:rPr>
                <w:lang w:val="bg-BG"/>
              </w:rPr>
              <w:t>-</w:t>
            </w:r>
          </w:p>
        </w:tc>
        <w:tc>
          <w:tcPr>
            <w:tcW w:w="720" w:type="dxa"/>
            <w:noWrap/>
            <w:vAlign w:val="center"/>
            <w:hideMark/>
          </w:tcPr>
          <w:p w14:paraId="5748DA7F" w14:textId="77777777" w:rsidR="00730E53" w:rsidRPr="007375EB" w:rsidRDefault="00730E53" w:rsidP="00730E53">
            <w:pPr>
              <w:rPr>
                <w:lang w:val="bg-BG"/>
              </w:rPr>
            </w:pPr>
            <w:r w:rsidRPr="007375EB">
              <w:rPr>
                <w:lang w:val="bg-BG"/>
              </w:rPr>
              <w:t>-</w:t>
            </w:r>
          </w:p>
        </w:tc>
        <w:tc>
          <w:tcPr>
            <w:tcW w:w="720" w:type="dxa"/>
            <w:noWrap/>
            <w:vAlign w:val="center"/>
            <w:hideMark/>
          </w:tcPr>
          <w:p w14:paraId="20F324EA" w14:textId="77777777" w:rsidR="00730E53" w:rsidRPr="007375EB" w:rsidRDefault="00730E53" w:rsidP="00730E53">
            <w:pPr>
              <w:rPr>
                <w:lang w:val="bg-BG"/>
              </w:rPr>
            </w:pPr>
            <w:r w:rsidRPr="007375EB">
              <w:rPr>
                <w:lang w:val="bg-BG"/>
              </w:rPr>
              <w:t>-</w:t>
            </w:r>
          </w:p>
        </w:tc>
        <w:tc>
          <w:tcPr>
            <w:tcW w:w="540" w:type="dxa"/>
            <w:noWrap/>
            <w:vAlign w:val="center"/>
            <w:hideMark/>
          </w:tcPr>
          <w:p w14:paraId="2ADBDDBB" w14:textId="77777777" w:rsidR="00730E53" w:rsidRPr="007375EB" w:rsidRDefault="00730E53" w:rsidP="00730E53">
            <w:pPr>
              <w:rPr>
                <w:lang w:val="bg-BG"/>
              </w:rPr>
            </w:pPr>
            <w:r w:rsidRPr="007375EB">
              <w:rPr>
                <w:lang w:val="bg-BG"/>
              </w:rPr>
              <w:t>-</w:t>
            </w:r>
          </w:p>
        </w:tc>
        <w:tc>
          <w:tcPr>
            <w:tcW w:w="990" w:type="dxa"/>
            <w:noWrap/>
            <w:vAlign w:val="center"/>
            <w:hideMark/>
          </w:tcPr>
          <w:p w14:paraId="4FD615AA" w14:textId="77777777" w:rsidR="00730E53" w:rsidRPr="007375EB" w:rsidRDefault="00730E53" w:rsidP="00730E53">
            <w:pPr>
              <w:rPr>
                <w:lang w:val="bg-BG"/>
              </w:rPr>
            </w:pPr>
            <w:r w:rsidRPr="007375EB">
              <w:rPr>
                <w:lang w:val="bg-BG"/>
              </w:rPr>
              <w:t>-</w:t>
            </w:r>
          </w:p>
        </w:tc>
        <w:tc>
          <w:tcPr>
            <w:tcW w:w="499" w:type="dxa"/>
            <w:noWrap/>
            <w:vAlign w:val="center"/>
            <w:hideMark/>
          </w:tcPr>
          <w:p w14:paraId="630A0694" w14:textId="77777777" w:rsidR="00730E53" w:rsidRPr="007375EB" w:rsidRDefault="00730E53" w:rsidP="00730E53">
            <w:pPr>
              <w:rPr>
                <w:lang w:val="bg-BG"/>
              </w:rPr>
            </w:pPr>
            <w:r w:rsidRPr="007375EB">
              <w:rPr>
                <w:lang w:val="bg-BG"/>
              </w:rPr>
              <w:t>-</w:t>
            </w:r>
          </w:p>
        </w:tc>
        <w:tc>
          <w:tcPr>
            <w:tcW w:w="507" w:type="dxa"/>
            <w:noWrap/>
            <w:vAlign w:val="center"/>
            <w:hideMark/>
          </w:tcPr>
          <w:p w14:paraId="12AB4438" w14:textId="77777777" w:rsidR="00730E53" w:rsidRPr="007375EB" w:rsidRDefault="00730E53" w:rsidP="00730E53">
            <w:pPr>
              <w:rPr>
                <w:lang w:val="bg-BG"/>
              </w:rPr>
            </w:pPr>
            <w:r w:rsidRPr="007375EB">
              <w:rPr>
                <w:lang w:val="bg-BG"/>
              </w:rPr>
              <w:t>-</w:t>
            </w:r>
          </w:p>
        </w:tc>
        <w:tc>
          <w:tcPr>
            <w:tcW w:w="524" w:type="dxa"/>
            <w:noWrap/>
            <w:vAlign w:val="center"/>
            <w:hideMark/>
          </w:tcPr>
          <w:p w14:paraId="4F64D3C3" w14:textId="77777777" w:rsidR="00730E53" w:rsidRPr="007375EB" w:rsidRDefault="00730E53" w:rsidP="00730E53">
            <w:pPr>
              <w:rPr>
                <w:lang w:val="bg-BG"/>
              </w:rPr>
            </w:pPr>
            <w:r w:rsidRPr="007375EB">
              <w:rPr>
                <w:lang w:val="bg-BG"/>
              </w:rPr>
              <w:t>-</w:t>
            </w:r>
          </w:p>
        </w:tc>
        <w:tc>
          <w:tcPr>
            <w:tcW w:w="616" w:type="dxa"/>
            <w:noWrap/>
            <w:vAlign w:val="center"/>
            <w:hideMark/>
          </w:tcPr>
          <w:p w14:paraId="6A1CBB40" w14:textId="77777777" w:rsidR="00730E53" w:rsidRPr="007375EB" w:rsidRDefault="00730E53" w:rsidP="00730E53">
            <w:pPr>
              <w:rPr>
                <w:lang w:val="bg-BG"/>
              </w:rPr>
            </w:pPr>
            <w:r w:rsidRPr="007375EB">
              <w:rPr>
                <w:lang w:val="bg-BG"/>
              </w:rPr>
              <w:t>-</w:t>
            </w:r>
          </w:p>
        </w:tc>
        <w:tc>
          <w:tcPr>
            <w:tcW w:w="612" w:type="dxa"/>
            <w:noWrap/>
            <w:vAlign w:val="center"/>
            <w:hideMark/>
          </w:tcPr>
          <w:p w14:paraId="6B48772A" w14:textId="77777777" w:rsidR="00730E53" w:rsidRPr="007375EB" w:rsidRDefault="00730E53" w:rsidP="00730E53">
            <w:pPr>
              <w:rPr>
                <w:lang w:val="bg-BG"/>
              </w:rPr>
            </w:pPr>
            <w:r w:rsidRPr="007375EB">
              <w:rPr>
                <w:lang w:val="bg-BG"/>
              </w:rPr>
              <w:t>-</w:t>
            </w:r>
          </w:p>
        </w:tc>
      </w:tr>
      <w:tr w:rsidR="00730E53" w:rsidRPr="007375EB" w14:paraId="55E38A7C" w14:textId="77777777" w:rsidTr="006C1B17">
        <w:trPr>
          <w:trHeight w:val="210"/>
        </w:trPr>
        <w:tc>
          <w:tcPr>
            <w:tcW w:w="621" w:type="dxa"/>
            <w:noWrap/>
          </w:tcPr>
          <w:p w14:paraId="51796068" w14:textId="77777777" w:rsidR="00730E53" w:rsidRPr="007375EB" w:rsidRDefault="00730E53" w:rsidP="00730E53">
            <w:pPr>
              <w:rPr>
                <w:lang w:val="bg-BG"/>
              </w:rPr>
            </w:pPr>
            <w:r w:rsidRPr="007375EB">
              <w:rPr>
                <w:lang w:val="bg-BG"/>
              </w:rPr>
              <w:t>6</w:t>
            </w:r>
          </w:p>
        </w:tc>
        <w:tc>
          <w:tcPr>
            <w:tcW w:w="3189" w:type="dxa"/>
            <w:noWrap/>
          </w:tcPr>
          <w:p w14:paraId="3874523E" w14:textId="63DEE1E2" w:rsidR="00730E53" w:rsidRPr="007375EB" w:rsidRDefault="00730E53" w:rsidP="00730E53">
            <w:pPr>
              <w:rPr>
                <w:lang w:val="bg-BG"/>
              </w:rPr>
            </w:pPr>
            <w:r w:rsidRPr="007375EB">
              <w:rPr>
                <w:lang w:val="bg-BG"/>
              </w:rPr>
              <w:t xml:space="preserve">Изграждане на подземна оптична мрежа за електронни съобщителни услуги в окръг </w:t>
            </w:r>
            <w:r w:rsidRPr="007375EB">
              <w:rPr>
                <w:lang w:val="bg-BG"/>
              </w:rPr>
              <w:lastRenderedPageBreak/>
              <w:t>Констанца, Индепенденца, Думбръвени (предложена)</w:t>
            </w:r>
          </w:p>
        </w:tc>
        <w:tc>
          <w:tcPr>
            <w:tcW w:w="2125" w:type="dxa"/>
            <w:noWrap/>
            <w:vAlign w:val="center"/>
          </w:tcPr>
          <w:p w14:paraId="6183F3E8" w14:textId="77777777" w:rsidR="00730E53" w:rsidRPr="007375EB" w:rsidRDefault="00730E53" w:rsidP="00730E53">
            <w:pPr>
              <w:rPr>
                <w:lang w:val="bg-BG"/>
              </w:rPr>
            </w:pPr>
            <w:r w:rsidRPr="007375EB">
              <w:rPr>
                <w:lang w:val="bg-BG"/>
              </w:rPr>
              <w:lastRenderedPageBreak/>
              <w:t>26,1 км</w:t>
            </w:r>
          </w:p>
        </w:tc>
        <w:tc>
          <w:tcPr>
            <w:tcW w:w="482" w:type="dxa"/>
            <w:noWrap/>
            <w:vAlign w:val="center"/>
          </w:tcPr>
          <w:p w14:paraId="1E30EDE4" w14:textId="77777777" w:rsidR="00730E53" w:rsidRPr="007375EB" w:rsidRDefault="00730E53" w:rsidP="00730E53">
            <w:pPr>
              <w:rPr>
                <w:lang w:val="bg-BG"/>
              </w:rPr>
            </w:pPr>
            <w:r w:rsidRPr="007375EB">
              <w:rPr>
                <w:lang w:val="bg-BG"/>
              </w:rPr>
              <w:t>-</w:t>
            </w:r>
          </w:p>
        </w:tc>
        <w:tc>
          <w:tcPr>
            <w:tcW w:w="916" w:type="dxa"/>
            <w:noWrap/>
            <w:vAlign w:val="center"/>
          </w:tcPr>
          <w:p w14:paraId="5622F8CD" w14:textId="77777777" w:rsidR="00730E53" w:rsidRPr="007375EB" w:rsidRDefault="00730E53" w:rsidP="00730E53">
            <w:pPr>
              <w:rPr>
                <w:lang w:val="bg-BG"/>
              </w:rPr>
            </w:pPr>
            <w:r w:rsidRPr="007375EB">
              <w:rPr>
                <w:lang w:val="bg-BG"/>
              </w:rPr>
              <w:t>-</w:t>
            </w:r>
          </w:p>
        </w:tc>
        <w:tc>
          <w:tcPr>
            <w:tcW w:w="916" w:type="dxa"/>
            <w:noWrap/>
            <w:vAlign w:val="center"/>
          </w:tcPr>
          <w:p w14:paraId="16AFBA6D" w14:textId="77777777" w:rsidR="00730E53" w:rsidRPr="007375EB" w:rsidRDefault="00730E53" w:rsidP="00730E53">
            <w:pPr>
              <w:rPr>
                <w:lang w:val="bg-BG"/>
              </w:rPr>
            </w:pPr>
            <w:r w:rsidRPr="007375EB">
              <w:rPr>
                <w:lang w:val="bg-BG"/>
              </w:rPr>
              <w:t>-</w:t>
            </w:r>
          </w:p>
        </w:tc>
        <w:tc>
          <w:tcPr>
            <w:tcW w:w="810" w:type="dxa"/>
            <w:noWrap/>
            <w:vAlign w:val="center"/>
          </w:tcPr>
          <w:p w14:paraId="6E8F94ED" w14:textId="77777777" w:rsidR="00730E53" w:rsidRPr="007375EB" w:rsidRDefault="00730E53" w:rsidP="00730E53">
            <w:pPr>
              <w:rPr>
                <w:lang w:val="bg-BG"/>
              </w:rPr>
            </w:pPr>
            <w:r w:rsidRPr="007375EB">
              <w:rPr>
                <w:lang w:val="bg-BG"/>
              </w:rPr>
              <w:t>-</w:t>
            </w:r>
          </w:p>
        </w:tc>
        <w:tc>
          <w:tcPr>
            <w:tcW w:w="630" w:type="dxa"/>
            <w:noWrap/>
            <w:vAlign w:val="center"/>
          </w:tcPr>
          <w:p w14:paraId="1551442F" w14:textId="77777777" w:rsidR="00730E53" w:rsidRPr="007375EB" w:rsidRDefault="00730E53" w:rsidP="00730E53">
            <w:pPr>
              <w:rPr>
                <w:lang w:val="bg-BG"/>
              </w:rPr>
            </w:pPr>
            <w:r w:rsidRPr="007375EB">
              <w:rPr>
                <w:lang w:val="bg-BG"/>
              </w:rPr>
              <w:t>-</w:t>
            </w:r>
          </w:p>
        </w:tc>
        <w:tc>
          <w:tcPr>
            <w:tcW w:w="720" w:type="dxa"/>
            <w:noWrap/>
            <w:vAlign w:val="center"/>
          </w:tcPr>
          <w:p w14:paraId="69B16AC1" w14:textId="77777777" w:rsidR="00730E53" w:rsidRPr="007375EB" w:rsidRDefault="00730E53" w:rsidP="00730E53">
            <w:pPr>
              <w:rPr>
                <w:lang w:val="bg-BG"/>
              </w:rPr>
            </w:pPr>
            <w:r w:rsidRPr="007375EB">
              <w:rPr>
                <w:lang w:val="bg-BG"/>
              </w:rPr>
              <w:t>-</w:t>
            </w:r>
          </w:p>
        </w:tc>
        <w:tc>
          <w:tcPr>
            <w:tcW w:w="720" w:type="dxa"/>
            <w:noWrap/>
            <w:vAlign w:val="center"/>
          </w:tcPr>
          <w:p w14:paraId="56596A58" w14:textId="77777777" w:rsidR="00730E53" w:rsidRPr="007375EB" w:rsidRDefault="00730E53" w:rsidP="00730E53">
            <w:pPr>
              <w:rPr>
                <w:lang w:val="bg-BG"/>
              </w:rPr>
            </w:pPr>
            <w:r w:rsidRPr="007375EB">
              <w:rPr>
                <w:lang w:val="bg-BG"/>
              </w:rPr>
              <w:t>-</w:t>
            </w:r>
          </w:p>
        </w:tc>
        <w:tc>
          <w:tcPr>
            <w:tcW w:w="540" w:type="dxa"/>
            <w:noWrap/>
            <w:vAlign w:val="center"/>
          </w:tcPr>
          <w:p w14:paraId="3F5191F4" w14:textId="77777777" w:rsidR="00730E53" w:rsidRPr="007375EB" w:rsidRDefault="00730E53" w:rsidP="00730E53">
            <w:pPr>
              <w:rPr>
                <w:lang w:val="bg-BG"/>
              </w:rPr>
            </w:pPr>
            <w:r w:rsidRPr="007375EB">
              <w:rPr>
                <w:lang w:val="bg-BG"/>
              </w:rPr>
              <w:t>-</w:t>
            </w:r>
          </w:p>
        </w:tc>
        <w:tc>
          <w:tcPr>
            <w:tcW w:w="990" w:type="dxa"/>
            <w:noWrap/>
            <w:vAlign w:val="center"/>
          </w:tcPr>
          <w:p w14:paraId="37590B44" w14:textId="77777777" w:rsidR="00730E53" w:rsidRPr="007375EB" w:rsidRDefault="00730E53" w:rsidP="00730E53">
            <w:pPr>
              <w:rPr>
                <w:lang w:val="bg-BG"/>
              </w:rPr>
            </w:pPr>
            <w:r w:rsidRPr="007375EB">
              <w:rPr>
                <w:lang w:val="bg-BG"/>
              </w:rPr>
              <w:t>-</w:t>
            </w:r>
          </w:p>
        </w:tc>
        <w:tc>
          <w:tcPr>
            <w:tcW w:w="499" w:type="dxa"/>
            <w:noWrap/>
            <w:vAlign w:val="center"/>
          </w:tcPr>
          <w:p w14:paraId="6E12106F" w14:textId="77777777" w:rsidR="00730E53" w:rsidRPr="007375EB" w:rsidRDefault="00730E53" w:rsidP="00730E53">
            <w:pPr>
              <w:rPr>
                <w:lang w:val="bg-BG"/>
              </w:rPr>
            </w:pPr>
            <w:r w:rsidRPr="007375EB">
              <w:rPr>
                <w:lang w:val="bg-BG"/>
              </w:rPr>
              <w:t>-</w:t>
            </w:r>
          </w:p>
        </w:tc>
        <w:tc>
          <w:tcPr>
            <w:tcW w:w="507" w:type="dxa"/>
            <w:noWrap/>
            <w:vAlign w:val="center"/>
          </w:tcPr>
          <w:p w14:paraId="460D5F45" w14:textId="77777777" w:rsidR="00730E53" w:rsidRPr="007375EB" w:rsidRDefault="00730E53" w:rsidP="00730E53">
            <w:pPr>
              <w:rPr>
                <w:lang w:val="bg-BG"/>
              </w:rPr>
            </w:pPr>
            <w:r w:rsidRPr="007375EB">
              <w:rPr>
                <w:lang w:val="bg-BG"/>
              </w:rPr>
              <w:t>-</w:t>
            </w:r>
          </w:p>
        </w:tc>
        <w:tc>
          <w:tcPr>
            <w:tcW w:w="524" w:type="dxa"/>
            <w:noWrap/>
            <w:vAlign w:val="center"/>
          </w:tcPr>
          <w:p w14:paraId="0A0CB81B" w14:textId="77777777" w:rsidR="00730E53" w:rsidRPr="007375EB" w:rsidRDefault="00730E53" w:rsidP="00730E53">
            <w:pPr>
              <w:rPr>
                <w:lang w:val="bg-BG"/>
              </w:rPr>
            </w:pPr>
            <w:r w:rsidRPr="007375EB">
              <w:rPr>
                <w:lang w:val="bg-BG"/>
              </w:rPr>
              <w:t>-</w:t>
            </w:r>
          </w:p>
        </w:tc>
        <w:tc>
          <w:tcPr>
            <w:tcW w:w="616" w:type="dxa"/>
            <w:noWrap/>
            <w:vAlign w:val="center"/>
          </w:tcPr>
          <w:p w14:paraId="24FF95B6" w14:textId="77777777" w:rsidR="00730E53" w:rsidRPr="007375EB" w:rsidRDefault="00730E53" w:rsidP="00730E53">
            <w:pPr>
              <w:rPr>
                <w:lang w:val="bg-BG"/>
              </w:rPr>
            </w:pPr>
            <w:r w:rsidRPr="007375EB">
              <w:rPr>
                <w:lang w:val="bg-BG"/>
              </w:rPr>
              <w:t>-</w:t>
            </w:r>
          </w:p>
        </w:tc>
        <w:tc>
          <w:tcPr>
            <w:tcW w:w="612" w:type="dxa"/>
            <w:noWrap/>
            <w:vAlign w:val="center"/>
          </w:tcPr>
          <w:p w14:paraId="7C1F3FE7" w14:textId="77777777" w:rsidR="00730E53" w:rsidRPr="007375EB" w:rsidRDefault="00730E53" w:rsidP="00730E53">
            <w:pPr>
              <w:rPr>
                <w:lang w:val="bg-BG"/>
              </w:rPr>
            </w:pPr>
            <w:r w:rsidRPr="007375EB">
              <w:rPr>
                <w:lang w:val="bg-BG"/>
              </w:rPr>
              <w:t>-</w:t>
            </w:r>
          </w:p>
        </w:tc>
      </w:tr>
      <w:tr w:rsidR="00730E53" w:rsidRPr="007375EB" w14:paraId="2749153E" w14:textId="77777777" w:rsidTr="006C1B17">
        <w:trPr>
          <w:trHeight w:val="210"/>
        </w:trPr>
        <w:tc>
          <w:tcPr>
            <w:tcW w:w="621" w:type="dxa"/>
            <w:noWrap/>
          </w:tcPr>
          <w:p w14:paraId="1544A3C5" w14:textId="77777777" w:rsidR="00730E53" w:rsidRPr="007375EB" w:rsidRDefault="00730E53" w:rsidP="00730E53">
            <w:pPr>
              <w:rPr>
                <w:lang w:val="bg-BG"/>
              </w:rPr>
            </w:pPr>
            <w:r w:rsidRPr="007375EB">
              <w:rPr>
                <w:lang w:val="bg-BG"/>
              </w:rPr>
              <w:t>7</w:t>
            </w:r>
          </w:p>
        </w:tc>
        <w:tc>
          <w:tcPr>
            <w:tcW w:w="3189" w:type="dxa"/>
            <w:noWrap/>
          </w:tcPr>
          <w:p w14:paraId="054B858D" w14:textId="411B5FF4" w:rsidR="00730E53" w:rsidRPr="007375EB" w:rsidRDefault="00730E53" w:rsidP="00730E53">
            <w:pPr>
              <w:rPr>
                <w:lang w:val="bg-BG"/>
              </w:rPr>
            </w:pPr>
            <w:r w:rsidRPr="007375EB">
              <w:rPr>
                <w:lang w:val="bg-BG"/>
              </w:rPr>
              <w:t>Изграждане на подземна оптична мрежа за електронни съобщителни услуги, Негру Вода (предложено)</w:t>
            </w:r>
          </w:p>
        </w:tc>
        <w:tc>
          <w:tcPr>
            <w:tcW w:w="2125" w:type="dxa"/>
            <w:noWrap/>
            <w:vAlign w:val="center"/>
          </w:tcPr>
          <w:p w14:paraId="3D4F228D" w14:textId="77777777" w:rsidR="00730E53" w:rsidRPr="007375EB" w:rsidRDefault="00730E53" w:rsidP="00730E53">
            <w:pPr>
              <w:rPr>
                <w:lang w:val="bg-BG"/>
              </w:rPr>
            </w:pPr>
            <w:r w:rsidRPr="007375EB">
              <w:rPr>
                <w:lang w:val="bg-BG"/>
              </w:rPr>
              <w:t>0,35 км</w:t>
            </w:r>
          </w:p>
        </w:tc>
        <w:tc>
          <w:tcPr>
            <w:tcW w:w="482" w:type="dxa"/>
            <w:noWrap/>
            <w:vAlign w:val="center"/>
          </w:tcPr>
          <w:p w14:paraId="1FED5B22" w14:textId="77777777" w:rsidR="00730E53" w:rsidRPr="007375EB" w:rsidRDefault="00730E53" w:rsidP="00730E53">
            <w:pPr>
              <w:rPr>
                <w:lang w:val="bg-BG"/>
              </w:rPr>
            </w:pPr>
            <w:r w:rsidRPr="007375EB">
              <w:rPr>
                <w:lang w:val="bg-BG"/>
              </w:rPr>
              <w:t>-</w:t>
            </w:r>
          </w:p>
        </w:tc>
        <w:tc>
          <w:tcPr>
            <w:tcW w:w="916" w:type="dxa"/>
            <w:noWrap/>
            <w:vAlign w:val="center"/>
          </w:tcPr>
          <w:p w14:paraId="6FCDEE02" w14:textId="77777777" w:rsidR="00730E53" w:rsidRPr="007375EB" w:rsidRDefault="00730E53" w:rsidP="00730E53">
            <w:pPr>
              <w:rPr>
                <w:lang w:val="bg-BG"/>
              </w:rPr>
            </w:pPr>
            <w:r w:rsidRPr="007375EB">
              <w:rPr>
                <w:lang w:val="bg-BG"/>
              </w:rPr>
              <w:t>-</w:t>
            </w:r>
          </w:p>
        </w:tc>
        <w:tc>
          <w:tcPr>
            <w:tcW w:w="916" w:type="dxa"/>
            <w:noWrap/>
            <w:vAlign w:val="center"/>
          </w:tcPr>
          <w:p w14:paraId="4A30A794" w14:textId="77777777" w:rsidR="00730E53" w:rsidRPr="007375EB" w:rsidRDefault="00730E53" w:rsidP="00730E53">
            <w:pPr>
              <w:rPr>
                <w:lang w:val="bg-BG"/>
              </w:rPr>
            </w:pPr>
            <w:r w:rsidRPr="007375EB">
              <w:rPr>
                <w:lang w:val="bg-BG"/>
              </w:rPr>
              <w:t>-</w:t>
            </w:r>
          </w:p>
        </w:tc>
        <w:tc>
          <w:tcPr>
            <w:tcW w:w="810" w:type="dxa"/>
            <w:noWrap/>
            <w:vAlign w:val="center"/>
          </w:tcPr>
          <w:p w14:paraId="4799C57D" w14:textId="77777777" w:rsidR="00730E53" w:rsidRPr="007375EB" w:rsidRDefault="00730E53" w:rsidP="00730E53">
            <w:pPr>
              <w:rPr>
                <w:lang w:val="bg-BG"/>
              </w:rPr>
            </w:pPr>
            <w:r w:rsidRPr="007375EB">
              <w:rPr>
                <w:lang w:val="bg-BG"/>
              </w:rPr>
              <w:t>-</w:t>
            </w:r>
          </w:p>
        </w:tc>
        <w:tc>
          <w:tcPr>
            <w:tcW w:w="630" w:type="dxa"/>
            <w:noWrap/>
            <w:vAlign w:val="center"/>
          </w:tcPr>
          <w:p w14:paraId="713A1563" w14:textId="77777777" w:rsidR="00730E53" w:rsidRPr="007375EB" w:rsidRDefault="00730E53" w:rsidP="00730E53">
            <w:pPr>
              <w:rPr>
                <w:lang w:val="bg-BG"/>
              </w:rPr>
            </w:pPr>
            <w:r w:rsidRPr="007375EB">
              <w:rPr>
                <w:lang w:val="bg-BG"/>
              </w:rPr>
              <w:t>-</w:t>
            </w:r>
          </w:p>
        </w:tc>
        <w:tc>
          <w:tcPr>
            <w:tcW w:w="720" w:type="dxa"/>
            <w:noWrap/>
            <w:vAlign w:val="center"/>
          </w:tcPr>
          <w:p w14:paraId="5C537405" w14:textId="77777777" w:rsidR="00730E53" w:rsidRPr="007375EB" w:rsidRDefault="00730E53" w:rsidP="00730E53">
            <w:pPr>
              <w:rPr>
                <w:lang w:val="bg-BG"/>
              </w:rPr>
            </w:pPr>
            <w:r w:rsidRPr="007375EB">
              <w:rPr>
                <w:lang w:val="bg-BG"/>
              </w:rPr>
              <w:t>-</w:t>
            </w:r>
          </w:p>
        </w:tc>
        <w:tc>
          <w:tcPr>
            <w:tcW w:w="720" w:type="dxa"/>
            <w:noWrap/>
            <w:vAlign w:val="center"/>
          </w:tcPr>
          <w:p w14:paraId="0896C3CE" w14:textId="77777777" w:rsidR="00730E53" w:rsidRPr="007375EB" w:rsidRDefault="00730E53" w:rsidP="00730E53">
            <w:pPr>
              <w:rPr>
                <w:lang w:val="bg-BG"/>
              </w:rPr>
            </w:pPr>
            <w:r w:rsidRPr="007375EB">
              <w:rPr>
                <w:lang w:val="bg-BG"/>
              </w:rPr>
              <w:t>-</w:t>
            </w:r>
          </w:p>
        </w:tc>
        <w:tc>
          <w:tcPr>
            <w:tcW w:w="540" w:type="dxa"/>
            <w:noWrap/>
            <w:vAlign w:val="center"/>
          </w:tcPr>
          <w:p w14:paraId="1AE25D1A" w14:textId="77777777" w:rsidR="00730E53" w:rsidRPr="007375EB" w:rsidRDefault="00730E53" w:rsidP="00730E53">
            <w:pPr>
              <w:rPr>
                <w:lang w:val="bg-BG"/>
              </w:rPr>
            </w:pPr>
            <w:r w:rsidRPr="007375EB">
              <w:rPr>
                <w:lang w:val="bg-BG"/>
              </w:rPr>
              <w:t>-</w:t>
            </w:r>
          </w:p>
        </w:tc>
        <w:tc>
          <w:tcPr>
            <w:tcW w:w="990" w:type="dxa"/>
            <w:noWrap/>
            <w:vAlign w:val="center"/>
          </w:tcPr>
          <w:p w14:paraId="791A68D0" w14:textId="77777777" w:rsidR="00730E53" w:rsidRPr="007375EB" w:rsidRDefault="00730E53" w:rsidP="00730E53">
            <w:pPr>
              <w:rPr>
                <w:lang w:val="bg-BG"/>
              </w:rPr>
            </w:pPr>
            <w:r w:rsidRPr="007375EB">
              <w:rPr>
                <w:lang w:val="bg-BG"/>
              </w:rPr>
              <w:t>-</w:t>
            </w:r>
          </w:p>
        </w:tc>
        <w:tc>
          <w:tcPr>
            <w:tcW w:w="499" w:type="dxa"/>
            <w:noWrap/>
            <w:vAlign w:val="center"/>
          </w:tcPr>
          <w:p w14:paraId="0533E083" w14:textId="77777777" w:rsidR="00730E53" w:rsidRPr="007375EB" w:rsidRDefault="00730E53" w:rsidP="00730E53">
            <w:pPr>
              <w:rPr>
                <w:lang w:val="bg-BG"/>
              </w:rPr>
            </w:pPr>
            <w:r w:rsidRPr="007375EB">
              <w:rPr>
                <w:lang w:val="bg-BG"/>
              </w:rPr>
              <w:t>-</w:t>
            </w:r>
          </w:p>
        </w:tc>
        <w:tc>
          <w:tcPr>
            <w:tcW w:w="507" w:type="dxa"/>
            <w:noWrap/>
            <w:vAlign w:val="center"/>
          </w:tcPr>
          <w:p w14:paraId="3238B943" w14:textId="77777777" w:rsidR="00730E53" w:rsidRPr="007375EB" w:rsidRDefault="00730E53" w:rsidP="00730E53">
            <w:pPr>
              <w:rPr>
                <w:lang w:val="bg-BG"/>
              </w:rPr>
            </w:pPr>
            <w:r w:rsidRPr="007375EB">
              <w:rPr>
                <w:lang w:val="bg-BG"/>
              </w:rPr>
              <w:t>-</w:t>
            </w:r>
          </w:p>
        </w:tc>
        <w:tc>
          <w:tcPr>
            <w:tcW w:w="524" w:type="dxa"/>
            <w:noWrap/>
            <w:vAlign w:val="center"/>
          </w:tcPr>
          <w:p w14:paraId="4528179B" w14:textId="77777777" w:rsidR="00730E53" w:rsidRPr="007375EB" w:rsidRDefault="00730E53" w:rsidP="00730E53">
            <w:pPr>
              <w:rPr>
                <w:lang w:val="bg-BG"/>
              </w:rPr>
            </w:pPr>
            <w:r w:rsidRPr="007375EB">
              <w:rPr>
                <w:lang w:val="bg-BG"/>
              </w:rPr>
              <w:t>-</w:t>
            </w:r>
          </w:p>
        </w:tc>
        <w:tc>
          <w:tcPr>
            <w:tcW w:w="616" w:type="dxa"/>
            <w:noWrap/>
            <w:vAlign w:val="center"/>
          </w:tcPr>
          <w:p w14:paraId="2E1E6E1A" w14:textId="77777777" w:rsidR="00730E53" w:rsidRPr="007375EB" w:rsidRDefault="00730E53" w:rsidP="00730E53">
            <w:pPr>
              <w:rPr>
                <w:lang w:val="bg-BG"/>
              </w:rPr>
            </w:pPr>
            <w:r w:rsidRPr="007375EB">
              <w:rPr>
                <w:lang w:val="bg-BG"/>
              </w:rPr>
              <w:t>-</w:t>
            </w:r>
          </w:p>
        </w:tc>
        <w:tc>
          <w:tcPr>
            <w:tcW w:w="612" w:type="dxa"/>
            <w:noWrap/>
            <w:vAlign w:val="center"/>
          </w:tcPr>
          <w:p w14:paraId="60729849" w14:textId="77777777" w:rsidR="00730E53" w:rsidRPr="007375EB" w:rsidRDefault="00730E53" w:rsidP="00730E53">
            <w:pPr>
              <w:rPr>
                <w:lang w:val="bg-BG"/>
              </w:rPr>
            </w:pPr>
            <w:r w:rsidRPr="007375EB">
              <w:rPr>
                <w:lang w:val="bg-BG"/>
              </w:rPr>
              <w:t>-</w:t>
            </w:r>
          </w:p>
        </w:tc>
      </w:tr>
      <w:tr w:rsidR="00730E53" w:rsidRPr="007375EB" w14:paraId="655172AF" w14:textId="77777777" w:rsidTr="006C1B17">
        <w:trPr>
          <w:trHeight w:val="210"/>
        </w:trPr>
        <w:tc>
          <w:tcPr>
            <w:tcW w:w="621" w:type="dxa"/>
            <w:noWrap/>
          </w:tcPr>
          <w:p w14:paraId="39C0B481" w14:textId="77777777" w:rsidR="00730E53" w:rsidRPr="007375EB" w:rsidRDefault="00730E53" w:rsidP="00730E53">
            <w:pPr>
              <w:rPr>
                <w:lang w:val="bg-BG"/>
              </w:rPr>
            </w:pPr>
            <w:r w:rsidRPr="007375EB">
              <w:rPr>
                <w:lang w:val="bg-BG"/>
              </w:rPr>
              <w:t>8</w:t>
            </w:r>
          </w:p>
        </w:tc>
        <w:tc>
          <w:tcPr>
            <w:tcW w:w="3189" w:type="dxa"/>
            <w:noWrap/>
          </w:tcPr>
          <w:p w14:paraId="30D98F8E" w14:textId="06585A65" w:rsidR="00730E53" w:rsidRPr="007375EB" w:rsidRDefault="00730E53" w:rsidP="00730E53">
            <w:pPr>
              <w:rPr>
                <w:lang w:val="bg-BG"/>
              </w:rPr>
            </w:pPr>
            <w:r w:rsidRPr="007375EB">
              <w:rPr>
                <w:lang w:val="bg-BG"/>
              </w:rPr>
              <w:t>Електроснабдяване на домакинство с вода, с. Фурника, община Думбръвени, окръг Констанца (предложено)</w:t>
            </w:r>
          </w:p>
        </w:tc>
        <w:tc>
          <w:tcPr>
            <w:tcW w:w="2125" w:type="dxa"/>
            <w:noWrap/>
            <w:vAlign w:val="center"/>
          </w:tcPr>
          <w:p w14:paraId="25651A7F" w14:textId="77777777" w:rsidR="00730E53" w:rsidRPr="007375EB" w:rsidRDefault="00730E53" w:rsidP="00730E53">
            <w:pPr>
              <w:rPr>
                <w:lang w:val="bg-BG"/>
              </w:rPr>
            </w:pPr>
            <w:r w:rsidRPr="007375EB">
              <w:rPr>
                <w:lang w:val="bg-BG"/>
              </w:rPr>
              <w:t>31,05 км</w:t>
            </w:r>
          </w:p>
        </w:tc>
        <w:tc>
          <w:tcPr>
            <w:tcW w:w="482" w:type="dxa"/>
            <w:noWrap/>
            <w:vAlign w:val="center"/>
          </w:tcPr>
          <w:p w14:paraId="32B640CC" w14:textId="77777777" w:rsidR="00730E53" w:rsidRPr="007375EB" w:rsidRDefault="00730E53" w:rsidP="00730E53">
            <w:pPr>
              <w:rPr>
                <w:lang w:val="bg-BG"/>
              </w:rPr>
            </w:pPr>
            <w:r w:rsidRPr="007375EB">
              <w:rPr>
                <w:lang w:val="bg-BG"/>
              </w:rPr>
              <w:t>-</w:t>
            </w:r>
          </w:p>
        </w:tc>
        <w:tc>
          <w:tcPr>
            <w:tcW w:w="916" w:type="dxa"/>
            <w:noWrap/>
            <w:vAlign w:val="center"/>
          </w:tcPr>
          <w:p w14:paraId="14E0909A" w14:textId="77777777" w:rsidR="00730E53" w:rsidRPr="007375EB" w:rsidRDefault="00730E53" w:rsidP="00730E53">
            <w:pPr>
              <w:rPr>
                <w:lang w:val="bg-BG"/>
              </w:rPr>
            </w:pPr>
            <w:r w:rsidRPr="007375EB">
              <w:rPr>
                <w:lang w:val="bg-BG"/>
              </w:rPr>
              <w:t>-</w:t>
            </w:r>
          </w:p>
        </w:tc>
        <w:tc>
          <w:tcPr>
            <w:tcW w:w="916" w:type="dxa"/>
            <w:noWrap/>
            <w:vAlign w:val="center"/>
          </w:tcPr>
          <w:p w14:paraId="06182A28" w14:textId="77777777" w:rsidR="00730E53" w:rsidRPr="007375EB" w:rsidRDefault="00730E53" w:rsidP="00730E53">
            <w:pPr>
              <w:rPr>
                <w:lang w:val="bg-BG"/>
              </w:rPr>
            </w:pPr>
            <w:r w:rsidRPr="007375EB">
              <w:rPr>
                <w:lang w:val="bg-BG"/>
              </w:rPr>
              <w:t>-</w:t>
            </w:r>
          </w:p>
        </w:tc>
        <w:tc>
          <w:tcPr>
            <w:tcW w:w="810" w:type="dxa"/>
            <w:noWrap/>
            <w:vAlign w:val="center"/>
          </w:tcPr>
          <w:p w14:paraId="6815FB93" w14:textId="77777777" w:rsidR="00730E53" w:rsidRPr="007375EB" w:rsidRDefault="00730E53" w:rsidP="00730E53">
            <w:pPr>
              <w:rPr>
                <w:lang w:val="bg-BG"/>
              </w:rPr>
            </w:pPr>
            <w:r w:rsidRPr="007375EB">
              <w:rPr>
                <w:lang w:val="bg-BG"/>
              </w:rPr>
              <w:t>-</w:t>
            </w:r>
          </w:p>
        </w:tc>
        <w:tc>
          <w:tcPr>
            <w:tcW w:w="630" w:type="dxa"/>
            <w:noWrap/>
            <w:vAlign w:val="center"/>
          </w:tcPr>
          <w:p w14:paraId="2E611556" w14:textId="77777777" w:rsidR="00730E53" w:rsidRPr="007375EB" w:rsidRDefault="00730E53" w:rsidP="00730E53">
            <w:pPr>
              <w:rPr>
                <w:lang w:val="bg-BG"/>
              </w:rPr>
            </w:pPr>
            <w:r w:rsidRPr="007375EB">
              <w:rPr>
                <w:lang w:val="bg-BG"/>
              </w:rPr>
              <w:t>-</w:t>
            </w:r>
          </w:p>
        </w:tc>
        <w:tc>
          <w:tcPr>
            <w:tcW w:w="720" w:type="dxa"/>
            <w:noWrap/>
            <w:vAlign w:val="center"/>
          </w:tcPr>
          <w:p w14:paraId="5D7C6366" w14:textId="77777777" w:rsidR="00730E53" w:rsidRPr="007375EB" w:rsidRDefault="00730E53" w:rsidP="00730E53">
            <w:pPr>
              <w:rPr>
                <w:lang w:val="bg-BG"/>
              </w:rPr>
            </w:pPr>
            <w:r w:rsidRPr="007375EB">
              <w:rPr>
                <w:lang w:val="bg-BG"/>
              </w:rPr>
              <w:t>-</w:t>
            </w:r>
          </w:p>
        </w:tc>
        <w:tc>
          <w:tcPr>
            <w:tcW w:w="720" w:type="dxa"/>
            <w:noWrap/>
            <w:vAlign w:val="center"/>
          </w:tcPr>
          <w:p w14:paraId="07FE341F" w14:textId="77777777" w:rsidR="00730E53" w:rsidRPr="007375EB" w:rsidRDefault="00730E53" w:rsidP="00730E53">
            <w:pPr>
              <w:rPr>
                <w:lang w:val="bg-BG"/>
              </w:rPr>
            </w:pPr>
            <w:r w:rsidRPr="007375EB">
              <w:rPr>
                <w:lang w:val="bg-BG"/>
              </w:rPr>
              <w:t>-</w:t>
            </w:r>
          </w:p>
        </w:tc>
        <w:tc>
          <w:tcPr>
            <w:tcW w:w="540" w:type="dxa"/>
            <w:noWrap/>
            <w:vAlign w:val="center"/>
          </w:tcPr>
          <w:p w14:paraId="3E224A9A" w14:textId="77777777" w:rsidR="00730E53" w:rsidRPr="007375EB" w:rsidRDefault="00730E53" w:rsidP="00730E53">
            <w:pPr>
              <w:rPr>
                <w:lang w:val="bg-BG"/>
              </w:rPr>
            </w:pPr>
            <w:r w:rsidRPr="007375EB">
              <w:rPr>
                <w:lang w:val="bg-BG"/>
              </w:rPr>
              <w:t>-</w:t>
            </w:r>
          </w:p>
        </w:tc>
        <w:tc>
          <w:tcPr>
            <w:tcW w:w="990" w:type="dxa"/>
            <w:noWrap/>
            <w:vAlign w:val="center"/>
          </w:tcPr>
          <w:p w14:paraId="4494B868" w14:textId="77777777" w:rsidR="00730E53" w:rsidRPr="007375EB" w:rsidRDefault="00730E53" w:rsidP="00730E53">
            <w:pPr>
              <w:rPr>
                <w:lang w:val="bg-BG"/>
              </w:rPr>
            </w:pPr>
            <w:r w:rsidRPr="007375EB">
              <w:rPr>
                <w:lang w:val="bg-BG"/>
              </w:rPr>
              <w:t>-</w:t>
            </w:r>
          </w:p>
        </w:tc>
        <w:tc>
          <w:tcPr>
            <w:tcW w:w="499" w:type="dxa"/>
            <w:noWrap/>
            <w:vAlign w:val="center"/>
          </w:tcPr>
          <w:p w14:paraId="18734C0B" w14:textId="77777777" w:rsidR="00730E53" w:rsidRPr="007375EB" w:rsidRDefault="00730E53" w:rsidP="00730E53">
            <w:pPr>
              <w:rPr>
                <w:lang w:val="bg-BG"/>
              </w:rPr>
            </w:pPr>
            <w:r w:rsidRPr="007375EB">
              <w:rPr>
                <w:lang w:val="bg-BG"/>
              </w:rPr>
              <w:t>-</w:t>
            </w:r>
          </w:p>
        </w:tc>
        <w:tc>
          <w:tcPr>
            <w:tcW w:w="507" w:type="dxa"/>
            <w:noWrap/>
            <w:vAlign w:val="center"/>
          </w:tcPr>
          <w:p w14:paraId="1A3908CE" w14:textId="77777777" w:rsidR="00730E53" w:rsidRPr="007375EB" w:rsidRDefault="00730E53" w:rsidP="00730E53">
            <w:pPr>
              <w:rPr>
                <w:lang w:val="bg-BG"/>
              </w:rPr>
            </w:pPr>
            <w:r w:rsidRPr="007375EB">
              <w:rPr>
                <w:lang w:val="bg-BG"/>
              </w:rPr>
              <w:t>-</w:t>
            </w:r>
          </w:p>
        </w:tc>
        <w:tc>
          <w:tcPr>
            <w:tcW w:w="524" w:type="dxa"/>
            <w:noWrap/>
            <w:vAlign w:val="center"/>
          </w:tcPr>
          <w:p w14:paraId="19139344" w14:textId="77777777" w:rsidR="00730E53" w:rsidRPr="007375EB" w:rsidRDefault="00730E53" w:rsidP="00730E53">
            <w:pPr>
              <w:rPr>
                <w:lang w:val="bg-BG"/>
              </w:rPr>
            </w:pPr>
            <w:r w:rsidRPr="007375EB">
              <w:rPr>
                <w:lang w:val="bg-BG"/>
              </w:rPr>
              <w:t>-</w:t>
            </w:r>
          </w:p>
        </w:tc>
        <w:tc>
          <w:tcPr>
            <w:tcW w:w="616" w:type="dxa"/>
            <w:noWrap/>
            <w:vAlign w:val="center"/>
          </w:tcPr>
          <w:p w14:paraId="1F0555AC" w14:textId="77777777" w:rsidR="00730E53" w:rsidRPr="007375EB" w:rsidRDefault="00730E53" w:rsidP="00730E53">
            <w:pPr>
              <w:rPr>
                <w:lang w:val="bg-BG"/>
              </w:rPr>
            </w:pPr>
            <w:r w:rsidRPr="007375EB">
              <w:rPr>
                <w:lang w:val="bg-BG"/>
              </w:rPr>
              <w:t>-</w:t>
            </w:r>
          </w:p>
        </w:tc>
        <w:tc>
          <w:tcPr>
            <w:tcW w:w="612" w:type="dxa"/>
            <w:noWrap/>
            <w:vAlign w:val="center"/>
          </w:tcPr>
          <w:p w14:paraId="2AB46347" w14:textId="77777777" w:rsidR="00730E53" w:rsidRPr="007375EB" w:rsidRDefault="00730E53" w:rsidP="00730E53">
            <w:pPr>
              <w:rPr>
                <w:lang w:val="bg-BG"/>
              </w:rPr>
            </w:pPr>
            <w:r w:rsidRPr="007375EB">
              <w:rPr>
                <w:lang w:val="bg-BG"/>
              </w:rPr>
              <w:t>-</w:t>
            </w:r>
          </w:p>
        </w:tc>
      </w:tr>
      <w:tr w:rsidR="00730E53" w:rsidRPr="007375EB" w14:paraId="04F62EA3" w14:textId="77777777" w:rsidTr="006C1B17">
        <w:trPr>
          <w:trHeight w:val="210"/>
        </w:trPr>
        <w:tc>
          <w:tcPr>
            <w:tcW w:w="621" w:type="dxa"/>
            <w:noWrap/>
          </w:tcPr>
          <w:p w14:paraId="00A97FE4" w14:textId="77777777" w:rsidR="00730E53" w:rsidRPr="007375EB" w:rsidRDefault="00730E53" w:rsidP="00730E53">
            <w:pPr>
              <w:rPr>
                <w:lang w:val="bg-BG"/>
              </w:rPr>
            </w:pPr>
            <w:r w:rsidRPr="007375EB">
              <w:rPr>
                <w:lang w:val="bg-BG"/>
              </w:rPr>
              <w:t>9</w:t>
            </w:r>
          </w:p>
        </w:tc>
        <w:tc>
          <w:tcPr>
            <w:tcW w:w="3189" w:type="dxa"/>
            <w:noWrap/>
          </w:tcPr>
          <w:p w14:paraId="019BF8EB" w14:textId="70E47561" w:rsidR="00730E53" w:rsidRPr="007375EB" w:rsidRDefault="00730E53" w:rsidP="00730E53">
            <w:pPr>
              <w:rPr>
                <w:lang w:val="bg-BG"/>
              </w:rPr>
            </w:pPr>
            <w:r w:rsidRPr="007375EB">
              <w:rPr>
                <w:lang w:val="bg-BG"/>
              </w:rPr>
              <w:t>Преместване на международния транспортен тръбопровод за природен газ dn 1000T1 Исакча – Негру Вода, в района на кариерата ROMCIM, PL Меджидиа (предложено)</w:t>
            </w:r>
          </w:p>
        </w:tc>
        <w:tc>
          <w:tcPr>
            <w:tcW w:w="2125" w:type="dxa"/>
            <w:noWrap/>
            <w:vAlign w:val="center"/>
          </w:tcPr>
          <w:p w14:paraId="57A8ED7E" w14:textId="77777777" w:rsidR="00730E53" w:rsidRPr="007375EB" w:rsidRDefault="00730E53" w:rsidP="00730E53">
            <w:pPr>
              <w:rPr>
                <w:lang w:val="bg-BG"/>
              </w:rPr>
            </w:pPr>
            <w:r w:rsidRPr="007375EB">
              <w:rPr>
                <w:lang w:val="bg-BG"/>
              </w:rPr>
              <w:t>42,45 км</w:t>
            </w:r>
          </w:p>
        </w:tc>
        <w:tc>
          <w:tcPr>
            <w:tcW w:w="482" w:type="dxa"/>
            <w:noWrap/>
            <w:vAlign w:val="center"/>
          </w:tcPr>
          <w:p w14:paraId="06ABE0DD" w14:textId="77777777" w:rsidR="00730E53" w:rsidRPr="007375EB" w:rsidRDefault="00730E53" w:rsidP="00730E53">
            <w:pPr>
              <w:rPr>
                <w:lang w:val="bg-BG"/>
              </w:rPr>
            </w:pPr>
            <w:r w:rsidRPr="007375EB">
              <w:rPr>
                <w:lang w:val="bg-BG"/>
              </w:rPr>
              <w:t>-</w:t>
            </w:r>
          </w:p>
        </w:tc>
        <w:tc>
          <w:tcPr>
            <w:tcW w:w="916" w:type="dxa"/>
            <w:noWrap/>
            <w:vAlign w:val="center"/>
          </w:tcPr>
          <w:p w14:paraId="0ADE409A" w14:textId="77777777" w:rsidR="00730E53" w:rsidRPr="007375EB" w:rsidRDefault="00730E53" w:rsidP="00730E53">
            <w:pPr>
              <w:rPr>
                <w:lang w:val="bg-BG"/>
              </w:rPr>
            </w:pPr>
            <w:r w:rsidRPr="007375EB">
              <w:rPr>
                <w:lang w:val="bg-BG"/>
              </w:rPr>
              <w:t>-</w:t>
            </w:r>
          </w:p>
        </w:tc>
        <w:tc>
          <w:tcPr>
            <w:tcW w:w="916" w:type="dxa"/>
            <w:noWrap/>
            <w:vAlign w:val="center"/>
          </w:tcPr>
          <w:p w14:paraId="0B60FDE9" w14:textId="77777777" w:rsidR="00730E53" w:rsidRPr="007375EB" w:rsidRDefault="00730E53" w:rsidP="00730E53">
            <w:pPr>
              <w:rPr>
                <w:lang w:val="bg-BG"/>
              </w:rPr>
            </w:pPr>
            <w:r w:rsidRPr="007375EB">
              <w:rPr>
                <w:lang w:val="bg-BG"/>
              </w:rPr>
              <w:t>-</w:t>
            </w:r>
          </w:p>
        </w:tc>
        <w:tc>
          <w:tcPr>
            <w:tcW w:w="810" w:type="dxa"/>
            <w:noWrap/>
            <w:vAlign w:val="center"/>
          </w:tcPr>
          <w:p w14:paraId="22F97C55" w14:textId="77777777" w:rsidR="00730E53" w:rsidRPr="007375EB" w:rsidRDefault="00730E53" w:rsidP="00730E53">
            <w:pPr>
              <w:rPr>
                <w:lang w:val="bg-BG"/>
              </w:rPr>
            </w:pPr>
            <w:r w:rsidRPr="007375EB">
              <w:rPr>
                <w:lang w:val="bg-BG"/>
              </w:rPr>
              <w:t>-</w:t>
            </w:r>
          </w:p>
        </w:tc>
        <w:tc>
          <w:tcPr>
            <w:tcW w:w="630" w:type="dxa"/>
            <w:noWrap/>
            <w:vAlign w:val="center"/>
          </w:tcPr>
          <w:p w14:paraId="5823948E" w14:textId="77777777" w:rsidR="00730E53" w:rsidRPr="007375EB" w:rsidRDefault="00730E53" w:rsidP="00730E53">
            <w:pPr>
              <w:rPr>
                <w:lang w:val="bg-BG"/>
              </w:rPr>
            </w:pPr>
            <w:r w:rsidRPr="007375EB">
              <w:rPr>
                <w:lang w:val="bg-BG"/>
              </w:rPr>
              <w:t>-</w:t>
            </w:r>
          </w:p>
        </w:tc>
        <w:tc>
          <w:tcPr>
            <w:tcW w:w="720" w:type="dxa"/>
            <w:noWrap/>
            <w:vAlign w:val="center"/>
          </w:tcPr>
          <w:p w14:paraId="6806F6F5" w14:textId="77777777" w:rsidR="00730E53" w:rsidRPr="007375EB" w:rsidRDefault="00730E53" w:rsidP="00730E53">
            <w:pPr>
              <w:rPr>
                <w:lang w:val="bg-BG"/>
              </w:rPr>
            </w:pPr>
            <w:r w:rsidRPr="007375EB">
              <w:rPr>
                <w:lang w:val="bg-BG"/>
              </w:rPr>
              <w:t>-</w:t>
            </w:r>
          </w:p>
        </w:tc>
        <w:tc>
          <w:tcPr>
            <w:tcW w:w="720" w:type="dxa"/>
            <w:noWrap/>
            <w:vAlign w:val="center"/>
          </w:tcPr>
          <w:p w14:paraId="6E3CFA01" w14:textId="77777777" w:rsidR="00730E53" w:rsidRPr="007375EB" w:rsidRDefault="00730E53" w:rsidP="00730E53">
            <w:pPr>
              <w:rPr>
                <w:lang w:val="bg-BG"/>
              </w:rPr>
            </w:pPr>
            <w:r w:rsidRPr="007375EB">
              <w:rPr>
                <w:lang w:val="bg-BG"/>
              </w:rPr>
              <w:t>-</w:t>
            </w:r>
          </w:p>
        </w:tc>
        <w:tc>
          <w:tcPr>
            <w:tcW w:w="540" w:type="dxa"/>
            <w:noWrap/>
            <w:vAlign w:val="center"/>
          </w:tcPr>
          <w:p w14:paraId="344FF2DF" w14:textId="77777777" w:rsidR="00730E53" w:rsidRPr="007375EB" w:rsidRDefault="00730E53" w:rsidP="00730E53">
            <w:pPr>
              <w:rPr>
                <w:lang w:val="bg-BG"/>
              </w:rPr>
            </w:pPr>
            <w:r w:rsidRPr="007375EB">
              <w:rPr>
                <w:lang w:val="bg-BG"/>
              </w:rPr>
              <w:t>-</w:t>
            </w:r>
          </w:p>
        </w:tc>
        <w:tc>
          <w:tcPr>
            <w:tcW w:w="990" w:type="dxa"/>
            <w:noWrap/>
            <w:vAlign w:val="center"/>
          </w:tcPr>
          <w:p w14:paraId="7A252E40" w14:textId="77777777" w:rsidR="00730E53" w:rsidRPr="007375EB" w:rsidRDefault="00730E53" w:rsidP="00730E53">
            <w:pPr>
              <w:rPr>
                <w:lang w:val="bg-BG"/>
              </w:rPr>
            </w:pPr>
            <w:r w:rsidRPr="007375EB">
              <w:rPr>
                <w:lang w:val="bg-BG"/>
              </w:rPr>
              <w:t>-</w:t>
            </w:r>
          </w:p>
        </w:tc>
        <w:tc>
          <w:tcPr>
            <w:tcW w:w="499" w:type="dxa"/>
            <w:noWrap/>
            <w:vAlign w:val="center"/>
          </w:tcPr>
          <w:p w14:paraId="7F6C33E6" w14:textId="77777777" w:rsidR="00730E53" w:rsidRPr="007375EB" w:rsidRDefault="00730E53" w:rsidP="00730E53">
            <w:pPr>
              <w:rPr>
                <w:lang w:val="bg-BG"/>
              </w:rPr>
            </w:pPr>
            <w:r w:rsidRPr="007375EB">
              <w:rPr>
                <w:lang w:val="bg-BG"/>
              </w:rPr>
              <w:t>-</w:t>
            </w:r>
          </w:p>
        </w:tc>
        <w:tc>
          <w:tcPr>
            <w:tcW w:w="507" w:type="dxa"/>
            <w:noWrap/>
            <w:vAlign w:val="center"/>
          </w:tcPr>
          <w:p w14:paraId="750FF90F" w14:textId="77777777" w:rsidR="00730E53" w:rsidRPr="007375EB" w:rsidRDefault="00730E53" w:rsidP="00730E53">
            <w:pPr>
              <w:rPr>
                <w:lang w:val="bg-BG"/>
              </w:rPr>
            </w:pPr>
            <w:r w:rsidRPr="007375EB">
              <w:rPr>
                <w:lang w:val="bg-BG"/>
              </w:rPr>
              <w:t>-</w:t>
            </w:r>
          </w:p>
        </w:tc>
        <w:tc>
          <w:tcPr>
            <w:tcW w:w="524" w:type="dxa"/>
            <w:noWrap/>
            <w:vAlign w:val="center"/>
          </w:tcPr>
          <w:p w14:paraId="00D2B40E" w14:textId="77777777" w:rsidR="00730E53" w:rsidRPr="007375EB" w:rsidRDefault="00730E53" w:rsidP="00730E53">
            <w:pPr>
              <w:rPr>
                <w:lang w:val="bg-BG"/>
              </w:rPr>
            </w:pPr>
            <w:r w:rsidRPr="007375EB">
              <w:rPr>
                <w:lang w:val="bg-BG"/>
              </w:rPr>
              <w:t>-</w:t>
            </w:r>
          </w:p>
        </w:tc>
        <w:tc>
          <w:tcPr>
            <w:tcW w:w="616" w:type="dxa"/>
            <w:noWrap/>
            <w:vAlign w:val="center"/>
          </w:tcPr>
          <w:p w14:paraId="2E523D73" w14:textId="77777777" w:rsidR="00730E53" w:rsidRPr="007375EB" w:rsidRDefault="00730E53" w:rsidP="00730E53">
            <w:pPr>
              <w:rPr>
                <w:lang w:val="bg-BG"/>
              </w:rPr>
            </w:pPr>
            <w:r w:rsidRPr="007375EB">
              <w:rPr>
                <w:lang w:val="bg-BG"/>
              </w:rPr>
              <w:t>-</w:t>
            </w:r>
          </w:p>
        </w:tc>
        <w:tc>
          <w:tcPr>
            <w:tcW w:w="612" w:type="dxa"/>
            <w:noWrap/>
            <w:vAlign w:val="center"/>
          </w:tcPr>
          <w:p w14:paraId="240C3FBE" w14:textId="77777777" w:rsidR="00730E53" w:rsidRPr="007375EB" w:rsidRDefault="00730E53" w:rsidP="00730E53">
            <w:pPr>
              <w:rPr>
                <w:lang w:val="bg-BG"/>
              </w:rPr>
            </w:pPr>
            <w:r w:rsidRPr="007375EB">
              <w:rPr>
                <w:lang w:val="bg-BG"/>
              </w:rPr>
              <w:t>-</w:t>
            </w:r>
          </w:p>
        </w:tc>
      </w:tr>
      <w:tr w:rsidR="00730E53" w:rsidRPr="007375EB" w14:paraId="2EE96A13" w14:textId="77777777" w:rsidTr="006C1B17">
        <w:trPr>
          <w:trHeight w:val="210"/>
        </w:trPr>
        <w:tc>
          <w:tcPr>
            <w:tcW w:w="621" w:type="dxa"/>
            <w:noWrap/>
          </w:tcPr>
          <w:p w14:paraId="7367CD6F" w14:textId="77777777" w:rsidR="00730E53" w:rsidRPr="007375EB" w:rsidRDefault="00730E53" w:rsidP="00730E53">
            <w:pPr>
              <w:rPr>
                <w:lang w:val="bg-BG"/>
              </w:rPr>
            </w:pPr>
            <w:r w:rsidRPr="007375EB">
              <w:rPr>
                <w:lang w:val="bg-BG"/>
              </w:rPr>
              <w:t>10</w:t>
            </w:r>
          </w:p>
        </w:tc>
        <w:tc>
          <w:tcPr>
            <w:tcW w:w="3189" w:type="dxa"/>
            <w:noWrap/>
          </w:tcPr>
          <w:p w14:paraId="704115F1" w14:textId="1F920CB4" w:rsidR="00730E53" w:rsidRPr="007375EB" w:rsidRDefault="00730E53" w:rsidP="00730E53">
            <w:pPr>
              <w:rPr>
                <w:lang w:val="bg-BG"/>
              </w:rPr>
            </w:pPr>
            <w:r w:rsidRPr="007375EB">
              <w:rPr>
                <w:lang w:val="bg-BG"/>
              </w:rPr>
              <w:t>Общ градоустройствен план на община  Индепенденца (предложен)</w:t>
            </w:r>
          </w:p>
        </w:tc>
        <w:tc>
          <w:tcPr>
            <w:tcW w:w="2125" w:type="dxa"/>
            <w:noWrap/>
            <w:vAlign w:val="center"/>
          </w:tcPr>
          <w:p w14:paraId="0BF3B577" w14:textId="77777777" w:rsidR="00730E53" w:rsidRPr="007375EB" w:rsidRDefault="00730E53" w:rsidP="00730E53">
            <w:pPr>
              <w:rPr>
                <w:lang w:val="bg-BG"/>
              </w:rPr>
            </w:pPr>
            <w:r w:rsidRPr="007375EB">
              <w:rPr>
                <w:lang w:val="bg-BG"/>
              </w:rPr>
              <w:t>14,53 км</w:t>
            </w:r>
          </w:p>
        </w:tc>
        <w:tc>
          <w:tcPr>
            <w:tcW w:w="482" w:type="dxa"/>
            <w:noWrap/>
            <w:vAlign w:val="center"/>
          </w:tcPr>
          <w:p w14:paraId="1F8553E6" w14:textId="77777777" w:rsidR="00730E53" w:rsidRPr="007375EB" w:rsidRDefault="00730E53" w:rsidP="00730E53">
            <w:pPr>
              <w:rPr>
                <w:lang w:val="bg-BG"/>
              </w:rPr>
            </w:pPr>
            <w:r w:rsidRPr="007375EB">
              <w:rPr>
                <w:lang w:val="bg-BG"/>
              </w:rPr>
              <w:t>-</w:t>
            </w:r>
          </w:p>
        </w:tc>
        <w:tc>
          <w:tcPr>
            <w:tcW w:w="916" w:type="dxa"/>
            <w:noWrap/>
            <w:vAlign w:val="center"/>
          </w:tcPr>
          <w:p w14:paraId="58F064D6" w14:textId="77777777" w:rsidR="00730E53" w:rsidRPr="007375EB" w:rsidRDefault="00730E53" w:rsidP="00730E53">
            <w:pPr>
              <w:rPr>
                <w:lang w:val="bg-BG"/>
              </w:rPr>
            </w:pPr>
            <w:r w:rsidRPr="007375EB">
              <w:rPr>
                <w:lang w:val="bg-BG"/>
              </w:rPr>
              <w:t>-</w:t>
            </w:r>
          </w:p>
        </w:tc>
        <w:tc>
          <w:tcPr>
            <w:tcW w:w="916" w:type="dxa"/>
            <w:noWrap/>
            <w:vAlign w:val="center"/>
          </w:tcPr>
          <w:p w14:paraId="19594E1F" w14:textId="77777777" w:rsidR="00730E53" w:rsidRPr="007375EB" w:rsidRDefault="00730E53" w:rsidP="00730E53">
            <w:pPr>
              <w:rPr>
                <w:lang w:val="bg-BG"/>
              </w:rPr>
            </w:pPr>
            <w:r w:rsidRPr="007375EB">
              <w:rPr>
                <w:lang w:val="bg-BG"/>
              </w:rPr>
              <w:t>-</w:t>
            </w:r>
          </w:p>
        </w:tc>
        <w:tc>
          <w:tcPr>
            <w:tcW w:w="810" w:type="dxa"/>
            <w:noWrap/>
            <w:vAlign w:val="center"/>
          </w:tcPr>
          <w:p w14:paraId="1216AFB7" w14:textId="77777777" w:rsidR="00730E53" w:rsidRPr="007375EB" w:rsidRDefault="00730E53" w:rsidP="00730E53">
            <w:pPr>
              <w:rPr>
                <w:lang w:val="bg-BG"/>
              </w:rPr>
            </w:pPr>
            <w:r w:rsidRPr="007375EB">
              <w:rPr>
                <w:lang w:val="bg-BG"/>
              </w:rPr>
              <w:t>-</w:t>
            </w:r>
          </w:p>
        </w:tc>
        <w:tc>
          <w:tcPr>
            <w:tcW w:w="630" w:type="dxa"/>
            <w:noWrap/>
            <w:vAlign w:val="center"/>
          </w:tcPr>
          <w:p w14:paraId="0B5FB8A8" w14:textId="77777777" w:rsidR="00730E53" w:rsidRPr="007375EB" w:rsidRDefault="00730E53" w:rsidP="00730E53">
            <w:pPr>
              <w:rPr>
                <w:lang w:val="bg-BG"/>
              </w:rPr>
            </w:pPr>
            <w:r w:rsidRPr="007375EB">
              <w:rPr>
                <w:lang w:val="bg-BG"/>
              </w:rPr>
              <w:t>-</w:t>
            </w:r>
          </w:p>
        </w:tc>
        <w:tc>
          <w:tcPr>
            <w:tcW w:w="720" w:type="dxa"/>
            <w:noWrap/>
            <w:vAlign w:val="center"/>
          </w:tcPr>
          <w:p w14:paraId="723BA8D8" w14:textId="77777777" w:rsidR="00730E53" w:rsidRPr="007375EB" w:rsidRDefault="00730E53" w:rsidP="00730E53">
            <w:pPr>
              <w:rPr>
                <w:lang w:val="bg-BG"/>
              </w:rPr>
            </w:pPr>
            <w:r w:rsidRPr="007375EB">
              <w:rPr>
                <w:lang w:val="bg-BG"/>
              </w:rPr>
              <w:t>-</w:t>
            </w:r>
          </w:p>
        </w:tc>
        <w:tc>
          <w:tcPr>
            <w:tcW w:w="720" w:type="dxa"/>
            <w:noWrap/>
            <w:vAlign w:val="center"/>
          </w:tcPr>
          <w:p w14:paraId="75C95FED" w14:textId="77777777" w:rsidR="00730E53" w:rsidRPr="007375EB" w:rsidRDefault="00730E53" w:rsidP="00730E53">
            <w:pPr>
              <w:rPr>
                <w:lang w:val="bg-BG"/>
              </w:rPr>
            </w:pPr>
            <w:r w:rsidRPr="007375EB">
              <w:rPr>
                <w:lang w:val="bg-BG"/>
              </w:rPr>
              <w:t>-</w:t>
            </w:r>
          </w:p>
        </w:tc>
        <w:tc>
          <w:tcPr>
            <w:tcW w:w="540" w:type="dxa"/>
            <w:noWrap/>
            <w:vAlign w:val="center"/>
          </w:tcPr>
          <w:p w14:paraId="4971F1DF" w14:textId="77777777" w:rsidR="00730E53" w:rsidRPr="007375EB" w:rsidRDefault="00730E53" w:rsidP="00730E53">
            <w:pPr>
              <w:rPr>
                <w:lang w:val="bg-BG"/>
              </w:rPr>
            </w:pPr>
            <w:r w:rsidRPr="007375EB">
              <w:rPr>
                <w:lang w:val="bg-BG"/>
              </w:rPr>
              <w:t>-</w:t>
            </w:r>
          </w:p>
        </w:tc>
        <w:tc>
          <w:tcPr>
            <w:tcW w:w="990" w:type="dxa"/>
            <w:noWrap/>
            <w:vAlign w:val="center"/>
          </w:tcPr>
          <w:p w14:paraId="3358CBB5" w14:textId="77777777" w:rsidR="00730E53" w:rsidRPr="007375EB" w:rsidRDefault="00730E53" w:rsidP="00730E53">
            <w:pPr>
              <w:rPr>
                <w:lang w:val="bg-BG"/>
              </w:rPr>
            </w:pPr>
            <w:r w:rsidRPr="007375EB">
              <w:rPr>
                <w:lang w:val="bg-BG"/>
              </w:rPr>
              <w:t>-</w:t>
            </w:r>
          </w:p>
        </w:tc>
        <w:tc>
          <w:tcPr>
            <w:tcW w:w="499" w:type="dxa"/>
            <w:noWrap/>
            <w:vAlign w:val="center"/>
          </w:tcPr>
          <w:p w14:paraId="708BB478" w14:textId="77777777" w:rsidR="00730E53" w:rsidRPr="007375EB" w:rsidRDefault="00730E53" w:rsidP="00730E53">
            <w:pPr>
              <w:rPr>
                <w:lang w:val="bg-BG"/>
              </w:rPr>
            </w:pPr>
            <w:r w:rsidRPr="007375EB">
              <w:rPr>
                <w:lang w:val="bg-BG"/>
              </w:rPr>
              <w:t>-</w:t>
            </w:r>
          </w:p>
        </w:tc>
        <w:tc>
          <w:tcPr>
            <w:tcW w:w="507" w:type="dxa"/>
            <w:noWrap/>
            <w:vAlign w:val="center"/>
          </w:tcPr>
          <w:p w14:paraId="3A975801" w14:textId="77777777" w:rsidR="00730E53" w:rsidRPr="007375EB" w:rsidRDefault="00730E53" w:rsidP="00730E53">
            <w:pPr>
              <w:rPr>
                <w:lang w:val="bg-BG"/>
              </w:rPr>
            </w:pPr>
            <w:r w:rsidRPr="007375EB">
              <w:rPr>
                <w:lang w:val="bg-BG"/>
              </w:rPr>
              <w:t>-</w:t>
            </w:r>
          </w:p>
        </w:tc>
        <w:tc>
          <w:tcPr>
            <w:tcW w:w="524" w:type="dxa"/>
            <w:noWrap/>
            <w:vAlign w:val="center"/>
          </w:tcPr>
          <w:p w14:paraId="5B17F44E" w14:textId="77777777" w:rsidR="00730E53" w:rsidRPr="007375EB" w:rsidRDefault="00730E53" w:rsidP="00730E53">
            <w:pPr>
              <w:rPr>
                <w:lang w:val="bg-BG"/>
              </w:rPr>
            </w:pPr>
            <w:r w:rsidRPr="007375EB">
              <w:rPr>
                <w:lang w:val="bg-BG"/>
              </w:rPr>
              <w:t>-</w:t>
            </w:r>
          </w:p>
        </w:tc>
        <w:tc>
          <w:tcPr>
            <w:tcW w:w="616" w:type="dxa"/>
            <w:noWrap/>
            <w:vAlign w:val="center"/>
          </w:tcPr>
          <w:p w14:paraId="41043B4A" w14:textId="77777777" w:rsidR="00730E53" w:rsidRPr="007375EB" w:rsidRDefault="00730E53" w:rsidP="00730E53">
            <w:pPr>
              <w:rPr>
                <w:lang w:val="bg-BG"/>
              </w:rPr>
            </w:pPr>
            <w:r w:rsidRPr="007375EB">
              <w:rPr>
                <w:lang w:val="bg-BG"/>
              </w:rPr>
              <w:t>-</w:t>
            </w:r>
          </w:p>
        </w:tc>
        <w:tc>
          <w:tcPr>
            <w:tcW w:w="612" w:type="dxa"/>
            <w:noWrap/>
            <w:vAlign w:val="center"/>
          </w:tcPr>
          <w:p w14:paraId="5A634F63" w14:textId="77777777" w:rsidR="00730E53" w:rsidRPr="007375EB" w:rsidRDefault="00730E53" w:rsidP="00730E53">
            <w:pPr>
              <w:rPr>
                <w:lang w:val="bg-BG"/>
              </w:rPr>
            </w:pPr>
            <w:r w:rsidRPr="007375EB">
              <w:rPr>
                <w:lang w:val="bg-BG"/>
              </w:rPr>
              <w:t>-</w:t>
            </w:r>
          </w:p>
        </w:tc>
      </w:tr>
      <w:tr w:rsidR="00730E53" w:rsidRPr="007375EB" w14:paraId="2ED5C33B" w14:textId="77777777" w:rsidTr="006C1B17">
        <w:trPr>
          <w:trHeight w:val="210"/>
        </w:trPr>
        <w:tc>
          <w:tcPr>
            <w:tcW w:w="621" w:type="dxa"/>
            <w:noWrap/>
          </w:tcPr>
          <w:p w14:paraId="4B971DF6" w14:textId="77777777" w:rsidR="00730E53" w:rsidRPr="007375EB" w:rsidRDefault="00730E53" w:rsidP="00730E53">
            <w:pPr>
              <w:rPr>
                <w:lang w:val="bg-BG"/>
              </w:rPr>
            </w:pPr>
            <w:r w:rsidRPr="007375EB">
              <w:rPr>
                <w:lang w:val="bg-BG"/>
              </w:rPr>
              <w:lastRenderedPageBreak/>
              <w:t>11</w:t>
            </w:r>
          </w:p>
        </w:tc>
        <w:tc>
          <w:tcPr>
            <w:tcW w:w="3189" w:type="dxa"/>
            <w:noWrap/>
          </w:tcPr>
          <w:p w14:paraId="7F655602" w14:textId="6C81A000" w:rsidR="00730E53" w:rsidRPr="007375EB" w:rsidRDefault="00730E53" w:rsidP="00730E53">
            <w:pPr>
              <w:rPr>
                <w:lang w:val="bg-BG"/>
              </w:rPr>
            </w:pPr>
            <w:r w:rsidRPr="007375EB">
              <w:rPr>
                <w:lang w:val="bg-BG"/>
              </w:rPr>
              <w:t>Изграждане на интелигентна мрежа за разпределение на природен газ в община Индепенденца, окръг Констанца (предложена)</w:t>
            </w:r>
          </w:p>
        </w:tc>
        <w:tc>
          <w:tcPr>
            <w:tcW w:w="2125" w:type="dxa"/>
            <w:noWrap/>
            <w:vAlign w:val="center"/>
          </w:tcPr>
          <w:p w14:paraId="6DA17D4A" w14:textId="77777777" w:rsidR="00730E53" w:rsidRPr="007375EB" w:rsidRDefault="00730E53" w:rsidP="00730E53">
            <w:pPr>
              <w:rPr>
                <w:lang w:val="bg-BG"/>
              </w:rPr>
            </w:pPr>
            <w:r w:rsidRPr="007375EB">
              <w:rPr>
                <w:lang w:val="bg-BG"/>
              </w:rPr>
              <w:t>18,72 км</w:t>
            </w:r>
          </w:p>
        </w:tc>
        <w:tc>
          <w:tcPr>
            <w:tcW w:w="482" w:type="dxa"/>
            <w:noWrap/>
            <w:vAlign w:val="center"/>
          </w:tcPr>
          <w:p w14:paraId="675075BE" w14:textId="77777777" w:rsidR="00730E53" w:rsidRPr="007375EB" w:rsidRDefault="00730E53" w:rsidP="00730E53">
            <w:pPr>
              <w:rPr>
                <w:lang w:val="bg-BG"/>
              </w:rPr>
            </w:pPr>
            <w:r w:rsidRPr="007375EB">
              <w:rPr>
                <w:lang w:val="bg-BG"/>
              </w:rPr>
              <w:t>-</w:t>
            </w:r>
          </w:p>
        </w:tc>
        <w:tc>
          <w:tcPr>
            <w:tcW w:w="916" w:type="dxa"/>
            <w:noWrap/>
            <w:vAlign w:val="center"/>
          </w:tcPr>
          <w:p w14:paraId="14C1EF97" w14:textId="77777777" w:rsidR="00730E53" w:rsidRPr="007375EB" w:rsidRDefault="00730E53" w:rsidP="00730E53">
            <w:pPr>
              <w:rPr>
                <w:lang w:val="bg-BG"/>
              </w:rPr>
            </w:pPr>
            <w:r w:rsidRPr="007375EB">
              <w:rPr>
                <w:lang w:val="bg-BG"/>
              </w:rPr>
              <w:t>-</w:t>
            </w:r>
          </w:p>
        </w:tc>
        <w:tc>
          <w:tcPr>
            <w:tcW w:w="916" w:type="dxa"/>
            <w:noWrap/>
            <w:vAlign w:val="center"/>
          </w:tcPr>
          <w:p w14:paraId="6F11271B" w14:textId="77777777" w:rsidR="00730E53" w:rsidRPr="007375EB" w:rsidRDefault="00730E53" w:rsidP="00730E53">
            <w:pPr>
              <w:rPr>
                <w:lang w:val="bg-BG"/>
              </w:rPr>
            </w:pPr>
            <w:r w:rsidRPr="007375EB">
              <w:rPr>
                <w:lang w:val="bg-BG"/>
              </w:rPr>
              <w:t>-</w:t>
            </w:r>
          </w:p>
        </w:tc>
        <w:tc>
          <w:tcPr>
            <w:tcW w:w="810" w:type="dxa"/>
            <w:noWrap/>
            <w:vAlign w:val="center"/>
          </w:tcPr>
          <w:p w14:paraId="001619F1" w14:textId="77777777" w:rsidR="00730E53" w:rsidRPr="007375EB" w:rsidRDefault="00730E53" w:rsidP="00730E53">
            <w:pPr>
              <w:rPr>
                <w:lang w:val="bg-BG"/>
              </w:rPr>
            </w:pPr>
            <w:r w:rsidRPr="007375EB">
              <w:rPr>
                <w:lang w:val="bg-BG"/>
              </w:rPr>
              <w:t>-</w:t>
            </w:r>
          </w:p>
        </w:tc>
        <w:tc>
          <w:tcPr>
            <w:tcW w:w="630" w:type="dxa"/>
            <w:noWrap/>
            <w:vAlign w:val="center"/>
          </w:tcPr>
          <w:p w14:paraId="6AEDF203" w14:textId="77777777" w:rsidR="00730E53" w:rsidRPr="007375EB" w:rsidRDefault="00730E53" w:rsidP="00730E53">
            <w:pPr>
              <w:rPr>
                <w:lang w:val="bg-BG"/>
              </w:rPr>
            </w:pPr>
            <w:r w:rsidRPr="007375EB">
              <w:rPr>
                <w:lang w:val="bg-BG"/>
              </w:rPr>
              <w:t>-</w:t>
            </w:r>
          </w:p>
        </w:tc>
        <w:tc>
          <w:tcPr>
            <w:tcW w:w="720" w:type="dxa"/>
            <w:noWrap/>
            <w:vAlign w:val="center"/>
          </w:tcPr>
          <w:p w14:paraId="456A5786" w14:textId="77777777" w:rsidR="00730E53" w:rsidRPr="007375EB" w:rsidRDefault="00730E53" w:rsidP="00730E53">
            <w:pPr>
              <w:rPr>
                <w:lang w:val="bg-BG"/>
              </w:rPr>
            </w:pPr>
            <w:r w:rsidRPr="007375EB">
              <w:rPr>
                <w:lang w:val="bg-BG"/>
              </w:rPr>
              <w:t>-</w:t>
            </w:r>
          </w:p>
        </w:tc>
        <w:tc>
          <w:tcPr>
            <w:tcW w:w="720" w:type="dxa"/>
            <w:noWrap/>
            <w:vAlign w:val="center"/>
          </w:tcPr>
          <w:p w14:paraId="1BAC8FAA" w14:textId="77777777" w:rsidR="00730E53" w:rsidRPr="007375EB" w:rsidRDefault="00730E53" w:rsidP="00730E53">
            <w:pPr>
              <w:rPr>
                <w:lang w:val="bg-BG"/>
              </w:rPr>
            </w:pPr>
            <w:r w:rsidRPr="007375EB">
              <w:rPr>
                <w:lang w:val="bg-BG"/>
              </w:rPr>
              <w:t>-</w:t>
            </w:r>
          </w:p>
        </w:tc>
        <w:tc>
          <w:tcPr>
            <w:tcW w:w="540" w:type="dxa"/>
            <w:noWrap/>
            <w:vAlign w:val="center"/>
          </w:tcPr>
          <w:p w14:paraId="46103A62" w14:textId="77777777" w:rsidR="00730E53" w:rsidRPr="007375EB" w:rsidRDefault="00730E53" w:rsidP="00730E53">
            <w:pPr>
              <w:rPr>
                <w:lang w:val="bg-BG"/>
              </w:rPr>
            </w:pPr>
            <w:r w:rsidRPr="007375EB">
              <w:rPr>
                <w:lang w:val="bg-BG"/>
              </w:rPr>
              <w:t>-</w:t>
            </w:r>
          </w:p>
        </w:tc>
        <w:tc>
          <w:tcPr>
            <w:tcW w:w="990" w:type="dxa"/>
            <w:noWrap/>
            <w:vAlign w:val="center"/>
          </w:tcPr>
          <w:p w14:paraId="779CA255" w14:textId="77777777" w:rsidR="00730E53" w:rsidRPr="007375EB" w:rsidRDefault="00730E53" w:rsidP="00730E53">
            <w:pPr>
              <w:rPr>
                <w:lang w:val="bg-BG"/>
              </w:rPr>
            </w:pPr>
            <w:r w:rsidRPr="007375EB">
              <w:rPr>
                <w:lang w:val="bg-BG"/>
              </w:rPr>
              <w:t>-</w:t>
            </w:r>
          </w:p>
        </w:tc>
        <w:tc>
          <w:tcPr>
            <w:tcW w:w="499" w:type="dxa"/>
            <w:noWrap/>
            <w:vAlign w:val="center"/>
          </w:tcPr>
          <w:p w14:paraId="4F0C83D3" w14:textId="77777777" w:rsidR="00730E53" w:rsidRPr="007375EB" w:rsidRDefault="00730E53" w:rsidP="00730E53">
            <w:pPr>
              <w:rPr>
                <w:lang w:val="bg-BG"/>
              </w:rPr>
            </w:pPr>
            <w:r w:rsidRPr="007375EB">
              <w:rPr>
                <w:lang w:val="bg-BG"/>
              </w:rPr>
              <w:t>-</w:t>
            </w:r>
          </w:p>
        </w:tc>
        <w:tc>
          <w:tcPr>
            <w:tcW w:w="507" w:type="dxa"/>
            <w:noWrap/>
            <w:vAlign w:val="center"/>
          </w:tcPr>
          <w:p w14:paraId="2E2A13B0" w14:textId="77777777" w:rsidR="00730E53" w:rsidRPr="007375EB" w:rsidRDefault="00730E53" w:rsidP="00730E53">
            <w:pPr>
              <w:rPr>
                <w:lang w:val="bg-BG"/>
              </w:rPr>
            </w:pPr>
            <w:r w:rsidRPr="007375EB">
              <w:rPr>
                <w:lang w:val="bg-BG"/>
              </w:rPr>
              <w:t>-</w:t>
            </w:r>
          </w:p>
        </w:tc>
        <w:tc>
          <w:tcPr>
            <w:tcW w:w="524" w:type="dxa"/>
            <w:noWrap/>
            <w:vAlign w:val="center"/>
          </w:tcPr>
          <w:p w14:paraId="1F421F35" w14:textId="77777777" w:rsidR="00730E53" w:rsidRPr="007375EB" w:rsidRDefault="00730E53" w:rsidP="00730E53">
            <w:pPr>
              <w:rPr>
                <w:lang w:val="bg-BG"/>
              </w:rPr>
            </w:pPr>
            <w:r w:rsidRPr="007375EB">
              <w:rPr>
                <w:lang w:val="bg-BG"/>
              </w:rPr>
              <w:t>-</w:t>
            </w:r>
          </w:p>
        </w:tc>
        <w:tc>
          <w:tcPr>
            <w:tcW w:w="616" w:type="dxa"/>
            <w:noWrap/>
            <w:vAlign w:val="center"/>
          </w:tcPr>
          <w:p w14:paraId="46B3E6AE" w14:textId="77777777" w:rsidR="00730E53" w:rsidRPr="007375EB" w:rsidRDefault="00730E53" w:rsidP="00730E53">
            <w:pPr>
              <w:rPr>
                <w:lang w:val="bg-BG"/>
              </w:rPr>
            </w:pPr>
            <w:r w:rsidRPr="007375EB">
              <w:rPr>
                <w:lang w:val="bg-BG"/>
              </w:rPr>
              <w:t>-</w:t>
            </w:r>
          </w:p>
        </w:tc>
        <w:tc>
          <w:tcPr>
            <w:tcW w:w="612" w:type="dxa"/>
            <w:noWrap/>
            <w:vAlign w:val="center"/>
          </w:tcPr>
          <w:p w14:paraId="7EA5846A" w14:textId="77777777" w:rsidR="00730E53" w:rsidRPr="007375EB" w:rsidRDefault="00730E53" w:rsidP="00730E53">
            <w:pPr>
              <w:rPr>
                <w:lang w:val="bg-BG"/>
              </w:rPr>
            </w:pPr>
            <w:r w:rsidRPr="007375EB">
              <w:rPr>
                <w:lang w:val="bg-BG"/>
              </w:rPr>
              <w:t>-</w:t>
            </w:r>
          </w:p>
        </w:tc>
      </w:tr>
      <w:tr w:rsidR="00730E53" w:rsidRPr="007375EB" w14:paraId="1FFC0B2A" w14:textId="77777777" w:rsidTr="006C1B17">
        <w:trPr>
          <w:trHeight w:val="210"/>
        </w:trPr>
        <w:tc>
          <w:tcPr>
            <w:tcW w:w="621" w:type="dxa"/>
            <w:noWrap/>
          </w:tcPr>
          <w:p w14:paraId="59AF777D" w14:textId="77777777" w:rsidR="00730E53" w:rsidRPr="007375EB" w:rsidRDefault="00730E53" w:rsidP="00730E53">
            <w:pPr>
              <w:rPr>
                <w:lang w:val="bg-BG"/>
              </w:rPr>
            </w:pPr>
            <w:r w:rsidRPr="007375EB">
              <w:rPr>
                <w:lang w:val="bg-BG"/>
              </w:rPr>
              <w:t>12</w:t>
            </w:r>
          </w:p>
        </w:tc>
        <w:tc>
          <w:tcPr>
            <w:tcW w:w="3189" w:type="dxa"/>
            <w:noWrap/>
          </w:tcPr>
          <w:p w14:paraId="3B87D412" w14:textId="1E2AC54D" w:rsidR="00730E53" w:rsidRPr="007375EB" w:rsidRDefault="00730E53" w:rsidP="00730E53">
            <w:pPr>
              <w:rPr>
                <w:lang w:val="bg-BG"/>
              </w:rPr>
            </w:pPr>
            <w:r w:rsidRPr="007375EB">
              <w:rPr>
                <w:lang w:val="bg-BG"/>
              </w:rPr>
              <w:t>Изграждане на мост в Мовила Верде, улица „Бисеричи“, Мовила Верде, община Индепенденца, окръг Констанца (предложен)</w:t>
            </w:r>
          </w:p>
        </w:tc>
        <w:tc>
          <w:tcPr>
            <w:tcW w:w="2125" w:type="dxa"/>
            <w:noWrap/>
            <w:vAlign w:val="center"/>
          </w:tcPr>
          <w:p w14:paraId="64DF9253" w14:textId="77777777" w:rsidR="00730E53" w:rsidRPr="007375EB" w:rsidRDefault="00730E53" w:rsidP="00730E53">
            <w:pPr>
              <w:rPr>
                <w:lang w:val="bg-BG"/>
              </w:rPr>
            </w:pPr>
            <w:r w:rsidRPr="007375EB">
              <w:rPr>
                <w:lang w:val="bg-BG"/>
              </w:rPr>
              <w:t>21,51 км</w:t>
            </w:r>
          </w:p>
        </w:tc>
        <w:tc>
          <w:tcPr>
            <w:tcW w:w="482" w:type="dxa"/>
            <w:noWrap/>
            <w:vAlign w:val="center"/>
          </w:tcPr>
          <w:p w14:paraId="6FFD678C" w14:textId="77777777" w:rsidR="00730E53" w:rsidRPr="007375EB" w:rsidRDefault="00730E53" w:rsidP="00730E53">
            <w:pPr>
              <w:rPr>
                <w:lang w:val="bg-BG"/>
              </w:rPr>
            </w:pPr>
            <w:r w:rsidRPr="007375EB">
              <w:rPr>
                <w:lang w:val="bg-BG"/>
              </w:rPr>
              <w:t>-</w:t>
            </w:r>
          </w:p>
        </w:tc>
        <w:tc>
          <w:tcPr>
            <w:tcW w:w="916" w:type="dxa"/>
            <w:noWrap/>
            <w:vAlign w:val="center"/>
          </w:tcPr>
          <w:p w14:paraId="677A4730" w14:textId="77777777" w:rsidR="00730E53" w:rsidRPr="007375EB" w:rsidRDefault="00730E53" w:rsidP="00730E53">
            <w:pPr>
              <w:rPr>
                <w:lang w:val="bg-BG"/>
              </w:rPr>
            </w:pPr>
            <w:r w:rsidRPr="007375EB">
              <w:rPr>
                <w:lang w:val="bg-BG"/>
              </w:rPr>
              <w:t>-</w:t>
            </w:r>
          </w:p>
        </w:tc>
        <w:tc>
          <w:tcPr>
            <w:tcW w:w="916" w:type="dxa"/>
            <w:noWrap/>
            <w:vAlign w:val="center"/>
          </w:tcPr>
          <w:p w14:paraId="5909FAD7" w14:textId="77777777" w:rsidR="00730E53" w:rsidRPr="007375EB" w:rsidRDefault="00730E53" w:rsidP="00730E53">
            <w:pPr>
              <w:rPr>
                <w:lang w:val="bg-BG"/>
              </w:rPr>
            </w:pPr>
            <w:r w:rsidRPr="007375EB">
              <w:rPr>
                <w:lang w:val="bg-BG"/>
              </w:rPr>
              <w:t>-</w:t>
            </w:r>
          </w:p>
        </w:tc>
        <w:tc>
          <w:tcPr>
            <w:tcW w:w="810" w:type="dxa"/>
            <w:noWrap/>
            <w:vAlign w:val="center"/>
          </w:tcPr>
          <w:p w14:paraId="6EE8F45A" w14:textId="77777777" w:rsidR="00730E53" w:rsidRPr="007375EB" w:rsidRDefault="00730E53" w:rsidP="00730E53">
            <w:pPr>
              <w:rPr>
                <w:lang w:val="bg-BG"/>
              </w:rPr>
            </w:pPr>
            <w:r w:rsidRPr="007375EB">
              <w:rPr>
                <w:lang w:val="bg-BG"/>
              </w:rPr>
              <w:t>-</w:t>
            </w:r>
          </w:p>
        </w:tc>
        <w:tc>
          <w:tcPr>
            <w:tcW w:w="630" w:type="dxa"/>
            <w:noWrap/>
            <w:vAlign w:val="center"/>
          </w:tcPr>
          <w:p w14:paraId="79F31043" w14:textId="77777777" w:rsidR="00730E53" w:rsidRPr="007375EB" w:rsidRDefault="00730E53" w:rsidP="00730E53">
            <w:pPr>
              <w:rPr>
                <w:lang w:val="bg-BG"/>
              </w:rPr>
            </w:pPr>
            <w:r w:rsidRPr="007375EB">
              <w:rPr>
                <w:lang w:val="bg-BG"/>
              </w:rPr>
              <w:t>-</w:t>
            </w:r>
          </w:p>
        </w:tc>
        <w:tc>
          <w:tcPr>
            <w:tcW w:w="720" w:type="dxa"/>
            <w:noWrap/>
            <w:vAlign w:val="center"/>
          </w:tcPr>
          <w:p w14:paraId="7CC3C602" w14:textId="77777777" w:rsidR="00730E53" w:rsidRPr="007375EB" w:rsidRDefault="00730E53" w:rsidP="00730E53">
            <w:pPr>
              <w:rPr>
                <w:lang w:val="bg-BG"/>
              </w:rPr>
            </w:pPr>
            <w:r w:rsidRPr="007375EB">
              <w:rPr>
                <w:lang w:val="bg-BG"/>
              </w:rPr>
              <w:t>-</w:t>
            </w:r>
          </w:p>
        </w:tc>
        <w:tc>
          <w:tcPr>
            <w:tcW w:w="720" w:type="dxa"/>
            <w:noWrap/>
            <w:vAlign w:val="center"/>
          </w:tcPr>
          <w:p w14:paraId="7D903BAD" w14:textId="77777777" w:rsidR="00730E53" w:rsidRPr="007375EB" w:rsidRDefault="00730E53" w:rsidP="00730E53">
            <w:pPr>
              <w:rPr>
                <w:lang w:val="bg-BG"/>
              </w:rPr>
            </w:pPr>
            <w:r w:rsidRPr="007375EB">
              <w:rPr>
                <w:lang w:val="bg-BG"/>
              </w:rPr>
              <w:t>-</w:t>
            </w:r>
          </w:p>
        </w:tc>
        <w:tc>
          <w:tcPr>
            <w:tcW w:w="540" w:type="dxa"/>
            <w:noWrap/>
            <w:vAlign w:val="center"/>
          </w:tcPr>
          <w:p w14:paraId="214E4CEB" w14:textId="77777777" w:rsidR="00730E53" w:rsidRPr="007375EB" w:rsidRDefault="00730E53" w:rsidP="00730E53">
            <w:pPr>
              <w:rPr>
                <w:lang w:val="bg-BG"/>
              </w:rPr>
            </w:pPr>
            <w:r w:rsidRPr="007375EB">
              <w:rPr>
                <w:lang w:val="bg-BG"/>
              </w:rPr>
              <w:t>-</w:t>
            </w:r>
          </w:p>
        </w:tc>
        <w:tc>
          <w:tcPr>
            <w:tcW w:w="990" w:type="dxa"/>
            <w:noWrap/>
            <w:vAlign w:val="center"/>
          </w:tcPr>
          <w:p w14:paraId="53E98A98" w14:textId="77777777" w:rsidR="00730E53" w:rsidRPr="007375EB" w:rsidRDefault="00730E53" w:rsidP="00730E53">
            <w:pPr>
              <w:rPr>
                <w:lang w:val="bg-BG"/>
              </w:rPr>
            </w:pPr>
            <w:r w:rsidRPr="007375EB">
              <w:rPr>
                <w:lang w:val="bg-BG"/>
              </w:rPr>
              <w:t>-</w:t>
            </w:r>
          </w:p>
        </w:tc>
        <w:tc>
          <w:tcPr>
            <w:tcW w:w="499" w:type="dxa"/>
            <w:noWrap/>
            <w:vAlign w:val="center"/>
          </w:tcPr>
          <w:p w14:paraId="4176BE0A" w14:textId="77777777" w:rsidR="00730E53" w:rsidRPr="007375EB" w:rsidRDefault="00730E53" w:rsidP="00730E53">
            <w:pPr>
              <w:rPr>
                <w:lang w:val="bg-BG"/>
              </w:rPr>
            </w:pPr>
            <w:r w:rsidRPr="007375EB">
              <w:rPr>
                <w:lang w:val="bg-BG"/>
              </w:rPr>
              <w:t>-</w:t>
            </w:r>
          </w:p>
        </w:tc>
        <w:tc>
          <w:tcPr>
            <w:tcW w:w="507" w:type="dxa"/>
            <w:noWrap/>
            <w:vAlign w:val="center"/>
          </w:tcPr>
          <w:p w14:paraId="036550CA" w14:textId="77777777" w:rsidR="00730E53" w:rsidRPr="007375EB" w:rsidRDefault="00730E53" w:rsidP="00730E53">
            <w:pPr>
              <w:rPr>
                <w:lang w:val="bg-BG"/>
              </w:rPr>
            </w:pPr>
            <w:r w:rsidRPr="007375EB">
              <w:rPr>
                <w:lang w:val="bg-BG"/>
              </w:rPr>
              <w:t>-</w:t>
            </w:r>
          </w:p>
        </w:tc>
        <w:tc>
          <w:tcPr>
            <w:tcW w:w="524" w:type="dxa"/>
            <w:noWrap/>
            <w:vAlign w:val="center"/>
          </w:tcPr>
          <w:p w14:paraId="60D90FFA" w14:textId="77777777" w:rsidR="00730E53" w:rsidRPr="007375EB" w:rsidRDefault="00730E53" w:rsidP="00730E53">
            <w:pPr>
              <w:rPr>
                <w:lang w:val="bg-BG"/>
              </w:rPr>
            </w:pPr>
            <w:r w:rsidRPr="007375EB">
              <w:rPr>
                <w:lang w:val="bg-BG"/>
              </w:rPr>
              <w:t>-</w:t>
            </w:r>
          </w:p>
        </w:tc>
        <w:tc>
          <w:tcPr>
            <w:tcW w:w="616" w:type="dxa"/>
            <w:noWrap/>
            <w:vAlign w:val="center"/>
          </w:tcPr>
          <w:p w14:paraId="0246C550" w14:textId="77777777" w:rsidR="00730E53" w:rsidRPr="007375EB" w:rsidRDefault="00730E53" w:rsidP="00730E53">
            <w:pPr>
              <w:rPr>
                <w:lang w:val="bg-BG"/>
              </w:rPr>
            </w:pPr>
            <w:r w:rsidRPr="007375EB">
              <w:rPr>
                <w:lang w:val="bg-BG"/>
              </w:rPr>
              <w:t>-</w:t>
            </w:r>
          </w:p>
        </w:tc>
        <w:tc>
          <w:tcPr>
            <w:tcW w:w="612" w:type="dxa"/>
            <w:noWrap/>
            <w:vAlign w:val="center"/>
          </w:tcPr>
          <w:p w14:paraId="700C3938" w14:textId="77777777" w:rsidR="00730E53" w:rsidRPr="007375EB" w:rsidRDefault="00730E53" w:rsidP="00730E53">
            <w:pPr>
              <w:rPr>
                <w:lang w:val="bg-BG"/>
              </w:rPr>
            </w:pPr>
            <w:r w:rsidRPr="007375EB">
              <w:rPr>
                <w:lang w:val="bg-BG"/>
              </w:rPr>
              <w:t>-</w:t>
            </w:r>
          </w:p>
        </w:tc>
      </w:tr>
      <w:tr w:rsidR="00730E53" w:rsidRPr="007375EB" w14:paraId="626466EC" w14:textId="77777777" w:rsidTr="006C1B17">
        <w:trPr>
          <w:trHeight w:val="210"/>
        </w:trPr>
        <w:tc>
          <w:tcPr>
            <w:tcW w:w="621" w:type="dxa"/>
            <w:noWrap/>
          </w:tcPr>
          <w:p w14:paraId="2345115E" w14:textId="77777777" w:rsidR="00730E53" w:rsidRPr="007375EB" w:rsidRDefault="00730E53" w:rsidP="00730E53">
            <w:pPr>
              <w:rPr>
                <w:lang w:val="bg-BG"/>
              </w:rPr>
            </w:pPr>
            <w:r w:rsidRPr="007375EB">
              <w:rPr>
                <w:lang w:val="bg-BG"/>
              </w:rPr>
              <w:t>13</w:t>
            </w:r>
          </w:p>
        </w:tc>
        <w:tc>
          <w:tcPr>
            <w:tcW w:w="3189" w:type="dxa"/>
            <w:noWrap/>
          </w:tcPr>
          <w:p w14:paraId="2BB80516" w14:textId="4EBFCCBE" w:rsidR="00730E53" w:rsidRPr="007375EB" w:rsidRDefault="00730E53" w:rsidP="00730E53">
            <w:pPr>
              <w:rPr>
                <w:lang w:val="bg-BG"/>
              </w:rPr>
            </w:pPr>
            <w:r w:rsidRPr="007375EB">
              <w:rPr>
                <w:lang w:val="bg-BG"/>
              </w:rPr>
              <w:t>Асфалтиране на улици Комана, Тътару и Пелину, етап I, община Комана, окръг Констанца (предложено)</w:t>
            </w:r>
          </w:p>
        </w:tc>
        <w:tc>
          <w:tcPr>
            <w:tcW w:w="2125" w:type="dxa"/>
            <w:noWrap/>
            <w:vAlign w:val="center"/>
          </w:tcPr>
          <w:p w14:paraId="4DA7F0D6" w14:textId="77777777" w:rsidR="00730E53" w:rsidRPr="007375EB" w:rsidRDefault="00730E53" w:rsidP="00730E53">
            <w:pPr>
              <w:rPr>
                <w:lang w:val="bg-BG"/>
              </w:rPr>
            </w:pPr>
            <w:r w:rsidRPr="007375EB">
              <w:rPr>
                <w:lang w:val="bg-BG"/>
              </w:rPr>
              <w:t>4,22 км</w:t>
            </w:r>
          </w:p>
        </w:tc>
        <w:tc>
          <w:tcPr>
            <w:tcW w:w="482" w:type="dxa"/>
            <w:noWrap/>
            <w:vAlign w:val="center"/>
          </w:tcPr>
          <w:p w14:paraId="3ECF2566" w14:textId="77777777" w:rsidR="00730E53" w:rsidRPr="007375EB" w:rsidRDefault="00730E53" w:rsidP="00730E53">
            <w:pPr>
              <w:rPr>
                <w:lang w:val="bg-BG"/>
              </w:rPr>
            </w:pPr>
            <w:r w:rsidRPr="007375EB">
              <w:rPr>
                <w:lang w:val="bg-BG"/>
              </w:rPr>
              <w:t>-</w:t>
            </w:r>
          </w:p>
        </w:tc>
        <w:tc>
          <w:tcPr>
            <w:tcW w:w="916" w:type="dxa"/>
            <w:noWrap/>
            <w:vAlign w:val="center"/>
          </w:tcPr>
          <w:p w14:paraId="2BDA83DC" w14:textId="77777777" w:rsidR="00730E53" w:rsidRPr="007375EB" w:rsidRDefault="00730E53" w:rsidP="00730E53">
            <w:pPr>
              <w:rPr>
                <w:lang w:val="bg-BG"/>
              </w:rPr>
            </w:pPr>
            <w:r w:rsidRPr="007375EB">
              <w:rPr>
                <w:lang w:val="bg-BG"/>
              </w:rPr>
              <w:t>-</w:t>
            </w:r>
          </w:p>
        </w:tc>
        <w:tc>
          <w:tcPr>
            <w:tcW w:w="916" w:type="dxa"/>
            <w:noWrap/>
            <w:vAlign w:val="center"/>
          </w:tcPr>
          <w:p w14:paraId="79016589" w14:textId="77777777" w:rsidR="00730E53" w:rsidRPr="007375EB" w:rsidRDefault="00730E53" w:rsidP="00730E53">
            <w:pPr>
              <w:rPr>
                <w:lang w:val="bg-BG"/>
              </w:rPr>
            </w:pPr>
            <w:r w:rsidRPr="007375EB">
              <w:rPr>
                <w:lang w:val="bg-BG"/>
              </w:rPr>
              <w:t>-</w:t>
            </w:r>
          </w:p>
        </w:tc>
        <w:tc>
          <w:tcPr>
            <w:tcW w:w="810" w:type="dxa"/>
            <w:noWrap/>
            <w:vAlign w:val="center"/>
          </w:tcPr>
          <w:p w14:paraId="45A13813" w14:textId="77777777" w:rsidR="00730E53" w:rsidRPr="007375EB" w:rsidRDefault="00730E53" w:rsidP="00730E53">
            <w:pPr>
              <w:rPr>
                <w:lang w:val="bg-BG"/>
              </w:rPr>
            </w:pPr>
            <w:r w:rsidRPr="007375EB">
              <w:rPr>
                <w:lang w:val="bg-BG"/>
              </w:rPr>
              <w:t>-</w:t>
            </w:r>
          </w:p>
        </w:tc>
        <w:tc>
          <w:tcPr>
            <w:tcW w:w="630" w:type="dxa"/>
            <w:noWrap/>
            <w:vAlign w:val="center"/>
          </w:tcPr>
          <w:p w14:paraId="54F0FBC1" w14:textId="77777777" w:rsidR="00730E53" w:rsidRPr="007375EB" w:rsidRDefault="00730E53" w:rsidP="00730E53">
            <w:pPr>
              <w:rPr>
                <w:lang w:val="bg-BG"/>
              </w:rPr>
            </w:pPr>
            <w:r w:rsidRPr="007375EB">
              <w:rPr>
                <w:lang w:val="bg-BG"/>
              </w:rPr>
              <w:t>-</w:t>
            </w:r>
          </w:p>
        </w:tc>
        <w:tc>
          <w:tcPr>
            <w:tcW w:w="720" w:type="dxa"/>
            <w:noWrap/>
            <w:vAlign w:val="center"/>
          </w:tcPr>
          <w:p w14:paraId="3BF70690" w14:textId="77777777" w:rsidR="00730E53" w:rsidRPr="007375EB" w:rsidRDefault="00730E53" w:rsidP="00730E53">
            <w:pPr>
              <w:rPr>
                <w:lang w:val="bg-BG"/>
              </w:rPr>
            </w:pPr>
            <w:r w:rsidRPr="007375EB">
              <w:rPr>
                <w:lang w:val="bg-BG"/>
              </w:rPr>
              <w:t>-</w:t>
            </w:r>
          </w:p>
        </w:tc>
        <w:tc>
          <w:tcPr>
            <w:tcW w:w="720" w:type="dxa"/>
            <w:noWrap/>
            <w:vAlign w:val="center"/>
          </w:tcPr>
          <w:p w14:paraId="0EC387ED" w14:textId="77777777" w:rsidR="00730E53" w:rsidRPr="007375EB" w:rsidRDefault="00730E53" w:rsidP="00730E53">
            <w:pPr>
              <w:rPr>
                <w:lang w:val="bg-BG"/>
              </w:rPr>
            </w:pPr>
            <w:r w:rsidRPr="007375EB">
              <w:rPr>
                <w:lang w:val="bg-BG"/>
              </w:rPr>
              <w:t>-</w:t>
            </w:r>
          </w:p>
        </w:tc>
        <w:tc>
          <w:tcPr>
            <w:tcW w:w="540" w:type="dxa"/>
            <w:noWrap/>
            <w:vAlign w:val="center"/>
          </w:tcPr>
          <w:p w14:paraId="7E4238C1" w14:textId="77777777" w:rsidR="00730E53" w:rsidRPr="007375EB" w:rsidRDefault="00730E53" w:rsidP="00730E53">
            <w:pPr>
              <w:rPr>
                <w:lang w:val="bg-BG"/>
              </w:rPr>
            </w:pPr>
            <w:r w:rsidRPr="007375EB">
              <w:rPr>
                <w:lang w:val="bg-BG"/>
              </w:rPr>
              <w:t>-</w:t>
            </w:r>
          </w:p>
        </w:tc>
        <w:tc>
          <w:tcPr>
            <w:tcW w:w="990" w:type="dxa"/>
            <w:noWrap/>
            <w:vAlign w:val="center"/>
          </w:tcPr>
          <w:p w14:paraId="4D884404" w14:textId="77777777" w:rsidR="00730E53" w:rsidRPr="007375EB" w:rsidRDefault="00730E53" w:rsidP="00730E53">
            <w:pPr>
              <w:rPr>
                <w:lang w:val="bg-BG"/>
              </w:rPr>
            </w:pPr>
            <w:r w:rsidRPr="007375EB">
              <w:rPr>
                <w:lang w:val="bg-BG"/>
              </w:rPr>
              <w:t>-</w:t>
            </w:r>
          </w:p>
        </w:tc>
        <w:tc>
          <w:tcPr>
            <w:tcW w:w="499" w:type="dxa"/>
            <w:noWrap/>
            <w:vAlign w:val="center"/>
          </w:tcPr>
          <w:p w14:paraId="7FA629B0" w14:textId="77777777" w:rsidR="00730E53" w:rsidRPr="007375EB" w:rsidRDefault="00730E53" w:rsidP="00730E53">
            <w:pPr>
              <w:rPr>
                <w:lang w:val="bg-BG"/>
              </w:rPr>
            </w:pPr>
            <w:r w:rsidRPr="007375EB">
              <w:rPr>
                <w:lang w:val="bg-BG"/>
              </w:rPr>
              <w:t>-</w:t>
            </w:r>
          </w:p>
        </w:tc>
        <w:tc>
          <w:tcPr>
            <w:tcW w:w="507" w:type="dxa"/>
            <w:noWrap/>
            <w:vAlign w:val="center"/>
          </w:tcPr>
          <w:p w14:paraId="249A35C8" w14:textId="77777777" w:rsidR="00730E53" w:rsidRPr="007375EB" w:rsidRDefault="00730E53" w:rsidP="00730E53">
            <w:pPr>
              <w:rPr>
                <w:lang w:val="bg-BG"/>
              </w:rPr>
            </w:pPr>
            <w:r w:rsidRPr="007375EB">
              <w:rPr>
                <w:lang w:val="bg-BG"/>
              </w:rPr>
              <w:t>-</w:t>
            </w:r>
          </w:p>
        </w:tc>
        <w:tc>
          <w:tcPr>
            <w:tcW w:w="524" w:type="dxa"/>
            <w:noWrap/>
            <w:vAlign w:val="center"/>
          </w:tcPr>
          <w:p w14:paraId="4B0E0269" w14:textId="77777777" w:rsidR="00730E53" w:rsidRPr="007375EB" w:rsidRDefault="00730E53" w:rsidP="00730E53">
            <w:pPr>
              <w:rPr>
                <w:lang w:val="bg-BG"/>
              </w:rPr>
            </w:pPr>
            <w:r w:rsidRPr="007375EB">
              <w:rPr>
                <w:lang w:val="bg-BG"/>
              </w:rPr>
              <w:t>-</w:t>
            </w:r>
          </w:p>
        </w:tc>
        <w:tc>
          <w:tcPr>
            <w:tcW w:w="616" w:type="dxa"/>
            <w:noWrap/>
            <w:vAlign w:val="center"/>
          </w:tcPr>
          <w:p w14:paraId="737F5E4B" w14:textId="77777777" w:rsidR="00730E53" w:rsidRPr="007375EB" w:rsidRDefault="00730E53" w:rsidP="00730E53">
            <w:pPr>
              <w:rPr>
                <w:lang w:val="bg-BG"/>
              </w:rPr>
            </w:pPr>
            <w:r w:rsidRPr="007375EB">
              <w:rPr>
                <w:lang w:val="bg-BG"/>
              </w:rPr>
              <w:t>-</w:t>
            </w:r>
          </w:p>
        </w:tc>
        <w:tc>
          <w:tcPr>
            <w:tcW w:w="612" w:type="dxa"/>
            <w:noWrap/>
            <w:vAlign w:val="center"/>
          </w:tcPr>
          <w:p w14:paraId="78514F84" w14:textId="77777777" w:rsidR="00730E53" w:rsidRPr="007375EB" w:rsidRDefault="00730E53" w:rsidP="00730E53">
            <w:pPr>
              <w:rPr>
                <w:lang w:val="bg-BG"/>
              </w:rPr>
            </w:pPr>
            <w:r w:rsidRPr="007375EB">
              <w:rPr>
                <w:lang w:val="bg-BG"/>
              </w:rPr>
              <w:t>-</w:t>
            </w:r>
          </w:p>
        </w:tc>
      </w:tr>
      <w:tr w:rsidR="00730E53" w:rsidRPr="007375EB" w14:paraId="43EE8BF1" w14:textId="77777777" w:rsidTr="006C1B17">
        <w:trPr>
          <w:trHeight w:val="210"/>
        </w:trPr>
        <w:tc>
          <w:tcPr>
            <w:tcW w:w="621" w:type="dxa"/>
            <w:noWrap/>
          </w:tcPr>
          <w:p w14:paraId="40CD6232" w14:textId="77777777" w:rsidR="00730E53" w:rsidRPr="007375EB" w:rsidRDefault="00730E53" w:rsidP="00730E53">
            <w:pPr>
              <w:rPr>
                <w:lang w:val="bg-BG"/>
              </w:rPr>
            </w:pPr>
            <w:r w:rsidRPr="007375EB">
              <w:rPr>
                <w:lang w:val="bg-BG"/>
              </w:rPr>
              <w:t>14</w:t>
            </w:r>
          </w:p>
        </w:tc>
        <w:tc>
          <w:tcPr>
            <w:tcW w:w="3189" w:type="dxa"/>
            <w:noWrap/>
          </w:tcPr>
          <w:p w14:paraId="223CF8AD" w14:textId="0E60D13D" w:rsidR="00730E53" w:rsidRPr="007375EB" w:rsidRDefault="00730E53" w:rsidP="00730E53">
            <w:pPr>
              <w:jc w:val="both"/>
              <w:rPr>
                <w:lang w:val="bg-BG"/>
              </w:rPr>
            </w:pPr>
            <w:r w:rsidRPr="007375EB">
              <w:rPr>
                <w:lang w:val="bg-BG"/>
              </w:rPr>
              <w:t>Изграждане на мостове, водостоци и прокарване на дъждовна канализация в Крединца, община Кирногени (предложено)</w:t>
            </w:r>
          </w:p>
        </w:tc>
        <w:tc>
          <w:tcPr>
            <w:tcW w:w="2125" w:type="dxa"/>
            <w:noWrap/>
            <w:vAlign w:val="center"/>
          </w:tcPr>
          <w:p w14:paraId="181CB687" w14:textId="77777777" w:rsidR="00730E53" w:rsidRPr="007375EB" w:rsidRDefault="00730E53" w:rsidP="00730E53">
            <w:pPr>
              <w:rPr>
                <w:lang w:val="bg-BG"/>
              </w:rPr>
            </w:pPr>
            <w:r w:rsidRPr="007375EB">
              <w:rPr>
                <w:lang w:val="bg-BG"/>
              </w:rPr>
              <w:t>17,12 км</w:t>
            </w:r>
          </w:p>
        </w:tc>
        <w:tc>
          <w:tcPr>
            <w:tcW w:w="482" w:type="dxa"/>
            <w:noWrap/>
            <w:vAlign w:val="center"/>
          </w:tcPr>
          <w:p w14:paraId="20931CEE" w14:textId="77777777" w:rsidR="00730E53" w:rsidRPr="007375EB" w:rsidRDefault="00730E53" w:rsidP="00730E53">
            <w:pPr>
              <w:rPr>
                <w:lang w:val="bg-BG"/>
              </w:rPr>
            </w:pPr>
            <w:r w:rsidRPr="007375EB">
              <w:rPr>
                <w:lang w:val="bg-BG"/>
              </w:rPr>
              <w:t>-</w:t>
            </w:r>
          </w:p>
        </w:tc>
        <w:tc>
          <w:tcPr>
            <w:tcW w:w="916" w:type="dxa"/>
            <w:noWrap/>
            <w:vAlign w:val="center"/>
          </w:tcPr>
          <w:p w14:paraId="46C99FAA" w14:textId="77777777" w:rsidR="00730E53" w:rsidRPr="007375EB" w:rsidRDefault="00730E53" w:rsidP="00730E53">
            <w:pPr>
              <w:rPr>
                <w:lang w:val="bg-BG"/>
              </w:rPr>
            </w:pPr>
            <w:r w:rsidRPr="007375EB">
              <w:rPr>
                <w:lang w:val="bg-BG"/>
              </w:rPr>
              <w:t>-</w:t>
            </w:r>
          </w:p>
        </w:tc>
        <w:tc>
          <w:tcPr>
            <w:tcW w:w="916" w:type="dxa"/>
            <w:noWrap/>
            <w:vAlign w:val="center"/>
          </w:tcPr>
          <w:p w14:paraId="3FFF285B" w14:textId="77777777" w:rsidR="00730E53" w:rsidRPr="007375EB" w:rsidRDefault="00730E53" w:rsidP="00730E53">
            <w:pPr>
              <w:rPr>
                <w:lang w:val="bg-BG"/>
              </w:rPr>
            </w:pPr>
            <w:r w:rsidRPr="007375EB">
              <w:rPr>
                <w:lang w:val="bg-BG"/>
              </w:rPr>
              <w:t>-</w:t>
            </w:r>
          </w:p>
        </w:tc>
        <w:tc>
          <w:tcPr>
            <w:tcW w:w="810" w:type="dxa"/>
            <w:noWrap/>
            <w:vAlign w:val="center"/>
          </w:tcPr>
          <w:p w14:paraId="3ABBFE9B" w14:textId="77777777" w:rsidR="00730E53" w:rsidRPr="007375EB" w:rsidRDefault="00730E53" w:rsidP="00730E53">
            <w:pPr>
              <w:rPr>
                <w:lang w:val="bg-BG"/>
              </w:rPr>
            </w:pPr>
            <w:r w:rsidRPr="007375EB">
              <w:rPr>
                <w:lang w:val="bg-BG"/>
              </w:rPr>
              <w:t>-</w:t>
            </w:r>
          </w:p>
        </w:tc>
        <w:tc>
          <w:tcPr>
            <w:tcW w:w="630" w:type="dxa"/>
            <w:noWrap/>
            <w:vAlign w:val="center"/>
          </w:tcPr>
          <w:p w14:paraId="59234817" w14:textId="77777777" w:rsidR="00730E53" w:rsidRPr="007375EB" w:rsidRDefault="00730E53" w:rsidP="00730E53">
            <w:pPr>
              <w:rPr>
                <w:lang w:val="bg-BG"/>
              </w:rPr>
            </w:pPr>
            <w:r w:rsidRPr="007375EB">
              <w:rPr>
                <w:lang w:val="bg-BG"/>
              </w:rPr>
              <w:t>-</w:t>
            </w:r>
          </w:p>
        </w:tc>
        <w:tc>
          <w:tcPr>
            <w:tcW w:w="720" w:type="dxa"/>
            <w:noWrap/>
            <w:vAlign w:val="center"/>
          </w:tcPr>
          <w:p w14:paraId="399174A5" w14:textId="77777777" w:rsidR="00730E53" w:rsidRPr="007375EB" w:rsidRDefault="00730E53" w:rsidP="00730E53">
            <w:pPr>
              <w:rPr>
                <w:lang w:val="bg-BG"/>
              </w:rPr>
            </w:pPr>
            <w:r w:rsidRPr="007375EB">
              <w:rPr>
                <w:lang w:val="bg-BG"/>
              </w:rPr>
              <w:t>-</w:t>
            </w:r>
          </w:p>
        </w:tc>
        <w:tc>
          <w:tcPr>
            <w:tcW w:w="720" w:type="dxa"/>
            <w:noWrap/>
            <w:vAlign w:val="center"/>
          </w:tcPr>
          <w:p w14:paraId="1C34B310" w14:textId="77777777" w:rsidR="00730E53" w:rsidRPr="007375EB" w:rsidRDefault="00730E53" w:rsidP="00730E53">
            <w:pPr>
              <w:rPr>
                <w:lang w:val="bg-BG"/>
              </w:rPr>
            </w:pPr>
            <w:r w:rsidRPr="007375EB">
              <w:rPr>
                <w:lang w:val="bg-BG"/>
              </w:rPr>
              <w:t>-</w:t>
            </w:r>
          </w:p>
        </w:tc>
        <w:tc>
          <w:tcPr>
            <w:tcW w:w="540" w:type="dxa"/>
            <w:noWrap/>
            <w:vAlign w:val="center"/>
          </w:tcPr>
          <w:p w14:paraId="2CC62D7A" w14:textId="77777777" w:rsidR="00730E53" w:rsidRPr="007375EB" w:rsidRDefault="00730E53" w:rsidP="00730E53">
            <w:pPr>
              <w:rPr>
                <w:lang w:val="bg-BG"/>
              </w:rPr>
            </w:pPr>
            <w:r w:rsidRPr="007375EB">
              <w:rPr>
                <w:lang w:val="bg-BG"/>
              </w:rPr>
              <w:t>-</w:t>
            </w:r>
          </w:p>
        </w:tc>
        <w:tc>
          <w:tcPr>
            <w:tcW w:w="990" w:type="dxa"/>
            <w:noWrap/>
            <w:vAlign w:val="center"/>
          </w:tcPr>
          <w:p w14:paraId="49CB71CB" w14:textId="77777777" w:rsidR="00730E53" w:rsidRPr="007375EB" w:rsidRDefault="00730E53" w:rsidP="00730E53">
            <w:pPr>
              <w:rPr>
                <w:lang w:val="bg-BG"/>
              </w:rPr>
            </w:pPr>
            <w:r w:rsidRPr="007375EB">
              <w:rPr>
                <w:lang w:val="bg-BG"/>
              </w:rPr>
              <w:t>-</w:t>
            </w:r>
          </w:p>
        </w:tc>
        <w:tc>
          <w:tcPr>
            <w:tcW w:w="499" w:type="dxa"/>
            <w:noWrap/>
            <w:vAlign w:val="center"/>
          </w:tcPr>
          <w:p w14:paraId="1CD955BC" w14:textId="77777777" w:rsidR="00730E53" w:rsidRPr="007375EB" w:rsidRDefault="00730E53" w:rsidP="00730E53">
            <w:pPr>
              <w:rPr>
                <w:lang w:val="bg-BG"/>
              </w:rPr>
            </w:pPr>
            <w:r w:rsidRPr="007375EB">
              <w:rPr>
                <w:lang w:val="bg-BG"/>
              </w:rPr>
              <w:t>-</w:t>
            </w:r>
          </w:p>
        </w:tc>
        <w:tc>
          <w:tcPr>
            <w:tcW w:w="507" w:type="dxa"/>
            <w:noWrap/>
            <w:vAlign w:val="center"/>
          </w:tcPr>
          <w:p w14:paraId="58BAD0BB" w14:textId="77777777" w:rsidR="00730E53" w:rsidRPr="007375EB" w:rsidRDefault="00730E53" w:rsidP="00730E53">
            <w:pPr>
              <w:rPr>
                <w:lang w:val="bg-BG"/>
              </w:rPr>
            </w:pPr>
            <w:r w:rsidRPr="007375EB">
              <w:rPr>
                <w:lang w:val="bg-BG"/>
              </w:rPr>
              <w:t>-</w:t>
            </w:r>
          </w:p>
        </w:tc>
        <w:tc>
          <w:tcPr>
            <w:tcW w:w="524" w:type="dxa"/>
            <w:noWrap/>
            <w:vAlign w:val="center"/>
          </w:tcPr>
          <w:p w14:paraId="11E6820F" w14:textId="77777777" w:rsidR="00730E53" w:rsidRPr="007375EB" w:rsidRDefault="00730E53" w:rsidP="00730E53">
            <w:pPr>
              <w:rPr>
                <w:lang w:val="bg-BG"/>
              </w:rPr>
            </w:pPr>
            <w:r w:rsidRPr="007375EB">
              <w:rPr>
                <w:lang w:val="bg-BG"/>
              </w:rPr>
              <w:t>-</w:t>
            </w:r>
          </w:p>
        </w:tc>
        <w:tc>
          <w:tcPr>
            <w:tcW w:w="616" w:type="dxa"/>
            <w:noWrap/>
            <w:vAlign w:val="center"/>
          </w:tcPr>
          <w:p w14:paraId="5318310C" w14:textId="77777777" w:rsidR="00730E53" w:rsidRPr="007375EB" w:rsidRDefault="00730E53" w:rsidP="00730E53">
            <w:pPr>
              <w:rPr>
                <w:lang w:val="bg-BG"/>
              </w:rPr>
            </w:pPr>
            <w:r w:rsidRPr="007375EB">
              <w:rPr>
                <w:lang w:val="bg-BG"/>
              </w:rPr>
              <w:t>-</w:t>
            </w:r>
          </w:p>
        </w:tc>
        <w:tc>
          <w:tcPr>
            <w:tcW w:w="612" w:type="dxa"/>
            <w:noWrap/>
            <w:vAlign w:val="center"/>
          </w:tcPr>
          <w:p w14:paraId="621E6AA8" w14:textId="77777777" w:rsidR="00730E53" w:rsidRPr="007375EB" w:rsidRDefault="00730E53" w:rsidP="00730E53">
            <w:pPr>
              <w:rPr>
                <w:lang w:val="bg-BG"/>
              </w:rPr>
            </w:pPr>
            <w:r w:rsidRPr="007375EB">
              <w:rPr>
                <w:lang w:val="bg-BG"/>
              </w:rPr>
              <w:t>-</w:t>
            </w:r>
          </w:p>
        </w:tc>
      </w:tr>
      <w:tr w:rsidR="00730E53" w:rsidRPr="007375EB" w14:paraId="58C11D1F" w14:textId="77777777" w:rsidTr="006C1B17">
        <w:trPr>
          <w:trHeight w:val="210"/>
        </w:trPr>
        <w:tc>
          <w:tcPr>
            <w:tcW w:w="621" w:type="dxa"/>
            <w:noWrap/>
          </w:tcPr>
          <w:p w14:paraId="317B7F62" w14:textId="77777777" w:rsidR="00730E53" w:rsidRPr="007375EB" w:rsidRDefault="00730E53" w:rsidP="00730E53">
            <w:pPr>
              <w:rPr>
                <w:lang w:val="bg-BG"/>
              </w:rPr>
            </w:pPr>
            <w:r w:rsidRPr="007375EB">
              <w:rPr>
                <w:lang w:val="bg-BG"/>
              </w:rPr>
              <w:t>15</w:t>
            </w:r>
          </w:p>
        </w:tc>
        <w:tc>
          <w:tcPr>
            <w:tcW w:w="3189" w:type="dxa"/>
            <w:noWrap/>
          </w:tcPr>
          <w:p w14:paraId="69D29C7B" w14:textId="6554DB9B" w:rsidR="00730E53" w:rsidRPr="007375EB" w:rsidRDefault="00730E53" w:rsidP="00730E53">
            <w:pPr>
              <w:jc w:val="both"/>
              <w:rPr>
                <w:lang w:val="bg-BG"/>
              </w:rPr>
            </w:pPr>
            <w:r w:rsidRPr="007375EB">
              <w:rPr>
                <w:lang w:val="bg-BG"/>
              </w:rPr>
              <w:t xml:space="preserve">Модернизация и реконструкция на улици в </w:t>
            </w:r>
            <w:r w:rsidRPr="007375EB">
              <w:rPr>
                <w:lang w:val="bg-BG"/>
              </w:rPr>
              <w:lastRenderedPageBreak/>
              <w:t>община Кирногени, окръг Констанца (предложена)</w:t>
            </w:r>
          </w:p>
        </w:tc>
        <w:tc>
          <w:tcPr>
            <w:tcW w:w="2125" w:type="dxa"/>
            <w:noWrap/>
            <w:vAlign w:val="center"/>
          </w:tcPr>
          <w:p w14:paraId="4FC9F845" w14:textId="77777777" w:rsidR="00730E53" w:rsidRPr="007375EB" w:rsidRDefault="00730E53" w:rsidP="00730E53">
            <w:pPr>
              <w:rPr>
                <w:lang w:val="bg-BG"/>
              </w:rPr>
            </w:pPr>
            <w:r w:rsidRPr="007375EB">
              <w:rPr>
                <w:lang w:val="bg-BG"/>
              </w:rPr>
              <w:lastRenderedPageBreak/>
              <w:t>10,34 км</w:t>
            </w:r>
          </w:p>
        </w:tc>
        <w:tc>
          <w:tcPr>
            <w:tcW w:w="482" w:type="dxa"/>
            <w:noWrap/>
            <w:vAlign w:val="center"/>
          </w:tcPr>
          <w:p w14:paraId="124643E3" w14:textId="77777777" w:rsidR="00730E53" w:rsidRPr="007375EB" w:rsidRDefault="00730E53" w:rsidP="00730E53">
            <w:pPr>
              <w:rPr>
                <w:lang w:val="bg-BG"/>
              </w:rPr>
            </w:pPr>
            <w:r w:rsidRPr="007375EB">
              <w:rPr>
                <w:lang w:val="bg-BG"/>
              </w:rPr>
              <w:t>-</w:t>
            </w:r>
          </w:p>
        </w:tc>
        <w:tc>
          <w:tcPr>
            <w:tcW w:w="916" w:type="dxa"/>
            <w:noWrap/>
            <w:vAlign w:val="center"/>
          </w:tcPr>
          <w:p w14:paraId="2CA7269F" w14:textId="77777777" w:rsidR="00730E53" w:rsidRPr="007375EB" w:rsidRDefault="00730E53" w:rsidP="00730E53">
            <w:pPr>
              <w:rPr>
                <w:lang w:val="bg-BG"/>
              </w:rPr>
            </w:pPr>
            <w:r w:rsidRPr="007375EB">
              <w:rPr>
                <w:lang w:val="bg-BG"/>
              </w:rPr>
              <w:t>-</w:t>
            </w:r>
          </w:p>
        </w:tc>
        <w:tc>
          <w:tcPr>
            <w:tcW w:w="916" w:type="dxa"/>
            <w:noWrap/>
            <w:vAlign w:val="center"/>
          </w:tcPr>
          <w:p w14:paraId="23815C5C" w14:textId="77777777" w:rsidR="00730E53" w:rsidRPr="007375EB" w:rsidRDefault="00730E53" w:rsidP="00730E53">
            <w:pPr>
              <w:rPr>
                <w:lang w:val="bg-BG"/>
              </w:rPr>
            </w:pPr>
            <w:r w:rsidRPr="007375EB">
              <w:rPr>
                <w:lang w:val="bg-BG"/>
              </w:rPr>
              <w:t>-</w:t>
            </w:r>
          </w:p>
        </w:tc>
        <w:tc>
          <w:tcPr>
            <w:tcW w:w="810" w:type="dxa"/>
            <w:noWrap/>
            <w:vAlign w:val="center"/>
          </w:tcPr>
          <w:p w14:paraId="34C0EA8C" w14:textId="77777777" w:rsidR="00730E53" w:rsidRPr="007375EB" w:rsidRDefault="00730E53" w:rsidP="00730E53">
            <w:pPr>
              <w:rPr>
                <w:lang w:val="bg-BG"/>
              </w:rPr>
            </w:pPr>
            <w:r w:rsidRPr="007375EB">
              <w:rPr>
                <w:lang w:val="bg-BG"/>
              </w:rPr>
              <w:t>-</w:t>
            </w:r>
          </w:p>
        </w:tc>
        <w:tc>
          <w:tcPr>
            <w:tcW w:w="630" w:type="dxa"/>
            <w:noWrap/>
            <w:vAlign w:val="center"/>
          </w:tcPr>
          <w:p w14:paraId="67F2CE61" w14:textId="77777777" w:rsidR="00730E53" w:rsidRPr="007375EB" w:rsidRDefault="00730E53" w:rsidP="00730E53">
            <w:pPr>
              <w:rPr>
                <w:lang w:val="bg-BG"/>
              </w:rPr>
            </w:pPr>
            <w:r w:rsidRPr="007375EB">
              <w:rPr>
                <w:lang w:val="bg-BG"/>
              </w:rPr>
              <w:t>-</w:t>
            </w:r>
          </w:p>
        </w:tc>
        <w:tc>
          <w:tcPr>
            <w:tcW w:w="720" w:type="dxa"/>
            <w:noWrap/>
            <w:vAlign w:val="center"/>
          </w:tcPr>
          <w:p w14:paraId="68E4510D" w14:textId="77777777" w:rsidR="00730E53" w:rsidRPr="007375EB" w:rsidRDefault="00730E53" w:rsidP="00730E53">
            <w:pPr>
              <w:rPr>
                <w:lang w:val="bg-BG"/>
              </w:rPr>
            </w:pPr>
            <w:r w:rsidRPr="007375EB">
              <w:rPr>
                <w:lang w:val="bg-BG"/>
              </w:rPr>
              <w:t>-</w:t>
            </w:r>
          </w:p>
        </w:tc>
        <w:tc>
          <w:tcPr>
            <w:tcW w:w="720" w:type="dxa"/>
            <w:noWrap/>
            <w:vAlign w:val="center"/>
          </w:tcPr>
          <w:p w14:paraId="1A065C8E" w14:textId="77777777" w:rsidR="00730E53" w:rsidRPr="007375EB" w:rsidRDefault="00730E53" w:rsidP="00730E53">
            <w:pPr>
              <w:rPr>
                <w:lang w:val="bg-BG"/>
              </w:rPr>
            </w:pPr>
            <w:r w:rsidRPr="007375EB">
              <w:rPr>
                <w:lang w:val="bg-BG"/>
              </w:rPr>
              <w:t>-</w:t>
            </w:r>
          </w:p>
        </w:tc>
        <w:tc>
          <w:tcPr>
            <w:tcW w:w="540" w:type="dxa"/>
            <w:noWrap/>
            <w:vAlign w:val="center"/>
          </w:tcPr>
          <w:p w14:paraId="01197E98" w14:textId="77777777" w:rsidR="00730E53" w:rsidRPr="007375EB" w:rsidRDefault="00730E53" w:rsidP="00730E53">
            <w:pPr>
              <w:rPr>
                <w:lang w:val="bg-BG"/>
              </w:rPr>
            </w:pPr>
            <w:r w:rsidRPr="007375EB">
              <w:rPr>
                <w:lang w:val="bg-BG"/>
              </w:rPr>
              <w:t>-</w:t>
            </w:r>
          </w:p>
        </w:tc>
        <w:tc>
          <w:tcPr>
            <w:tcW w:w="990" w:type="dxa"/>
            <w:noWrap/>
            <w:vAlign w:val="center"/>
          </w:tcPr>
          <w:p w14:paraId="4A1A39E0" w14:textId="77777777" w:rsidR="00730E53" w:rsidRPr="007375EB" w:rsidRDefault="00730E53" w:rsidP="00730E53">
            <w:pPr>
              <w:rPr>
                <w:lang w:val="bg-BG"/>
              </w:rPr>
            </w:pPr>
            <w:r w:rsidRPr="007375EB">
              <w:rPr>
                <w:lang w:val="bg-BG"/>
              </w:rPr>
              <w:t>-</w:t>
            </w:r>
          </w:p>
        </w:tc>
        <w:tc>
          <w:tcPr>
            <w:tcW w:w="499" w:type="dxa"/>
            <w:noWrap/>
            <w:vAlign w:val="center"/>
          </w:tcPr>
          <w:p w14:paraId="6B2B2A1A" w14:textId="77777777" w:rsidR="00730E53" w:rsidRPr="007375EB" w:rsidRDefault="00730E53" w:rsidP="00730E53">
            <w:pPr>
              <w:rPr>
                <w:lang w:val="bg-BG"/>
              </w:rPr>
            </w:pPr>
            <w:r w:rsidRPr="007375EB">
              <w:rPr>
                <w:lang w:val="bg-BG"/>
              </w:rPr>
              <w:t>-</w:t>
            </w:r>
          </w:p>
        </w:tc>
        <w:tc>
          <w:tcPr>
            <w:tcW w:w="507" w:type="dxa"/>
            <w:noWrap/>
            <w:vAlign w:val="center"/>
          </w:tcPr>
          <w:p w14:paraId="71FB2A0B" w14:textId="77777777" w:rsidR="00730E53" w:rsidRPr="007375EB" w:rsidRDefault="00730E53" w:rsidP="00730E53">
            <w:pPr>
              <w:rPr>
                <w:lang w:val="bg-BG"/>
              </w:rPr>
            </w:pPr>
            <w:r w:rsidRPr="007375EB">
              <w:rPr>
                <w:lang w:val="bg-BG"/>
              </w:rPr>
              <w:t>-</w:t>
            </w:r>
          </w:p>
        </w:tc>
        <w:tc>
          <w:tcPr>
            <w:tcW w:w="524" w:type="dxa"/>
            <w:noWrap/>
            <w:vAlign w:val="center"/>
          </w:tcPr>
          <w:p w14:paraId="4B88D8EA" w14:textId="77777777" w:rsidR="00730E53" w:rsidRPr="007375EB" w:rsidRDefault="00730E53" w:rsidP="00730E53">
            <w:pPr>
              <w:rPr>
                <w:lang w:val="bg-BG"/>
              </w:rPr>
            </w:pPr>
            <w:r w:rsidRPr="007375EB">
              <w:rPr>
                <w:lang w:val="bg-BG"/>
              </w:rPr>
              <w:t>-</w:t>
            </w:r>
          </w:p>
        </w:tc>
        <w:tc>
          <w:tcPr>
            <w:tcW w:w="616" w:type="dxa"/>
            <w:noWrap/>
            <w:vAlign w:val="center"/>
          </w:tcPr>
          <w:p w14:paraId="5BF658A8" w14:textId="77777777" w:rsidR="00730E53" w:rsidRPr="007375EB" w:rsidRDefault="00730E53" w:rsidP="00730E53">
            <w:pPr>
              <w:rPr>
                <w:lang w:val="bg-BG"/>
              </w:rPr>
            </w:pPr>
            <w:r w:rsidRPr="007375EB">
              <w:rPr>
                <w:lang w:val="bg-BG"/>
              </w:rPr>
              <w:t>-</w:t>
            </w:r>
          </w:p>
        </w:tc>
        <w:tc>
          <w:tcPr>
            <w:tcW w:w="612" w:type="dxa"/>
            <w:noWrap/>
            <w:vAlign w:val="center"/>
          </w:tcPr>
          <w:p w14:paraId="14B40218" w14:textId="77777777" w:rsidR="00730E53" w:rsidRPr="007375EB" w:rsidRDefault="00730E53" w:rsidP="00730E53">
            <w:pPr>
              <w:rPr>
                <w:lang w:val="bg-BG"/>
              </w:rPr>
            </w:pPr>
            <w:r w:rsidRPr="007375EB">
              <w:rPr>
                <w:lang w:val="bg-BG"/>
              </w:rPr>
              <w:t>-</w:t>
            </w:r>
          </w:p>
        </w:tc>
      </w:tr>
      <w:tr w:rsidR="006C1B17" w:rsidRPr="007375EB" w14:paraId="706DE6AC" w14:textId="77777777" w:rsidTr="006C1B17">
        <w:trPr>
          <w:trHeight w:val="210"/>
        </w:trPr>
        <w:tc>
          <w:tcPr>
            <w:tcW w:w="15417" w:type="dxa"/>
            <w:gridSpan w:val="17"/>
            <w:shd w:val="clear" w:color="auto" w:fill="F2F2F2" w:themeFill="background1" w:themeFillShade="F2"/>
            <w:noWrap/>
            <w:hideMark/>
          </w:tcPr>
          <w:p w14:paraId="03871644" w14:textId="7CE5BF23" w:rsidR="006C1B17" w:rsidRPr="007375EB" w:rsidRDefault="006C1B17" w:rsidP="006C1B17">
            <w:pPr>
              <w:rPr>
                <w:b/>
                <w:bCs/>
                <w:lang w:val="bg-BG"/>
              </w:rPr>
            </w:pPr>
            <w:r w:rsidRPr="007375EB">
              <w:rPr>
                <w:b/>
                <w:bCs/>
                <w:lang w:val="bg-BG"/>
              </w:rPr>
              <w:t xml:space="preserve">ROSPA0036 </w:t>
            </w:r>
            <w:r w:rsidR="00730E53" w:rsidRPr="007375EB">
              <w:rPr>
                <w:b/>
                <w:bCs/>
                <w:lang w:val="bg-BG"/>
              </w:rPr>
              <w:t xml:space="preserve"> Думбръвени</w:t>
            </w:r>
          </w:p>
        </w:tc>
      </w:tr>
      <w:tr w:rsidR="00730E53" w:rsidRPr="007375EB" w14:paraId="37841AAD" w14:textId="77777777" w:rsidTr="006C1B17">
        <w:trPr>
          <w:trHeight w:val="1050"/>
        </w:trPr>
        <w:tc>
          <w:tcPr>
            <w:tcW w:w="621" w:type="dxa"/>
            <w:noWrap/>
            <w:hideMark/>
          </w:tcPr>
          <w:p w14:paraId="433748A0" w14:textId="77777777" w:rsidR="00730E53" w:rsidRPr="007375EB" w:rsidRDefault="00730E53" w:rsidP="00730E53">
            <w:pPr>
              <w:rPr>
                <w:lang w:val="bg-BG"/>
              </w:rPr>
            </w:pPr>
            <w:r w:rsidRPr="007375EB">
              <w:rPr>
                <w:lang w:val="bg-BG"/>
              </w:rPr>
              <w:t>1</w:t>
            </w:r>
          </w:p>
        </w:tc>
        <w:tc>
          <w:tcPr>
            <w:tcW w:w="3189" w:type="dxa"/>
            <w:hideMark/>
          </w:tcPr>
          <w:p w14:paraId="3AE9EA95" w14:textId="16D338B3" w:rsidR="00730E53" w:rsidRPr="007375EB" w:rsidRDefault="00730E53" w:rsidP="00730E53">
            <w:pPr>
              <w:jc w:val="both"/>
              <w:rPr>
                <w:lang w:val="bg-BG"/>
              </w:rPr>
            </w:pPr>
            <w:r w:rsidRPr="007375EB">
              <w:rPr>
                <w:lang w:val="bg-BG"/>
              </w:rPr>
              <w:t>Парк за вятърна енергия 14 CE-92,4 МВт,  трансформаторна станция, електрически свързващи мрежи, изграждане и модернизиране на комуникации и пътища за достъп - извън село Фънтъна Маре, общ. Индепенденца, окръг Констанца (предложен)</w:t>
            </w:r>
          </w:p>
        </w:tc>
        <w:tc>
          <w:tcPr>
            <w:tcW w:w="2125" w:type="dxa"/>
            <w:noWrap/>
            <w:vAlign w:val="center"/>
            <w:hideMark/>
          </w:tcPr>
          <w:p w14:paraId="3AD92268" w14:textId="77777777" w:rsidR="00730E53" w:rsidRPr="007375EB" w:rsidRDefault="00730E53" w:rsidP="00730E53">
            <w:pPr>
              <w:rPr>
                <w:lang w:val="bg-BG"/>
              </w:rPr>
            </w:pPr>
            <w:r w:rsidRPr="007375EB">
              <w:rPr>
                <w:lang w:val="bg-BG"/>
              </w:rPr>
              <w:t>3,34 км</w:t>
            </w:r>
          </w:p>
        </w:tc>
        <w:tc>
          <w:tcPr>
            <w:tcW w:w="482" w:type="dxa"/>
            <w:noWrap/>
            <w:vAlign w:val="center"/>
            <w:hideMark/>
          </w:tcPr>
          <w:p w14:paraId="3709C62D" w14:textId="77777777" w:rsidR="00730E53" w:rsidRPr="007375EB" w:rsidRDefault="00730E53" w:rsidP="00730E53">
            <w:pPr>
              <w:rPr>
                <w:lang w:val="bg-BG"/>
              </w:rPr>
            </w:pPr>
            <w:r w:rsidRPr="007375EB">
              <w:rPr>
                <w:lang w:val="bg-BG"/>
              </w:rPr>
              <w:t>-</w:t>
            </w:r>
          </w:p>
        </w:tc>
        <w:tc>
          <w:tcPr>
            <w:tcW w:w="916" w:type="dxa"/>
            <w:noWrap/>
            <w:vAlign w:val="center"/>
            <w:hideMark/>
          </w:tcPr>
          <w:p w14:paraId="0D047063" w14:textId="77777777" w:rsidR="00730E53" w:rsidRPr="007375EB" w:rsidRDefault="00730E53" w:rsidP="00730E53">
            <w:pPr>
              <w:rPr>
                <w:lang w:val="bg-BG"/>
              </w:rPr>
            </w:pPr>
            <w:r w:rsidRPr="007375EB">
              <w:rPr>
                <w:lang w:val="bg-BG"/>
              </w:rPr>
              <w:t>-</w:t>
            </w:r>
          </w:p>
        </w:tc>
        <w:tc>
          <w:tcPr>
            <w:tcW w:w="916" w:type="dxa"/>
            <w:noWrap/>
            <w:vAlign w:val="center"/>
            <w:hideMark/>
          </w:tcPr>
          <w:p w14:paraId="7E5836BD" w14:textId="77777777" w:rsidR="00730E53" w:rsidRPr="007375EB" w:rsidRDefault="00730E53" w:rsidP="00730E53">
            <w:pPr>
              <w:rPr>
                <w:lang w:val="bg-BG"/>
              </w:rPr>
            </w:pPr>
            <w:r w:rsidRPr="007375EB">
              <w:rPr>
                <w:lang w:val="bg-BG"/>
              </w:rPr>
              <w:t>-</w:t>
            </w:r>
          </w:p>
        </w:tc>
        <w:tc>
          <w:tcPr>
            <w:tcW w:w="810" w:type="dxa"/>
            <w:noWrap/>
            <w:vAlign w:val="center"/>
            <w:hideMark/>
          </w:tcPr>
          <w:p w14:paraId="1938FA62" w14:textId="77777777" w:rsidR="00730E53" w:rsidRPr="007375EB" w:rsidRDefault="00730E53" w:rsidP="00730E53">
            <w:pPr>
              <w:rPr>
                <w:lang w:val="bg-BG"/>
              </w:rPr>
            </w:pPr>
            <w:r w:rsidRPr="007375EB">
              <w:rPr>
                <w:lang w:val="bg-BG"/>
              </w:rPr>
              <w:t>-</w:t>
            </w:r>
          </w:p>
        </w:tc>
        <w:tc>
          <w:tcPr>
            <w:tcW w:w="630" w:type="dxa"/>
            <w:noWrap/>
            <w:vAlign w:val="center"/>
            <w:hideMark/>
          </w:tcPr>
          <w:p w14:paraId="39EA2FAF" w14:textId="77777777" w:rsidR="00730E53" w:rsidRPr="007375EB" w:rsidRDefault="00730E53" w:rsidP="00730E53">
            <w:pPr>
              <w:rPr>
                <w:lang w:val="bg-BG"/>
              </w:rPr>
            </w:pPr>
            <w:r w:rsidRPr="007375EB">
              <w:rPr>
                <w:lang w:val="bg-BG"/>
              </w:rPr>
              <w:t>-</w:t>
            </w:r>
          </w:p>
        </w:tc>
        <w:tc>
          <w:tcPr>
            <w:tcW w:w="720" w:type="dxa"/>
            <w:noWrap/>
            <w:vAlign w:val="center"/>
            <w:hideMark/>
          </w:tcPr>
          <w:p w14:paraId="68341B3F" w14:textId="77777777" w:rsidR="00730E53" w:rsidRPr="007375EB" w:rsidRDefault="00730E53" w:rsidP="00730E53">
            <w:pPr>
              <w:rPr>
                <w:lang w:val="bg-BG"/>
              </w:rPr>
            </w:pPr>
            <w:r w:rsidRPr="007375EB">
              <w:rPr>
                <w:lang w:val="bg-BG"/>
              </w:rPr>
              <w:t>-</w:t>
            </w:r>
          </w:p>
        </w:tc>
        <w:tc>
          <w:tcPr>
            <w:tcW w:w="720" w:type="dxa"/>
            <w:noWrap/>
            <w:vAlign w:val="center"/>
            <w:hideMark/>
          </w:tcPr>
          <w:p w14:paraId="32063573" w14:textId="77777777" w:rsidR="00730E53" w:rsidRPr="007375EB" w:rsidRDefault="00730E53" w:rsidP="00730E53">
            <w:pPr>
              <w:rPr>
                <w:lang w:val="bg-BG"/>
              </w:rPr>
            </w:pPr>
            <w:r w:rsidRPr="007375EB">
              <w:rPr>
                <w:lang w:val="bg-BG"/>
              </w:rPr>
              <w:t>-</w:t>
            </w:r>
          </w:p>
        </w:tc>
        <w:tc>
          <w:tcPr>
            <w:tcW w:w="540" w:type="dxa"/>
            <w:noWrap/>
            <w:vAlign w:val="center"/>
            <w:hideMark/>
          </w:tcPr>
          <w:p w14:paraId="333D5665" w14:textId="77777777" w:rsidR="00730E53" w:rsidRPr="007375EB" w:rsidRDefault="00730E53" w:rsidP="00730E53">
            <w:pPr>
              <w:rPr>
                <w:lang w:val="bg-BG"/>
              </w:rPr>
            </w:pPr>
            <w:r w:rsidRPr="007375EB">
              <w:rPr>
                <w:lang w:val="bg-BG"/>
              </w:rPr>
              <w:t>X</w:t>
            </w:r>
          </w:p>
        </w:tc>
        <w:tc>
          <w:tcPr>
            <w:tcW w:w="990" w:type="dxa"/>
            <w:noWrap/>
            <w:vAlign w:val="center"/>
            <w:hideMark/>
          </w:tcPr>
          <w:p w14:paraId="53281D75" w14:textId="77777777" w:rsidR="00730E53" w:rsidRPr="007375EB" w:rsidRDefault="00730E53" w:rsidP="00730E53">
            <w:pPr>
              <w:rPr>
                <w:lang w:val="bg-BG"/>
              </w:rPr>
            </w:pPr>
            <w:r w:rsidRPr="007375EB">
              <w:rPr>
                <w:lang w:val="bg-BG"/>
              </w:rPr>
              <w:t>X</w:t>
            </w:r>
          </w:p>
        </w:tc>
        <w:tc>
          <w:tcPr>
            <w:tcW w:w="499" w:type="dxa"/>
            <w:noWrap/>
            <w:vAlign w:val="center"/>
            <w:hideMark/>
          </w:tcPr>
          <w:p w14:paraId="44FEF742" w14:textId="77777777" w:rsidR="00730E53" w:rsidRPr="007375EB" w:rsidRDefault="00730E53" w:rsidP="00730E53">
            <w:pPr>
              <w:rPr>
                <w:lang w:val="bg-BG"/>
              </w:rPr>
            </w:pPr>
            <w:r w:rsidRPr="007375EB">
              <w:rPr>
                <w:lang w:val="bg-BG"/>
              </w:rPr>
              <w:t>-</w:t>
            </w:r>
          </w:p>
        </w:tc>
        <w:tc>
          <w:tcPr>
            <w:tcW w:w="507" w:type="dxa"/>
            <w:noWrap/>
            <w:vAlign w:val="center"/>
            <w:hideMark/>
          </w:tcPr>
          <w:p w14:paraId="04606C15" w14:textId="77777777" w:rsidR="00730E53" w:rsidRPr="007375EB" w:rsidRDefault="00730E53" w:rsidP="00730E53">
            <w:pPr>
              <w:rPr>
                <w:lang w:val="bg-BG"/>
              </w:rPr>
            </w:pPr>
            <w:r w:rsidRPr="007375EB">
              <w:rPr>
                <w:lang w:val="bg-BG"/>
              </w:rPr>
              <w:t>X</w:t>
            </w:r>
          </w:p>
        </w:tc>
        <w:tc>
          <w:tcPr>
            <w:tcW w:w="524" w:type="dxa"/>
            <w:noWrap/>
            <w:vAlign w:val="center"/>
            <w:hideMark/>
          </w:tcPr>
          <w:p w14:paraId="021F1196" w14:textId="77777777" w:rsidR="00730E53" w:rsidRPr="007375EB" w:rsidRDefault="00730E53" w:rsidP="00730E53">
            <w:pPr>
              <w:rPr>
                <w:lang w:val="bg-BG"/>
              </w:rPr>
            </w:pPr>
            <w:r w:rsidRPr="007375EB">
              <w:rPr>
                <w:lang w:val="bg-BG"/>
              </w:rPr>
              <w:t>X</w:t>
            </w:r>
          </w:p>
        </w:tc>
        <w:tc>
          <w:tcPr>
            <w:tcW w:w="616" w:type="dxa"/>
            <w:noWrap/>
            <w:vAlign w:val="center"/>
            <w:hideMark/>
          </w:tcPr>
          <w:p w14:paraId="7CF2648E" w14:textId="77777777" w:rsidR="00730E53" w:rsidRPr="007375EB" w:rsidRDefault="00730E53" w:rsidP="00730E53">
            <w:pPr>
              <w:rPr>
                <w:lang w:val="bg-BG"/>
              </w:rPr>
            </w:pPr>
            <w:r w:rsidRPr="007375EB">
              <w:rPr>
                <w:lang w:val="bg-BG"/>
              </w:rPr>
              <w:t>X</w:t>
            </w:r>
          </w:p>
        </w:tc>
        <w:tc>
          <w:tcPr>
            <w:tcW w:w="612" w:type="dxa"/>
            <w:noWrap/>
            <w:vAlign w:val="center"/>
            <w:hideMark/>
          </w:tcPr>
          <w:p w14:paraId="7A089D36" w14:textId="77777777" w:rsidR="00730E53" w:rsidRPr="007375EB" w:rsidRDefault="00730E53" w:rsidP="00730E53">
            <w:pPr>
              <w:rPr>
                <w:lang w:val="bg-BG"/>
              </w:rPr>
            </w:pPr>
            <w:r w:rsidRPr="007375EB">
              <w:rPr>
                <w:lang w:val="bg-BG"/>
              </w:rPr>
              <w:t>X</w:t>
            </w:r>
          </w:p>
        </w:tc>
      </w:tr>
      <w:tr w:rsidR="00730E53" w:rsidRPr="007375EB" w14:paraId="3D55E931" w14:textId="77777777" w:rsidTr="00730E53">
        <w:trPr>
          <w:trHeight w:val="776"/>
        </w:trPr>
        <w:tc>
          <w:tcPr>
            <w:tcW w:w="621" w:type="dxa"/>
            <w:noWrap/>
            <w:hideMark/>
          </w:tcPr>
          <w:p w14:paraId="620034A4" w14:textId="77777777" w:rsidR="00730E53" w:rsidRPr="007375EB" w:rsidRDefault="00730E53" w:rsidP="00730E53">
            <w:pPr>
              <w:rPr>
                <w:lang w:val="bg-BG"/>
              </w:rPr>
            </w:pPr>
            <w:r w:rsidRPr="007375EB">
              <w:rPr>
                <w:lang w:val="bg-BG"/>
              </w:rPr>
              <w:t>2</w:t>
            </w:r>
          </w:p>
        </w:tc>
        <w:tc>
          <w:tcPr>
            <w:tcW w:w="3189" w:type="dxa"/>
            <w:hideMark/>
          </w:tcPr>
          <w:p w14:paraId="3CF05098" w14:textId="523EB47C" w:rsidR="00730E53" w:rsidRPr="007375EB" w:rsidRDefault="00730E53" w:rsidP="00730E53">
            <w:pPr>
              <w:jc w:val="both"/>
              <w:rPr>
                <w:lang w:val="bg-BG"/>
              </w:rPr>
            </w:pPr>
            <w:r w:rsidRPr="007375EB">
              <w:rPr>
                <w:lang w:val="bg-BG"/>
              </w:rPr>
              <w:t xml:space="preserve">Парк за вятърна енергия 17 CE-112,2 МВт, трансформаторна станция, електрически свързващи мрежи, изграждане и модернизация на комуникации и пътища за достъп -  извън общината Индепенденца и общината </w:t>
            </w:r>
            <w:r w:rsidRPr="007375EB">
              <w:rPr>
                <w:lang w:val="bg-BG"/>
              </w:rPr>
              <w:lastRenderedPageBreak/>
              <w:t>Черкезу окръг Констанца (предложен)</w:t>
            </w:r>
          </w:p>
        </w:tc>
        <w:tc>
          <w:tcPr>
            <w:tcW w:w="2125" w:type="dxa"/>
            <w:noWrap/>
            <w:vAlign w:val="center"/>
            <w:hideMark/>
          </w:tcPr>
          <w:p w14:paraId="6A50A8F7" w14:textId="77777777" w:rsidR="00730E53" w:rsidRPr="007375EB" w:rsidRDefault="00730E53" w:rsidP="00730E53">
            <w:pPr>
              <w:rPr>
                <w:lang w:val="bg-BG"/>
              </w:rPr>
            </w:pPr>
            <w:r w:rsidRPr="007375EB">
              <w:rPr>
                <w:lang w:val="bg-BG"/>
              </w:rPr>
              <w:lastRenderedPageBreak/>
              <w:t>4,67 км</w:t>
            </w:r>
          </w:p>
        </w:tc>
        <w:tc>
          <w:tcPr>
            <w:tcW w:w="482" w:type="dxa"/>
            <w:noWrap/>
            <w:vAlign w:val="center"/>
            <w:hideMark/>
          </w:tcPr>
          <w:p w14:paraId="336EEC17" w14:textId="77777777" w:rsidR="00730E53" w:rsidRPr="007375EB" w:rsidRDefault="00730E53" w:rsidP="00730E53">
            <w:pPr>
              <w:rPr>
                <w:lang w:val="bg-BG"/>
              </w:rPr>
            </w:pPr>
            <w:r w:rsidRPr="007375EB">
              <w:rPr>
                <w:lang w:val="bg-BG"/>
              </w:rPr>
              <w:t>-</w:t>
            </w:r>
          </w:p>
        </w:tc>
        <w:tc>
          <w:tcPr>
            <w:tcW w:w="916" w:type="dxa"/>
            <w:noWrap/>
            <w:vAlign w:val="center"/>
            <w:hideMark/>
          </w:tcPr>
          <w:p w14:paraId="4163F876" w14:textId="77777777" w:rsidR="00730E53" w:rsidRPr="007375EB" w:rsidRDefault="00730E53" w:rsidP="00730E53">
            <w:pPr>
              <w:rPr>
                <w:lang w:val="bg-BG"/>
              </w:rPr>
            </w:pPr>
            <w:r w:rsidRPr="007375EB">
              <w:rPr>
                <w:lang w:val="bg-BG"/>
              </w:rPr>
              <w:t>-</w:t>
            </w:r>
          </w:p>
        </w:tc>
        <w:tc>
          <w:tcPr>
            <w:tcW w:w="916" w:type="dxa"/>
            <w:noWrap/>
            <w:vAlign w:val="center"/>
            <w:hideMark/>
          </w:tcPr>
          <w:p w14:paraId="333F92FF" w14:textId="77777777" w:rsidR="00730E53" w:rsidRPr="007375EB" w:rsidRDefault="00730E53" w:rsidP="00730E53">
            <w:pPr>
              <w:rPr>
                <w:lang w:val="bg-BG"/>
              </w:rPr>
            </w:pPr>
            <w:r w:rsidRPr="007375EB">
              <w:rPr>
                <w:lang w:val="bg-BG"/>
              </w:rPr>
              <w:t>-</w:t>
            </w:r>
          </w:p>
        </w:tc>
        <w:tc>
          <w:tcPr>
            <w:tcW w:w="810" w:type="dxa"/>
            <w:noWrap/>
            <w:vAlign w:val="center"/>
            <w:hideMark/>
          </w:tcPr>
          <w:p w14:paraId="28F70918" w14:textId="77777777" w:rsidR="00730E53" w:rsidRPr="007375EB" w:rsidRDefault="00730E53" w:rsidP="00730E53">
            <w:pPr>
              <w:rPr>
                <w:lang w:val="bg-BG"/>
              </w:rPr>
            </w:pPr>
            <w:r w:rsidRPr="007375EB">
              <w:rPr>
                <w:lang w:val="bg-BG"/>
              </w:rPr>
              <w:t>-</w:t>
            </w:r>
          </w:p>
        </w:tc>
        <w:tc>
          <w:tcPr>
            <w:tcW w:w="630" w:type="dxa"/>
            <w:noWrap/>
            <w:vAlign w:val="center"/>
            <w:hideMark/>
          </w:tcPr>
          <w:p w14:paraId="2824A9FF" w14:textId="77777777" w:rsidR="00730E53" w:rsidRPr="007375EB" w:rsidRDefault="00730E53" w:rsidP="00730E53">
            <w:pPr>
              <w:rPr>
                <w:lang w:val="bg-BG"/>
              </w:rPr>
            </w:pPr>
            <w:r w:rsidRPr="007375EB">
              <w:rPr>
                <w:lang w:val="bg-BG"/>
              </w:rPr>
              <w:t>-</w:t>
            </w:r>
          </w:p>
        </w:tc>
        <w:tc>
          <w:tcPr>
            <w:tcW w:w="720" w:type="dxa"/>
            <w:noWrap/>
            <w:vAlign w:val="center"/>
            <w:hideMark/>
          </w:tcPr>
          <w:p w14:paraId="219A7208" w14:textId="77777777" w:rsidR="00730E53" w:rsidRPr="007375EB" w:rsidRDefault="00730E53" w:rsidP="00730E53">
            <w:pPr>
              <w:rPr>
                <w:lang w:val="bg-BG"/>
              </w:rPr>
            </w:pPr>
            <w:r w:rsidRPr="007375EB">
              <w:rPr>
                <w:lang w:val="bg-BG"/>
              </w:rPr>
              <w:t>-</w:t>
            </w:r>
          </w:p>
        </w:tc>
        <w:tc>
          <w:tcPr>
            <w:tcW w:w="720" w:type="dxa"/>
            <w:noWrap/>
            <w:vAlign w:val="center"/>
            <w:hideMark/>
          </w:tcPr>
          <w:p w14:paraId="3D1560F1" w14:textId="77777777" w:rsidR="00730E53" w:rsidRPr="007375EB" w:rsidRDefault="00730E53" w:rsidP="00730E53">
            <w:pPr>
              <w:rPr>
                <w:lang w:val="bg-BG"/>
              </w:rPr>
            </w:pPr>
            <w:r w:rsidRPr="007375EB">
              <w:rPr>
                <w:lang w:val="bg-BG"/>
              </w:rPr>
              <w:t>-</w:t>
            </w:r>
          </w:p>
        </w:tc>
        <w:tc>
          <w:tcPr>
            <w:tcW w:w="540" w:type="dxa"/>
            <w:noWrap/>
            <w:vAlign w:val="center"/>
            <w:hideMark/>
          </w:tcPr>
          <w:p w14:paraId="7834D4B0" w14:textId="77777777" w:rsidR="00730E53" w:rsidRPr="007375EB" w:rsidRDefault="00730E53" w:rsidP="00730E53">
            <w:pPr>
              <w:rPr>
                <w:lang w:val="bg-BG"/>
              </w:rPr>
            </w:pPr>
            <w:r w:rsidRPr="007375EB">
              <w:rPr>
                <w:lang w:val="bg-BG"/>
              </w:rPr>
              <w:t>X</w:t>
            </w:r>
          </w:p>
        </w:tc>
        <w:tc>
          <w:tcPr>
            <w:tcW w:w="990" w:type="dxa"/>
            <w:noWrap/>
            <w:vAlign w:val="center"/>
            <w:hideMark/>
          </w:tcPr>
          <w:p w14:paraId="1DD06DA8" w14:textId="77777777" w:rsidR="00730E53" w:rsidRPr="007375EB" w:rsidRDefault="00730E53" w:rsidP="00730E53">
            <w:pPr>
              <w:rPr>
                <w:lang w:val="bg-BG"/>
              </w:rPr>
            </w:pPr>
            <w:r w:rsidRPr="007375EB">
              <w:rPr>
                <w:lang w:val="bg-BG"/>
              </w:rPr>
              <w:t>X</w:t>
            </w:r>
          </w:p>
        </w:tc>
        <w:tc>
          <w:tcPr>
            <w:tcW w:w="499" w:type="dxa"/>
            <w:noWrap/>
            <w:vAlign w:val="center"/>
            <w:hideMark/>
          </w:tcPr>
          <w:p w14:paraId="600B9A79" w14:textId="77777777" w:rsidR="00730E53" w:rsidRPr="007375EB" w:rsidRDefault="00730E53" w:rsidP="00730E53">
            <w:pPr>
              <w:rPr>
                <w:lang w:val="bg-BG"/>
              </w:rPr>
            </w:pPr>
            <w:r w:rsidRPr="007375EB">
              <w:rPr>
                <w:lang w:val="bg-BG"/>
              </w:rPr>
              <w:t>-</w:t>
            </w:r>
          </w:p>
        </w:tc>
        <w:tc>
          <w:tcPr>
            <w:tcW w:w="507" w:type="dxa"/>
            <w:noWrap/>
            <w:vAlign w:val="center"/>
            <w:hideMark/>
          </w:tcPr>
          <w:p w14:paraId="383208FF" w14:textId="77777777" w:rsidR="00730E53" w:rsidRPr="007375EB" w:rsidRDefault="00730E53" w:rsidP="00730E53">
            <w:pPr>
              <w:rPr>
                <w:lang w:val="bg-BG"/>
              </w:rPr>
            </w:pPr>
            <w:r w:rsidRPr="007375EB">
              <w:rPr>
                <w:lang w:val="bg-BG"/>
              </w:rPr>
              <w:t>X</w:t>
            </w:r>
          </w:p>
        </w:tc>
        <w:tc>
          <w:tcPr>
            <w:tcW w:w="524" w:type="dxa"/>
            <w:noWrap/>
            <w:vAlign w:val="center"/>
            <w:hideMark/>
          </w:tcPr>
          <w:p w14:paraId="728FEDD5" w14:textId="77777777" w:rsidR="00730E53" w:rsidRPr="007375EB" w:rsidRDefault="00730E53" w:rsidP="00730E53">
            <w:pPr>
              <w:rPr>
                <w:lang w:val="bg-BG"/>
              </w:rPr>
            </w:pPr>
            <w:r w:rsidRPr="007375EB">
              <w:rPr>
                <w:lang w:val="bg-BG"/>
              </w:rPr>
              <w:t>X</w:t>
            </w:r>
          </w:p>
        </w:tc>
        <w:tc>
          <w:tcPr>
            <w:tcW w:w="616" w:type="dxa"/>
            <w:noWrap/>
            <w:vAlign w:val="center"/>
            <w:hideMark/>
          </w:tcPr>
          <w:p w14:paraId="16A4045C" w14:textId="77777777" w:rsidR="00730E53" w:rsidRPr="007375EB" w:rsidRDefault="00730E53" w:rsidP="00730E53">
            <w:pPr>
              <w:rPr>
                <w:lang w:val="bg-BG"/>
              </w:rPr>
            </w:pPr>
            <w:r w:rsidRPr="007375EB">
              <w:rPr>
                <w:lang w:val="bg-BG"/>
              </w:rPr>
              <w:t>X</w:t>
            </w:r>
          </w:p>
        </w:tc>
        <w:tc>
          <w:tcPr>
            <w:tcW w:w="612" w:type="dxa"/>
            <w:noWrap/>
            <w:vAlign w:val="center"/>
            <w:hideMark/>
          </w:tcPr>
          <w:p w14:paraId="2D47FA31" w14:textId="77777777" w:rsidR="00730E53" w:rsidRPr="007375EB" w:rsidRDefault="00730E53" w:rsidP="00730E53">
            <w:pPr>
              <w:rPr>
                <w:lang w:val="bg-BG"/>
              </w:rPr>
            </w:pPr>
            <w:r w:rsidRPr="007375EB">
              <w:rPr>
                <w:lang w:val="bg-BG"/>
              </w:rPr>
              <w:t>X</w:t>
            </w:r>
          </w:p>
        </w:tc>
      </w:tr>
      <w:tr w:rsidR="00730E53" w:rsidRPr="007375EB" w14:paraId="53CC2657" w14:textId="77777777" w:rsidTr="006C1B17">
        <w:trPr>
          <w:trHeight w:val="420"/>
        </w:trPr>
        <w:tc>
          <w:tcPr>
            <w:tcW w:w="621" w:type="dxa"/>
            <w:noWrap/>
            <w:hideMark/>
          </w:tcPr>
          <w:p w14:paraId="23DFC9E7" w14:textId="77777777" w:rsidR="00730E53" w:rsidRPr="007375EB" w:rsidRDefault="00730E53" w:rsidP="00730E53">
            <w:pPr>
              <w:rPr>
                <w:lang w:val="bg-BG"/>
              </w:rPr>
            </w:pPr>
            <w:r w:rsidRPr="007375EB">
              <w:rPr>
                <w:lang w:val="bg-BG"/>
              </w:rPr>
              <w:t>3</w:t>
            </w:r>
          </w:p>
        </w:tc>
        <w:tc>
          <w:tcPr>
            <w:tcW w:w="3189" w:type="dxa"/>
            <w:hideMark/>
          </w:tcPr>
          <w:p w14:paraId="5B51793C" w14:textId="49BF83A1" w:rsidR="00730E53" w:rsidRPr="007375EB" w:rsidRDefault="00730E53" w:rsidP="00730E53">
            <w:pPr>
              <w:jc w:val="both"/>
              <w:rPr>
                <w:lang w:val="bg-BG"/>
              </w:rPr>
            </w:pPr>
            <w:r w:rsidRPr="007375EB">
              <w:rPr>
                <w:lang w:val="bg-BG"/>
              </w:rPr>
              <w:t>Вятърен парк Комана - Печинеага - трасе за подземен електрически кабел МТ и оптична мрежа (предложена)</w:t>
            </w:r>
          </w:p>
        </w:tc>
        <w:tc>
          <w:tcPr>
            <w:tcW w:w="2125" w:type="dxa"/>
            <w:noWrap/>
            <w:vAlign w:val="center"/>
            <w:hideMark/>
          </w:tcPr>
          <w:p w14:paraId="5FA4D63A" w14:textId="77777777" w:rsidR="00730E53" w:rsidRPr="007375EB" w:rsidRDefault="00730E53" w:rsidP="00730E53">
            <w:pPr>
              <w:rPr>
                <w:lang w:val="bg-BG"/>
              </w:rPr>
            </w:pPr>
            <w:r w:rsidRPr="007375EB">
              <w:rPr>
                <w:lang w:val="bg-BG"/>
              </w:rPr>
              <w:t>12,75 км</w:t>
            </w:r>
          </w:p>
        </w:tc>
        <w:tc>
          <w:tcPr>
            <w:tcW w:w="482" w:type="dxa"/>
            <w:noWrap/>
            <w:vAlign w:val="center"/>
            <w:hideMark/>
          </w:tcPr>
          <w:p w14:paraId="51BB4A55" w14:textId="77777777" w:rsidR="00730E53" w:rsidRPr="007375EB" w:rsidRDefault="00730E53" w:rsidP="00730E53">
            <w:pPr>
              <w:rPr>
                <w:lang w:val="bg-BG"/>
              </w:rPr>
            </w:pPr>
            <w:r w:rsidRPr="007375EB">
              <w:rPr>
                <w:lang w:val="bg-BG"/>
              </w:rPr>
              <w:t>-</w:t>
            </w:r>
          </w:p>
        </w:tc>
        <w:tc>
          <w:tcPr>
            <w:tcW w:w="916" w:type="dxa"/>
            <w:noWrap/>
            <w:vAlign w:val="center"/>
            <w:hideMark/>
          </w:tcPr>
          <w:p w14:paraId="191F81DD" w14:textId="77777777" w:rsidR="00730E53" w:rsidRPr="007375EB" w:rsidRDefault="00730E53" w:rsidP="00730E53">
            <w:pPr>
              <w:rPr>
                <w:lang w:val="bg-BG"/>
              </w:rPr>
            </w:pPr>
            <w:r w:rsidRPr="007375EB">
              <w:rPr>
                <w:lang w:val="bg-BG"/>
              </w:rPr>
              <w:t>-</w:t>
            </w:r>
          </w:p>
        </w:tc>
        <w:tc>
          <w:tcPr>
            <w:tcW w:w="916" w:type="dxa"/>
            <w:noWrap/>
            <w:vAlign w:val="center"/>
            <w:hideMark/>
          </w:tcPr>
          <w:p w14:paraId="68C5ACBC" w14:textId="77777777" w:rsidR="00730E53" w:rsidRPr="007375EB" w:rsidRDefault="00730E53" w:rsidP="00730E53">
            <w:pPr>
              <w:rPr>
                <w:lang w:val="bg-BG"/>
              </w:rPr>
            </w:pPr>
            <w:r w:rsidRPr="007375EB">
              <w:rPr>
                <w:lang w:val="bg-BG"/>
              </w:rPr>
              <w:t>-</w:t>
            </w:r>
          </w:p>
        </w:tc>
        <w:tc>
          <w:tcPr>
            <w:tcW w:w="810" w:type="dxa"/>
            <w:noWrap/>
            <w:vAlign w:val="center"/>
            <w:hideMark/>
          </w:tcPr>
          <w:p w14:paraId="0280A402" w14:textId="77777777" w:rsidR="00730E53" w:rsidRPr="007375EB" w:rsidRDefault="00730E53" w:rsidP="00730E53">
            <w:pPr>
              <w:rPr>
                <w:lang w:val="bg-BG"/>
              </w:rPr>
            </w:pPr>
            <w:r w:rsidRPr="007375EB">
              <w:rPr>
                <w:lang w:val="bg-BG"/>
              </w:rPr>
              <w:t>-</w:t>
            </w:r>
          </w:p>
        </w:tc>
        <w:tc>
          <w:tcPr>
            <w:tcW w:w="630" w:type="dxa"/>
            <w:noWrap/>
            <w:vAlign w:val="center"/>
            <w:hideMark/>
          </w:tcPr>
          <w:p w14:paraId="1C208FEF" w14:textId="77777777" w:rsidR="00730E53" w:rsidRPr="007375EB" w:rsidRDefault="00730E53" w:rsidP="00730E53">
            <w:pPr>
              <w:rPr>
                <w:lang w:val="bg-BG"/>
              </w:rPr>
            </w:pPr>
            <w:r w:rsidRPr="007375EB">
              <w:rPr>
                <w:lang w:val="bg-BG"/>
              </w:rPr>
              <w:t>-</w:t>
            </w:r>
          </w:p>
        </w:tc>
        <w:tc>
          <w:tcPr>
            <w:tcW w:w="720" w:type="dxa"/>
            <w:noWrap/>
            <w:vAlign w:val="center"/>
            <w:hideMark/>
          </w:tcPr>
          <w:p w14:paraId="283E87F0" w14:textId="77777777" w:rsidR="00730E53" w:rsidRPr="007375EB" w:rsidRDefault="00730E53" w:rsidP="00730E53">
            <w:pPr>
              <w:rPr>
                <w:lang w:val="bg-BG"/>
              </w:rPr>
            </w:pPr>
            <w:r w:rsidRPr="007375EB">
              <w:rPr>
                <w:lang w:val="bg-BG"/>
              </w:rPr>
              <w:t>-</w:t>
            </w:r>
          </w:p>
        </w:tc>
        <w:tc>
          <w:tcPr>
            <w:tcW w:w="720" w:type="dxa"/>
            <w:noWrap/>
            <w:vAlign w:val="center"/>
            <w:hideMark/>
          </w:tcPr>
          <w:p w14:paraId="01F1D0F1" w14:textId="77777777" w:rsidR="00730E53" w:rsidRPr="007375EB" w:rsidRDefault="00730E53" w:rsidP="00730E53">
            <w:pPr>
              <w:rPr>
                <w:lang w:val="bg-BG"/>
              </w:rPr>
            </w:pPr>
            <w:r w:rsidRPr="007375EB">
              <w:rPr>
                <w:lang w:val="bg-BG"/>
              </w:rPr>
              <w:t>-</w:t>
            </w:r>
          </w:p>
        </w:tc>
        <w:tc>
          <w:tcPr>
            <w:tcW w:w="540" w:type="dxa"/>
            <w:noWrap/>
            <w:vAlign w:val="center"/>
            <w:hideMark/>
          </w:tcPr>
          <w:p w14:paraId="34E95D5B" w14:textId="77777777" w:rsidR="00730E53" w:rsidRPr="007375EB" w:rsidRDefault="00730E53" w:rsidP="00730E53">
            <w:pPr>
              <w:rPr>
                <w:lang w:val="bg-BG"/>
              </w:rPr>
            </w:pPr>
            <w:r w:rsidRPr="007375EB">
              <w:rPr>
                <w:lang w:val="bg-BG"/>
              </w:rPr>
              <w:t>X</w:t>
            </w:r>
          </w:p>
        </w:tc>
        <w:tc>
          <w:tcPr>
            <w:tcW w:w="990" w:type="dxa"/>
            <w:noWrap/>
            <w:vAlign w:val="center"/>
            <w:hideMark/>
          </w:tcPr>
          <w:p w14:paraId="77AF418D" w14:textId="77777777" w:rsidR="00730E53" w:rsidRPr="007375EB" w:rsidRDefault="00730E53" w:rsidP="00730E53">
            <w:pPr>
              <w:rPr>
                <w:lang w:val="bg-BG"/>
              </w:rPr>
            </w:pPr>
            <w:r w:rsidRPr="007375EB">
              <w:rPr>
                <w:lang w:val="bg-BG"/>
              </w:rPr>
              <w:t>X</w:t>
            </w:r>
          </w:p>
        </w:tc>
        <w:tc>
          <w:tcPr>
            <w:tcW w:w="499" w:type="dxa"/>
            <w:noWrap/>
            <w:vAlign w:val="center"/>
            <w:hideMark/>
          </w:tcPr>
          <w:p w14:paraId="1972B8BC" w14:textId="77777777" w:rsidR="00730E53" w:rsidRPr="007375EB" w:rsidRDefault="00730E53" w:rsidP="00730E53">
            <w:pPr>
              <w:rPr>
                <w:lang w:val="bg-BG"/>
              </w:rPr>
            </w:pPr>
            <w:r w:rsidRPr="007375EB">
              <w:rPr>
                <w:lang w:val="bg-BG"/>
              </w:rPr>
              <w:t>-</w:t>
            </w:r>
          </w:p>
        </w:tc>
        <w:tc>
          <w:tcPr>
            <w:tcW w:w="507" w:type="dxa"/>
            <w:noWrap/>
            <w:vAlign w:val="center"/>
            <w:hideMark/>
          </w:tcPr>
          <w:p w14:paraId="6125B72C" w14:textId="77777777" w:rsidR="00730E53" w:rsidRPr="007375EB" w:rsidRDefault="00730E53" w:rsidP="00730E53">
            <w:pPr>
              <w:rPr>
                <w:lang w:val="bg-BG"/>
              </w:rPr>
            </w:pPr>
            <w:r w:rsidRPr="007375EB">
              <w:rPr>
                <w:lang w:val="bg-BG"/>
              </w:rPr>
              <w:t>X</w:t>
            </w:r>
          </w:p>
        </w:tc>
        <w:tc>
          <w:tcPr>
            <w:tcW w:w="524" w:type="dxa"/>
            <w:noWrap/>
            <w:vAlign w:val="center"/>
            <w:hideMark/>
          </w:tcPr>
          <w:p w14:paraId="7EF0F9A2" w14:textId="77777777" w:rsidR="00730E53" w:rsidRPr="007375EB" w:rsidRDefault="00730E53" w:rsidP="00730E53">
            <w:pPr>
              <w:rPr>
                <w:lang w:val="bg-BG"/>
              </w:rPr>
            </w:pPr>
            <w:r w:rsidRPr="007375EB">
              <w:rPr>
                <w:lang w:val="bg-BG"/>
              </w:rPr>
              <w:t>X</w:t>
            </w:r>
          </w:p>
        </w:tc>
        <w:tc>
          <w:tcPr>
            <w:tcW w:w="616" w:type="dxa"/>
            <w:noWrap/>
            <w:vAlign w:val="center"/>
            <w:hideMark/>
          </w:tcPr>
          <w:p w14:paraId="7DA5B635" w14:textId="77777777" w:rsidR="00730E53" w:rsidRPr="007375EB" w:rsidRDefault="00730E53" w:rsidP="00730E53">
            <w:pPr>
              <w:rPr>
                <w:lang w:val="bg-BG"/>
              </w:rPr>
            </w:pPr>
            <w:r w:rsidRPr="007375EB">
              <w:rPr>
                <w:lang w:val="bg-BG"/>
              </w:rPr>
              <w:t>X</w:t>
            </w:r>
          </w:p>
        </w:tc>
        <w:tc>
          <w:tcPr>
            <w:tcW w:w="612" w:type="dxa"/>
            <w:noWrap/>
            <w:vAlign w:val="center"/>
            <w:hideMark/>
          </w:tcPr>
          <w:p w14:paraId="594C00EB" w14:textId="77777777" w:rsidR="00730E53" w:rsidRPr="007375EB" w:rsidRDefault="00730E53" w:rsidP="00730E53">
            <w:pPr>
              <w:rPr>
                <w:lang w:val="bg-BG"/>
              </w:rPr>
            </w:pPr>
            <w:r w:rsidRPr="007375EB">
              <w:rPr>
                <w:lang w:val="bg-BG"/>
              </w:rPr>
              <w:t>X</w:t>
            </w:r>
          </w:p>
        </w:tc>
      </w:tr>
      <w:tr w:rsidR="00730E53" w:rsidRPr="007375EB" w14:paraId="7698A6C3" w14:textId="77777777" w:rsidTr="006C1B17">
        <w:trPr>
          <w:trHeight w:val="420"/>
        </w:trPr>
        <w:tc>
          <w:tcPr>
            <w:tcW w:w="621" w:type="dxa"/>
            <w:noWrap/>
            <w:hideMark/>
          </w:tcPr>
          <w:p w14:paraId="59E7B1D1" w14:textId="77777777" w:rsidR="00730E53" w:rsidRPr="007375EB" w:rsidRDefault="00730E53" w:rsidP="00730E53">
            <w:pPr>
              <w:rPr>
                <w:lang w:val="bg-BG"/>
              </w:rPr>
            </w:pPr>
            <w:r w:rsidRPr="007375EB">
              <w:rPr>
                <w:lang w:val="bg-BG"/>
              </w:rPr>
              <w:t>4</w:t>
            </w:r>
          </w:p>
        </w:tc>
        <w:tc>
          <w:tcPr>
            <w:tcW w:w="3189" w:type="dxa"/>
            <w:hideMark/>
          </w:tcPr>
          <w:p w14:paraId="289D9371" w14:textId="7C153C8E" w:rsidR="00730E53" w:rsidRPr="007375EB" w:rsidRDefault="00730E53" w:rsidP="00730E53">
            <w:pPr>
              <w:jc w:val="both"/>
              <w:rPr>
                <w:lang w:val="bg-BG"/>
              </w:rPr>
            </w:pPr>
            <w:r w:rsidRPr="007375EB">
              <w:rPr>
                <w:lang w:val="bg-BG"/>
              </w:rPr>
              <w:t>Изграждане на вятърна електроцентрала, включваща: вятърни турбини, пътища за достъп и платформи за монтаж/поддръжка, електрическа трансформаторна станция (собствена), електрическа мрежа средно и високо напрежение, телекомуникационна мрежа, общ. Индепенденца, окръг Констанца (предложен)</w:t>
            </w:r>
          </w:p>
        </w:tc>
        <w:tc>
          <w:tcPr>
            <w:tcW w:w="2125" w:type="dxa"/>
            <w:noWrap/>
            <w:vAlign w:val="center"/>
            <w:hideMark/>
          </w:tcPr>
          <w:p w14:paraId="402E1AD6" w14:textId="77777777" w:rsidR="00730E53" w:rsidRPr="007375EB" w:rsidRDefault="00730E53" w:rsidP="00730E53">
            <w:pPr>
              <w:rPr>
                <w:lang w:val="bg-BG"/>
              </w:rPr>
            </w:pPr>
            <w:r w:rsidRPr="007375EB">
              <w:rPr>
                <w:lang w:val="bg-BG"/>
              </w:rPr>
              <w:t>3,48 км</w:t>
            </w:r>
          </w:p>
        </w:tc>
        <w:tc>
          <w:tcPr>
            <w:tcW w:w="482" w:type="dxa"/>
            <w:noWrap/>
            <w:vAlign w:val="center"/>
            <w:hideMark/>
          </w:tcPr>
          <w:p w14:paraId="43C853D7" w14:textId="77777777" w:rsidR="00730E53" w:rsidRPr="007375EB" w:rsidRDefault="00730E53" w:rsidP="00730E53">
            <w:pPr>
              <w:rPr>
                <w:lang w:val="bg-BG"/>
              </w:rPr>
            </w:pPr>
            <w:r w:rsidRPr="007375EB">
              <w:rPr>
                <w:lang w:val="bg-BG"/>
              </w:rPr>
              <w:t>-</w:t>
            </w:r>
          </w:p>
        </w:tc>
        <w:tc>
          <w:tcPr>
            <w:tcW w:w="916" w:type="dxa"/>
            <w:noWrap/>
            <w:vAlign w:val="center"/>
            <w:hideMark/>
          </w:tcPr>
          <w:p w14:paraId="77453F9C" w14:textId="77777777" w:rsidR="00730E53" w:rsidRPr="007375EB" w:rsidRDefault="00730E53" w:rsidP="00730E53">
            <w:pPr>
              <w:rPr>
                <w:lang w:val="bg-BG"/>
              </w:rPr>
            </w:pPr>
            <w:r w:rsidRPr="007375EB">
              <w:rPr>
                <w:lang w:val="bg-BG"/>
              </w:rPr>
              <w:t>-</w:t>
            </w:r>
          </w:p>
        </w:tc>
        <w:tc>
          <w:tcPr>
            <w:tcW w:w="916" w:type="dxa"/>
            <w:noWrap/>
            <w:vAlign w:val="center"/>
            <w:hideMark/>
          </w:tcPr>
          <w:p w14:paraId="36A64214" w14:textId="77777777" w:rsidR="00730E53" w:rsidRPr="007375EB" w:rsidRDefault="00730E53" w:rsidP="00730E53">
            <w:pPr>
              <w:rPr>
                <w:lang w:val="bg-BG"/>
              </w:rPr>
            </w:pPr>
            <w:r w:rsidRPr="007375EB">
              <w:rPr>
                <w:lang w:val="bg-BG"/>
              </w:rPr>
              <w:t>-</w:t>
            </w:r>
          </w:p>
        </w:tc>
        <w:tc>
          <w:tcPr>
            <w:tcW w:w="810" w:type="dxa"/>
            <w:noWrap/>
            <w:vAlign w:val="center"/>
            <w:hideMark/>
          </w:tcPr>
          <w:p w14:paraId="2341BD3A" w14:textId="77777777" w:rsidR="00730E53" w:rsidRPr="007375EB" w:rsidRDefault="00730E53" w:rsidP="00730E53">
            <w:pPr>
              <w:rPr>
                <w:lang w:val="bg-BG"/>
              </w:rPr>
            </w:pPr>
            <w:r w:rsidRPr="007375EB">
              <w:rPr>
                <w:lang w:val="bg-BG"/>
              </w:rPr>
              <w:t>-</w:t>
            </w:r>
          </w:p>
        </w:tc>
        <w:tc>
          <w:tcPr>
            <w:tcW w:w="630" w:type="dxa"/>
            <w:noWrap/>
            <w:vAlign w:val="center"/>
            <w:hideMark/>
          </w:tcPr>
          <w:p w14:paraId="2C052A3F" w14:textId="77777777" w:rsidR="00730E53" w:rsidRPr="007375EB" w:rsidRDefault="00730E53" w:rsidP="00730E53">
            <w:pPr>
              <w:rPr>
                <w:lang w:val="bg-BG"/>
              </w:rPr>
            </w:pPr>
            <w:r w:rsidRPr="007375EB">
              <w:rPr>
                <w:lang w:val="bg-BG"/>
              </w:rPr>
              <w:t>-</w:t>
            </w:r>
          </w:p>
        </w:tc>
        <w:tc>
          <w:tcPr>
            <w:tcW w:w="720" w:type="dxa"/>
            <w:noWrap/>
            <w:vAlign w:val="center"/>
            <w:hideMark/>
          </w:tcPr>
          <w:p w14:paraId="5D3273FF" w14:textId="77777777" w:rsidR="00730E53" w:rsidRPr="007375EB" w:rsidRDefault="00730E53" w:rsidP="00730E53">
            <w:pPr>
              <w:rPr>
                <w:lang w:val="bg-BG"/>
              </w:rPr>
            </w:pPr>
            <w:r w:rsidRPr="007375EB">
              <w:rPr>
                <w:lang w:val="bg-BG"/>
              </w:rPr>
              <w:t>-</w:t>
            </w:r>
          </w:p>
        </w:tc>
        <w:tc>
          <w:tcPr>
            <w:tcW w:w="720" w:type="dxa"/>
            <w:noWrap/>
            <w:vAlign w:val="center"/>
            <w:hideMark/>
          </w:tcPr>
          <w:p w14:paraId="7398F7EB" w14:textId="77777777" w:rsidR="00730E53" w:rsidRPr="007375EB" w:rsidRDefault="00730E53" w:rsidP="00730E53">
            <w:pPr>
              <w:rPr>
                <w:lang w:val="bg-BG"/>
              </w:rPr>
            </w:pPr>
            <w:r w:rsidRPr="007375EB">
              <w:rPr>
                <w:lang w:val="bg-BG"/>
              </w:rPr>
              <w:t>-</w:t>
            </w:r>
          </w:p>
        </w:tc>
        <w:tc>
          <w:tcPr>
            <w:tcW w:w="540" w:type="dxa"/>
            <w:noWrap/>
            <w:vAlign w:val="center"/>
            <w:hideMark/>
          </w:tcPr>
          <w:p w14:paraId="4E6BDCFE" w14:textId="77777777" w:rsidR="00730E53" w:rsidRPr="007375EB" w:rsidRDefault="00730E53" w:rsidP="00730E53">
            <w:pPr>
              <w:rPr>
                <w:lang w:val="bg-BG"/>
              </w:rPr>
            </w:pPr>
            <w:r w:rsidRPr="007375EB">
              <w:rPr>
                <w:lang w:val="bg-BG"/>
              </w:rPr>
              <w:t>X</w:t>
            </w:r>
          </w:p>
        </w:tc>
        <w:tc>
          <w:tcPr>
            <w:tcW w:w="990" w:type="dxa"/>
            <w:noWrap/>
            <w:vAlign w:val="center"/>
            <w:hideMark/>
          </w:tcPr>
          <w:p w14:paraId="1B09E866" w14:textId="77777777" w:rsidR="00730E53" w:rsidRPr="007375EB" w:rsidRDefault="00730E53" w:rsidP="00730E53">
            <w:pPr>
              <w:rPr>
                <w:lang w:val="bg-BG"/>
              </w:rPr>
            </w:pPr>
            <w:r w:rsidRPr="007375EB">
              <w:rPr>
                <w:lang w:val="bg-BG"/>
              </w:rPr>
              <w:t>X</w:t>
            </w:r>
          </w:p>
        </w:tc>
        <w:tc>
          <w:tcPr>
            <w:tcW w:w="499" w:type="dxa"/>
            <w:noWrap/>
            <w:vAlign w:val="center"/>
            <w:hideMark/>
          </w:tcPr>
          <w:p w14:paraId="662548A6" w14:textId="77777777" w:rsidR="00730E53" w:rsidRPr="007375EB" w:rsidRDefault="00730E53" w:rsidP="00730E53">
            <w:pPr>
              <w:rPr>
                <w:lang w:val="bg-BG"/>
              </w:rPr>
            </w:pPr>
            <w:r w:rsidRPr="007375EB">
              <w:rPr>
                <w:lang w:val="bg-BG"/>
              </w:rPr>
              <w:t>-</w:t>
            </w:r>
          </w:p>
        </w:tc>
        <w:tc>
          <w:tcPr>
            <w:tcW w:w="507" w:type="dxa"/>
            <w:noWrap/>
            <w:vAlign w:val="center"/>
            <w:hideMark/>
          </w:tcPr>
          <w:p w14:paraId="3F60FFF7" w14:textId="77777777" w:rsidR="00730E53" w:rsidRPr="007375EB" w:rsidRDefault="00730E53" w:rsidP="00730E53">
            <w:pPr>
              <w:rPr>
                <w:lang w:val="bg-BG"/>
              </w:rPr>
            </w:pPr>
            <w:r w:rsidRPr="007375EB">
              <w:rPr>
                <w:lang w:val="bg-BG"/>
              </w:rPr>
              <w:t>X</w:t>
            </w:r>
          </w:p>
        </w:tc>
        <w:tc>
          <w:tcPr>
            <w:tcW w:w="524" w:type="dxa"/>
            <w:noWrap/>
            <w:vAlign w:val="center"/>
            <w:hideMark/>
          </w:tcPr>
          <w:p w14:paraId="074883A5" w14:textId="77777777" w:rsidR="00730E53" w:rsidRPr="007375EB" w:rsidRDefault="00730E53" w:rsidP="00730E53">
            <w:pPr>
              <w:rPr>
                <w:lang w:val="bg-BG"/>
              </w:rPr>
            </w:pPr>
            <w:r w:rsidRPr="007375EB">
              <w:rPr>
                <w:lang w:val="bg-BG"/>
              </w:rPr>
              <w:t>X</w:t>
            </w:r>
          </w:p>
        </w:tc>
        <w:tc>
          <w:tcPr>
            <w:tcW w:w="616" w:type="dxa"/>
            <w:noWrap/>
            <w:vAlign w:val="center"/>
            <w:hideMark/>
          </w:tcPr>
          <w:p w14:paraId="03EF0D6A" w14:textId="77777777" w:rsidR="00730E53" w:rsidRPr="007375EB" w:rsidRDefault="00730E53" w:rsidP="00730E53">
            <w:pPr>
              <w:rPr>
                <w:lang w:val="bg-BG"/>
              </w:rPr>
            </w:pPr>
            <w:r w:rsidRPr="007375EB">
              <w:rPr>
                <w:lang w:val="bg-BG"/>
              </w:rPr>
              <w:t>X</w:t>
            </w:r>
          </w:p>
        </w:tc>
        <w:tc>
          <w:tcPr>
            <w:tcW w:w="612" w:type="dxa"/>
            <w:noWrap/>
            <w:vAlign w:val="center"/>
            <w:hideMark/>
          </w:tcPr>
          <w:p w14:paraId="04E23F07" w14:textId="77777777" w:rsidR="00730E53" w:rsidRPr="007375EB" w:rsidRDefault="00730E53" w:rsidP="00730E53">
            <w:pPr>
              <w:rPr>
                <w:lang w:val="bg-BG"/>
              </w:rPr>
            </w:pPr>
            <w:r w:rsidRPr="007375EB">
              <w:rPr>
                <w:lang w:val="bg-BG"/>
              </w:rPr>
              <w:t>X</w:t>
            </w:r>
          </w:p>
        </w:tc>
      </w:tr>
      <w:tr w:rsidR="00730E53" w:rsidRPr="007375EB" w14:paraId="55A69649" w14:textId="77777777" w:rsidTr="006C1B17">
        <w:trPr>
          <w:trHeight w:val="210"/>
        </w:trPr>
        <w:tc>
          <w:tcPr>
            <w:tcW w:w="621" w:type="dxa"/>
            <w:noWrap/>
            <w:hideMark/>
          </w:tcPr>
          <w:p w14:paraId="59428205" w14:textId="77777777" w:rsidR="00730E53" w:rsidRPr="007375EB" w:rsidRDefault="00730E53" w:rsidP="00730E53">
            <w:pPr>
              <w:rPr>
                <w:lang w:val="bg-BG"/>
              </w:rPr>
            </w:pPr>
            <w:r w:rsidRPr="007375EB">
              <w:rPr>
                <w:lang w:val="bg-BG"/>
              </w:rPr>
              <w:lastRenderedPageBreak/>
              <w:t>5</w:t>
            </w:r>
          </w:p>
        </w:tc>
        <w:tc>
          <w:tcPr>
            <w:tcW w:w="3189" w:type="dxa"/>
            <w:noWrap/>
            <w:hideMark/>
          </w:tcPr>
          <w:p w14:paraId="6782EB55" w14:textId="34BE1B76" w:rsidR="00730E53" w:rsidRPr="007375EB" w:rsidRDefault="00730E53" w:rsidP="00730E53">
            <w:pPr>
              <w:jc w:val="both"/>
              <w:rPr>
                <w:lang w:val="bg-BG"/>
              </w:rPr>
            </w:pPr>
            <w:r w:rsidRPr="007375EB">
              <w:rPr>
                <w:lang w:val="bg-BG"/>
              </w:rPr>
              <w:t>Събаряне на съществуващи сгради и изграждане на фотоволтаична електроцентрала с мощност 3,212 МВт, свързване към SEN, инсталиране на PC и PTAB, вътрешен път и достъп, ограждане на терена и организация на строителната площадка в Индепенденца (предложена)</w:t>
            </w:r>
          </w:p>
        </w:tc>
        <w:tc>
          <w:tcPr>
            <w:tcW w:w="2125" w:type="dxa"/>
            <w:noWrap/>
            <w:vAlign w:val="center"/>
            <w:hideMark/>
          </w:tcPr>
          <w:p w14:paraId="248AFCD7" w14:textId="77777777" w:rsidR="00730E53" w:rsidRPr="007375EB" w:rsidRDefault="00730E53" w:rsidP="00730E53">
            <w:pPr>
              <w:rPr>
                <w:lang w:val="bg-BG"/>
              </w:rPr>
            </w:pPr>
            <w:r w:rsidRPr="007375EB">
              <w:rPr>
                <w:lang w:val="bg-BG"/>
              </w:rPr>
              <w:t>5,86 км</w:t>
            </w:r>
          </w:p>
        </w:tc>
        <w:tc>
          <w:tcPr>
            <w:tcW w:w="482" w:type="dxa"/>
            <w:noWrap/>
            <w:vAlign w:val="center"/>
            <w:hideMark/>
          </w:tcPr>
          <w:p w14:paraId="0312793C" w14:textId="77777777" w:rsidR="00730E53" w:rsidRPr="007375EB" w:rsidRDefault="00730E53" w:rsidP="00730E53">
            <w:pPr>
              <w:rPr>
                <w:lang w:val="bg-BG"/>
              </w:rPr>
            </w:pPr>
            <w:r w:rsidRPr="007375EB">
              <w:rPr>
                <w:lang w:val="bg-BG"/>
              </w:rPr>
              <w:t>-</w:t>
            </w:r>
          </w:p>
        </w:tc>
        <w:tc>
          <w:tcPr>
            <w:tcW w:w="916" w:type="dxa"/>
            <w:noWrap/>
            <w:vAlign w:val="center"/>
            <w:hideMark/>
          </w:tcPr>
          <w:p w14:paraId="76C19DF4" w14:textId="77777777" w:rsidR="00730E53" w:rsidRPr="007375EB" w:rsidRDefault="00730E53" w:rsidP="00730E53">
            <w:pPr>
              <w:rPr>
                <w:lang w:val="bg-BG"/>
              </w:rPr>
            </w:pPr>
            <w:r w:rsidRPr="007375EB">
              <w:rPr>
                <w:lang w:val="bg-BG"/>
              </w:rPr>
              <w:t>-</w:t>
            </w:r>
          </w:p>
        </w:tc>
        <w:tc>
          <w:tcPr>
            <w:tcW w:w="916" w:type="dxa"/>
            <w:noWrap/>
            <w:vAlign w:val="center"/>
            <w:hideMark/>
          </w:tcPr>
          <w:p w14:paraId="7CD58B75" w14:textId="77777777" w:rsidR="00730E53" w:rsidRPr="007375EB" w:rsidRDefault="00730E53" w:rsidP="00730E53">
            <w:pPr>
              <w:rPr>
                <w:lang w:val="bg-BG"/>
              </w:rPr>
            </w:pPr>
            <w:r w:rsidRPr="007375EB">
              <w:rPr>
                <w:lang w:val="bg-BG"/>
              </w:rPr>
              <w:t>-</w:t>
            </w:r>
          </w:p>
        </w:tc>
        <w:tc>
          <w:tcPr>
            <w:tcW w:w="810" w:type="dxa"/>
            <w:noWrap/>
            <w:vAlign w:val="center"/>
            <w:hideMark/>
          </w:tcPr>
          <w:p w14:paraId="2753F4FA" w14:textId="77777777" w:rsidR="00730E53" w:rsidRPr="007375EB" w:rsidRDefault="00730E53" w:rsidP="00730E53">
            <w:pPr>
              <w:rPr>
                <w:lang w:val="bg-BG"/>
              </w:rPr>
            </w:pPr>
            <w:r w:rsidRPr="007375EB">
              <w:rPr>
                <w:lang w:val="bg-BG"/>
              </w:rPr>
              <w:t>-</w:t>
            </w:r>
          </w:p>
        </w:tc>
        <w:tc>
          <w:tcPr>
            <w:tcW w:w="630" w:type="dxa"/>
            <w:noWrap/>
            <w:vAlign w:val="center"/>
            <w:hideMark/>
          </w:tcPr>
          <w:p w14:paraId="5AE9DCD5" w14:textId="77777777" w:rsidR="00730E53" w:rsidRPr="007375EB" w:rsidRDefault="00730E53" w:rsidP="00730E53">
            <w:pPr>
              <w:rPr>
                <w:lang w:val="bg-BG"/>
              </w:rPr>
            </w:pPr>
            <w:r w:rsidRPr="007375EB">
              <w:rPr>
                <w:lang w:val="bg-BG"/>
              </w:rPr>
              <w:t>-</w:t>
            </w:r>
          </w:p>
        </w:tc>
        <w:tc>
          <w:tcPr>
            <w:tcW w:w="720" w:type="dxa"/>
            <w:noWrap/>
            <w:vAlign w:val="center"/>
            <w:hideMark/>
          </w:tcPr>
          <w:p w14:paraId="58C9B231" w14:textId="77777777" w:rsidR="00730E53" w:rsidRPr="007375EB" w:rsidRDefault="00730E53" w:rsidP="00730E53">
            <w:pPr>
              <w:rPr>
                <w:lang w:val="bg-BG"/>
              </w:rPr>
            </w:pPr>
            <w:r w:rsidRPr="007375EB">
              <w:rPr>
                <w:lang w:val="bg-BG"/>
              </w:rPr>
              <w:t>-</w:t>
            </w:r>
          </w:p>
        </w:tc>
        <w:tc>
          <w:tcPr>
            <w:tcW w:w="720" w:type="dxa"/>
            <w:noWrap/>
            <w:vAlign w:val="center"/>
            <w:hideMark/>
          </w:tcPr>
          <w:p w14:paraId="4CC5E155" w14:textId="77777777" w:rsidR="00730E53" w:rsidRPr="007375EB" w:rsidRDefault="00730E53" w:rsidP="00730E53">
            <w:pPr>
              <w:rPr>
                <w:lang w:val="bg-BG"/>
              </w:rPr>
            </w:pPr>
            <w:r w:rsidRPr="007375EB">
              <w:rPr>
                <w:lang w:val="bg-BG"/>
              </w:rPr>
              <w:t>-</w:t>
            </w:r>
          </w:p>
        </w:tc>
        <w:tc>
          <w:tcPr>
            <w:tcW w:w="540" w:type="dxa"/>
            <w:noWrap/>
            <w:vAlign w:val="center"/>
            <w:hideMark/>
          </w:tcPr>
          <w:p w14:paraId="5E626A6B" w14:textId="77777777" w:rsidR="00730E53" w:rsidRPr="007375EB" w:rsidRDefault="00730E53" w:rsidP="00730E53">
            <w:pPr>
              <w:rPr>
                <w:lang w:val="bg-BG"/>
              </w:rPr>
            </w:pPr>
            <w:r w:rsidRPr="007375EB">
              <w:rPr>
                <w:lang w:val="bg-BG"/>
              </w:rPr>
              <w:t>X</w:t>
            </w:r>
          </w:p>
        </w:tc>
        <w:tc>
          <w:tcPr>
            <w:tcW w:w="990" w:type="dxa"/>
            <w:noWrap/>
            <w:vAlign w:val="center"/>
            <w:hideMark/>
          </w:tcPr>
          <w:p w14:paraId="00998456" w14:textId="77777777" w:rsidR="00730E53" w:rsidRPr="007375EB" w:rsidRDefault="00730E53" w:rsidP="00730E53">
            <w:pPr>
              <w:rPr>
                <w:lang w:val="bg-BG"/>
              </w:rPr>
            </w:pPr>
            <w:r w:rsidRPr="007375EB">
              <w:rPr>
                <w:lang w:val="bg-BG"/>
              </w:rPr>
              <w:t>X</w:t>
            </w:r>
          </w:p>
        </w:tc>
        <w:tc>
          <w:tcPr>
            <w:tcW w:w="499" w:type="dxa"/>
            <w:noWrap/>
            <w:vAlign w:val="center"/>
            <w:hideMark/>
          </w:tcPr>
          <w:p w14:paraId="1C767537" w14:textId="77777777" w:rsidR="00730E53" w:rsidRPr="007375EB" w:rsidRDefault="00730E53" w:rsidP="00730E53">
            <w:pPr>
              <w:rPr>
                <w:lang w:val="bg-BG"/>
              </w:rPr>
            </w:pPr>
            <w:r w:rsidRPr="007375EB">
              <w:rPr>
                <w:lang w:val="bg-BG"/>
              </w:rPr>
              <w:t>-</w:t>
            </w:r>
          </w:p>
        </w:tc>
        <w:tc>
          <w:tcPr>
            <w:tcW w:w="507" w:type="dxa"/>
            <w:noWrap/>
            <w:vAlign w:val="center"/>
            <w:hideMark/>
          </w:tcPr>
          <w:p w14:paraId="077B8BA3" w14:textId="77777777" w:rsidR="00730E53" w:rsidRPr="007375EB" w:rsidRDefault="00730E53" w:rsidP="00730E53">
            <w:pPr>
              <w:rPr>
                <w:lang w:val="bg-BG"/>
              </w:rPr>
            </w:pPr>
            <w:r w:rsidRPr="007375EB">
              <w:rPr>
                <w:lang w:val="bg-BG"/>
              </w:rPr>
              <w:t>X</w:t>
            </w:r>
          </w:p>
        </w:tc>
        <w:tc>
          <w:tcPr>
            <w:tcW w:w="524" w:type="dxa"/>
            <w:noWrap/>
            <w:vAlign w:val="center"/>
            <w:hideMark/>
          </w:tcPr>
          <w:p w14:paraId="29A8A43A" w14:textId="77777777" w:rsidR="00730E53" w:rsidRPr="007375EB" w:rsidRDefault="00730E53" w:rsidP="00730E53">
            <w:pPr>
              <w:rPr>
                <w:lang w:val="bg-BG"/>
              </w:rPr>
            </w:pPr>
            <w:r w:rsidRPr="007375EB">
              <w:rPr>
                <w:lang w:val="bg-BG"/>
              </w:rPr>
              <w:t>X</w:t>
            </w:r>
          </w:p>
        </w:tc>
        <w:tc>
          <w:tcPr>
            <w:tcW w:w="616" w:type="dxa"/>
            <w:noWrap/>
            <w:vAlign w:val="center"/>
            <w:hideMark/>
          </w:tcPr>
          <w:p w14:paraId="45B10326" w14:textId="77777777" w:rsidR="00730E53" w:rsidRPr="007375EB" w:rsidRDefault="00730E53" w:rsidP="00730E53">
            <w:pPr>
              <w:rPr>
                <w:lang w:val="bg-BG"/>
              </w:rPr>
            </w:pPr>
            <w:r w:rsidRPr="007375EB">
              <w:rPr>
                <w:lang w:val="bg-BG"/>
              </w:rPr>
              <w:t>X</w:t>
            </w:r>
          </w:p>
        </w:tc>
        <w:tc>
          <w:tcPr>
            <w:tcW w:w="612" w:type="dxa"/>
            <w:noWrap/>
            <w:vAlign w:val="center"/>
            <w:hideMark/>
          </w:tcPr>
          <w:p w14:paraId="32D2A23C" w14:textId="77777777" w:rsidR="00730E53" w:rsidRPr="007375EB" w:rsidRDefault="00730E53" w:rsidP="00730E53">
            <w:pPr>
              <w:rPr>
                <w:lang w:val="bg-BG"/>
              </w:rPr>
            </w:pPr>
            <w:r w:rsidRPr="007375EB">
              <w:rPr>
                <w:lang w:val="bg-BG"/>
              </w:rPr>
              <w:t>X</w:t>
            </w:r>
          </w:p>
        </w:tc>
      </w:tr>
      <w:tr w:rsidR="00730E53" w:rsidRPr="007375EB" w14:paraId="2B65C266" w14:textId="77777777" w:rsidTr="006C1B17">
        <w:trPr>
          <w:trHeight w:val="210"/>
        </w:trPr>
        <w:tc>
          <w:tcPr>
            <w:tcW w:w="621" w:type="dxa"/>
            <w:noWrap/>
          </w:tcPr>
          <w:p w14:paraId="72E05B16" w14:textId="77777777" w:rsidR="00730E53" w:rsidRPr="007375EB" w:rsidRDefault="00730E53" w:rsidP="00730E53">
            <w:pPr>
              <w:rPr>
                <w:lang w:val="bg-BG"/>
              </w:rPr>
            </w:pPr>
            <w:r w:rsidRPr="007375EB">
              <w:rPr>
                <w:lang w:val="bg-BG"/>
              </w:rPr>
              <w:t>6</w:t>
            </w:r>
          </w:p>
        </w:tc>
        <w:tc>
          <w:tcPr>
            <w:tcW w:w="3189" w:type="dxa"/>
            <w:noWrap/>
          </w:tcPr>
          <w:p w14:paraId="241362C4" w14:textId="65DDE9B5" w:rsidR="00730E53" w:rsidRPr="007375EB" w:rsidRDefault="00730E53" w:rsidP="00730E53">
            <w:pPr>
              <w:jc w:val="both"/>
              <w:rPr>
                <w:lang w:val="bg-BG"/>
              </w:rPr>
            </w:pPr>
            <w:r w:rsidRPr="007375EB">
              <w:rPr>
                <w:lang w:val="bg-BG"/>
              </w:rPr>
              <w:t>Изграждане на подземна оптична мрежа за електронни съобщителни услуги в окръг Констанца, Индепенденца, Думбръвени (предложена)</w:t>
            </w:r>
          </w:p>
        </w:tc>
        <w:tc>
          <w:tcPr>
            <w:tcW w:w="2125" w:type="dxa"/>
            <w:noWrap/>
            <w:vAlign w:val="center"/>
          </w:tcPr>
          <w:p w14:paraId="16C0B1C7" w14:textId="77777777" w:rsidR="00730E53" w:rsidRPr="007375EB" w:rsidRDefault="00730E53" w:rsidP="00730E53">
            <w:pPr>
              <w:rPr>
                <w:lang w:val="bg-BG"/>
              </w:rPr>
            </w:pPr>
            <w:r w:rsidRPr="007375EB">
              <w:rPr>
                <w:lang w:val="bg-BG"/>
              </w:rPr>
              <w:t>0,03 км</w:t>
            </w:r>
          </w:p>
        </w:tc>
        <w:tc>
          <w:tcPr>
            <w:tcW w:w="482" w:type="dxa"/>
            <w:noWrap/>
            <w:vAlign w:val="center"/>
          </w:tcPr>
          <w:p w14:paraId="7970D816" w14:textId="77777777" w:rsidR="00730E53" w:rsidRPr="007375EB" w:rsidRDefault="00730E53" w:rsidP="00730E53">
            <w:pPr>
              <w:rPr>
                <w:lang w:val="bg-BG"/>
              </w:rPr>
            </w:pPr>
            <w:r w:rsidRPr="007375EB">
              <w:rPr>
                <w:lang w:val="bg-BG"/>
              </w:rPr>
              <w:t>-</w:t>
            </w:r>
          </w:p>
        </w:tc>
        <w:tc>
          <w:tcPr>
            <w:tcW w:w="916" w:type="dxa"/>
            <w:noWrap/>
            <w:vAlign w:val="center"/>
          </w:tcPr>
          <w:p w14:paraId="791EB80E" w14:textId="77777777" w:rsidR="00730E53" w:rsidRPr="007375EB" w:rsidRDefault="00730E53" w:rsidP="00730E53">
            <w:pPr>
              <w:rPr>
                <w:lang w:val="bg-BG"/>
              </w:rPr>
            </w:pPr>
            <w:r w:rsidRPr="007375EB">
              <w:rPr>
                <w:lang w:val="bg-BG"/>
              </w:rPr>
              <w:t>X</w:t>
            </w:r>
          </w:p>
        </w:tc>
        <w:tc>
          <w:tcPr>
            <w:tcW w:w="916" w:type="dxa"/>
            <w:noWrap/>
            <w:vAlign w:val="center"/>
          </w:tcPr>
          <w:p w14:paraId="2A87D8DD" w14:textId="77777777" w:rsidR="00730E53" w:rsidRPr="007375EB" w:rsidRDefault="00730E53" w:rsidP="00730E53">
            <w:pPr>
              <w:rPr>
                <w:lang w:val="bg-BG"/>
              </w:rPr>
            </w:pPr>
            <w:r w:rsidRPr="007375EB">
              <w:rPr>
                <w:lang w:val="bg-BG"/>
              </w:rPr>
              <w:t>-</w:t>
            </w:r>
          </w:p>
        </w:tc>
        <w:tc>
          <w:tcPr>
            <w:tcW w:w="810" w:type="dxa"/>
            <w:noWrap/>
            <w:vAlign w:val="center"/>
          </w:tcPr>
          <w:p w14:paraId="38975FCA" w14:textId="77777777" w:rsidR="00730E53" w:rsidRPr="007375EB" w:rsidRDefault="00730E53" w:rsidP="00730E53">
            <w:pPr>
              <w:rPr>
                <w:lang w:val="bg-BG"/>
              </w:rPr>
            </w:pPr>
            <w:r w:rsidRPr="007375EB">
              <w:rPr>
                <w:lang w:val="bg-BG"/>
              </w:rPr>
              <w:t>-</w:t>
            </w:r>
          </w:p>
        </w:tc>
        <w:tc>
          <w:tcPr>
            <w:tcW w:w="630" w:type="dxa"/>
            <w:noWrap/>
            <w:vAlign w:val="center"/>
          </w:tcPr>
          <w:p w14:paraId="2242A97E" w14:textId="77777777" w:rsidR="00730E53" w:rsidRPr="007375EB" w:rsidRDefault="00730E53" w:rsidP="00730E53">
            <w:pPr>
              <w:rPr>
                <w:lang w:val="bg-BG"/>
              </w:rPr>
            </w:pPr>
            <w:r w:rsidRPr="007375EB">
              <w:rPr>
                <w:lang w:val="bg-BG"/>
              </w:rPr>
              <w:t>-</w:t>
            </w:r>
          </w:p>
        </w:tc>
        <w:tc>
          <w:tcPr>
            <w:tcW w:w="720" w:type="dxa"/>
            <w:noWrap/>
            <w:vAlign w:val="center"/>
          </w:tcPr>
          <w:p w14:paraId="726D09D5" w14:textId="77777777" w:rsidR="00730E53" w:rsidRPr="007375EB" w:rsidRDefault="00730E53" w:rsidP="00730E53">
            <w:pPr>
              <w:rPr>
                <w:lang w:val="bg-BG"/>
              </w:rPr>
            </w:pPr>
            <w:r w:rsidRPr="007375EB">
              <w:rPr>
                <w:lang w:val="bg-BG"/>
              </w:rPr>
              <w:t>X</w:t>
            </w:r>
          </w:p>
        </w:tc>
        <w:tc>
          <w:tcPr>
            <w:tcW w:w="720" w:type="dxa"/>
            <w:noWrap/>
            <w:vAlign w:val="center"/>
          </w:tcPr>
          <w:p w14:paraId="5C1F2005" w14:textId="77777777" w:rsidR="00730E53" w:rsidRPr="007375EB" w:rsidRDefault="00730E53" w:rsidP="00730E53">
            <w:pPr>
              <w:rPr>
                <w:lang w:val="bg-BG"/>
              </w:rPr>
            </w:pPr>
            <w:r w:rsidRPr="007375EB">
              <w:rPr>
                <w:lang w:val="bg-BG"/>
              </w:rPr>
              <w:t>X</w:t>
            </w:r>
          </w:p>
        </w:tc>
        <w:tc>
          <w:tcPr>
            <w:tcW w:w="540" w:type="dxa"/>
            <w:noWrap/>
            <w:vAlign w:val="center"/>
          </w:tcPr>
          <w:p w14:paraId="311C5288" w14:textId="77777777" w:rsidR="00730E53" w:rsidRPr="007375EB" w:rsidRDefault="00730E53" w:rsidP="00730E53">
            <w:pPr>
              <w:rPr>
                <w:lang w:val="bg-BG"/>
              </w:rPr>
            </w:pPr>
            <w:r w:rsidRPr="007375EB">
              <w:rPr>
                <w:lang w:val="bg-BG"/>
              </w:rPr>
              <w:t>-</w:t>
            </w:r>
          </w:p>
        </w:tc>
        <w:tc>
          <w:tcPr>
            <w:tcW w:w="990" w:type="dxa"/>
            <w:noWrap/>
            <w:vAlign w:val="center"/>
          </w:tcPr>
          <w:p w14:paraId="269708C5" w14:textId="77777777" w:rsidR="00730E53" w:rsidRPr="007375EB" w:rsidRDefault="00730E53" w:rsidP="00730E53">
            <w:pPr>
              <w:rPr>
                <w:lang w:val="bg-BG"/>
              </w:rPr>
            </w:pPr>
            <w:r w:rsidRPr="007375EB">
              <w:rPr>
                <w:lang w:val="bg-BG"/>
              </w:rPr>
              <w:t>-</w:t>
            </w:r>
          </w:p>
        </w:tc>
        <w:tc>
          <w:tcPr>
            <w:tcW w:w="499" w:type="dxa"/>
            <w:noWrap/>
            <w:vAlign w:val="center"/>
          </w:tcPr>
          <w:p w14:paraId="0B382D7C" w14:textId="77777777" w:rsidR="00730E53" w:rsidRPr="007375EB" w:rsidRDefault="00730E53" w:rsidP="00730E53">
            <w:pPr>
              <w:rPr>
                <w:lang w:val="bg-BG"/>
              </w:rPr>
            </w:pPr>
            <w:r w:rsidRPr="007375EB">
              <w:rPr>
                <w:lang w:val="bg-BG"/>
              </w:rPr>
              <w:t>-</w:t>
            </w:r>
          </w:p>
        </w:tc>
        <w:tc>
          <w:tcPr>
            <w:tcW w:w="507" w:type="dxa"/>
            <w:noWrap/>
            <w:vAlign w:val="center"/>
          </w:tcPr>
          <w:p w14:paraId="05359F34" w14:textId="77777777" w:rsidR="00730E53" w:rsidRPr="007375EB" w:rsidRDefault="00730E53" w:rsidP="00730E53">
            <w:pPr>
              <w:rPr>
                <w:lang w:val="bg-BG"/>
              </w:rPr>
            </w:pPr>
            <w:r w:rsidRPr="007375EB">
              <w:rPr>
                <w:lang w:val="bg-BG"/>
              </w:rPr>
              <w:t>-</w:t>
            </w:r>
          </w:p>
        </w:tc>
        <w:tc>
          <w:tcPr>
            <w:tcW w:w="524" w:type="dxa"/>
            <w:noWrap/>
            <w:vAlign w:val="center"/>
          </w:tcPr>
          <w:p w14:paraId="7529475C" w14:textId="77777777" w:rsidR="00730E53" w:rsidRPr="007375EB" w:rsidRDefault="00730E53" w:rsidP="00730E53">
            <w:pPr>
              <w:rPr>
                <w:lang w:val="bg-BG"/>
              </w:rPr>
            </w:pPr>
            <w:r w:rsidRPr="007375EB">
              <w:rPr>
                <w:lang w:val="bg-BG"/>
              </w:rPr>
              <w:t>-</w:t>
            </w:r>
          </w:p>
        </w:tc>
        <w:tc>
          <w:tcPr>
            <w:tcW w:w="616" w:type="dxa"/>
            <w:noWrap/>
            <w:vAlign w:val="center"/>
          </w:tcPr>
          <w:p w14:paraId="4BA37A79" w14:textId="77777777" w:rsidR="00730E53" w:rsidRPr="007375EB" w:rsidRDefault="00730E53" w:rsidP="00730E53">
            <w:pPr>
              <w:rPr>
                <w:lang w:val="bg-BG"/>
              </w:rPr>
            </w:pPr>
            <w:r w:rsidRPr="007375EB">
              <w:rPr>
                <w:lang w:val="bg-BG"/>
              </w:rPr>
              <w:t>X</w:t>
            </w:r>
          </w:p>
        </w:tc>
        <w:tc>
          <w:tcPr>
            <w:tcW w:w="612" w:type="dxa"/>
            <w:noWrap/>
            <w:vAlign w:val="center"/>
          </w:tcPr>
          <w:p w14:paraId="599E5D15" w14:textId="77777777" w:rsidR="00730E53" w:rsidRPr="007375EB" w:rsidRDefault="00730E53" w:rsidP="00730E53">
            <w:pPr>
              <w:rPr>
                <w:lang w:val="bg-BG"/>
              </w:rPr>
            </w:pPr>
            <w:r w:rsidRPr="007375EB">
              <w:rPr>
                <w:lang w:val="bg-BG"/>
              </w:rPr>
              <w:t>-</w:t>
            </w:r>
          </w:p>
        </w:tc>
      </w:tr>
      <w:tr w:rsidR="00730E53" w:rsidRPr="007375EB" w14:paraId="053F81DF" w14:textId="77777777" w:rsidTr="006C1B17">
        <w:trPr>
          <w:trHeight w:val="210"/>
        </w:trPr>
        <w:tc>
          <w:tcPr>
            <w:tcW w:w="621" w:type="dxa"/>
            <w:noWrap/>
          </w:tcPr>
          <w:p w14:paraId="79DF9FBD" w14:textId="77777777" w:rsidR="00730E53" w:rsidRPr="007375EB" w:rsidRDefault="00730E53" w:rsidP="00730E53">
            <w:pPr>
              <w:rPr>
                <w:lang w:val="bg-BG"/>
              </w:rPr>
            </w:pPr>
            <w:r w:rsidRPr="007375EB">
              <w:rPr>
                <w:lang w:val="bg-BG"/>
              </w:rPr>
              <w:t>7</w:t>
            </w:r>
          </w:p>
        </w:tc>
        <w:tc>
          <w:tcPr>
            <w:tcW w:w="3189" w:type="dxa"/>
            <w:noWrap/>
          </w:tcPr>
          <w:p w14:paraId="130009F4" w14:textId="1318CE44" w:rsidR="00730E53" w:rsidRPr="007375EB" w:rsidRDefault="00730E53" w:rsidP="00730E53">
            <w:pPr>
              <w:jc w:val="both"/>
              <w:rPr>
                <w:lang w:val="bg-BG"/>
              </w:rPr>
            </w:pPr>
            <w:r w:rsidRPr="007375EB">
              <w:rPr>
                <w:lang w:val="bg-BG"/>
              </w:rPr>
              <w:t>Изграждане на подземна оптична мрежа за електронни съобщителни услуги, Негру Вода (предложено)</w:t>
            </w:r>
          </w:p>
        </w:tc>
        <w:tc>
          <w:tcPr>
            <w:tcW w:w="2125" w:type="dxa"/>
            <w:noWrap/>
            <w:vAlign w:val="center"/>
          </w:tcPr>
          <w:p w14:paraId="038A8586" w14:textId="77777777" w:rsidR="00730E53" w:rsidRPr="007375EB" w:rsidRDefault="00730E53" w:rsidP="00730E53">
            <w:pPr>
              <w:rPr>
                <w:lang w:val="bg-BG"/>
              </w:rPr>
            </w:pPr>
            <w:r w:rsidRPr="007375EB">
              <w:rPr>
                <w:lang w:val="bg-BG"/>
              </w:rPr>
              <w:t>17,03 км</w:t>
            </w:r>
          </w:p>
        </w:tc>
        <w:tc>
          <w:tcPr>
            <w:tcW w:w="482" w:type="dxa"/>
            <w:noWrap/>
            <w:vAlign w:val="center"/>
          </w:tcPr>
          <w:p w14:paraId="74311BC6" w14:textId="77777777" w:rsidR="00730E53" w:rsidRPr="007375EB" w:rsidRDefault="00730E53" w:rsidP="00730E53">
            <w:pPr>
              <w:rPr>
                <w:lang w:val="bg-BG"/>
              </w:rPr>
            </w:pPr>
            <w:r w:rsidRPr="007375EB">
              <w:rPr>
                <w:lang w:val="bg-BG"/>
              </w:rPr>
              <w:t>-</w:t>
            </w:r>
          </w:p>
        </w:tc>
        <w:tc>
          <w:tcPr>
            <w:tcW w:w="916" w:type="dxa"/>
            <w:noWrap/>
            <w:vAlign w:val="center"/>
          </w:tcPr>
          <w:p w14:paraId="1B0380AE" w14:textId="77777777" w:rsidR="00730E53" w:rsidRPr="007375EB" w:rsidRDefault="00730E53" w:rsidP="00730E53">
            <w:pPr>
              <w:rPr>
                <w:lang w:val="bg-BG"/>
              </w:rPr>
            </w:pPr>
            <w:r w:rsidRPr="007375EB">
              <w:rPr>
                <w:lang w:val="bg-BG"/>
              </w:rPr>
              <w:t>-</w:t>
            </w:r>
          </w:p>
        </w:tc>
        <w:tc>
          <w:tcPr>
            <w:tcW w:w="916" w:type="dxa"/>
            <w:noWrap/>
            <w:vAlign w:val="center"/>
          </w:tcPr>
          <w:p w14:paraId="706C4F87" w14:textId="77777777" w:rsidR="00730E53" w:rsidRPr="007375EB" w:rsidRDefault="00730E53" w:rsidP="00730E53">
            <w:pPr>
              <w:rPr>
                <w:lang w:val="bg-BG"/>
              </w:rPr>
            </w:pPr>
            <w:r w:rsidRPr="007375EB">
              <w:rPr>
                <w:lang w:val="bg-BG"/>
              </w:rPr>
              <w:t>-</w:t>
            </w:r>
          </w:p>
        </w:tc>
        <w:tc>
          <w:tcPr>
            <w:tcW w:w="810" w:type="dxa"/>
            <w:noWrap/>
            <w:vAlign w:val="center"/>
          </w:tcPr>
          <w:p w14:paraId="0633D05A" w14:textId="77777777" w:rsidR="00730E53" w:rsidRPr="007375EB" w:rsidRDefault="00730E53" w:rsidP="00730E53">
            <w:pPr>
              <w:rPr>
                <w:lang w:val="bg-BG"/>
              </w:rPr>
            </w:pPr>
            <w:r w:rsidRPr="007375EB">
              <w:rPr>
                <w:lang w:val="bg-BG"/>
              </w:rPr>
              <w:t>-</w:t>
            </w:r>
          </w:p>
        </w:tc>
        <w:tc>
          <w:tcPr>
            <w:tcW w:w="630" w:type="dxa"/>
            <w:noWrap/>
            <w:vAlign w:val="center"/>
          </w:tcPr>
          <w:p w14:paraId="0CCCCC2A" w14:textId="77777777" w:rsidR="00730E53" w:rsidRPr="007375EB" w:rsidRDefault="00730E53" w:rsidP="00730E53">
            <w:pPr>
              <w:rPr>
                <w:lang w:val="bg-BG"/>
              </w:rPr>
            </w:pPr>
            <w:r w:rsidRPr="007375EB">
              <w:rPr>
                <w:lang w:val="bg-BG"/>
              </w:rPr>
              <w:t>-</w:t>
            </w:r>
          </w:p>
        </w:tc>
        <w:tc>
          <w:tcPr>
            <w:tcW w:w="720" w:type="dxa"/>
            <w:noWrap/>
            <w:vAlign w:val="center"/>
          </w:tcPr>
          <w:p w14:paraId="27C114F7" w14:textId="77777777" w:rsidR="00730E53" w:rsidRPr="007375EB" w:rsidRDefault="00730E53" w:rsidP="00730E53">
            <w:pPr>
              <w:rPr>
                <w:lang w:val="bg-BG"/>
              </w:rPr>
            </w:pPr>
            <w:r w:rsidRPr="007375EB">
              <w:rPr>
                <w:lang w:val="bg-BG"/>
              </w:rPr>
              <w:t>-</w:t>
            </w:r>
          </w:p>
        </w:tc>
        <w:tc>
          <w:tcPr>
            <w:tcW w:w="720" w:type="dxa"/>
            <w:noWrap/>
            <w:vAlign w:val="center"/>
          </w:tcPr>
          <w:p w14:paraId="354E19EE" w14:textId="77777777" w:rsidR="00730E53" w:rsidRPr="007375EB" w:rsidRDefault="00730E53" w:rsidP="00730E53">
            <w:pPr>
              <w:rPr>
                <w:lang w:val="bg-BG"/>
              </w:rPr>
            </w:pPr>
            <w:r w:rsidRPr="007375EB">
              <w:rPr>
                <w:lang w:val="bg-BG"/>
              </w:rPr>
              <w:t>-</w:t>
            </w:r>
          </w:p>
        </w:tc>
        <w:tc>
          <w:tcPr>
            <w:tcW w:w="540" w:type="dxa"/>
            <w:noWrap/>
            <w:vAlign w:val="center"/>
          </w:tcPr>
          <w:p w14:paraId="10457CE8" w14:textId="77777777" w:rsidR="00730E53" w:rsidRPr="007375EB" w:rsidRDefault="00730E53" w:rsidP="00730E53">
            <w:pPr>
              <w:rPr>
                <w:lang w:val="bg-BG"/>
              </w:rPr>
            </w:pPr>
            <w:r w:rsidRPr="007375EB">
              <w:rPr>
                <w:lang w:val="bg-BG"/>
              </w:rPr>
              <w:t>-</w:t>
            </w:r>
          </w:p>
        </w:tc>
        <w:tc>
          <w:tcPr>
            <w:tcW w:w="990" w:type="dxa"/>
            <w:noWrap/>
            <w:vAlign w:val="center"/>
          </w:tcPr>
          <w:p w14:paraId="54D581A8" w14:textId="77777777" w:rsidR="00730E53" w:rsidRPr="007375EB" w:rsidRDefault="00730E53" w:rsidP="00730E53">
            <w:pPr>
              <w:rPr>
                <w:lang w:val="bg-BG"/>
              </w:rPr>
            </w:pPr>
            <w:r w:rsidRPr="007375EB">
              <w:rPr>
                <w:lang w:val="bg-BG"/>
              </w:rPr>
              <w:t>-</w:t>
            </w:r>
          </w:p>
        </w:tc>
        <w:tc>
          <w:tcPr>
            <w:tcW w:w="499" w:type="dxa"/>
            <w:noWrap/>
            <w:vAlign w:val="center"/>
          </w:tcPr>
          <w:p w14:paraId="1DDBFEC6" w14:textId="77777777" w:rsidR="00730E53" w:rsidRPr="007375EB" w:rsidRDefault="00730E53" w:rsidP="00730E53">
            <w:pPr>
              <w:rPr>
                <w:lang w:val="bg-BG"/>
              </w:rPr>
            </w:pPr>
            <w:r w:rsidRPr="007375EB">
              <w:rPr>
                <w:lang w:val="bg-BG"/>
              </w:rPr>
              <w:t>-</w:t>
            </w:r>
          </w:p>
        </w:tc>
        <w:tc>
          <w:tcPr>
            <w:tcW w:w="507" w:type="dxa"/>
            <w:noWrap/>
            <w:vAlign w:val="center"/>
          </w:tcPr>
          <w:p w14:paraId="1BC9A542" w14:textId="77777777" w:rsidR="00730E53" w:rsidRPr="007375EB" w:rsidRDefault="00730E53" w:rsidP="00730E53">
            <w:pPr>
              <w:rPr>
                <w:lang w:val="bg-BG"/>
              </w:rPr>
            </w:pPr>
            <w:r w:rsidRPr="007375EB">
              <w:rPr>
                <w:lang w:val="bg-BG"/>
              </w:rPr>
              <w:t>-</w:t>
            </w:r>
          </w:p>
        </w:tc>
        <w:tc>
          <w:tcPr>
            <w:tcW w:w="524" w:type="dxa"/>
            <w:noWrap/>
            <w:vAlign w:val="center"/>
          </w:tcPr>
          <w:p w14:paraId="21D598B7" w14:textId="77777777" w:rsidR="00730E53" w:rsidRPr="007375EB" w:rsidRDefault="00730E53" w:rsidP="00730E53">
            <w:pPr>
              <w:rPr>
                <w:lang w:val="bg-BG"/>
              </w:rPr>
            </w:pPr>
            <w:r w:rsidRPr="007375EB">
              <w:rPr>
                <w:lang w:val="bg-BG"/>
              </w:rPr>
              <w:t>-</w:t>
            </w:r>
          </w:p>
        </w:tc>
        <w:tc>
          <w:tcPr>
            <w:tcW w:w="616" w:type="dxa"/>
            <w:noWrap/>
            <w:vAlign w:val="center"/>
          </w:tcPr>
          <w:p w14:paraId="1A505FC0" w14:textId="77777777" w:rsidR="00730E53" w:rsidRPr="007375EB" w:rsidRDefault="00730E53" w:rsidP="00730E53">
            <w:pPr>
              <w:rPr>
                <w:lang w:val="bg-BG"/>
              </w:rPr>
            </w:pPr>
            <w:r w:rsidRPr="007375EB">
              <w:rPr>
                <w:lang w:val="bg-BG"/>
              </w:rPr>
              <w:t>-</w:t>
            </w:r>
          </w:p>
        </w:tc>
        <w:tc>
          <w:tcPr>
            <w:tcW w:w="612" w:type="dxa"/>
            <w:noWrap/>
            <w:vAlign w:val="center"/>
          </w:tcPr>
          <w:p w14:paraId="1876163B" w14:textId="77777777" w:rsidR="00730E53" w:rsidRPr="007375EB" w:rsidRDefault="00730E53" w:rsidP="00730E53">
            <w:pPr>
              <w:rPr>
                <w:lang w:val="bg-BG"/>
              </w:rPr>
            </w:pPr>
            <w:r w:rsidRPr="007375EB">
              <w:rPr>
                <w:lang w:val="bg-BG"/>
              </w:rPr>
              <w:t>-</w:t>
            </w:r>
          </w:p>
        </w:tc>
      </w:tr>
      <w:tr w:rsidR="00730E53" w:rsidRPr="007375EB" w14:paraId="01D180CD" w14:textId="77777777" w:rsidTr="006C1B17">
        <w:trPr>
          <w:trHeight w:val="210"/>
        </w:trPr>
        <w:tc>
          <w:tcPr>
            <w:tcW w:w="621" w:type="dxa"/>
            <w:noWrap/>
          </w:tcPr>
          <w:p w14:paraId="7065F078" w14:textId="77777777" w:rsidR="00730E53" w:rsidRPr="007375EB" w:rsidRDefault="00730E53" w:rsidP="00730E53">
            <w:pPr>
              <w:rPr>
                <w:lang w:val="bg-BG"/>
              </w:rPr>
            </w:pPr>
            <w:r w:rsidRPr="007375EB">
              <w:rPr>
                <w:lang w:val="bg-BG"/>
              </w:rPr>
              <w:lastRenderedPageBreak/>
              <w:t>8</w:t>
            </w:r>
          </w:p>
        </w:tc>
        <w:tc>
          <w:tcPr>
            <w:tcW w:w="3189" w:type="dxa"/>
            <w:noWrap/>
          </w:tcPr>
          <w:p w14:paraId="11C72F19" w14:textId="5C3BE0CF" w:rsidR="00730E53" w:rsidRPr="007375EB" w:rsidRDefault="00730E53" w:rsidP="00730E53">
            <w:pPr>
              <w:jc w:val="both"/>
              <w:rPr>
                <w:lang w:val="bg-BG"/>
              </w:rPr>
            </w:pPr>
            <w:r w:rsidRPr="007375EB">
              <w:rPr>
                <w:lang w:val="bg-BG"/>
              </w:rPr>
              <w:t>Електроснабдяване на домакинство с вода, с. Фурника, община Думбръвени, окръг Констанца (предложено)</w:t>
            </w:r>
          </w:p>
        </w:tc>
        <w:tc>
          <w:tcPr>
            <w:tcW w:w="2125" w:type="dxa"/>
            <w:noWrap/>
            <w:vAlign w:val="center"/>
          </w:tcPr>
          <w:p w14:paraId="21667D2B" w14:textId="77777777" w:rsidR="00730E53" w:rsidRPr="007375EB" w:rsidRDefault="00730E53" w:rsidP="00730E53">
            <w:pPr>
              <w:rPr>
                <w:lang w:val="bg-BG"/>
              </w:rPr>
            </w:pPr>
            <w:r w:rsidRPr="007375EB">
              <w:rPr>
                <w:lang w:val="bg-BG"/>
              </w:rPr>
              <w:t>0,43 км</w:t>
            </w:r>
          </w:p>
        </w:tc>
        <w:tc>
          <w:tcPr>
            <w:tcW w:w="482" w:type="dxa"/>
            <w:noWrap/>
            <w:vAlign w:val="center"/>
          </w:tcPr>
          <w:p w14:paraId="73DC9F1A" w14:textId="77777777" w:rsidR="00730E53" w:rsidRPr="007375EB" w:rsidRDefault="00730E53" w:rsidP="00730E53">
            <w:pPr>
              <w:rPr>
                <w:lang w:val="bg-BG"/>
              </w:rPr>
            </w:pPr>
            <w:r w:rsidRPr="007375EB">
              <w:rPr>
                <w:lang w:val="bg-BG"/>
              </w:rPr>
              <w:t>-</w:t>
            </w:r>
          </w:p>
        </w:tc>
        <w:tc>
          <w:tcPr>
            <w:tcW w:w="916" w:type="dxa"/>
            <w:noWrap/>
            <w:vAlign w:val="center"/>
          </w:tcPr>
          <w:p w14:paraId="71D0A965" w14:textId="77777777" w:rsidR="00730E53" w:rsidRPr="007375EB" w:rsidRDefault="00730E53" w:rsidP="00730E53">
            <w:pPr>
              <w:rPr>
                <w:lang w:val="bg-BG"/>
              </w:rPr>
            </w:pPr>
            <w:r w:rsidRPr="007375EB">
              <w:rPr>
                <w:lang w:val="bg-BG"/>
              </w:rPr>
              <w:t>-</w:t>
            </w:r>
          </w:p>
        </w:tc>
        <w:tc>
          <w:tcPr>
            <w:tcW w:w="916" w:type="dxa"/>
            <w:noWrap/>
            <w:vAlign w:val="center"/>
          </w:tcPr>
          <w:p w14:paraId="6CFF78C1" w14:textId="77777777" w:rsidR="00730E53" w:rsidRPr="007375EB" w:rsidRDefault="00730E53" w:rsidP="00730E53">
            <w:pPr>
              <w:rPr>
                <w:lang w:val="bg-BG"/>
              </w:rPr>
            </w:pPr>
            <w:r w:rsidRPr="007375EB">
              <w:rPr>
                <w:lang w:val="bg-BG"/>
              </w:rPr>
              <w:t>-</w:t>
            </w:r>
          </w:p>
        </w:tc>
        <w:tc>
          <w:tcPr>
            <w:tcW w:w="810" w:type="dxa"/>
            <w:noWrap/>
            <w:vAlign w:val="center"/>
          </w:tcPr>
          <w:p w14:paraId="1FC88810" w14:textId="77777777" w:rsidR="00730E53" w:rsidRPr="007375EB" w:rsidRDefault="00730E53" w:rsidP="00730E53">
            <w:pPr>
              <w:rPr>
                <w:lang w:val="bg-BG"/>
              </w:rPr>
            </w:pPr>
            <w:r w:rsidRPr="007375EB">
              <w:rPr>
                <w:lang w:val="bg-BG"/>
              </w:rPr>
              <w:t>-</w:t>
            </w:r>
          </w:p>
        </w:tc>
        <w:tc>
          <w:tcPr>
            <w:tcW w:w="630" w:type="dxa"/>
            <w:noWrap/>
            <w:vAlign w:val="center"/>
          </w:tcPr>
          <w:p w14:paraId="6B18A2B4" w14:textId="77777777" w:rsidR="00730E53" w:rsidRPr="007375EB" w:rsidRDefault="00730E53" w:rsidP="00730E53">
            <w:pPr>
              <w:rPr>
                <w:lang w:val="bg-BG"/>
              </w:rPr>
            </w:pPr>
            <w:r w:rsidRPr="007375EB">
              <w:rPr>
                <w:lang w:val="bg-BG"/>
              </w:rPr>
              <w:t>-</w:t>
            </w:r>
          </w:p>
        </w:tc>
        <w:tc>
          <w:tcPr>
            <w:tcW w:w="720" w:type="dxa"/>
            <w:noWrap/>
            <w:vAlign w:val="center"/>
          </w:tcPr>
          <w:p w14:paraId="2B26CBE0" w14:textId="77777777" w:rsidR="00730E53" w:rsidRPr="007375EB" w:rsidRDefault="00730E53" w:rsidP="00730E53">
            <w:pPr>
              <w:rPr>
                <w:lang w:val="bg-BG"/>
              </w:rPr>
            </w:pPr>
            <w:r w:rsidRPr="007375EB">
              <w:rPr>
                <w:lang w:val="bg-BG"/>
              </w:rPr>
              <w:t>-</w:t>
            </w:r>
          </w:p>
        </w:tc>
        <w:tc>
          <w:tcPr>
            <w:tcW w:w="720" w:type="dxa"/>
            <w:noWrap/>
            <w:vAlign w:val="center"/>
          </w:tcPr>
          <w:p w14:paraId="0A682D37" w14:textId="77777777" w:rsidR="00730E53" w:rsidRPr="007375EB" w:rsidRDefault="00730E53" w:rsidP="00730E53">
            <w:pPr>
              <w:rPr>
                <w:lang w:val="bg-BG"/>
              </w:rPr>
            </w:pPr>
            <w:r w:rsidRPr="007375EB">
              <w:rPr>
                <w:lang w:val="bg-BG"/>
              </w:rPr>
              <w:t>-</w:t>
            </w:r>
          </w:p>
        </w:tc>
        <w:tc>
          <w:tcPr>
            <w:tcW w:w="540" w:type="dxa"/>
            <w:noWrap/>
            <w:vAlign w:val="center"/>
          </w:tcPr>
          <w:p w14:paraId="599B4C7A" w14:textId="77777777" w:rsidR="00730E53" w:rsidRPr="007375EB" w:rsidRDefault="00730E53" w:rsidP="00730E53">
            <w:pPr>
              <w:rPr>
                <w:lang w:val="bg-BG"/>
              </w:rPr>
            </w:pPr>
            <w:r w:rsidRPr="007375EB">
              <w:rPr>
                <w:lang w:val="bg-BG"/>
              </w:rPr>
              <w:t>-</w:t>
            </w:r>
          </w:p>
        </w:tc>
        <w:tc>
          <w:tcPr>
            <w:tcW w:w="990" w:type="dxa"/>
            <w:noWrap/>
            <w:vAlign w:val="center"/>
          </w:tcPr>
          <w:p w14:paraId="35D1D8AF" w14:textId="77777777" w:rsidR="00730E53" w:rsidRPr="007375EB" w:rsidRDefault="00730E53" w:rsidP="00730E53">
            <w:pPr>
              <w:rPr>
                <w:lang w:val="bg-BG"/>
              </w:rPr>
            </w:pPr>
            <w:r w:rsidRPr="007375EB">
              <w:rPr>
                <w:lang w:val="bg-BG"/>
              </w:rPr>
              <w:t>-</w:t>
            </w:r>
          </w:p>
        </w:tc>
        <w:tc>
          <w:tcPr>
            <w:tcW w:w="499" w:type="dxa"/>
            <w:noWrap/>
            <w:vAlign w:val="center"/>
          </w:tcPr>
          <w:p w14:paraId="4E728EC9" w14:textId="77777777" w:rsidR="00730E53" w:rsidRPr="007375EB" w:rsidRDefault="00730E53" w:rsidP="00730E53">
            <w:pPr>
              <w:rPr>
                <w:lang w:val="bg-BG"/>
              </w:rPr>
            </w:pPr>
            <w:r w:rsidRPr="007375EB">
              <w:rPr>
                <w:lang w:val="bg-BG"/>
              </w:rPr>
              <w:t>-</w:t>
            </w:r>
          </w:p>
        </w:tc>
        <w:tc>
          <w:tcPr>
            <w:tcW w:w="507" w:type="dxa"/>
            <w:noWrap/>
            <w:vAlign w:val="center"/>
          </w:tcPr>
          <w:p w14:paraId="1BDC8D5D" w14:textId="77777777" w:rsidR="00730E53" w:rsidRPr="007375EB" w:rsidRDefault="00730E53" w:rsidP="00730E53">
            <w:pPr>
              <w:rPr>
                <w:lang w:val="bg-BG"/>
              </w:rPr>
            </w:pPr>
            <w:r w:rsidRPr="007375EB">
              <w:rPr>
                <w:lang w:val="bg-BG"/>
              </w:rPr>
              <w:t>-</w:t>
            </w:r>
          </w:p>
        </w:tc>
        <w:tc>
          <w:tcPr>
            <w:tcW w:w="524" w:type="dxa"/>
            <w:noWrap/>
            <w:vAlign w:val="center"/>
          </w:tcPr>
          <w:p w14:paraId="7727E22D" w14:textId="77777777" w:rsidR="00730E53" w:rsidRPr="007375EB" w:rsidRDefault="00730E53" w:rsidP="00730E53">
            <w:pPr>
              <w:rPr>
                <w:lang w:val="bg-BG"/>
              </w:rPr>
            </w:pPr>
            <w:r w:rsidRPr="007375EB">
              <w:rPr>
                <w:lang w:val="bg-BG"/>
              </w:rPr>
              <w:t>-</w:t>
            </w:r>
          </w:p>
        </w:tc>
        <w:tc>
          <w:tcPr>
            <w:tcW w:w="616" w:type="dxa"/>
            <w:noWrap/>
            <w:vAlign w:val="center"/>
          </w:tcPr>
          <w:p w14:paraId="501CDDCB" w14:textId="77777777" w:rsidR="00730E53" w:rsidRPr="007375EB" w:rsidRDefault="00730E53" w:rsidP="00730E53">
            <w:pPr>
              <w:rPr>
                <w:lang w:val="bg-BG"/>
              </w:rPr>
            </w:pPr>
            <w:r w:rsidRPr="007375EB">
              <w:rPr>
                <w:lang w:val="bg-BG"/>
              </w:rPr>
              <w:t>-</w:t>
            </w:r>
          </w:p>
        </w:tc>
        <w:tc>
          <w:tcPr>
            <w:tcW w:w="612" w:type="dxa"/>
            <w:noWrap/>
            <w:vAlign w:val="center"/>
          </w:tcPr>
          <w:p w14:paraId="7E75A1EA" w14:textId="77777777" w:rsidR="00730E53" w:rsidRPr="007375EB" w:rsidRDefault="00730E53" w:rsidP="00730E53">
            <w:pPr>
              <w:rPr>
                <w:lang w:val="bg-BG"/>
              </w:rPr>
            </w:pPr>
            <w:r w:rsidRPr="007375EB">
              <w:rPr>
                <w:lang w:val="bg-BG"/>
              </w:rPr>
              <w:t>-</w:t>
            </w:r>
          </w:p>
        </w:tc>
      </w:tr>
      <w:tr w:rsidR="00730E53" w:rsidRPr="007375EB" w14:paraId="748B4E01" w14:textId="77777777" w:rsidTr="006C1B17">
        <w:trPr>
          <w:trHeight w:val="210"/>
        </w:trPr>
        <w:tc>
          <w:tcPr>
            <w:tcW w:w="621" w:type="dxa"/>
            <w:noWrap/>
          </w:tcPr>
          <w:p w14:paraId="5D46F670" w14:textId="77777777" w:rsidR="00730E53" w:rsidRPr="007375EB" w:rsidRDefault="00730E53" w:rsidP="00730E53">
            <w:pPr>
              <w:rPr>
                <w:lang w:val="bg-BG"/>
              </w:rPr>
            </w:pPr>
            <w:r w:rsidRPr="007375EB">
              <w:rPr>
                <w:lang w:val="bg-BG"/>
              </w:rPr>
              <w:t>9</w:t>
            </w:r>
          </w:p>
        </w:tc>
        <w:tc>
          <w:tcPr>
            <w:tcW w:w="3189" w:type="dxa"/>
            <w:noWrap/>
          </w:tcPr>
          <w:p w14:paraId="066908DA" w14:textId="3D27AC8C" w:rsidR="00730E53" w:rsidRPr="007375EB" w:rsidRDefault="00730E53" w:rsidP="00730E53">
            <w:pPr>
              <w:jc w:val="both"/>
              <w:rPr>
                <w:lang w:val="bg-BG"/>
              </w:rPr>
            </w:pPr>
            <w:r w:rsidRPr="007375EB">
              <w:rPr>
                <w:lang w:val="bg-BG"/>
              </w:rPr>
              <w:t>Преместване на международния транспортен тръбопровод за природен газ dn 1000T1 Исакча – Негру Вода, в района на кариерата ROMCIM, PL Меджидиа (предложено)</w:t>
            </w:r>
          </w:p>
        </w:tc>
        <w:tc>
          <w:tcPr>
            <w:tcW w:w="2125" w:type="dxa"/>
            <w:noWrap/>
            <w:vAlign w:val="center"/>
          </w:tcPr>
          <w:p w14:paraId="0685355E" w14:textId="77777777" w:rsidR="00730E53" w:rsidRPr="007375EB" w:rsidRDefault="00730E53" w:rsidP="00730E53">
            <w:pPr>
              <w:rPr>
                <w:lang w:val="bg-BG"/>
              </w:rPr>
            </w:pPr>
            <w:r w:rsidRPr="007375EB">
              <w:rPr>
                <w:lang w:val="bg-BG"/>
              </w:rPr>
              <w:t>36,90 км</w:t>
            </w:r>
          </w:p>
        </w:tc>
        <w:tc>
          <w:tcPr>
            <w:tcW w:w="482" w:type="dxa"/>
            <w:noWrap/>
            <w:vAlign w:val="center"/>
          </w:tcPr>
          <w:p w14:paraId="3F5D0408" w14:textId="77777777" w:rsidR="00730E53" w:rsidRPr="007375EB" w:rsidRDefault="00730E53" w:rsidP="00730E53">
            <w:pPr>
              <w:rPr>
                <w:lang w:val="bg-BG"/>
              </w:rPr>
            </w:pPr>
            <w:r w:rsidRPr="007375EB">
              <w:rPr>
                <w:lang w:val="bg-BG"/>
              </w:rPr>
              <w:t>-</w:t>
            </w:r>
          </w:p>
        </w:tc>
        <w:tc>
          <w:tcPr>
            <w:tcW w:w="916" w:type="dxa"/>
            <w:noWrap/>
            <w:vAlign w:val="center"/>
          </w:tcPr>
          <w:p w14:paraId="6E70792D" w14:textId="77777777" w:rsidR="00730E53" w:rsidRPr="007375EB" w:rsidRDefault="00730E53" w:rsidP="00730E53">
            <w:pPr>
              <w:rPr>
                <w:lang w:val="bg-BG"/>
              </w:rPr>
            </w:pPr>
            <w:r w:rsidRPr="007375EB">
              <w:rPr>
                <w:lang w:val="bg-BG"/>
              </w:rPr>
              <w:t>-</w:t>
            </w:r>
          </w:p>
        </w:tc>
        <w:tc>
          <w:tcPr>
            <w:tcW w:w="916" w:type="dxa"/>
            <w:noWrap/>
            <w:vAlign w:val="center"/>
          </w:tcPr>
          <w:p w14:paraId="6BE59E1E" w14:textId="77777777" w:rsidR="00730E53" w:rsidRPr="007375EB" w:rsidRDefault="00730E53" w:rsidP="00730E53">
            <w:pPr>
              <w:rPr>
                <w:lang w:val="bg-BG"/>
              </w:rPr>
            </w:pPr>
            <w:r w:rsidRPr="007375EB">
              <w:rPr>
                <w:lang w:val="bg-BG"/>
              </w:rPr>
              <w:t>-</w:t>
            </w:r>
          </w:p>
        </w:tc>
        <w:tc>
          <w:tcPr>
            <w:tcW w:w="810" w:type="dxa"/>
            <w:noWrap/>
            <w:vAlign w:val="center"/>
          </w:tcPr>
          <w:p w14:paraId="62EFDEF4" w14:textId="77777777" w:rsidR="00730E53" w:rsidRPr="007375EB" w:rsidRDefault="00730E53" w:rsidP="00730E53">
            <w:pPr>
              <w:rPr>
                <w:lang w:val="bg-BG"/>
              </w:rPr>
            </w:pPr>
            <w:r w:rsidRPr="007375EB">
              <w:rPr>
                <w:lang w:val="bg-BG"/>
              </w:rPr>
              <w:t>-</w:t>
            </w:r>
          </w:p>
        </w:tc>
        <w:tc>
          <w:tcPr>
            <w:tcW w:w="630" w:type="dxa"/>
            <w:noWrap/>
            <w:vAlign w:val="center"/>
          </w:tcPr>
          <w:p w14:paraId="274932CC" w14:textId="77777777" w:rsidR="00730E53" w:rsidRPr="007375EB" w:rsidRDefault="00730E53" w:rsidP="00730E53">
            <w:pPr>
              <w:rPr>
                <w:lang w:val="bg-BG"/>
              </w:rPr>
            </w:pPr>
            <w:r w:rsidRPr="007375EB">
              <w:rPr>
                <w:lang w:val="bg-BG"/>
              </w:rPr>
              <w:t>-</w:t>
            </w:r>
          </w:p>
        </w:tc>
        <w:tc>
          <w:tcPr>
            <w:tcW w:w="720" w:type="dxa"/>
            <w:noWrap/>
            <w:vAlign w:val="center"/>
          </w:tcPr>
          <w:p w14:paraId="3E2E9520" w14:textId="77777777" w:rsidR="00730E53" w:rsidRPr="007375EB" w:rsidRDefault="00730E53" w:rsidP="00730E53">
            <w:pPr>
              <w:rPr>
                <w:lang w:val="bg-BG"/>
              </w:rPr>
            </w:pPr>
            <w:r w:rsidRPr="007375EB">
              <w:rPr>
                <w:lang w:val="bg-BG"/>
              </w:rPr>
              <w:t>-</w:t>
            </w:r>
          </w:p>
        </w:tc>
        <w:tc>
          <w:tcPr>
            <w:tcW w:w="720" w:type="dxa"/>
            <w:noWrap/>
            <w:vAlign w:val="center"/>
          </w:tcPr>
          <w:p w14:paraId="1C1BBE60" w14:textId="77777777" w:rsidR="00730E53" w:rsidRPr="007375EB" w:rsidRDefault="00730E53" w:rsidP="00730E53">
            <w:pPr>
              <w:rPr>
                <w:lang w:val="bg-BG"/>
              </w:rPr>
            </w:pPr>
            <w:r w:rsidRPr="007375EB">
              <w:rPr>
                <w:lang w:val="bg-BG"/>
              </w:rPr>
              <w:t>-</w:t>
            </w:r>
          </w:p>
        </w:tc>
        <w:tc>
          <w:tcPr>
            <w:tcW w:w="540" w:type="dxa"/>
            <w:noWrap/>
            <w:vAlign w:val="center"/>
          </w:tcPr>
          <w:p w14:paraId="6F6322DE" w14:textId="77777777" w:rsidR="00730E53" w:rsidRPr="007375EB" w:rsidRDefault="00730E53" w:rsidP="00730E53">
            <w:pPr>
              <w:rPr>
                <w:lang w:val="bg-BG"/>
              </w:rPr>
            </w:pPr>
            <w:r w:rsidRPr="007375EB">
              <w:rPr>
                <w:lang w:val="bg-BG"/>
              </w:rPr>
              <w:t>-</w:t>
            </w:r>
          </w:p>
        </w:tc>
        <w:tc>
          <w:tcPr>
            <w:tcW w:w="990" w:type="dxa"/>
            <w:noWrap/>
            <w:vAlign w:val="center"/>
          </w:tcPr>
          <w:p w14:paraId="493D8F1E" w14:textId="77777777" w:rsidR="00730E53" w:rsidRPr="007375EB" w:rsidRDefault="00730E53" w:rsidP="00730E53">
            <w:pPr>
              <w:rPr>
                <w:lang w:val="bg-BG"/>
              </w:rPr>
            </w:pPr>
            <w:r w:rsidRPr="007375EB">
              <w:rPr>
                <w:lang w:val="bg-BG"/>
              </w:rPr>
              <w:t>-</w:t>
            </w:r>
          </w:p>
        </w:tc>
        <w:tc>
          <w:tcPr>
            <w:tcW w:w="499" w:type="dxa"/>
            <w:noWrap/>
            <w:vAlign w:val="center"/>
          </w:tcPr>
          <w:p w14:paraId="59A83E19" w14:textId="77777777" w:rsidR="00730E53" w:rsidRPr="007375EB" w:rsidRDefault="00730E53" w:rsidP="00730E53">
            <w:pPr>
              <w:rPr>
                <w:lang w:val="bg-BG"/>
              </w:rPr>
            </w:pPr>
            <w:r w:rsidRPr="007375EB">
              <w:rPr>
                <w:lang w:val="bg-BG"/>
              </w:rPr>
              <w:t>-</w:t>
            </w:r>
          </w:p>
        </w:tc>
        <w:tc>
          <w:tcPr>
            <w:tcW w:w="507" w:type="dxa"/>
            <w:noWrap/>
            <w:vAlign w:val="center"/>
          </w:tcPr>
          <w:p w14:paraId="26633ADF" w14:textId="77777777" w:rsidR="00730E53" w:rsidRPr="007375EB" w:rsidRDefault="00730E53" w:rsidP="00730E53">
            <w:pPr>
              <w:rPr>
                <w:lang w:val="bg-BG"/>
              </w:rPr>
            </w:pPr>
            <w:r w:rsidRPr="007375EB">
              <w:rPr>
                <w:lang w:val="bg-BG"/>
              </w:rPr>
              <w:t>-</w:t>
            </w:r>
          </w:p>
        </w:tc>
        <w:tc>
          <w:tcPr>
            <w:tcW w:w="524" w:type="dxa"/>
            <w:noWrap/>
            <w:vAlign w:val="center"/>
          </w:tcPr>
          <w:p w14:paraId="47D6452B" w14:textId="77777777" w:rsidR="00730E53" w:rsidRPr="007375EB" w:rsidRDefault="00730E53" w:rsidP="00730E53">
            <w:pPr>
              <w:rPr>
                <w:lang w:val="bg-BG"/>
              </w:rPr>
            </w:pPr>
            <w:r w:rsidRPr="007375EB">
              <w:rPr>
                <w:lang w:val="bg-BG"/>
              </w:rPr>
              <w:t>-</w:t>
            </w:r>
          </w:p>
        </w:tc>
        <w:tc>
          <w:tcPr>
            <w:tcW w:w="616" w:type="dxa"/>
            <w:noWrap/>
            <w:vAlign w:val="center"/>
          </w:tcPr>
          <w:p w14:paraId="02285964" w14:textId="77777777" w:rsidR="00730E53" w:rsidRPr="007375EB" w:rsidRDefault="00730E53" w:rsidP="00730E53">
            <w:pPr>
              <w:rPr>
                <w:lang w:val="bg-BG"/>
              </w:rPr>
            </w:pPr>
            <w:r w:rsidRPr="007375EB">
              <w:rPr>
                <w:lang w:val="bg-BG"/>
              </w:rPr>
              <w:t>-</w:t>
            </w:r>
          </w:p>
        </w:tc>
        <w:tc>
          <w:tcPr>
            <w:tcW w:w="612" w:type="dxa"/>
            <w:noWrap/>
            <w:vAlign w:val="center"/>
          </w:tcPr>
          <w:p w14:paraId="60FA11D7" w14:textId="77777777" w:rsidR="00730E53" w:rsidRPr="007375EB" w:rsidRDefault="00730E53" w:rsidP="00730E53">
            <w:pPr>
              <w:rPr>
                <w:lang w:val="bg-BG"/>
              </w:rPr>
            </w:pPr>
            <w:r w:rsidRPr="007375EB">
              <w:rPr>
                <w:lang w:val="bg-BG"/>
              </w:rPr>
              <w:t>-</w:t>
            </w:r>
          </w:p>
        </w:tc>
      </w:tr>
      <w:tr w:rsidR="00730E53" w:rsidRPr="007375EB" w14:paraId="03453177" w14:textId="77777777" w:rsidTr="006C1B17">
        <w:trPr>
          <w:trHeight w:val="210"/>
        </w:trPr>
        <w:tc>
          <w:tcPr>
            <w:tcW w:w="621" w:type="dxa"/>
            <w:noWrap/>
          </w:tcPr>
          <w:p w14:paraId="1F3C7899" w14:textId="77777777" w:rsidR="00730E53" w:rsidRPr="007375EB" w:rsidRDefault="00730E53" w:rsidP="00730E53">
            <w:pPr>
              <w:rPr>
                <w:lang w:val="bg-BG"/>
              </w:rPr>
            </w:pPr>
            <w:r w:rsidRPr="007375EB">
              <w:rPr>
                <w:lang w:val="bg-BG"/>
              </w:rPr>
              <w:t>10</w:t>
            </w:r>
          </w:p>
        </w:tc>
        <w:tc>
          <w:tcPr>
            <w:tcW w:w="3189" w:type="dxa"/>
            <w:noWrap/>
          </w:tcPr>
          <w:p w14:paraId="6DEB3F59" w14:textId="1B6B215A" w:rsidR="00730E53" w:rsidRPr="007375EB" w:rsidRDefault="00730E53" w:rsidP="00730E53">
            <w:pPr>
              <w:jc w:val="both"/>
              <w:rPr>
                <w:lang w:val="bg-BG"/>
              </w:rPr>
            </w:pPr>
            <w:r w:rsidRPr="007375EB">
              <w:rPr>
                <w:lang w:val="bg-BG"/>
              </w:rPr>
              <w:t>Общ градоустройствен план на община  Индепенденца (предложен)</w:t>
            </w:r>
          </w:p>
        </w:tc>
        <w:tc>
          <w:tcPr>
            <w:tcW w:w="2125" w:type="dxa"/>
            <w:noWrap/>
            <w:vAlign w:val="center"/>
          </w:tcPr>
          <w:p w14:paraId="74EA3B41" w14:textId="05B284FC" w:rsidR="00730E53" w:rsidRPr="007375EB" w:rsidRDefault="00CF09B3" w:rsidP="00730E53">
            <w:pPr>
              <w:rPr>
                <w:lang w:val="bg-BG"/>
              </w:rPr>
            </w:pPr>
            <w:r w:rsidRPr="007375EB">
              <w:rPr>
                <w:lang w:val="bg-BG"/>
              </w:rPr>
              <w:t>Пресечено в северозападната част на АТЕ</w:t>
            </w:r>
          </w:p>
        </w:tc>
        <w:tc>
          <w:tcPr>
            <w:tcW w:w="482" w:type="dxa"/>
            <w:noWrap/>
            <w:vAlign w:val="center"/>
          </w:tcPr>
          <w:p w14:paraId="58F02B9E" w14:textId="77777777" w:rsidR="00730E53" w:rsidRPr="007375EB" w:rsidRDefault="00730E53" w:rsidP="00730E53">
            <w:pPr>
              <w:rPr>
                <w:lang w:val="bg-BG"/>
              </w:rPr>
            </w:pPr>
            <w:r w:rsidRPr="007375EB">
              <w:rPr>
                <w:lang w:val="bg-BG"/>
              </w:rPr>
              <w:t>-</w:t>
            </w:r>
          </w:p>
        </w:tc>
        <w:tc>
          <w:tcPr>
            <w:tcW w:w="916" w:type="dxa"/>
            <w:noWrap/>
            <w:vAlign w:val="center"/>
          </w:tcPr>
          <w:p w14:paraId="10C621BF" w14:textId="77777777" w:rsidR="00730E53" w:rsidRPr="007375EB" w:rsidRDefault="00730E53" w:rsidP="00730E53">
            <w:pPr>
              <w:rPr>
                <w:lang w:val="bg-BG"/>
              </w:rPr>
            </w:pPr>
            <w:r w:rsidRPr="007375EB">
              <w:rPr>
                <w:lang w:val="bg-BG"/>
              </w:rPr>
              <w:t>-</w:t>
            </w:r>
          </w:p>
        </w:tc>
        <w:tc>
          <w:tcPr>
            <w:tcW w:w="916" w:type="dxa"/>
            <w:noWrap/>
            <w:vAlign w:val="center"/>
          </w:tcPr>
          <w:p w14:paraId="1C094B98" w14:textId="77777777" w:rsidR="00730E53" w:rsidRPr="007375EB" w:rsidRDefault="00730E53" w:rsidP="00730E53">
            <w:pPr>
              <w:rPr>
                <w:lang w:val="bg-BG"/>
              </w:rPr>
            </w:pPr>
            <w:r w:rsidRPr="007375EB">
              <w:rPr>
                <w:lang w:val="bg-BG"/>
              </w:rPr>
              <w:t>-</w:t>
            </w:r>
          </w:p>
        </w:tc>
        <w:tc>
          <w:tcPr>
            <w:tcW w:w="810" w:type="dxa"/>
            <w:noWrap/>
            <w:vAlign w:val="center"/>
          </w:tcPr>
          <w:p w14:paraId="2BA5CA55" w14:textId="77777777" w:rsidR="00730E53" w:rsidRPr="007375EB" w:rsidRDefault="00730E53" w:rsidP="00730E53">
            <w:pPr>
              <w:rPr>
                <w:lang w:val="bg-BG"/>
              </w:rPr>
            </w:pPr>
            <w:r w:rsidRPr="007375EB">
              <w:rPr>
                <w:lang w:val="bg-BG"/>
              </w:rPr>
              <w:t>-</w:t>
            </w:r>
          </w:p>
        </w:tc>
        <w:tc>
          <w:tcPr>
            <w:tcW w:w="630" w:type="dxa"/>
            <w:noWrap/>
            <w:vAlign w:val="center"/>
          </w:tcPr>
          <w:p w14:paraId="124FD6A1" w14:textId="77777777" w:rsidR="00730E53" w:rsidRPr="007375EB" w:rsidRDefault="00730E53" w:rsidP="00730E53">
            <w:pPr>
              <w:rPr>
                <w:lang w:val="bg-BG"/>
              </w:rPr>
            </w:pPr>
            <w:r w:rsidRPr="007375EB">
              <w:rPr>
                <w:lang w:val="bg-BG"/>
              </w:rPr>
              <w:t>-</w:t>
            </w:r>
          </w:p>
        </w:tc>
        <w:tc>
          <w:tcPr>
            <w:tcW w:w="720" w:type="dxa"/>
            <w:noWrap/>
            <w:vAlign w:val="center"/>
          </w:tcPr>
          <w:p w14:paraId="1BE9975D" w14:textId="77777777" w:rsidR="00730E53" w:rsidRPr="007375EB" w:rsidRDefault="00730E53" w:rsidP="00730E53">
            <w:pPr>
              <w:rPr>
                <w:lang w:val="bg-BG"/>
              </w:rPr>
            </w:pPr>
            <w:r w:rsidRPr="007375EB">
              <w:rPr>
                <w:lang w:val="bg-BG"/>
              </w:rPr>
              <w:t>-</w:t>
            </w:r>
          </w:p>
        </w:tc>
        <w:tc>
          <w:tcPr>
            <w:tcW w:w="720" w:type="dxa"/>
            <w:noWrap/>
            <w:vAlign w:val="center"/>
          </w:tcPr>
          <w:p w14:paraId="6B607917" w14:textId="77777777" w:rsidR="00730E53" w:rsidRPr="007375EB" w:rsidRDefault="00730E53" w:rsidP="00730E53">
            <w:pPr>
              <w:rPr>
                <w:lang w:val="bg-BG"/>
              </w:rPr>
            </w:pPr>
            <w:r w:rsidRPr="007375EB">
              <w:rPr>
                <w:lang w:val="bg-BG"/>
              </w:rPr>
              <w:t>-</w:t>
            </w:r>
          </w:p>
        </w:tc>
        <w:tc>
          <w:tcPr>
            <w:tcW w:w="540" w:type="dxa"/>
            <w:noWrap/>
            <w:vAlign w:val="center"/>
          </w:tcPr>
          <w:p w14:paraId="6F124AEF" w14:textId="77777777" w:rsidR="00730E53" w:rsidRPr="007375EB" w:rsidRDefault="00730E53" w:rsidP="00730E53">
            <w:pPr>
              <w:rPr>
                <w:lang w:val="bg-BG"/>
              </w:rPr>
            </w:pPr>
            <w:r w:rsidRPr="007375EB">
              <w:rPr>
                <w:lang w:val="bg-BG"/>
              </w:rPr>
              <w:t>-</w:t>
            </w:r>
          </w:p>
        </w:tc>
        <w:tc>
          <w:tcPr>
            <w:tcW w:w="990" w:type="dxa"/>
            <w:noWrap/>
            <w:vAlign w:val="center"/>
          </w:tcPr>
          <w:p w14:paraId="2BD19C1A" w14:textId="77777777" w:rsidR="00730E53" w:rsidRPr="007375EB" w:rsidRDefault="00730E53" w:rsidP="00730E53">
            <w:pPr>
              <w:rPr>
                <w:lang w:val="bg-BG"/>
              </w:rPr>
            </w:pPr>
            <w:r w:rsidRPr="007375EB">
              <w:rPr>
                <w:lang w:val="bg-BG"/>
              </w:rPr>
              <w:t>-</w:t>
            </w:r>
          </w:p>
        </w:tc>
        <w:tc>
          <w:tcPr>
            <w:tcW w:w="499" w:type="dxa"/>
            <w:noWrap/>
            <w:vAlign w:val="center"/>
          </w:tcPr>
          <w:p w14:paraId="235E4CDE" w14:textId="77777777" w:rsidR="00730E53" w:rsidRPr="007375EB" w:rsidRDefault="00730E53" w:rsidP="00730E53">
            <w:pPr>
              <w:rPr>
                <w:lang w:val="bg-BG"/>
              </w:rPr>
            </w:pPr>
            <w:r w:rsidRPr="007375EB">
              <w:rPr>
                <w:lang w:val="bg-BG"/>
              </w:rPr>
              <w:t>-</w:t>
            </w:r>
          </w:p>
        </w:tc>
        <w:tc>
          <w:tcPr>
            <w:tcW w:w="507" w:type="dxa"/>
            <w:noWrap/>
            <w:vAlign w:val="center"/>
          </w:tcPr>
          <w:p w14:paraId="73B795B2" w14:textId="77777777" w:rsidR="00730E53" w:rsidRPr="007375EB" w:rsidRDefault="00730E53" w:rsidP="00730E53">
            <w:pPr>
              <w:rPr>
                <w:lang w:val="bg-BG"/>
              </w:rPr>
            </w:pPr>
            <w:r w:rsidRPr="007375EB">
              <w:rPr>
                <w:lang w:val="bg-BG"/>
              </w:rPr>
              <w:t>-</w:t>
            </w:r>
          </w:p>
        </w:tc>
        <w:tc>
          <w:tcPr>
            <w:tcW w:w="524" w:type="dxa"/>
            <w:noWrap/>
            <w:vAlign w:val="center"/>
          </w:tcPr>
          <w:p w14:paraId="64F6BE94" w14:textId="77777777" w:rsidR="00730E53" w:rsidRPr="007375EB" w:rsidRDefault="00730E53" w:rsidP="00730E53">
            <w:pPr>
              <w:rPr>
                <w:lang w:val="bg-BG"/>
              </w:rPr>
            </w:pPr>
            <w:r w:rsidRPr="007375EB">
              <w:rPr>
                <w:lang w:val="bg-BG"/>
              </w:rPr>
              <w:t>-</w:t>
            </w:r>
          </w:p>
        </w:tc>
        <w:tc>
          <w:tcPr>
            <w:tcW w:w="616" w:type="dxa"/>
            <w:noWrap/>
            <w:vAlign w:val="center"/>
          </w:tcPr>
          <w:p w14:paraId="68FA29C7" w14:textId="77777777" w:rsidR="00730E53" w:rsidRPr="007375EB" w:rsidRDefault="00730E53" w:rsidP="00730E53">
            <w:pPr>
              <w:rPr>
                <w:lang w:val="bg-BG"/>
              </w:rPr>
            </w:pPr>
            <w:r w:rsidRPr="007375EB">
              <w:rPr>
                <w:lang w:val="bg-BG"/>
              </w:rPr>
              <w:t>-</w:t>
            </w:r>
          </w:p>
        </w:tc>
        <w:tc>
          <w:tcPr>
            <w:tcW w:w="612" w:type="dxa"/>
            <w:noWrap/>
            <w:vAlign w:val="center"/>
          </w:tcPr>
          <w:p w14:paraId="6021945A" w14:textId="77777777" w:rsidR="00730E53" w:rsidRPr="007375EB" w:rsidRDefault="00730E53" w:rsidP="00730E53">
            <w:pPr>
              <w:rPr>
                <w:lang w:val="bg-BG"/>
              </w:rPr>
            </w:pPr>
            <w:r w:rsidRPr="007375EB">
              <w:rPr>
                <w:lang w:val="bg-BG"/>
              </w:rPr>
              <w:t>-</w:t>
            </w:r>
          </w:p>
        </w:tc>
      </w:tr>
      <w:tr w:rsidR="00730E53" w:rsidRPr="007375EB" w14:paraId="72035B34" w14:textId="77777777" w:rsidTr="006C1B17">
        <w:trPr>
          <w:trHeight w:val="210"/>
        </w:trPr>
        <w:tc>
          <w:tcPr>
            <w:tcW w:w="621" w:type="dxa"/>
            <w:noWrap/>
          </w:tcPr>
          <w:p w14:paraId="108763DF" w14:textId="77777777" w:rsidR="00730E53" w:rsidRPr="007375EB" w:rsidRDefault="00730E53" w:rsidP="00730E53">
            <w:pPr>
              <w:rPr>
                <w:lang w:val="bg-BG"/>
              </w:rPr>
            </w:pPr>
            <w:r w:rsidRPr="007375EB">
              <w:rPr>
                <w:lang w:val="bg-BG"/>
              </w:rPr>
              <w:t>11</w:t>
            </w:r>
          </w:p>
        </w:tc>
        <w:tc>
          <w:tcPr>
            <w:tcW w:w="3189" w:type="dxa"/>
            <w:noWrap/>
          </w:tcPr>
          <w:p w14:paraId="350F19FD" w14:textId="1430C2A9" w:rsidR="00730E53" w:rsidRPr="007375EB" w:rsidRDefault="00730E53" w:rsidP="00730E53">
            <w:pPr>
              <w:jc w:val="both"/>
              <w:rPr>
                <w:lang w:val="bg-BG"/>
              </w:rPr>
            </w:pPr>
            <w:r w:rsidRPr="007375EB">
              <w:rPr>
                <w:lang w:val="bg-BG"/>
              </w:rPr>
              <w:t>Изграждане на интелигентна мрежа за разпределение на природен газ в община Индепенденца, окръг Констанца (предложена)</w:t>
            </w:r>
          </w:p>
        </w:tc>
        <w:tc>
          <w:tcPr>
            <w:tcW w:w="2125" w:type="dxa"/>
            <w:noWrap/>
            <w:vAlign w:val="center"/>
          </w:tcPr>
          <w:p w14:paraId="1F64BD54" w14:textId="77777777" w:rsidR="00730E53" w:rsidRPr="007375EB" w:rsidRDefault="00730E53" w:rsidP="00730E53">
            <w:pPr>
              <w:rPr>
                <w:lang w:val="bg-BG"/>
              </w:rPr>
            </w:pPr>
            <w:r w:rsidRPr="007375EB">
              <w:rPr>
                <w:lang w:val="bg-BG"/>
              </w:rPr>
              <w:t>5,19 км</w:t>
            </w:r>
          </w:p>
        </w:tc>
        <w:tc>
          <w:tcPr>
            <w:tcW w:w="482" w:type="dxa"/>
            <w:noWrap/>
            <w:vAlign w:val="center"/>
          </w:tcPr>
          <w:p w14:paraId="76BFFEC1" w14:textId="77777777" w:rsidR="00730E53" w:rsidRPr="007375EB" w:rsidRDefault="00730E53" w:rsidP="00730E53">
            <w:pPr>
              <w:rPr>
                <w:lang w:val="bg-BG"/>
              </w:rPr>
            </w:pPr>
            <w:r w:rsidRPr="007375EB">
              <w:rPr>
                <w:lang w:val="bg-BG"/>
              </w:rPr>
              <w:t>-</w:t>
            </w:r>
          </w:p>
        </w:tc>
        <w:tc>
          <w:tcPr>
            <w:tcW w:w="916" w:type="dxa"/>
            <w:noWrap/>
            <w:vAlign w:val="center"/>
          </w:tcPr>
          <w:p w14:paraId="3E9D17A4" w14:textId="77777777" w:rsidR="00730E53" w:rsidRPr="007375EB" w:rsidRDefault="00730E53" w:rsidP="00730E53">
            <w:pPr>
              <w:rPr>
                <w:lang w:val="bg-BG"/>
              </w:rPr>
            </w:pPr>
            <w:r w:rsidRPr="007375EB">
              <w:rPr>
                <w:lang w:val="bg-BG"/>
              </w:rPr>
              <w:t>-</w:t>
            </w:r>
          </w:p>
        </w:tc>
        <w:tc>
          <w:tcPr>
            <w:tcW w:w="916" w:type="dxa"/>
            <w:noWrap/>
            <w:vAlign w:val="center"/>
          </w:tcPr>
          <w:p w14:paraId="2BA0CD37" w14:textId="77777777" w:rsidR="00730E53" w:rsidRPr="007375EB" w:rsidRDefault="00730E53" w:rsidP="00730E53">
            <w:pPr>
              <w:rPr>
                <w:lang w:val="bg-BG"/>
              </w:rPr>
            </w:pPr>
            <w:r w:rsidRPr="007375EB">
              <w:rPr>
                <w:lang w:val="bg-BG"/>
              </w:rPr>
              <w:t>-</w:t>
            </w:r>
          </w:p>
        </w:tc>
        <w:tc>
          <w:tcPr>
            <w:tcW w:w="810" w:type="dxa"/>
            <w:noWrap/>
            <w:vAlign w:val="center"/>
          </w:tcPr>
          <w:p w14:paraId="52ED7A44" w14:textId="77777777" w:rsidR="00730E53" w:rsidRPr="007375EB" w:rsidRDefault="00730E53" w:rsidP="00730E53">
            <w:pPr>
              <w:rPr>
                <w:lang w:val="bg-BG"/>
              </w:rPr>
            </w:pPr>
            <w:r w:rsidRPr="007375EB">
              <w:rPr>
                <w:lang w:val="bg-BG"/>
              </w:rPr>
              <w:t>-</w:t>
            </w:r>
          </w:p>
        </w:tc>
        <w:tc>
          <w:tcPr>
            <w:tcW w:w="630" w:type="dxa"/>
            <w:noWrap/>
            <w:vAlign w:val="center"/>
          </w:tcPr>
          <w:p w14:paraId="7B7860E2" w14:textId="77777777" w:rsidR="00730E53" w:rsidRPr="007375EB" w:rsidRDefault="00730E53" w:rsidP="00730E53">
            <w:pPr>
              <w:rPr>
                <w:lang w:val="bg-BG"/>
              </w:rPr>
            </w:pPr>
            <w:r w:rsidRPr="007375EB">
              <w:rPr>
                <w:lang w:val="bg-BG"/>
              </w:rPr>
              <w:t>-</w:t>
            </w:r>
          </w:p>
        </w:tc>
        <w:tc>
          <w:tcPr>
            <w:tcW w:w="720" w:type="dxa"/>
            <w:noWrap/>
            <w:vAlign w:val="center"/>
          </w:tcPr>
          <w:p w14:paraId="5429CAAB" w14:textId="77777777" w:rsidR="00730E53" w:rsidRPr="007375EB" w:rsidRDefault="00730E53" w:rsidP="00730E53">
            <w:pPr>
              <w:rPr>
                <w:lang w:val="bg-BG"/>
              </w:rPr>
            </w:pPr>
            <w:r w:rsidRPr="007375EB">
              <w:rPr>
                <w:lang w:val="bg-BG"/>
              </w:rPr>
              <w:t>-</w:t>
            </w:r>
          </w:p>
        </w:tc>
        <w:tc>
          <w:tcPr>
            <w:tcW w:w="720" w:type="dxa"/>
            <w:noWrap/>
            <w:vAlign w:val="center"/>
          </w:tcPr>
          <w:p w14:paraId="6250D2AB" w14:textId="77777777" w:rsidR="00730E53" w:rsidRPr="007375EB" w:rsidRDefault="00730E53" w:rsidP="00730E53">
            <w:pPr>
              <w:rPr>
                <w:lang w:val="bg-BG"/>
              </w:rPr>
            </w:pPr>
            <w:r w:rsidRPr="007375EB">
              <w:rPr>
                <w:lang w:val="bg-BG"/>
              </w:rPr>
              <w:t>-</w:t>
            </w:r>
          </w:p>
        </w:tc>
        <w:tc>
          <w:tcPr>
            <w:tcW w:w="540" w:type="dxa"/>
            <w:noWrap/>
            <w:vAlign w:val="center"/>
          </w:tcPr>
          <w:p w14:paraId="51AECE13" w14:textId="77777777" w:rsidR="00730E53" w:rsidRPr="007375EB" w:rsidRDefault="00730E53" w:rsidP="00730E53">
            <w:pPr>
              <w:rPr>
                <w:lang w:val="bg-BG"/>
              </w:rPr>
            </w:pPr>
            <w:r w:rsidRPr="007375EB">
              <w:rPr>
                <w:lang w:val="bg-BG"/>
              </w:rPr>
              <w:t>-</w:t>
            </w:r>
          </w:p>
        </w:tc>
        <w:tc>
          <w:tcPr>
            <w:tcW w:w="990" w:type="dxa"/>
            <w:noWrap/>
            <w:vAlign w:val="center"/>
          </w:tcPr>
          <w:p w14:paraId="3A249495" w14:textId="77777777" w:rsidR="00730E53" w:rsidRPr="007375EB" w:rsidRDefault="00730E53" w:rsidP="00730E53">
            <w:pPr>
              <w:rPr>
                <w:lang w:val="bg-BG"/>
              </w:rPr>
            </w:pPr>
            <w:r w:rsidRPr="007375EB">
              <w:rPr>
                <w:lang w:val="bg-BG"/>
              </w:rPr>
              <w:t>-</w:t>
            </w:r>
          </w:p>
        </w:tc>
        <w:tc>
          <w:tcPr>
            <w:tcW w:w="499" w:type="dxa"/>
            <w:noWrap/>
            <w:vAlign w:val="center"/>
          </w:tcPr>
          <w:p w14:paraId="2864DE43" w14:textId="77777777" w:rsidR="00730E53" w:rsidRPr="007375EB" w:rsidRDefault="00730E53" w:rsidP="00730E53">
            <w:pPr>
              <w:rPr>
                <w:lang w:val="bg-BG"/>
              </w:rPr>
            </w:pPr>
            <w:r w:rsidRPr="007375EB">
              <w:rPr>
                <w:lang w:val="bg-BG"/>
              </w:rPr>
              <w:t>-</w:t>
            </w:r>
          </w:p>
        </w:tc>
        <w:tc>
          <w:tcPr>
            <w:tcW w:w="507" w:type="dxa"/>
            <w:noWrap/>
            <w:vAlign w:val="center"/>
          </w:tcPr>
          <w:p w14:paraId="40AF8AC7" w14:textId="77777777" w:rsidR="00730E53" w:rsidRPr="007375EB" w:rsidRDefault="00730E53" w:rsidP="00730E53">
            <w:pPr>
              <w:rPr>
                <w:lang w:val="bg-BG"/>
              </w:rPr>
            </w:pPr>
            <w:r w:rsidRPr="007375EB">
              <w:rPr>
                <w:lang w:val="bg-BG"/>
              </w:rPr>
              <w:t>-</w:t>
            </w:r>
          </w:p>
        </w:tc>
        <w:tc>
          <w:tcPr>
            <w:tcW w:w="524" w:type="dxa"/>
            <w:noWrap/>
            <w:vAlign w:val="center"/>
          </w:tcPr>
          <w:p w14:paraId="296BD75A" w14:textId="77777777" w:rsidR="00730E53" w:rsidRPr="007375EB" w:rsidRDefault="00730E53" w:rsidP="00730E53">
            <w:pPr>
              <w:rPr>
                <w:lang w:val="bg-BG"/>
              </w:rPr>
            </w:pPr>
            <w:r w:rsidRPr="007375EB">
              <w:rPr>
                <w:lang w:val="bg-BG"/>
              </w:rPr>
              <w:t>-</w:t>
            </w:r>
          </w:p>
        </w:tc>
        <w:tc>
          <w:tcPr>
            <w:tcW w:w="616" w:type="dxa"/>
            <w:noWrap/>
            <w:vAlign w:val="center"/>
          </w:tcPr>
          <w:p w14:paraId="2931501E" w14:textId="77777777" w:rsidR="00730E53" w:rsidRPr="007375EB" w:rsidRDefault="00730E53" w:rsidP="00730E53">
            <w:pPr>
              <w:rPr>
                <w:lang w:val="bg-BG"/>
              </w:rPr>
            </w:pPr>
            <w:r w:rsidRPr="007375EB">
              <w:rPr>
                <w:lang w:val="bg-BG"/>
              </w:rPr>
              <w:t>-</w:t>
            </w:r>
          </w:p>
        </w:tc>
        <w:tc>
          <w:tcPr>
            <w:tcW w:w="612" w:type="dxa"/>
            <w:noWrap/>
            <w:vAlign w:val="center"/>
          </w:tcPr>
          <w:p w14:paraId="63DB601E" w14:textId="77777777" w:rsidR="00730E53" w:rsidRPr="007375EB" w:rsidRDefault="00730E53" w:rsidP="00730E53">
            <w:pPr>
              <w:rPr>
                <w:lang w:val="bg-BG"/>
              </w:rPr>
            </w:pPr>
            <w:r w:rsidRPr="007375EB">
              <w:rPr>
                <w:lang w:val="bg-BG"/>
              </w:rPr>
              <w:t>-</w:t>
            </w:r>
          </w:p>
        </w:tc>
      </w:tr>
      <w:tr w:rsidR="00730E53" w:rsidRPr="007375EB" w14:paraId="7B09FE16" w14:textId="77777777" w:rsidTr="006C1B17">
        <w:trPr>
          <w:trHeight w:val="210"/>
        </w:trPr>
        <w:tc>
          <w:tcPr>
            <w:tcW w:w="621" w:type="dxa"/>
            <w:noWrap/>
          </w:tcPr>
          <w:p w14:paraId="05CEC0D9" w14:textId="77777777" w:rsidR="00730E53" w:rsidRPr="007375EB" w:rsidRDefault="00730E53" w:rsidP="00730E53">
            <w:pPr>
              <w:rPr>
                <w:lang w:val="bg-BG"/>
              </w:rPr>
            </w:pPr>
            <w:r w:rsidRPr="007375EB">
              <w:rPr>
                <w:lang w:val="bg-BG"/>
              </w:rPr>
              <w:t>12</w:t>
            </w:r>
          </w:p>
        </w:tc>
        <w:tc>
          <w:tcPr>
            <w:tcW w:w="3189" w:type="dxa"/>
            <w:noWrap/>
          </w:tcPr>
          <w:p w14:paraId="67C8E81F" w14:textId="34593D34" w:rsidR="00730E53" w:rsidRPr="007375EB" w:rsidRDefault="00730E53" w:rsidP="00730E53">
            <w:pPr>
              <w:jc w:val="both"/>
              <w:rPr>
                <w:lang w:val="bg-BG"/>
              </w:rPr>
            </w:pPr>
            <w:r w:rsidRPr="007375EB">
              <w:rPr>
                <w:lang w:val="bg-BG"/>
              </w:rPr>
              <w:t xml:space="preserve">Изграждане на мост в Мовила Верде, улица „Бисеричи“, </w:t>
            </w:r>
            <w:r w:rsidRPr="007375EB">
              <w:rPr>
                <w:lang w:val="bg-BG"/>
              </w:rPr>
              <w:lastRenderedPageBreak/>
              <w:t>Мовила Верде, община Индепенденца, окръг Констанца (предложен)</w:t>
            </w:r>
          </w:p>
        </w:tc>
        <w:tc>
          <w:tcPr>
            <w:tcW w:w="2125" w:type="dxa"/>
            <w:noWrap/>
            <w:vAlign w:val="center"/>
          </w:tcPr>
          <w:p w14:paraId="217DDC4F" w14:textId="77777777" w:rsidR="00730E53" w:rsidRPr="007375EB" w:rsidRDefault="00730E53" w:rsidP="00730E53">
            <w:pPr>
              <w:rPr>
                <w:lang w:val="bg-BG"/>
              </w:rPr>
            </w:pPr>
            <w:r w:rsidRPr="007375EB">
              <w:rPr>
                <w:lang w:val="bg-BG"/>
              </w:rPr>
              <w:lastRenderedPageBreak/>
              <w:t>10,61 км</w:t>
            </w:r>
          </w:p>
        </w:tc>
        <w:tc>
          <w:tcPr>
            <w:tcW w:w="482" w:type="dxa"/>
            <w:noWrap/>
            <w:vAlign w:val="center"/>
          </w:tcPr>
          <w:p w14:paraId="74797D84" w14:textId="77777777" w:rsidR="00730E53" w:rsidRPr="007375EB" w:rsidRDefault="00730E53" w:rsidP="00730E53">
            <w:pPr>
              <w:rPr>
                <w:lang w:val="bg-BG"/>
              </w:rPr>
            </w:pPr>
            <w:r w:rsidRPr="007375EB">
              <w:rPr>
                <w:lang w:val="bg-BG"/>
              </w:rPr>
              <w:t>-</w:t>
            </w:r>
          </w:p>
        </w:tc>
        <w:tc>
          <w:tcPr>
            <w:tcW w:w="916" w:type="dxa"/>
            <w:noWrap/>
            <w:vAlign w:val="center"/>
          </w:tcPr>
          <w:p w14:paraId="73D12158" w14:textId="77777777" w:rsidR="00730E53" w:rsidRPr="007375EB" w:rsidRDefault="00730E53" w:rsidP="00730E53">
            <w:pPr>
              <w:rPr>
                <w:lang w:val="bg-BG"/>
              </w:rPr>
            </w:pPr>
            <w:r w:rsidRPr="007375EB">
              <w:rPr>
                <w:lang w:val="bg-BG"/>
              </w:rPr>
              <w:t>-</w:t>
            </w:r>
          </w:p>
        </w:tc>
        <w:tc>
          <w:tcPr>
            <w:tcW w:w="916" w:type="dxa"/>
            <w:noWrap/>
            <w:vAlign w:val="center"/>
          </w:tcPr>
          <w:p w14:paraId="38F9187E" w14:textId="77777777" w:rsidR="00730E53" w:rsidRPr="007375EB" w:rsidRDefault="00730E53" w:rsidP="00730E53">
            <w:pPr>
              <w:rPr>
                <w:lang w:val="bg-BG"/>
              </w:rPr>
            </w:pPr>
            <w:r w:rsidRPr="007375EB">
              <w:rPr>
                <w:lang w:val="bg-BG"/>
              </w:rPr>
              <w:t>-</w:t>
            </w:r>
          </w:p>
        </w:tc>
        <w:tc>
          <w:tcPr>
            <w:tcW w:w="810" w:type="dxa"/>
            <w:noWrap/>
            <w:vAlign w:val="center"/>
          </w:tcPr>
          <w:p w14:paraId="472D666D" w14:textId="77777777" w:rsidR="00730E53" w:rsidRPr="007375EB" w:rsidRDefault="00730E53" w:rsidP="00730E53">
            <w:pPr>
              <w:rPr>
                <w:lang w:val="bg-BG"/>
              </w:rPr>
            </w:pPr>
            <w:r w:rsidRPr="007375EB">
              <w:rPr>
                <w:lang w:val="bg-BG"/>
              </w:rPr>
              <w:t>-</w:t>
            </w:r>
          </w:p>
        </w:tc>
        <w:tc>
          <w:tcPr>
            <w:tcW w:w="630" w:type="dxa"/>
            <w:noWrap/>
            <w:vAlign w:val="center"/>
          </w:tcPr>
          <w:p w14:paraId="33BF3678" w14:textId="77777777" w:rsidR="00730E53" w:rsidRPr="007375EB" w:rsidRDefault="00730E53" w:rsidP="00730E53">
            <w:pPr>
              <w:rPr>
                <w:lang w:val="bg-BG"/>
              </w:rPr>
            </w:pPr>
            <w:r w:rsidRPr="007375EB">
              <w:rPr>
                <w:lang w:val="bg-BG"/>
              </w:rPr>
              <w:t>-</w:t>
            </w:r>
          </w:p>
        </w:tc>
        <w:tc>
          <w:tcPr>
            <w:tcW w:w="720" w:type="dxa"/>
            <w:noWrap/>
            <w:vAlign w:val="center"/>
          </w:tcPr>
          <w:p w14:paraId="49996F63" w14:textId="77777777" w:rsidR="00730E53" w:rsidRPr="007375EB" w:rsidRDefault="00730E53" w:rsidP="00730E53">
            <w:pPr>
              <w:rPr>
                <w:lang w:val="bg-BG"/>
              </w:rPr>
            </w:pPr>
            <w:r w:rsidRPr="007375EB">
              <w:rPr>
                <w:lang w:val="bg-BG"/>
              </w:rPr>
              <w:t>-</w:t>
            </w:r>
          </w:p>
        </w:tc>
        <w:tc>
          <w:tcPr>
            <w:tcW w:w="720" w:type="dxa"/>
            <w:noWrap/>
            <w:vAlign w:val="center"/>
          </w:tcPr>
          <w:p w14:paraId="1E5301FB" w14:textId="77777777" w:rsidR="00730E53" w:rsidRPr="007375EB" w:rsidRDefault="00730E53" w:rsidP="00730E53">
            <w:pPr>
              <w:rPr>
                <w:lang w:val="bg-BG"/>
              </w:rPr>
            </w:pPr>
            <w:r w:rsidRPr="007375EB">
              <w:rPr>
                <w:lang w:val="bg-BG"/>
              </w:rPr>
              <w:t>-</w:t>
            </w:r>
          </w:p>
        </w:tc>
        <w:tc>
          <w:tcPr>
            <w:tcW w:w="540" w:type="dxa"/>
            <w:noWrap/>
            <w:vAlign w:val="center"/>
          </w:tcPr>
          <w:p w14:paraId="717FCBED" w14:textId="77777777" w:rsidR="00730E53" w:rsidRPr="007375EB" w:rsidRDefault="00730E53" w:rsidP="00730E53">
            <w:pPr>
              <w:rPr>
                <w:lang w:val="bg-BG"/>
              </w:rPr>
            </w:pPr>
            <w:r w:rsidRPr="007375EB">
              <w:rPr>
                <w:lang w:val="bg-BG"/>
              </w:rPr>
              <w:t>-</w:t>
            </w:r>
          </w:p>
        </w:tc>
        <w:tc>
          <w:tcPr>
            <w:tcW w:w="990" w:type="dxa"/>
            <w:noWrap/>
            <w:vAlign w:val="center"/>
          </w:tcPr>
          <w:p w14:paraId="4EBF49D1" w14:textId="77777777" w:rsidR="00730E53" w:rsidRPr="007375EB" w:rsidRDefault="00730E53" w:rsidP="00730E53">
            <w:pPr>
              <w:rPr>
                <w:lang w:val="bg-BG"/>
              </w:rPr>
            </w:pPr>
            <w:r w:rsidRPr="007375EB">
              <w:rPr>
                <w:lang w:val="bg-BG"/>
              </w:rPr>
              <w:t>-</w:t>
            </w:r>
          </w:p>
        </w:tc>
        <w:tc>
          <w:tcPr>
            <w:tcW w:w="499" w:type="dxa"/>
            <w:noWrap/>
            <w:vAlign w:val="center"/>
          </w:tcPr>
          <w:p w14:paraId="1B7FC78C" w14:textId="77777777" w:rsidR="00730E53" w:rsidRPr="007375EB" w:rsidRDefault="00730E53" w:rsidP="00730E53">
            <w:pPr>
              <w:rPr>
                <w:lang w:val="bg-BG"/>
              </w:rPr>
            </w:pPr>
            <w:r w:rsidRPr="007375EB">
              <w:rPr>
                <w:lang w:val="bg-BG"/>
              </w:rPr>
              <w:t>-</w:t>
            </w:r>
          </w:p>
        </w:tc>
        <w:tc>
          <w:tcPr>
            <w:tcW w:w="507" w:type="dxa"/>
            <w:noWrap/>
            <w:vAlign w:val="center"/>
          </w:tcPr>
          <w:p w14:paraId="1016F990" w14:textId="77777777" w:rsidR="00730E53" w:rsidRPr="007375EB" w:rsidRDefault="00730E53" w:rsidP="00730E53">
            <w:pPr>
              <w:rPr>
                <w:lang w:val="bg-BG"/>
              </w:rPr>
            </w:pPr>
            <w:r w:rsidRPr="007375EB">
              <w:rPr>
                <w:lang w:val="bg-BG"/>
              </w:rPr>
              <w:t>-</w:t>
            </w:r>
          </w:p>
        </w:tc>
        <w:tc>
          <w:tcPr>
            <w:tcW w:w="524" w:type="dxa"/>
            <w:noWrap/>
            <w:vAlign w:val="center"/>
          </w:tcPr>
          <w:p w14:paraId="5C70C986" w14:textId="77777777" w:rsidR="00730E53" w:rsidRPr="007375EB" w:rsidRDefault="00730E53" w:rsidP="00730E53">
            <w:pPr>
              <w:rPr>
                <w:lang w:val="bg-BG"/>
              </w:rPr>
            </w:pPr>
            <w:r w:rsidRPr="007375EB">
              <w:rPr>
                <w:lang w:val="bg-BG"/>
              </w:rPr>
              <w:t>-</w:t>
            </w:r>
          </w:p>
        </w:tc>
        <w:tc>
          <w:tcPr>
            <w:tcW w:w="616" w:type="dxa"/>
            <w:noWrap/>
            <w:vAlign w:val="center"/>
          </w:tcPr>
          <w:p w14:paraId="6DF00D11" w14:textId="77777777" w:rsidR="00730E53" w:rsidRPr="007375EB" w:rsidRDefault="00730E53" w:rsidP="00730E53">
            <w:pPr>
              <w:rPr>
                <w:lang w:val="bg-BG"/>
              </w:rPr>
            </w:pPr>
            <w:r w:rsidRPr="007375EB">
              <w:rPr>
                <w:lang w:val="bg-BG"/>
              </w:rPr>
              <w:t>-</w:t>
            </w:r>
          </w:p>
        </w:tc>
        <w:tc>
          <w:tcPr>
            <w:tcW w:w="612" w:type="dxa"/>
            <w:noWrap/>
            <w:vAlign w:val="center"/>
          </w:tcPr>
          <w:p w14:paraId="2D323AE4" w14:textId="77777777" w:rsidR="00730E53" w:rsidRPr="007375EB" w:rsidRDefault="00730E53" w:rsidP="00730E53">
            <w:pPr>
              <w:rPr>
                <w:lang w:val="bg-BG"/>
              </w:rPr>
            </w:pPr>
            <w:r w:rsidRPr="007375EB">
              <w:rPr>
                <w:lang w:val="bg-BG"/>
              </w:rPr>
              <w:t>-</w:t>
            </w:r>
          </w:p>
        </w:tc>
      </w:tr>
      <w:tr w:rsidR="00730E53" w:rsidRPr="007375EB" w14:paraId="763D1153" w14:textId="77777777" w:rsidTr="006C1B17">
        <w:trPr>
          <w:trHeight w:val="210"/>
        </w:trPr>
        <w:tc>
          <w:tcPr>
            <w:tcW w:w="621" w:type="dxa"/>
            <w:noWrap/>
          </w:tcPr>
          <w:p w14:paraId="49659A36" w14:textId="77777777" w:rsidR="00730E53" w:rsidRPr="007375EB" w:rsidRDefault="00730E53" w:rsidP="00730E53">
            <w:pPr>
              <w:rPr>
                <w:lang w:val="bg-BG"/>
              </w:rPr>
            </w:pPr>
            <w:r w:rsidRPr="007375EB">
              <w:rPr>
                <w:lang w:val="bg-BG"/>
              </w:rPr>
              <w:t>13</w:t>
            </w:r>
          </w:p>
        </w:tc>
        <w:tc>
          <w:tcPr>
            <w:tcW w:w="3189" w:type="dxa"/>
            <w:noWrap/>
          </w:tcPr>
          <w:p w14:paraId="59D9EC26" w14:textId="7DC1B724" w:rsidR="00730E53" w:rsidRPr="007375EB" w:rsidRDefault="00730E53" w:rsidP="00730E53">
            <w:pPr>
              <w:jc w:val="both"/>
              <w:rPr>
                <w:lang w:val="bg-BG"/>
              </w:rPr>
            </w:pPr>
            <w:r w:rsidRPr="007375EB">
              <w:rPr>
                <w:lang w:val="bg-BG"/>
              </w:rPr>
              <w:t>Асфалтиране на улици Комана, Тътару и Пелину, етап I, община Комана, окръг Констанца (предложено)</w:t>
            </w:r>
          </w:p>
        </w:tc>
        <w:tc>
          <w:tcPr>
            <w:tcW w:w="2125" w:type="dxa"/>
            <w:noWrap/>
            <w:vAlign w:val="center"/>
          </w:tcPr>
          <w:p w14:paraId="1845422D" w14:textId="77777777" w:rsidR="00730E53" w:rsidRPr="007375EB" w:rsidRDefault="00730E53" w:rsidP="00730E53">
            <w:pPr>
              <w:rPr>
                <w:lang w:val="bg-BG"/>
              </w:rPr>
            </w:pPr>
            <w:r w:rsidRPr="007375EB">
              <w:rPr>
                <w:lang w:val="bg-BG"/>
              </w:rPr>
              <w:t>24,86 км</w:t>
            </w:r>
          </w:p>
        </w:tc>
        <w:tc>
          <w:tcPr>
            <w:tcW w:w="482" w:type="dxa"/>
            <w:noWrap/>
            <w:vAlign w:val="center"/>
          </w:tcPr>
          <w:p w14:paraId="3408800E" w14:textId="77777777" w:rsidR="00730E53" w:rsidRPr="007375EB" w:rsidRDefault="00730E53" w:rsidP="00730E53">
            <w:pPr>
              <w:rPr>
                <w:lang w:val="bg-BG"/>
              </w:rPr>
            </w:pPr>
            <w:r w:rsidRPr="007375EB">
              <w:rPr>
                <w:lang w:val="bg-BG"/>
              </w:rPr>
              <w:t>-</w:t>
            </w:r>
          </w:p>
        </w:tc>
        <w:tc>
          <w:tcPr>
            <w:tcW w:w="916" w:type="dxa"/>
            <w:noWrap/>
            <w:vAlign w:val="center"/>
          </w:tcPr>
          <w:p w14:paraId="45256C68" w14:textId="77777777" w:rsidR="00730E53" w:rsidRPr="007375EB" w:rsidRDefault="00730E53" w:rsidP="00730E53">
            <w:pPr>
              <w:rPr>
                <w:lang w:val="bg-BG"/>
              </w:rPr>
            </w:pPr>
            <w:r w:rsidRPr="007375EB">
              <w:rPr>
                <w:lang w:val="bg-BG"/>
              </w:rPr>
              <w:t>-</w:t>
            </w:r>
          </w:p>
        </w:tc>
        <w:tc>
          <w:tcPr>
            <w:tcW w:w="916" w:type="dxa"/>
            <w:noWrap/>
            <w:vAlign w:val="center"/>
          </w:tcPr>
          <w:p w14:paraId="47BCAB05" w14:textId="77777777" w:rsidR="00730E53" w:rsidRPr="007375EB" w:rsidRDefault="00730E53" w:rsidP="00730E53">
            <w:pPr>
              <w:rPr>
                <w:lang w:val="bg-BG"/>
              </w:rPr>
            </w:pPr>
            <w:r w:rsidRPr="007375EB">
              <w:rPr>
                <w:lang w:val="bg-BG"/>
              </w:rPr>
              <w:t>-</w:t>
            </w:r>
          </w:p>
        </w:tc>
        <w:tc>
          <w:tcPr>
            <w:tcW w:w="810" w:type="dxa"/>
            <w:noWrap/>
            <w:vAlign w:val="center"/>
          </w:tcPr>
          <w:p w14:paraId="2BF9C578" w14:textId="77777777" w:rsidR="00730E53" w:rsidRPr="007375EB" w:rsidRDefault="00730E53" w:rsidP="00730E53">
            <w:pPr>
              <w:rPr>
                <w:lang w:val="bg-BG"/>
              </w:rPr>
            </w:pPr>
            <w:r w:rsidRPr="007375EB">
              <w:rPr>
                <w:lang w:val="bg-BG"/>
              </w:rPr>
              <w:t>-</w:t>
            </w:r>
          </w:p>
        </w:tc>
        <w:tc>
          <w:tcPr>
            <w:tcW w:w="630" w:type="dxa"/>
            <w:noWrap/>
            <w:vAlign w:val="center"/>
          </w:tcPr>
          <w:p w14:paraId="28196097" w14:textId="77777777" w:rsidR="00730E53" w:rsidRPr="007375EB" w:rsidRDefault="00730E53" w:rsidP="00730E53">
            <w:pPr>
              <w:rPr>
                <w:lang w:val="bg-BG"/>
              </w:rPr>
            </w:pPr>
            <w:r w:rsidRPr="007375EB">
              <w:rPr>
                <w:lang w:val="bg-BG"/>
              </w:rPr>
              <w:t>-</w:t>
            </w:r>
          </w:p>
        </w:tc>
        <w:tc>
          <w:tcPr>
            <w:tcW w:w="720" w:type="dxa"/>
            <w:noWrap/>
            <w:vAlign w:val="center"/>
          </w:tcPr>
          <w:p w14:paraId="709B4C15" w14:textId="77777777" w:rsidR="00730E53" w:rsidRPr="007375EB" w:rsidRDefault="00730E53" w:rsidP="00730E53">
            <w:pPr>
              <w:rPr>
                <w:lang w:val="bg-BG"/>
              </w:rPr>
            </w:pPr>
            <w:r w:rsidRPr="007375EB">
              <w:rPr>
                <w:lang w:val="bg-BG"/>
              </w:rPr>
              <w:t>-</w:t>
            </w:r>
          </w:p>
        </w:tc>
        <w:tc>
          <w:tcPr>
            <w:tcW w:w="720" w:type="dxa"/>
            <w:noWrap/>
            <w:vAlign w:val="center"/>
          </w:tcPr>
          <w:p w14:paraId="10C2A98F" w14:textId="77777777" w:rsidR="00730E53" w:rsidRPr="007375EB" w:rsidRDefault="00730E53" w:rsidP="00730E53">
            <w:pPr>
              <w:rPr>
                <w:lang w:val="bg-BG"/>
              </w:rPr>
            </w:pPr>
            <w:r w:rsidRPr="007375EB">
              <w:rPr>
                <w:lang w:val="bg-BG"/>
              </w:rPr>
              <w:t>-</w:t>
            </w:r>
          </w:p>
        </w:tc>
        <w:tc>
          <w:tcPr>
            <w:tcW w:w="540" w:type="dxa"/>
            <w:noWrap/>
            <w:vAlign w:val="center"/>
          </w:tcPr>
          <w:p w14:paraId="16EF8408" w14:textId="77777777" w:rsidR="00730E53" w:rsidRPr="007375EB" w:rsidRDefault="00730E53" w:rsidP="00730E53">
            <w:pPr>
              <w:rPr>
                <w:lang w:val="bg-BG"/>
              </w:rPr>
            </w:pPr>
            <w:r w:rsidRPr="007375EB">
              <w:rPr>
                <w:lang w:val="bg-BG"/>
              </w:rPr>
              <w:t>-</w:t>
            </w:r>
          </w:p>
        </w:tc>
        <w:tc>
          <w:tcPr>
            <w:tcW w:w="990" w:type="dxa"/>
            <w:noWrap/>
            <w:vAlign w:val="center"/>
          </w:tcPr>
          <w:p w14:paraId="7DA8D968" w14:textId="77777777" w:rsidR="00730E53" w:rsidRPr="007375EB" w:rsidRDefault="00730E53" w:rsidP="00730E53">
            <w:pPr>
              <w:rPr>
                <w:lang w:val="bg-BG"/>
              </w:rPr>
            </w:pPr>
            <w:r w:rsidRPr="007375EB">
              <w:rPr>
                <w:lang w:val="bg-BG"/>
              </w:rPr>
              <w:t>-</w:t>
            </w:r>
          </w:p>
        </w:tc>
        <w:tc>
          <w:tcPr>
            <w:tcW w:w="499" w:type="dxa"/>
            <w:noWrap/>
            <w:vAlign w:val="center"/>
          </w:tcPr>
          <w:p w14:paraId="51A954F4" w14:textId="77777777" w:rsidR="00730E53" w:rsidRPr="007375EB" w:rsidRDefault="00730E53" w:rsidP="00730E53">
            <w:pPr>
              <w:rPr>
                <w:lang w:val="bg-BG"/>
              </w:rPr>
            </w:pPr>
            <w:r w:rsidRPr="007375EB">
              <w:rPr>
                <w:lang w:val="bg-BG"/>
              </w:rPr>
              <w:t>-</w:t>
            </w:r>
          </w:p>
        </w:tc>
        <w:tc>
          <w:tcPr>
            <w:tcW w:w="507" w:type="dxa"/>
            <w:noWrap/>
            <w:vAlign w:val="center"/>
          </w:tcPr>
          <w:p w14:paraId="682CFD50" w14:textId="77777777" w:rsidR="00730E53" w:rsidRPr="007375EB" w:rsidRDefault="00730E53" w:rsidP="00730E53">
            <w:pPr>
              <w:rPr>
                <w:lang w:val="bg-BG"/>
              </w:rPr>
            </w:pPr>
            <w:r w:rsidRPr="007375EB">
              <w:rPr>
                <w:lang w:val="bg-BG"/>
              </w:rPr>
              <w:t>-</w:t>
            </w:r>
          </w:p>
        </w:tc>
        <w:tc>
          <w:tcPr>
            <w:tcW w:w="524" w:type="dxa"/>
            <w:noWrap/>
            <w:vAlign w:val="center"/>
          </w:tcPr>
          <w:p w14:paraId="20FEDCC0" w14:textId="77777777" w:rsidR="00730E53" w:rsidRPr="007375EB" w:rsidRDefault="00730E53" w:rsidP="00730E53">
            <w:pPr>
              <w:rPr>
                <w:lang w:val="bg-BG"/>
              </w:rPr>
            </w:pPr>
            <w:r w:rsidRPr="007375EB">
              <w:rPr>
                <w:lang w:val="bg-BG"/>
              </w:rPr>
              <w:t>-</w:t>
            </w:r>
          </w:p>
        </w:tc>
        <w:tc>
          <w:tcPr>
            <w:tcW w:w="616" w:type="dxa"/>
            <w:noWrap/>
            <w:vAlign w:val="center"/>
          </w:tcPr>
          <w:p w14:paraId="6C6780CC" w14:textId="77777777" w:rsidR="00730E53" w:rsidRPr="007375EB" w:rsidRDefault="00730E53" w:rsidP="00730E53">
            <w:pPr>
              <w:rPr>
                <w:lang w:val="bg-BG"/>
              </w:rPr>
            </w:pPr>
            <w:r w:rsidRPr="007375EB">
              <w:rPr>
                <w:lang w:val="bg-BG"/>
              </w:rPr>
              <w:t>-</w:t>
            </w:r>
          </w:p>
        </w:tc>
        <w:tc>
          <w:tcPr>
            <w:tcW w:w="612" w:type="dxa"/>
            <w:noWrap/>
            <w:vAlign w:val="center"/>
          </w:tcPr>
          <w:p w14:paraId="59C50426" w14:textId="77777777" w:rsidR="00730E53" w:rsidRPr="007375EB" w:rsidRDefault="00730E53" w:rsidP="00730E53">
            <w:pPr>
              <w:rPr>
                <w:lang w:val="bg-BG"/>
              </w:rPr>
            </w:pPr>
            <w:r w:rsidRPr="007375EB">
              <w:rPr>
                <w:lang w:val="bg-BG"/>
              </w:rPr>
              <w:t>-</w:t>
            </w:r>
          </w:p>
        </w:tc>
      </w:tr>
      <w:tr w:rsidR="00730E53" w:rsidRPr="007375EB" w14:paraId="57ADCAB3" w14:textId="77777777" w:rsidTr="006C1B17">
        <w:trPr>
          <w:trHeight w:val="210"/>
        </w:trPr>
        <w:tc>
          <w:tcPr>
            <w:tcW w:w="621" w:type="dxa"/>
            <w:noWrap/>
          </w:tcPr>
          <w:p w14:paraId="1FCE9018" w14:textId="77777777" w:rsidR="00730E53" w:rsidRPr="007375EB" w:rsidRDefault="00730E53" w:rsidP="00730E53">
            <w:pPr>
              <w:rPr>
                <w:lang w:val="bg-BG"/>
              </w:rPr>
            </w:pPr>
            <w:r w:rsidRPr="007375EB">
              <w:rPr>
                <w:lang w:val="bg-BG"/>
              </w:rPr>
              <w:t>14</w:t>
            </w:r>
          </w:p>
        </w:tc>
        <w:tc>
          <w:tcPr>
            <w:tcW w:w="3189" w:type="dxa"/>
            <w:noWrap/>
          </w:tcPr>
          <w:p w14:paraId="527AB4C5" w14:textId="75F7FBE6" w:rsidR="00730E53" w:rsidRPr="007375EB" w:rsidRDefault="00730E53" w:rsidP="00730E53">
            <w:pPr>
              <w:jc w:val="both"/>
              <w:rPr>
                <w:lang w:val="bg-BG"/>
              </w:rPr>
            </w:pPr>
            <w:r w:rsidRPr="007375EB">
              <w:rPr>
                <w:lang w:val="bg-BG"/>
              </w:rPr>
              <w:t>Изграждане на мостове, водостоци и прокарване на дъждовна канализация в Крединца, община Кирногени (предложено)</w:t>
            </w:r>
          </w:p>
        </w:tc>
        <w:tc>
          <w:tcPr>
            <w:tcW w:w="2125" w:type="dxa"/>
            <w:noWrap/>
            <w:vAlign w:val="center"/>
          </w:tcPr>
          <w:p w14:paraId="4875D16B" w14:textId="77777777" w:rsidR="00730E53" w:rsidRPr="007375EB" w:rsidRDefault="00730E53" w:rsidP="00730E53">
            <w:pPr>
              <w:rPr>
                <w:lang w:val="bg-BG"/>
              </w:rPr>
            </w:pPr>
            <w:r w:rsidRPr="007375EB">
              <w:rPr>
                <w:lang w:val="bg-BG"/>
              </w:rPr>
              <w:t>18,17 км</w:t>
            </w:r>
          </w:p>
        </w:tc>
        <w:tc>
          <w:tcPr>
            <w:tcW w:w="482" w:type="dxa"/>
            <w:noWrap/>
            <w:vAlign w:val="center"/>
          </w:tcPr>
          <w:p w14:paraId="6AEFC644" w14:textId="77777777" w:rsidR="00730E53" w:rsidRPr="007375EB" w:rsidRDefault="00730E53" w:rsidP="00730E53">
            <w:pPr>
              <w:rPr>
                <w:lang w:val="bg-BG"/>
              </w:rPr>
            </w:pPr>
            <w:r w:rsidRPr="007375EB">
              <w:rPr>
                <w:lang w:val="bg-BG"/>
              </w:rPr>
              <w:t>-</w:t>
            </w:r>
          </w:p>
        </w:tc>
        <w:tc>
          <w:tcPr>
            <w:tcW w:w="916" w:type="dxa"/>
            <w:noWrap/>
            <w:vAlign w:val="center"/>
          </w:tcPr>
          <w:p w14:paraId="0B961B16" w14:textId="77777777" w:rsidR="00730E53" w:rsidRPr="007375EB" w:rsidRDefault="00730E53" w:rsidP="00730E53">
            <w:pPr>
              <w:rPr>
                <w:lang w:val="bg-BG"/>
              </w:rPr>
            </w:pPr>
            <w:r w:rsidRPr="007375EB">
              <w:rPr>
                <w:lang w:val="bg-BG"/>
              </w:rPr>
              <w:t>-</w:t>
            </w:r>
          </w:p>
        </w:tc>
        <w:tc>
          <w:tcPr>
            <w:tcW w:w="916" w:type="dxa"/>
            <w:noWrap/>
            <w:vAlign w:val="center"/>
          </w:tcPr>
          <w:p w14:paraId="1899E28D" w14:textId="77777777" w:rsidR="00730E53" w:rsidRPr="007375EB" w:rsidRDefault="00730E53" w:rsidP="00730E53">
            <w:pPr>
              <w:rPr>
                <w:lang w:val="bg-BG"/>
              </w:rPr>
            </w:pPr>
            <w:r w:rsidRPr="007375EB">
              <w:rPr>
                <w:lang w:val="bg-BG"/>
              </w:rPr>
              <w:t>-</w:t>
            </w:r>
          </w:p>
        </w:tc>
        <w:tc>
          <w:tcPr>
            <w:tcW w:w="810" w:type="dxa"/>
            <w:noWrap/>
            <w:vAlign w:val="center"/>
          </w:tcPr>
          <w:p w14:paraId="6295009B" w14:textId="77777777" w:rsidR="00730E53" w:rsidRPr="007375EB" w:rsidRDefault="00730E53" w:rsidP="00730E53">
            <w:pPr>
              <w:rPr>
                <w:lang w:val="bg-BG"/>
              </w:rPr>
            </w:pPr>
            <w:r w:rsidRPr="007375EB">
              <w:rPr>
                <w:lang w:val="bg-BG"/>
              </w:rPr>
              <w:t>-</w:t>
            </w:r>
          </w:p>
        </w:tc>
        <w:tc>
          <w:tcPr>
            <w:tcW w:w="630" w:type="dxa"/>
            <w:noWrap/>
            <w:vAlign w:val="center"/>
          </w:tcPr>
          <w:p w14:paraId="09451BCB" w14:textId="77777777" w:rsidR="00730E53" w:rsidRPr="007375EB" w:rsidRDefault="00730E53" w:rsidP="00730E53">
            <w:pPr>
              <w:rPr>
                <w:lang w:val="bg-BG"/>
              </w:rPr>
            </w:pPr>
            <w:r w:rsidRPr="007375EB">
              <w:rPr>
                <w:lang w:val="bg-BG"/>
              </w:rPr>
              <w:t>-</w:t>
            </w:r>
          </w:p>
        </w:tc>
        <w:tc>
          <w:tcPr>
            <w:tcW w:w="720" w:type="dxa"/>
            <w:noWrap/>
            <w:vAlign w:val="center"/>
          </w:tcPr>
          <w:p w14:paraId="3B47FA49" w14:textId="77777777" w:rsidR="00730E53" w:rsidRPr="007375EB" w:rsidRDefault="00730E53" w:rsidP="00730E53">
            <w:pPr>
              <w:rPr>
                <w:lang w:val="bg-BG"/>
              </w:rPr>
            </w:pPr>
            <w:r w:rsidRPr="007375EB">
              <w:rPr>
                <w:lang w:val="bg-BG"/>
              </w:rPr>
              <w:t>-</w:t>
            </w:r>
          </w:p>
        </w:tc>
        <w:tc>
          <w:tcPr>
            <w:tcW w:w="720" w:type="dxa"/>
            <w:noWrap/>
            <w:vAlign w:val="center"/>
          </w:tcPr>
          <w:p w14:paraId="53599D8E" w14:textId="77777777" w:rsidR="00730E53" w:rsidRPr="007375EB" w:rsidRDefault="00730E53" w:rsidP="00730E53">
            <w:pPr>
              <w:rPr>
                <w:lang w:val="bg-BG"/>
              </w:rPr>
            </w:pPr>
            <w:r w:rsidRPr="007375EB">
              <w:rPr>
                <w:lang w:val="bg-BG"/>
              </w:rPr>
              <w:t>-</w:t>
            </w:r>
          </w:p>
        </w:tc>
        <w:tc>
          <w:tcPr>
            <w:tcW w:w="540" w:type="dxa"/>
            <w:noWrap/>
            <w:vAlign w:val="center"/>
          </w:tcPr>
          <w:p w14:paraId="2FFE4507" w14:textId="77777777" w:rsidR="00730E53" w:rsidRPr="007375EB" w:rsidRDefault="00730E53" w:rsidP="00730E53">
            <w:pPr>
              <w:rPr>
                <w:lang w:val="bg-BG"/>
              </w:rPr>
            </w:pPr>
            <w:r w:rsidRPr="007375EB">
              <w:rPr>
                <w:lang w:val="bg-BG"/>
              </w:rPr>
              <w:t>-</w:t>
            </w:r>
          </w:p>
        </w:tc>
        <w:tc>
          <w:tcPr>
            <w:tcW w:w="990" w:type="dxa"/>
            <w:noWrap/>
            <w:vAlign w:val="center"/>
          </w:tcPr>
          <w:p w14:paraId="48AADB5C" w14:textId="77777777" w:rsidR="00730E53" w:rsidRPr="007375EB" w:rsidRDefault="00730E53" w:rsidP="00730E53">
            <w:pPr>
              <w:rPr>
                <w:lang w:val="bg-BG"/>
              </w:rPr>
            </w:pPr>
            <w:r w:rsidRPr="007375EB">
              <w:rPr>
                <w:lang w:val="bg-BG"/>
              </w:rPr>
              <w:t>-</w:t>
            </w:r>
          </w:p>
        </w:tc>
        <w:tc>
          <w:tcPr>
            <w:tcW w:w="499" w:type="dxa"/>
            <w:noWrap/>
            <w:vAlign w:val="center"/>
          </w:tcPr>
          <w:p w14:paraId="5DAE2CA4" w14:textId="77777777" w:rsidR="00730E53" w:rsidRPr="007375EB" w:rsidRDefault="00730E53" w:rsidP="00730E53">
            <w:pPr>
              <w:rPr>
                <w:lang w:val="bg-BG"/>
              </w:rPr>
            </w:pPr>
            <w:r w:rsidRPr="007375EB">
              <w:rPr>
                <w:lang w:val="bg-BG"/>
              </w:rPr>
              <w:t>-</w:t>
            </w:r>
          </w:p>
        </w:tc>
        <w:tc>
          <w:tcPr>
            <w:tcW w:w="507" w:type="dxa"/>
            <w:noWrap/>
            <w:vAlign w:val="center"/>
          </w:tcPr>
          <w:p w14:paraId="7DF36FB5" w14:textId="77777777" w:rsidR="00730E53" w:rsidRPr="007375EB" w:rsidRDefault="00730E53" w:rsidP="00730E53">
            <w:pPr>
              <w:rPr>
                <w:lang w:val="bg-BG"/>
              </w:rPr>
            </w:pPr>
            <w:r w:rsidRPr="007375EB">
              <w:rPr>
                <w:lang w:val="bg-BG"/>
              </w:rPr>
              <w:t>-</w:t>
            </w:r>
          </w:p>
        </w:tc>
        <w:tc>
          <w:tcPr>
            <w:tcW w:w="524" w:type="dxa"/>
            <w:noWrap/>
            <w:vAlign w:val="center"/>
          </w:tcPr>
          <w:p w14:paraId="7F1174AD" w14:textId="77777777" w:rsidR="00730E53" w:rsidRPr="007375EB" w:rsidRDefault="00730E53" w:rsidP="00730E53">
            <w:pPr>
              <w:rPr>
                <w:lang w:val="bg-BG"/>
              </w:rPr>
            </w:pPr>
            <w:r w:rsidRPr="007375EB">
              <w:rPr>
                <w:lang w:val="bg-BG"/>
              </w:rPr>
              <w:t>-</w:t>
            </w:r>
          </w:p>
        </w:tc>
        <w:tc>
          <w:tcPr>
            <w:tcW w:w="616" w:type="dxa"/>
            <w:noWrap/>
            <w:vAlign w:val="center"/>
          </w:tcPr>
          <w:p w14:paraId="5BB60FDA" w14:textId="77777777" w:rsidR="00730E53" w:rsidRPr="007375EB" w:rsidRDefault="00730E53" w:rsidP="00730E53">
            <w:pPr>
              <w:rPr>
                <w:lang w:val="bg-BG"/>
              </w:rPr>
            </w:pPr>
            <w:r w:rsidRPr="007375EB">
              <w:rPr>
                <w:lang w:val="bg-BG"/>
              </w:rPr>
              <w:t>-</w:t>
            </w:r>
          </w:p>
        </w:tc>
        <w:tc>
          <w:tcPr>
            <w:tcW w:w="612" w:type="dxa"/>
            <w:noWrap/>
            <w:vAlign w:val="center"/>
          </w:tcPr>
          <w:p w14:paraId="728AF389" w14:textId="77777777" w:rsidR="00730E53" w:rsidRPr="007375EB" w:rsidRDefault="00730E53" w:rsidP="00730E53">
            <w:pPr>
              <w:rPr>
                <w:lang w:val="bg-BG"/>
              </w:rPr>
            </w:pPr>
            <w:r w:rsidRPr="007375EB">
              <w:rPr>
                <w:lang w:val="bg-BG"/>
              </w:rPr>
              <w:t>-</w:t>
            </w:r>
          </w:p>
        </w:tc>
      </w:tr>
      <w:tr w:rsidR="00730E53" w:rsidRPr="007375EB" w14:paraId="71C5BB19" w14:textId="77777777" w:rsidTr="006C1B17">
        <w:trPr>
          <w:trHeight w:val="210"/>
        </w:trPr>
        <w:tc>
          <w:tcPr>
            <w:tcW w:w="621" w:type="dxa"/>
            <w:noWrap/>
          </w:tcPr>
          <w:p w14:paraId="41461FA7" w14:textId="77777777" w:rsidR="00730E53" w:rsidRPr="007375EB" w:rsidRDefault="00730E53" w:rsidP="00730E53">
            <w:pPr>
              <w:rPr>
                <w:lang w:val="bg-BG"/>
              </w:rPr>
            </w:pPr>
            <w:r w:rsidRPr="007375EB">
              <w:rPr>
                <w:lang w:val="bg-BG"/>
              </w:rPr>
              <w:t>15</w:t>
            </w:r>
          </w:p>
        </w:tc>
        <w:tc>
          <w:tcPr>
            <w:tcW w:w="3189" w:type="dxa"/>
            <w:noWrap/>
          </w:tcPr>
          <w:p w14:paraId="3A390F5A" w14:textId="010F470D" w:rsidR="00730E53" w:rsidRPr="007375EB" w:rsidRDefault="00730E53" w:rsidP="00730E53">
            <w:pPr>
              <w:jc w:val="both"/>
              <w:rPr>
                <w:lang w:val="bg-BG"/>
              </w:rPr>
            </w:pPr>
            <w:r w:rsidRPr="007375EB">
              <w:rPr>
                <w:lang w:val="bg-BG"/>
              </w:rPr>
              <w:t>Модернизация и реконструкция на улици в община Кирногени, окръг Констанца (предложена)</w:t>
            </w:r>
          </w:p>
        </w:tc>
        <w:tc>
          <w:tcPr>
            <w:tcW w:w="2125" w:type="dxa"/>
            <w:noWrap/>
            <w:vAlign w:val="center"/>
          </w:tcPr>
          <w:p w14:paraId="3A0EC6B0" w14:textId="77777777" w:rsidR="00730E53" w:rsidRPr="007375EB" w:rsidRDefault="00730E53" w:rsidP="00730E53">
            <w:pPr>
              <w:rPr>
                <w:lang w:val="bg-BG"/>
              </w:rPr>
            </w:pPr>
            <w:r w:rsidRPr="007375EB">
              <w:rPr>
                <w:lang w:val="bg-BG"/>
              </w:rPr>
              <w:t>17,42 км</w:t>
            </w:r>
          </w:p>
        </w:tc>
        <w:tc>
          <w:tcPr>
            <w:tcW w:w="482" w:type="dxa"/>
            <w:noWrap/>
            <w:vAlign w:val="center"/>
          </w:tcPr>
          <w:p w14:paraId="63E9235B" w14:textId="77777777" w:rsidR="00730E53" w:rsidRPr="007375EB" w:rsidRDefault="00730E53" w:rsidP="00730E53">
            <w:pPr>
              <w:rPr>
                <w:lang w:val="bg-BG"/>
              </w:rPr>
            </w:pPr>
            <w:r w:rsidRPr="007375EB">
              <w:rPr>
                <w:lang w:val="bg-BG"/>
              </w:rPr>
              <w:t>-</w:t>
            </w:r>
          </w:p>
        </w:tc>
        <w:tc>
          <w:tcPr>
            <w:tcW w:w="916" w:type="dxa"/>
            <w:noWrap/>
            <w:vAlign w:val="center"/>
          </w:tcPr>
          <w:p w14:paraId="01FE3699" w14:textId="77777777" w:rsidR="00730E53" w:rsidRPr="007375EB" w:rsidRDefault="00730E53" w:rsidP="00730E53">
            <w:pPr>
              <w:rPr>
                <w:lang w:val="bg-BG"/>
              </w:rPr>
            </w:pPr>
            <w:r w:rsidRPr="007375EB">
              <w:rPr>
                <w:lang w:val="bg-BG"/>
              </w:rPr>
              <w:t>-</w:t>
            </w:r>
          </w:p>
        </w:tc>
        <w:tc>
          <w:tcPr>
            <w:tcW w:w="916" w:type="dxa"/>
            <w:noWrap/>
            <w:vAlign w:val="center"/>
          </w:tcPr>
          <w:p w14:paraId="10814B93" w14:textId="77777777" w:rsidR="00730E53" w:rsidRPr="007375EB" w:rsidRDefault="00730E53" w:rsidP="00730E53">
            <w:pPr>
              <w:rPr>
                <w:lang w:val="bg-BG"/>
              </w:rPr>
            </w:pPr>
            <w:r w:rsidRPr="007375EB">
              <w:rPr>
                <w:lang w:val="bg-BG"/>
              </w:rPr>
              <w:t>-</w:t>
            </w:r>
          </w:p>
        </w:tc>
        <w:tc>
          <w:tcPr>
            <w:tcW w:w="810" w:type="dxa"/>
            <w:noWrap/>
            <w:vAlign w:val="center"/>
          </w:tcPr>
          <w:p w14:paraId="4B3CFE87" w14:textId="77777777" w:rsidR="00730E53" w:rsidRPr="007375EB" w:rsidRDefault="00730E53" w:rsidP="00730E53">
            <w:pPr>
              <w:rPr>
                <w:lang w:val="bg-BG"/>
              </w:rPr>
            </w:pPr>
            <w:r w:rsidRPr="007375EB">
              <w:rPr>
                <w:lang w:val="bg-BG"/>
              </w:rPr>
              <w:t>-</w:t>
            </w:r>
          </w:p>
        </w:tc>
        <w:tc>
          <w:tcPr>
            <w:tcW w:w="630" w:type="dxa"/>
            <w:noWrap/>
            <w:vAlign w:val="center"/>
          </w:tcPr>
          <w:p w14:paraId="7DFD4D64" w14:textId="77777777" w:rsidR="00730E53" w:rsidRPr="007375EB" w:rsidRDefault="00730E53" w:rsidP="00730E53">
            <w:pPr>
              <w:rPr>
                <w:lang w:val="bg-BG"/>
              </w:rPr>
            </w:pPr>
            <w:r w:rsidRPr="007375EB">
              <w:rPr>
                <w:lang w:val="bg-BG"/>
              </w:rPr>
              <w:t>-</w:t>
            </w:r>
          </w:p>
        </w:tc>
        <w:tc>
          <w:tcPr>
            <w:tcW w:w="720" w:type="dxa"/>
            <w:noWrap/>
            <w:vAlign w:val="center"/>
          </w:tcPr>
          <w:p w14:paraId="798EF90D" w14:textId="77777777" w:rsidR="00730E53" w:rsidRPr="007375EB" w:rsidRDefault="00730E53" w:rsidP="00730E53">
            <w:pPr>
              <w:rPr>
                <w:lang w:val="bg-BG"/>
              </w:rPr>
            </w:pPr>
            <w:r w:rsidRPr="007375EB">
              <w:rPr>
                <w:lang w:val="bg-BG"/>
              </w:rPr>
              <w:t>-</w:t>
            </w:r>
          </w:p>
        </w:tc>
        <w:tc>
          <w:tcPr>
            <w:tcW w:w="720" w:type="dxa"/>
            <w:noWrap/>
            <w:vAlign w:val="center"/>
          </w:tcPr>
          <w:p w14:paraId="7CF54E25" w14:textId="77777777" w:rsidR="00730E53" w:rsidRPr="007375EB" w:rsidRDefault="00730E53" w:rsidP="00730E53">
            <w:pPr>
              <w:rPr>
                <w:lang w:val="bg-BG"/>
              </w:rPr>
            </w:pPr>
            <w:r w:rsidRPr="007375EB">
              <w:rPr>
                <w:lang w:val="bg-BG"/>
              </w:rPr>
              <w:t>-</w:t>
            </w:r>
          </w:p>
        </w:tc>
        <w:tc>
          <w:tcPr>
            <w:tcW w:w="540" w:type="dxa"/>
            <w:noWrap/>
            <w:vAlign w:val="center"/>
          </w:tcPr>
          <w:p w14:paraId="69C3ED55" w14:textId="77777777" w:rsidR="00730E53" w:rsidRPr="007375EB" w:rsidRDefault="00730E53" w:rsidP="00730E53">
            <w:pPr>
              <w:rPr>
                <w:lang w:val="bg-BG"/>
              </w:rPr>
            </w:pPr>
            <w:r w:rsidRPr="007375EB">
              <w:rPr>
                <w:lang w:val="bg-BG"/>
              </w:rPr>
              <w:t>-</w:t>
            </w:r>
          </w:p>
        </w:tc>
        <w:tc>
          <w:tcPr>
            <w:tcW w:w="990" w:type="dxa"/>
            <w:noWrap/>
            <w:vAlign w:val="center"/>
          </w:tcPr>
          <w:p w14:paraId="1C74B484" w14:textId="77777777" w:rsidR="00730E53" w:rsidRPr="007375EB" w:rsidRDefault="00730E53" w:rsidP="00730E53">
            <w:pPr>
              <w:rPr>
                <w:lang w:val="bg-BG"/>
              </w:rPr>
            </w:pPr>
            <w:r w:rsidRPr="007375EB">
              <w:rPr>
                <w:lang w:val="bg-BG"/>
              </w:rPr>
              <w:t>-</w:t>
            </w:r>
          </w:p>
        </w:tc>
        <w:tc>
          <w:tcPr>
            <w:tcW w:w="499" w:type="dxa"/>
            <w:noWrap/>
            <w:vAlign w:val="center"/>
          </w:tcPr>
          <w:p w14:paraId="443DEF3D" w14:textId="77777777" w:rsidR="00730E53" w:rsidRPr="007375EB" w:rsidRDefault="00730E53" w:rsidP="00730E53">
            <w:pPr>
              <w:rPr>
                <w:lang w:val="bg-BG"/>
              </w:rPr>
            </w:pPr>
            <w:r w:rsidRPr="007375EB">
              <w:rPr>
                <w:lang w:val="bg-BG"/>
              </w:rPr>
              <w:t>-</w:t>
            </w:r>
          </w:p>
        </w:tc>
        <w:tc>
          <w:tcPr>
            <w:tcW w:w="507" w:type="dxa"/>
            <w:noWrap/>
            <w:vAlign w:val="center"/>
          </w:tcPr>
          <w:p w14:paraId="170FD559" w14:textId="77777777" w:rsidR="00730E53" w:rsidRPr="007375EB" w:rsidRDefault="00730E53" w:rsidP="00730E53">
            <w:pPr>
              <w:rPr>
                <w:lang w:val="bg-BG"/>
              </w:rPr>
            </w:pPr>
            <w:r w:rsidRPr="007375EB">
              <w:rPr>
                <w:lang w:val="bg-BG"/>
              </w:rPr>
              <w:t>-</w:t>
            </w:r>
          </w:p>
        </w:tc>
        <w:tc>
          <w:tcPr>
            <w:tcW w:w="524" w:type="dxa"/>
            <w:noWrap/>
            <w:vAlign w:val="center"/>
          </w:tcPr>
          <w:p w14:paraId="5578772C" w14:textId="77777777" w:rsidR="00730E53" w:rsidRPr="007375EB" w:rsidRDefault="00730E53" w:rsidP="00730E53">
            <w:pPr>
              <w:rPr>
                <w:lang w:val="bg-BG"/>
              </w:rPr>
            </w:pPr>
            <w:r w:rsidRPr="007375EB">
              <w:rPr>
                <w:lang w:val="bg-BG"/>
              </w:rPr>
              <w:t>-</w:t>
            </w:r>
          </w:p>
        </w:tc>
        <w:tc>
          <w:tcPr>
            <w:tcW w:w="616" w:type="dxa"/>
            <w:noWrap/>
            <w:vAlign w:val="center"/>
          </w:tcPr>
          <w:p w14:paraId="0980A389" w14:textId="77777777" w:rsidR="00730E53" w:rsidRPr="007375EB" w:rsidRDefault="00730E53" w:rsidP="00730E53">
            <w:pPr>
              <w:rPr>
                <w:lang w:val="bg-BG"/>
              </w:rPr>
            </w:pPr>
            <w:r w:rsidRPr="007375EB">
              <w:rPr>
                <w:lang w:val="bg-BG"/>
              </w:rPr>
              <w:t>-</w:t>
            </w:r>
          </w:p>
        </w:tc>
        <w:tc>
          <w:tcPr>
            <w:tcW w:w="612" w:type="dxa"/>
            <w:noWrap/>
            <w:vAlign w:val="center"/>
          </w:tcPr>
          <w:p w14:paraId="270E7C5D" w14:textId="77777777" w:rsidR="00730E53" w:rsidRPr="007375EB" w:rsidRDefault="00730E53" w:rsidP="00730E53">
            <w:pPr>
              <w:rPr>
                <w:lang w:val="bg-BG"/>
              </w:rPr>
            </w:pPr>
            <w:r w:rsidRPr="007375EB">
              <w:rPr>
                <w:lang w:val="bg-BG"/>
              </w:rPr>
              <w:t>-</w:t>
            </w:r>
          </w:p>
        </w:tc>
      </w:tr>
      <w:tr w:rsidR="006C1B17" w:rsidRPr="007375EB" w14:paraId="3DE1FA34" w14:textId="77777777" w:rsidTr="006C1B17">
        <w:trPr>
          <w:trHeight w:val="210"/>
        </w:trPr>
        <w:tc>
          <w:tcPr>
            <w:tcW w:w="15417" w:type="dxa"/>
            <w:gridSpan w:val="17"/>
            <w:shd w:val="clear" w:color="auto" w:fill="F2F2F2" w:themeFill="background1" w:themeFillShade="F2"/>
            <w:noWrap/>
            <w:hideMark/>
          </w:tcPr>
          <w:p w14:paraId="49A79A94" w14:textId="77777777" w:rsidR="006C1B17" w:rsidRPr="007375EB" w:rsidRDefault="006C1B17" w:rsidP="006C1B17">
            <w:pPr>
              <w:rPr>
                <w:b/>
                <w:bCs/>
                <w:lang w:val="bg-BG"/>
              </w:rPr>
            </w:pPr>
            <w:r w:rsidRPr="007375EB">
              <w:rPr>
                <w:b/>
                <w:bCs/>
                <w:lang w:val="bg-BG"/>
              </w:rPr>
              <w:t>ROSPA0166 Плопени - Кирногени</w:t>
            </w:r>
          </w:p>
        </w:tc>
      </w:tr>
      <w:tr w:rsidR="006C1B17" w:rsidRPr="007375EB" w14:paraId="18EACAA6" w14:textId="77777777" w:rsidTr="006C1B17">
        <w:trPr>
          <w:trHeight w:val="210"/>
        </w:trPr>
        <w:tc>
          <w:tcPr>
            <w:tcW w:w="621" w:type="dxa"/>
            <w:noWrap/>
            <w:hideMark/>
          </w:tcPr>
          <w:p w14:paraId="21487FF3" w14:textId="77777777" w:rsidR="006C1B17" w:rsidRPr="007375EB" w:rsidRDefault="006C1B17" w:rsidP="006C1B17">
            <w:pPr>
              <w:rPr>
                <w:lang w:val="bg-BG"/>
              </w:rPr>
            </w:pPr>
            <w:r w:rsidRPr="007375EB">
              <w:rPr>
                <w:lang w:val="bg-BG"/>
              </w:rPr>
              <w:t>1</w:t>
            </w:r>
          </w:p>
        </w:tc>
        <w:tc>
          <w:tcPr>
            <w:tcW w:w="3189" w:type="dxa"/>
            <w:noWrap/>
            <w:vAlign w:val="center"/>
            <w:hideMark/>
          </w:tcPr>
          <w:p w14:paraId="756145B2" w14:textId="77777777" w:rsidR="006C1B17" w:rsidRPr="007375EB" w:rsidRDefault="006C1B17" w:rsidP="006C1B17">
            <w:pPr>
              <w:rPr>
                <w:lang w:val="bg-BG"/>
              </w:rPr>
            </w:pPr>
            <w:r w:rsidRPr="007375EB">
              <w:rPr>
                <w:lang w:val="bg-BG"/>
              </w:rPr>
              <w:t>Вятърен парк на Кирногени (съществуващ)</w:t>
            </w:r>
          </w:p>
        </w:tc>
        <w:tc>
          <w:tcPr>
            <w:tcW w:w="2125" w:type="dxa"/>
            <w:noWrap/>
            <w:vAlign w:val="center"/>
            <w:hideMark/>
          </w:tcPr>
          <w:p w14:paraId="2FBBB540" w14:textId="77777777" w:rsidR="006C1B17" w:rsidRPr="007375EB" w:rsidRDefault="006C1B17" w:rsidP="006C1B17">
            <w:pPr>
              <w:rPr>
                <w:lang w:val="bg-BG"/>
              </w:rPr>
            </w:pPr>
            <w:r w:rsidRPr="007375EB">
              <w:rPr>
                <w:lang w:val="bg-BG"/>
              </w:rPr>
              <w:t>3,18 км</w:t>
            </w:r>
          </w:p>
        </w:tc>
        <w:tc>
          <w:tcPr>
            <w:tcW w:w="482" w:type="dxa"/>
            <w:noWrap/>
            <w:vAlign w:val="center"/>
            <w:hideMark/>
          </w:tcPr>
          <w:p w14:paraId="4F252E31" w14:textId="77777777" w:rsidR="006C1B17" w:rsidRPr="007375EB" w:rsidRDefault="006C1B17" w:rsidP="006C1B17">
            <w:pPr>
              <w:rPr>
                <w:lang w:val="bg-BG"/>
              </w:rPr>
            </w:pPr>
            <w:r w:rsidRPr="007375EB">
              <w:rPr>
                <w:lang w:val="bg-BG"/>
              </w:rPr>
              <w:t>-</w:t>
            </w:r>
          </w:p>
        </w:tc>
        <w:tc>
          <w:tcPr>
            <w:tcW w:w="916" w:type="dxa"/>
            <w:noWrap/>
            <w:vAlign w:val="center"/>
            <w:hideMark/>
          </w:tcPr>
          <w:p w14:paraId="6069F4C0" w14:textId="77777777" w:rsidR="006C1B17" w:rsidRPr="007375EB" w:rsidRDefault="006C1B17" w:rsidP="006C1B17">
            <w:pPr>
              <w:rPr>
                <w:lang w:val="bg-BG"/>
              </w:rPr>
            </w:pPr>
            <w:r w:rsidRPr="007375EB">
              <w:rPr>
                <w:lang w:val="bg-BG"/>
              </w:rPr>
              <w:t>-</w:t>
            </w:r>
          </w:p>
        </w:tc>
        <w:tc>
          <w:tcPr>
            <w:tcW w:w="916" w:type="dxa"/>
            <w:noWrap/>
            <w:vAlign w:val="center"/>
            <w:hideMark/>
          </w:tcPr>
          <w:p w14:paraId="5BDF599E" w14:textId="77777777" w:rsidR="006C1B17" w:rsidRPr="007375EB" w:rsidRDefault="006C1B17" w:rsidP="006C1B17">
            <w:pPr>
              <w:rPr>
                <w:lang w:val="bg-BG"/>
              </w:rPr>
            </w:pPr>
            <w:r w:rsidRPr="007375EB">
              <w:rPr>
                <w:lang w:val="bg-BG"/>
              </w:rPr>
              <w:t>-</w:t>
            </w:r>
          </w:p>
        </w:tc>
        <w:tc>
          <w:tcPr>
            <w:tcW w:w="810" w:type="dxa"/>
            <w:noWrap/>
            <w:vAlign w:val="center"/>
            <w:hideMark/>
          </w:tcPr>
          <w:p w14:paraId="227DE382" w14:textId="77777777" w:rsidR="006C1B17" w:rsidRPr="007375EB" w:rsidRDefault="006C1B17" w:rsidP="006C1B17">
            <w:pPr>
              <w:rPr>
                <w:lang w:val="bg-BG"/>
              </w:rPr>
            </w:pPr>
            <w:r w:rsidRPr="007375EB">
              <w:rPr>
                <w:lang w:val="bg-BG"/>
              </w:rPr>
              <w:t>-</w:t>
            </w:r>
          </w:p>
        </w:tc>
        <w:tc>
          <w:tcPr>
            <w:tcW w:w="630" w:type="dxa"/>
            <w:noWrap/>
            <w:vAlign w:val="center"/>
            <w:hideMark/>
          </w:tcPr>
          <w:p w14:paraId="528DB549" w14:textId="77777777" w:rsidR="006C1B17" w:rsidRPr="007375EB" w:rsidRDefault="006C1B17" w:rsidP="006C1B17">
            <w:pPr>
              <w:rPr>
                <w:lang w:val="bg-BG"/>
              </w:rPr>
            </w:pPr>
            <w:r w:rsidRPr="007375EB">
              <w:rPr>
                <w:lang w:val="bg-BG"/>
              </w:rPr>
              <w:t>-</w:t>
            </w:r>
          </w:p>
        </w:tc>
        <w:tc>
          <w:tcPr>
            <w:tcW w:w="720" w:type="dxa"/>
            <w:noWrap/>
            <w:vAlign w:val="center"/>
            <w:hideMark/>
          </w:tcPr>
          <w:p w14:paraId="2170A12A" w14:textId="77777777" w:rsidR="006C1B17" w:rsidRPr="007375EB" w:rsidRDefault="006C1B17" w:rsidP="006C1B17">
            <w:pPr>
              <w:rPr>
                <w:lang w:val="bg-BG"/>
              </w:rPr>
            </w:pPr>
            <w:r w:rsidRPr="007375EB">
              <w:rPr>
                <w:lang w:val="bg-BG"/>
              </w:rPr>
              <w:t>-</w:t>
            </w:r>
          </w:p>
        </w:tc>
        <w:tc>
          <w:tcPr>
            <w:tcW w:w="720" w:type="dxa"/>
            <w:noWrap/>
            <w:vAlign w:val="center"/>
            <w:hideMark/>
          </w:tcPr>
          <w:p w14:paraId="78E39475" w14:textId="77777777" w:rsidR="006C1B17" w:rsidRPr="007375EB" w:rsidRDefault="006C1B17" w:rsidP="006C1B17">
            <w:pPr>
              <w:rPr>
                <w:lang w:val="bg-BG"/>
              </w:rPr>
            </w:pPr>
            <w:r w:rsidRPr="007375EB">
              <w:rPr>
                <w:lang w:val="bg-BG"/>
              </w:rPr>
              <w:t>-</w:t>
            </w:r>
          </w:p>
        </w:tc>
        <w:tc>
          <w:tcPr>
            <w:tcW w:w="540" w:type="dxa"/>
            <w:noWrap/>
            <w:vAlign w:val="center"/>
            <w:hideMark/>
          </w:tcPr>
          <w:p w14:paraId="4DC3424A" w14:textId="77777777" w:rsidR="006C1B17" w:rsidRPr="007375EB" w:rsidRDefault="006C1B17" w:rsidP="006C1B17">
            <w:pPr>
              <w:rPr>
                <w:lang w:val="bg-BG"/>
              </w:rPr>
            </w:pPr>
            <w:r w:rsidRPr="007375EB">
              <w:rPr>
                <w:lang w:val="bg-BG"/>
              </w:rPr>
              <w:t>X</w:t>
            </w:r>
          </w:p>
        </w:tc>
        <w:tc>
          <w:tcPr>
            <w:tcW w:w="990" w:type="dxa"/>
            <w:noWrap/>
            <w:vAlign w:val="center"/>
            <w:hideMark/>
          </w:tcPr>
          <w:p w14:paraId="56D2FF67" w14:textId="77777777" w:rsidR="006C1B17" w:rsidRPr="007375EB" w:rsidRDefault="006C1B17" w:rsidP="006C1B17">
            <w:pPr>
              <w:rPr>
                <w:lang w:val="bg-BG"/>
              </w:rPr>
            </w:pPr>
            <w:r w:rsidRPr="007375EB">
              <w:rPr>
                <w:lang w:val="bg-BG"/>
              </w:rPr>
              <w:t>X</w:t>
            </w:r>
          </w:p>
        </w:tc>
        <w:tc>
          <w:tcPr>
            <w:tcW w:w="499" w:type="dxa"/>
            <w:noWrap/>
            <w:vAlign w:val="center"/>
            <w:hideMark/>
          </w:tcPr>
          <w:p w14:paraId="779CE92F" w14:textId="77777777" w:rsidR="006C1B17" w:rsidRPr="007375EB" w:rsidRDefault="006C1B17" w:rsidP="006C1B17">
            <w:pPr>
              <w:rPr>
                <w:lang w:val="bg-BG"/>
              </w:rPr>
            </w:pPr>
            <w:r w:rsidRPr="007375EB">
              <w:rPr>
                <w:lang w:val="bg-BG"/>
              </w:rPr>
              <w:t>-</w:t>
            </w:r>
          </w:p>
        </w:tc>
        <w:tc>
          <w:tcPr>
            <w:tcW w:w="507" w:type="dxa"/>
            <w:noWrap/>
            <w:vAlign w:val="center"/>
            <w:hideMark/>
          </w:tcPr>
          <w:p w14:paraId="59AA96F3" w14:textId="77777777" w:rsidR="006C1B17" w:rsidRPr="007375EB" w:rsidRDefault="006C1B17" w:rsidP="006C1B17">
            <w:pPr>
              <w:rPr>
                <w:lang w:val="bg-BG"/>
              </w:rPr>
            </w:pPr>
            <w:r w:rsidRPr="007375EB">
              <w:rPr>
                <w:lang w:val="bg-BG"/>
              </w:rPr>
              <w:t>X</w:t>
            </w:r>
          </w:p>
        </w:tc>
        <w:tc>
          <w:tcPr>
            <w:tcW w:w="524" w:type="dxa"/>
            <w:noWrap/>
            <w:vAlign w:val="center"/>
            <w:hideMark/>
          </w:tcPr>
          <w:p w14:paraId="006DD142" w14:textId="77777777" w:rsidR="006C1B17" w:rsidRPr="007375EB" w:rsidRDefault="006C1B17" w:rsidP="006C1B17">
            <w:pPr>
              <w:rPr>
                <w:lang w:val="bg-BG"/>
              </w:rPr>
            </w:pPr>
            <w:r w:rsidRPr="007375EB">
              <w:rPr>
                <w:lang w:val="bg-BG"/>
              </w:rPr>
              <w:t>X</w:t>
            </w:r>
          </w:p>
        </w:tc>
        <w:tc>
          <w:tcPr>
            <w:tcW w:w="616" w:type="dxa"/>
            <w:noWrap/>
            <w:vAlign w:val="center"/>
            <w:hideMark/>
          </w:tcPr>
          <w:p w14:paraId="10017073" w14:textId="77777777" w:rsidR="006C1B17" w:rsidRPr="007375EB" w:rsidRDefault="006C1B17" w:rsidP="006C1B17">
            <w:pPr>
              <w:rPr>
                <w:lang w:val="bg-BG"/>
              </w:rPr>
            </w:pPr>
            <w:r w:rsidRPr="007375EB">
              <w:rPr>
                <w:lang w:val="bg-BG"/>
              </w:rPr>
              <w:t>X</w:t>
            </w:r>
          </w:p>
        </w:tc>
        <w:tc>
          <w:tcPr>
            <w:tcW w:w="612" w:type="dxa"/>
            <w:noWrap/>
            <w:vAlign w:val="center"/>
            <w:hideMark/>
          </w:tcPr>
          <w:p w14:paraId="2243AA59" w14:textId="77777777" w:rsidR="006C1B17" w:rsidRPr="007375EB" w:rsidRDefault="006C1B17" w:rsidP="006C1B17">
            <w:pPr>
              <w:rPr>
                <w:lang w:val="bg-BG"/>
              </w:rPr>
            </w:pPr>
            <w:r w:rsidRPr="007375EB">
              <w:rPr>
                <w:lang w:val="bg-BG"/>
              </w:rPr>
              <w:t>X</w:t>
            </w:r>
          </w:p>
        </w:tc>
      </w:tr>
      <w:tr w:rsidR="00CF09B3" w:rsidRPr="007375EB" w14:paraId="2E3AC218" w14:textId="77777777" w:rsidTr="002B7665">
        <w:trPr>
          <w:trHeight w:val="1050"/>
        </w:trPr>
        <w:tc>
          <w:tcPr>
            <w:tcW w:w="621" w:type="dxa"/>
            <w:noWrap/>
            <w:hideMark/>
          </w:tcPr>
          <w:p w14:paraId="026D07E1" w14:textId="77777777" w:rsidR="00CF09B3" w:rsidRPr="007375EB" w:rsidRDefault="00CF09B3" w:rsidP="00CF09B3">
            <w:pPr>
              <w:rPr>
                <w:lang w:val="bg-BG"/>
              </w:rPr>
            </w:pPr>
            <w:r w:rsidRPr="007375EB">
              <w:rPr>
                <w:lang w:val="bg-BG"/>
              </w:rPr>
              <w:lastRenderedPageBreak/>
              <w:t>2</w:t>
            </w:r>
          </w:p>
        </w:tc>
        <w:tc>
          <w:tcPr>
            <w:tcW w:w="3189" w:type="dxa"/>
            <w:hideMark/>
          </w:tcPr>
          <w:p w14:paraId="2BD3FC19" w14:textId="6A38771F" w:rsidR="00CF09B3" w:rsidRPr="007375EB" w:rsidRDefault="00CF09B3" w:rsidP="00CF09B3">
            <w:pPr>
              <w:jc w:val="both"/>
              <w:rPr>
                <w:lang w:val="bg-BG"/>
              </w:rPr>
            </w:pPr>
            <w:r w:rsidRPr="007375EB">
              <w:rPr>
                <w:lang w:val="bg-BG"/>
              </w:rPr>
              <w:t>Парк за вятърна енергия 14 CE-92,4 МВт,  трансформаторна станция, електрически свързващи мрежи, изграждане и модернизиране на комуникации и пътища за достъп - извън село Фънтъна Маре, общ. Индепенденца, окръг Констанца (предложен)</w:t>
            </w:r>
          </w:p>
        </w:tc>
        <w:tc>
          <w:tcPr>
            <w:tcW w:w="2125" w:type="dxa"/>
            <w:noWrap/>
            <w:vAlign w:val="center"/>
            <w:hideMark/>
          </w:tcPr>
          <w:p w14:paraId="7E7B1380" w14:textId="77777777" w:rsidR="00CF09B3" w:rsidRPr="007375EB" w:rsidRDefault="00CF09B3" w:rsidP="00CF09B3">
            <w:pPr>
              <w:rPr>
                <w:lang w:val="bg-BG"/>
              </w:rPr>
            </w:pPr>
            <w:r w:rsidRPr="007375EB">
              <w:rPr>
                <w:lang w:val="bg-BG"/>
              </w:rPr>
              <w:t>4,37 км</w:t>
            </w:r>
          </w:p>
        </w:tc>
        <w:tc>
          <w:tcPr>
            <w:tcW w:w="482" w:type="dxa"/>
            <w:noWrap/>
            <w:vAlign w:val="center"/>
            <w:hideMark/>
          </w:tcPr>
          <w:p w14:paraId="52A8087A" w14:textId="77777777" w:rsidR="00CF09B3" w:rsidRPr="007375EB" w:rsidRDefault="00CF09B3" w:rsidP="00CF09B3">
            <w:pPr>
              <w:rPr>
                <w:lang w:val="bg-BG"/>
              </w:rPr>
            </w:pPr>
            <w:r w:rsidRPr="007375EB">
              <w:rPr>
                <w:lang w:val="bg-BG"/>
              </w:rPr>
              <w:t>-</w:t>
            </w:r>
          </w:p>
        </w:tc>
        <w:tc>
          <w:tcPr>
            <w:tcW w:w="916" w:type="dxa"/>
            <w:noWrap/>
            <w:vAlign w:val="center"/>
            <w:hideMark/>
          </w:tcPr>
          <w:p w14:paraId="135A1301" w14:textId="77777777" w:rsidR="00CF09B3" w:rsidRPr="007375EB" w:rsidRDefault="00CF09B3" w:rsidP="00CF09B3">
            <w:pPr>
              <w:rPr>
                <w:lang w:val="bg-BG"/>
              </w:rPr>
            </w:pPr>
            <w:r w:rsidRPr="007375EB">
              <w:rPr>
                <w:lang w:val="bg-BG"/>
              </w:rPr>
              <w:t>-</w:t>
            </w:r>
          </w:p>
        </w:tc>
        <w:tc>
          <w:tcPr>
            <w:tcW w:w="916" w:type="dxa"/>
            <w:noWrap/>
            <w:vAlign w:val="center"/>
            <w:hideMark/>
          </w:tcPr>
          <w:p w14:paraId="0197C94F" w14:textId="77777777" w:rsidR="00CF09B3" w:rsidRPr="007375EB" w:rsidRDefault="00CF09B3" w:rsidP="00CF09B3">
            <w:pPr>
              <w:rPr>
                <w:lang w:val="bg-BG"/>
              </w:rPr>
            </w:pPr>
            <w:r w:rsidRPr="007375EB">
              <w:rPr>
                <w:lang w:val="bg-BG"/>
              </w:rPr>
              <w:t>-</w:t>
            </w:r>
          </w:p>
        </w:tc>
        <w:tc>
          <w:tcPr>
            <w:tcW w:w="810" w:type="dxa"/>
            <w:noWrap/>
            <w:vAlign w:val="center"/>
            <w:hideMark/>
          </w:tcPr>
          <w:p w14:paraId="37129B2A" w14:textId="77777777" w:rsidR="00CF09B3" w:rsidRPr="007375EB" w:rsidRDefault="00CF09B3" w:rsidP="00CF09B3">
            <w:pPr>
              <w:rPr>
                <w:lang w:val="bg-BG"/>
              </w:rPr>
            </w:pPr>
            <w:r w:rsidRPr="007375EB">
              <w:rPr>
                <w:lang w:val="bg-BG"/>
              </w:rPr>
              <w:t>-</w:t>
            </w:r>
          </w:p>
        </w:tc>
        <w:tc>
          <w:tcPr>
            <w:tcW w:w="630" w:type="dxa"/>
            <w:noWrap/>
            <w:vAlign w:val="center"/>
            <w:hideMark/>
          </w:tcPr>
          <w:p w14:paraId="5FD76E54" w14:textId="77777777" w:rsidR="00CF09B3" w:rsidRPr="007375EB" w:rsidRDefault="00CF09B3" w:rsidP="00CF09B3">
            <w:pPr>
              <w:rPr>
                <w:lang w:val="bg-BG"/>
              </w:rPr>
            </w:pPr>
            <w:r w:rsidRPr="007375EB">
              <w:rPr>
                <w:lang w:val="bg-BG"/>
              </w:rPr>
              <w:t>-</w:t>
            </w:r>
          </w:p>
        </w:tc>
        <w:tc>
          <w:tcPr>
            <w:tcW w:w="720" w:type="dxa"/>
            <w:noWrap/>
            <w:vAlign w:val="center"/>
            <w:hideMark/>
          </w:tcPr>
          <w:p w14:paraId="66B06A2D" w14:textId="77777777" w:rsidR="00CF09B3" w:rsidRPr="007375EB" w:rsidRDefault="00CF09B3" w:rsidP="00CF09B3">
            <w:pPr>
              <w:rPr>
                <w:lang w:val="bg-BG"/>
              </w:rPr>
            </w:pPr>
            <w:r w:rsidRPr="007375EB">
              <w:rPr>
                <w:lang w:val="bg-BG"/>
              </w:rPr>
              <w:t>-</w:t>
            </w:r>
          </w:p>
        </w:tc>
        <w:tc>
          <w:tcPr>
            <w:tcW w:w="720" w:type="dxa"/>
            <w:noWrap/>
            <w:vAlign w:val="center"/>
            <w:hideMark/>
          </w:tcPr>
          <w:p w14:paraId="18E61C23" w14:textId="77777777" w:rsidR="00CF09B3" w:rsidRPr="007375EB" w:rsidRDefault="00CF09B3" w:rsidP="00CF09B3">
            <w:pPr>
              <w:rPr>
                <w:lang w:val="bg-BG"/>
              </w:rPr>
            </w:pPr>
            <w:r w:rsidRPr="007375EB">
              <w:rPr>
                <w:lang w:val="bg-BG"/>
              </w:rPr>
              <w:t>-</w:t>
            </w:r>
          </w:p>
        </w:tc>
        <w:tc>
          <w:tcPr>
            <w:tcW w:w="540" w:type="dxa"/>
            <w:noWrap/>
            <w:vAlign w:val="center"/>
            <w:hideMark/>
          </w:tcPr>
          <w:p w14:paraId="4ED231BF" w14:textId="77777777" w:rsidR="00CF09B3" w:rsidRPr="007375EB" w:rsidRDefault="00CF09B3" w:rsidP="00CF09B3">
            <w:pPr>
              <w:rPr>
                <w:lang w:val="bg-BG"/>
              </w:rPr>
            </w:pPr>
            <w:r w:rsidRPr="007375EB">
              <w:rPr>
                <w:lang w:val="bg-BG"/>
              </w:rPr>
              <w:t>X</w:t>
            </w:r>
          </w:p>
        </w:tc>
        <w:tc>
          <w:tcPr>
            <w:tcW w:w="990" w:type="dxa"/>
            <w:noWrap/>
            <w:vAlign w:val="center"/>
            <w:hideMark/>
          </w:tcPr>
          <w:p w14:paraId="70CB4DB7" w14:textId="77777777" w:rsidR="00CF09B3" w:rsidRPr="007375EB" w:rsidRDefault="00CF09B3" w:rsidP="00CF09B3">
            <w:pPr>
              <w:rPr>
                <w:lang w:val="bg-BG"/>
              </w:rPr>
            </w:pPr>
            <w:r w:rsidRPr="007375EB">
              <w:rPr>
                <w:lang w:val="bg-BG"/>
              </w:rPr>
              <w:t>X</w:t>
            </w:r>
          </w:p>
        </w:tc>
        <w:tc>
          <w:tcPr>
            <w:tcW w:w="499" w:type="dxa"/>
            <w:noWrap/>
            <w:vAlign w:val="center"/>
            <w:hideMark/>
          </w:tcPr>
          <w:p w14:paraId="427163CF" w14:textId="77777777" w:rsidR="00CF09B3" w:rsidRPr="007375EB" w:rsidRDefault="00CF09B3" w:rsidP="00CF09B3">
            <w:pPr>
              <w:rPr>
                <w:lang w:val="bg-BG"/>
              </w:rPr>
            </w:pPr>
            <w:r w:rsidRPr="007375EB">
              <w:rPr>
                <w:lang w:val="bg-BG"/>
              </w:rPr>
              <w:t>-</w:t>
            </w:r>
          </w:p>
        </w:tc>
        <w:tc>
          <w:tcPr>
            <w:tcW w:w="507" w:type="dxa"/>
            <w:noWrap/>
            <w:vAlign w:val="center"/>
            <w:hideMark/>
          </w:tcPr>
          <w:p w14:paraId="130EDFA2" w14:textId="77777777" w:rsidR="00CF09B3" w:rsidRPr="007375EB" w:rsidRDefault="00CF09B3" w:rsidP="00CF09B3">
            <w:pPr>
              <w:rPr>
                <w:lang w:val="bg-BG"/>
              </w:rPr>
            </w:pPr>
            <w:r w:rsidRPr="007375EB">
              <w:rPr>
                <w:lang w:val="bg-BG"/>
              </w:rPr>
              <w:t>X</w:t>
            </w:r>
          </w:p>
        </w:tc>
        <w:tc>
          <w:tcPr>
            <w:tcW w:w="524" w:type="dxa"/>
            <w:noWrap/>
            <w:vAlign w:val="center"/>
            <w:hideMark/>
          </w:tcPr>
          <w:p w14:paraId="3CA5FEC0" w14:textId="77777777" w:rsidR="00CF09B3" w:rsidRPr="007375EB" w:rsidRDefault="00CF09B3" w:rsidP="00CF09B3">
            <w:pPr>
              <w:rPr>
                <w:lang w:val="bg-BG"/>
              </w:rPr>
            </w:pPr>
            <w:r w:rsidRPr="007375EB">
              <w:rPr>
                <w:lang w:val="bg-BG"/>
              </w:rPr>
              <w:t>X</w:t>
            </w:r>
          </w:p>
        </w:tc>
        <w:tc>
          <w:tcPr>
            <w:tcW w:w="616" w:type="dxa"/>
            <w:noWrap/>
            <w:vAlign w:val="center"/>
            <w:hideMark/>
          </w:tcPr>
          <w:p w14:paraId="472AEEBB" w14:textId="77777777" w:rsidR="00CF09B3" w:rsidRPr="007375EB" w:rsidRDefault="00CF09B3" w:rsidP="00CF09B3">
            <w:pPr>
              <w:rPr>
                <w:lang w:val="bg-BG"/>
              </w:rPr>
            </w:pPr>
            <w:r w:rsidRPr="007375EB">
              <w:rPr>
                <w:lang w:val="bg-BG"/>
              </w:rPr>
              <w:t>X</w:t>
            </w:r>
          </w:p>
        </w:tc>
        <w:tc>
          <w:tcPr>
            <w:tcW w:w="612" w:type="dxa"/>
            <w:noWrap/>
            <w:vAlign w:val="center"/>
            <w:hideMark/>
          </w:tcPr>
          <w:p w14:paraId="551553C0" w14:textId="77777777" w:rsidR="00CF09B3" w:rsidRPr="007375EB" w:rsidRDefault="00CF09B3" w:rsidP="00CF09B3">
            <w:pPr>
              <w:rPr>
                <w:lang w:val="bg-BG"/>
              </w:rPr>
            </w:pPr>
            <w:r w:rsidRPr="007375EB">
              <w:rPr>
                <w:lang w:val="bg-BG"/>
              </w:rPr>
              <w:t>X</w:t>
            </w:r>
          </w:p>
        </w:tc>
      </w:tr>
      <w:tr w:rsidR="00CF09B3" w:rsidRPr="007375EB" w14:paraId="4ED8D8FF" w14:textId="77777777" w:rsidTr="002B7665">
        <w:trPr>
          <w:trHeight w:val="1050"/>
        </w:trPr>
        <w:tc>
          <w:tcPr>
            <w:tcW w:w="621" w:type="dxa"/>
            <w:noWrap/>
            <w:hideMark/>
          </w:tcPr>
          <w:p w14:paraId="1F34E84A" w14:textId="77777777" w:rsidR="00CF09B3" w:rsidRPr="007375EB" w:rsidRDefault="00CF09B3" w:rsidP="00CF09B3">
            <w:pPr>
              <w:rPr>
                <w:lang w:val="bg-BG"/>
              </w:rPr>
            </w:pPr>
            <w:r w:rsidRPr="007375EB">
              <w:rPr>
                <w:lang w:val="bg-BG"/>
              </w:rPr>
              <w:t>3</w:t>
            </w:r>
          </w:p>
        </w:tc>
        <w:tc>
          <w:tcPr>
            <w:tcW w:w="3189" w:type="dxa"/>
            <w:hideMark/>
          </w:tcPr>
          <w:p w14:paraId="4BC022FE" w14:textId="6D643057" w:rsidR="00CF09B3" w:rsidRPr="007375EB" w:rsidRDefault="00CF09B3" w:rsidP="00CF09B3">
            <w:pPr>
              <w:jc w:val="both"/>
              <w:rPr>
                <w:lang w:val="bg-BG"/>
              </w:rPr>
            </w:pPr>
            <w:r w:rsidRPr="007375EB">
              <w:rPr>
                <w:lang w:val="bg-BG"/>
              </w:rPr>
              <w:t>Парк за вятърна енергия 17 CE-112,2 МВт, трансформаторна станция, електрически свързващи мрежи, изграждане и модернизация на комуникации и пътища за достъп -  извън общината Индепенденца и общината Черкезу окръг Констанца (предложен)</w:t>
            </w:r>
          </w:p>
        </w:tc>
        <w:tc>
          <w:tcPr>
            <w:tcW w:w="2125" w:type="dxa"/>
            <w:noWrap/>
            <w:vAlign w:val="center"/>
            <w:hideMark/>
          </w:tcPr>
          <w:p w14:paraId="250B4863" w14:textId="77777777" w:rsidR="00CF09B3" w:rsidRPr="007375EB" w:rsidRDefault="00CF09B3" w:rsidP="00CF09B3">
            <w:pPr>
              <w:rPr>
                <w:lang w:val="bg-BG"/>
              </w:rPr>
            </w:pPr>
            <w:r w:rsidRPr="007375EB">
              <w:rPr>
                <w:lang w:val="bg-BG"/>
              </w:rPr>
              <w:t>7,68 км</w:t>
            </w:r>
          </w:p>
        </w:tc>
        <w:tc>
          <w:tcPr>
            <w:tcW w:w="482" w:type="dxa"/>
            <w:noWrap/>
            <w:vAlign w:val="center"/>
            <w:hideMark/>
          </w:tcPr>
          <w:p w14:paraId="3CE4B6D6" w14:textId="77777777" w:rsidR="00CF09B3" w:rsidRPr="007375EB" w:rsidRDefault="00CF09B3" w:rsidP="00CF09B3">
            <w:pPr>
              <w:rPr>
                <w:lang w:val="bg-BG"/>
              </w:rPr>
            </w:pPr>
            <w:r w:rsidRPr="007375EB">
              <w:rPr>
                <w:lang w:val="bg-BG"/>
              </w:rPr>
              <w:t>-</w:t>
            </w:r>
          </w:p>
        </w:tc>
        <w:tc>
          <w:tcPr>
            <w:tcW w:w="916" w:type="dxa"/>
            <w:noWrap/>
            <w:vAlign w:val="center"/>
            <w:hideMark/>
          </w:tcPr>
          <w:p w14:paraId="2D47046A" w14:textId="77777777" w:rsidR="00CF09B3" w:rsidRPr="007375EB" w:rsidRDefault="00CF09B3" w:rsidP="00CF09B3">
            <w:pPr>
              <w:rPr>
                <w:lang w:val="bg-BG"/>
              </w:rPr>
            </w:pPr>
            <w:r w:rsidRPr="007375EB">
              <w:rPr>
                <w:lang w:val="bg-BG"/>
              </w:rPr>
              <w:t>-</w:t>
            </w:r>
          </w:p>
        </w:tc>
        <w:tc>
          <w:tcPr>
            <w:tcW w:w="916" w:type="dxa"/>
            <w:noWrap/>
            <w:vAlign w:val="center"/>
            <w:hideMark/>
          </w:tcPr>
          <w:p w14:paraId="188113BA" w14:textId="77777777" w:rsidR="00CF09B3" w:rsidRPr="007375EB" w:rsidRDefault="00CF09B3" w:rsidP="00CF09B3">
            <w:pPr>
              <w:rPr>
                <w:lang w:val="bg-BG"/>
              </w:rPr>
            </w:pPr>
            <w:r w:rsidRPr="007375EB">
              <w:rPr>
                <w:lang w:val="bg-BG"/>
              </w:rPr>
              <w:t>-</w:t>
            </w:r>
          </w:p>
        </w:tc>
        <w:tc>
          <w:tcPr>
            <w:tcW w:w="810" w:type="dxa"/>
            <w:noWrap/>
            <w:vAlign w:val="center"/>
            <w:hideMark/>
          </w:tcPr>
          <w:p w14:paraId="2ADE8968" w14:textId="77777777" w:rsidR="00CF09B3" w:rsidRPr="007375EB" w:rsidRDefault="00CF09B3" w:rsidP="00CF09B3">
            <w:pPr>
              <w:rPr>
                <w:lang w:val="bg-BG"/>
              </w:rPr>
            </w:pPr>
            <w:r w:rsidRPr="007375EB">
              <w:rPr>
                <w:lang w:val="bg-BG"/>
              </w:rPr>
              <w:t>-</w:t>
            </w:r>
          </w:p>
        </w:tc>
        <w:tc>
          <w:tcPr>
            <w:tcW w:w="630" w:type="dxa"/>
            <w:noWrap/>
            <w:vAlign w:val="center"/>
            <w:hideMark/>
          </w:tcPr>
          <w:p w14:paraId="364A3585" w14:textId="77777777" w:rsidR="00CF09B3" w:rsidRPr="007375EB" w:rsidRDefault="00CF09B3" w:rsidP="00CF09B3">
            <w:pPr>
              <w:rPr>
                <w:lang w:val="bg-BG"/>
              </w:rPr>
            </w:pPr>
            <w:r w:rsidRPr="007375EB">
              <w:rPr>
                <w:lang w:val="bg-BG"/>
              </w:rPr>
              <w:t>-</w:t>
            </w:r>
          </w:p>
        </w:tc>
        <w:tc>
          <w:tcPr>
            <w:tcW w:w="720" w:type="dxa"/>
            <w:noWrap/>
            <w:vAlign w:val="center"/>
            <w:hideMark/>
          </w:tcPr>
          <w:p w14:paraId="57F407E1" w14:textId="77777777" w:rsidR="00CF09B3" w:rsidRPr="007375EB" w:rsidRDefault="00CF09B3" w:rsidP="00CF09B3">
            <w:pPr>
              <w:rPr>
                <w:lang w:val="bg-BG"/>
              </w:rPr>
            </w:pPr>
            <w:r w:rsidRPr="007375EB">
              <w:rPr>
                <w:lang w:val="bg-BG"/>
              </w:rPr>
              <w:t>-</w:t>
            </w:r>
          </w:p>
        </w:tc>
        <w:tc>
          <w:tcPr>
            <w:tcW w:w="720" w:type="dxa"/>
            <w:noWrap/>
            <w:vAlign w:val="center"/>
            <w:hideMark/>
          </w:tcPr>
          <w:p w14:paraId="47DF3767" w14:textId="77777777" w:rsidR="00CF09B3" w:rsidRPr="007375EB" w:rsidRDefault="00CF09B3" w:rsidP="00CF09B3">
            <w:pPr>
              <w:rPr>
                <w:lang w:val="bg-BG"/>
              </w:rPr>
            </w:pPr>
            <w:r w:rsidRPr="007375EB">
              <w:rPr>
                <w:lang w:val="bg-BG"/>
              </w:rPr>
              <w:t>-</w:t>
            </w:r>
          </w:p>
        </w:tc>
        <w:tc>
          <w:tcPr>
            <w:tcW w:w="540" w:type="dxa"/>
            <w:noWrap/>
            <w:vAlign w:val="center"/>
            <w:hideMark/>
          </w:tcPr>
          <w:p w14:paraId="595D3D23" w14:textId="77777777" w:rsidR="00CF09B3" w:rsidRPr="007375EB" w:rsidRDefault="00CF09B3" w:rsidP="00CF09B3">
            <w:pPr>
              <w:rPr>
                <w:lang w:val="bg-BG"/>
              </w:rPr>
            </w:pPr>
            <w:r w:rsidRPr="007375EB">
              <w:rPr>
                <w:lang w:val="bg-BG"/>
              </w:rPr>
              <w:t>X</w:t>
            </w:r>
          </w:p>
        </w:tc>
        <w:tc>
          <w:tcPr>
            <w:tcW w:w="990" w:type="dxa"/>
            <w:noWrap/>
            <w:vAlign w:val="center"/>
            <w:hideMark/>
          </w:tcPr>
          <w:p w14:paraId="68FF55EF" w14:textId="77777777" w:rsidR="00CF09B3" w:rsidRPr="007375EB" w:rsidRDefault="00CF09B3" w:rsidP="00CF09B3">
            <w:pPr>
              <w:rPr>
                <w:lang w:val="bg-BG"/>
              </w:rPr>
            </w:pPr>
            <w:r w:rsidRPr="007375EB">
              <w:rPr>
                <w:lang w:val="bg-BG"/>
              </w:rPr>
              <w:t>X</w:t>
            </w:r>
          </w:p>
        </w:tc>
        <w:tc>
          <w:tcPr>
            <w:tcW w:w="499" w:type="dxa"/>
            <w:noWrap/>
            <w:vAlign w:val="center"/>
            <w:hideMark/>
          </w:tcPr>
          <w:p w14:paraId="26909315" w14:textId="77777777" w:rsidR="00CF09B3" w:rsidRPr="007375EB" w:rsidRDefault="00CF09B3" w:rsidP="00CF09B3">
            <w:pPr>
              <w:rPr>
                <w:lang w:val="bg-BG"/>
              </w:rPr>
            </w:pPr>
            <w:r w:rsidRPr="007375EB">
              <w:rPr>
                <w:lang w:val="bg-BG"/>
              </w:rPr>
              <w:t>-</w:t>
            </w:r>
          </w:p>
        </w:tc>
        <w:tc>
          <w:tcPr>
            <w:tcW w:w="507" w:type="dxa"/>
            <w:noWrap/>
            <w:vAlign w:val="center"/>
            <w:hideMark/>
          </w:tcPr>
          <w:p w14:paraId="13675DA1" w14:textId="77777777" w:rsidR="00CF09B3" w:rsidRPr="007375EB" w:rsidRDefault="00CF09B3" w:rsidP="00CF09B3">
            <w:pPr>
              <w:rPr>
                <w:lang w:val="bg-BG"/>
              </w:rPr>
            </w:pPr>
            <w:r w:rsidRPr="007375EB">
              <w:rPr>
                <w:lang w:val="bg-BG"/>
              </w:rPr>
              <w:t>X</w:t>
            </w:r>
          </w:p>
        </w:tc>
        <w:tc>
          <w:tcPr>
            <w:tcW w:w="524" w:type="dxa"/>
            <w:noWrap/>
            <w:vAlign w:val="center"/>
            <w:hideMark/>
          </w:tcPr>
          <w:p w14:paraId="7F7FAA86" w14:textId="77777777" w:rsidR="00CF09B3" w:rsidRPr="007375EB" w:rsidRDefault="00CF09B3" w:rsidP="00CF09B3">
            <w:pPr>
              <w:rPr>
                <w:lang w:val="bg-BG"/>
              </w:rPr>
            </w:pPr>
            <w:r w:rsidRPr="007375EB">
              <w:rPr>
                <w:lang w:val="bg-BG"/>
              </w:rPr>
              <w:t>X</w:t>
            </w:r>
          </w:p>
        </w:tc>
        <w:tc>
          <w:tcPr>
            <w:tcW w:w="616" w:type="dxa"/>
            <w:noWrap/>
            <w:vAlign w:val="center"/>
            <w:hideMark/>
          </w:tcPr>
          <w:p w14:paraId="5FBDC9FE" w14:textId="77777777" w:rsidR="00CF09B3" w:rsidRPr="007375EB" w:rsidRDefault="00CF09B3" w:rsidP="00CF09B3">
            <w:pPr>
              <w:rPr>
                <w:lang w:val="bg-BG"/>
              </w:rPr>
            </w:pPr>
            <w:r w:rsidRPr="007375EB">
              <w:rPr>
                <w:lang w:val="bg-BG"/>
              </w:rPr>
              <w:t>X</w:t>
            </w:r>
          </w:p>
        </w:tc>
        <w:tc>
          <w:tcPr>
            <w:tcW w:w="612" w:type="dxa"/>
            <w:noWrap/>
            <w:vAlign w:val="center"/>
            <w:hideMark/>
          </w:tcPr>
          <w:p w14:paraId="0EFB0418" w14:textId="77777777" w:rsidR="00CF09B3" w:rsidRPr="007375EB" w:rsidRDefault="00CF09B3" w:rsidP="00CF09B3">
            <w:pPr>
              <w:rPr>
                <w:lang w:val="bg-BG"/>
              </w:rPr>
            </w:pPr>
            <w:r w:rsidRPr="007375EB">
              <w:rPr>
                <w:lang w:val="bg-BG"/>
              </w:rPr>
              <w:t>X</w:t>
            </w:r>
          </w:p>
        </w:tc>
      </w:tr>
      <w:tr w:rsidR="00CF09B3" w:rsidRPr="007375EB" w14:paraId="05668946" w14:textId="77777777" w:rsidTr="002B7665">
        <w:trPr>
          <w:trHeight w:val="420"/>
        </w:trPr>
        <w:tc>
          <w:tcPr>
            <w:tcW w:w="621" w:type="dxa"/>
            <w:noWrap/>
            <w:hideMark/>
          </w:tcPr>
          <w:p w14:paraId="70098507" w14:textId="77777777" w:rsidR="00CF09B3" w:rsidRPr="007375EB" w:rsidRDefault="00CF09B3" w:rsidP="00CF09B3">
            <w:pPr>
              <w:rPr>
                <w:lang w:val="bg-BG"/>
              </w:rPr>
            </w:pPr>
            <w:r w:rsidRPr="007375EB">
              <w:rPr>
                <w:lang w:val="bg-BG"/>
              </w:rPr>
              <w:t>4</w:t>
            </w:r>
          </w:p>
        </w:tc>
        <w:tc>
          <w:tcPr>
            <w:tcW w:w="3189" w:type="dxa"/>
            <w:hideMark/>
          </w:tcPr>
          <w:p w14:paraId="384147F1" w14:textId="7B16B71E" w:rsidR="00CF09B3" w:rsidRPr="007375EB" w:rsidRDefault="00CF09B3" w:rsidP="00CF09B3">
            <w:pPr>
              <w:jc w:val="both"/>
              <w:rPr>
                <w:lang w:val="bg-BG"/>
              </w:rPr>
            </w:pPr>
            <w:r w:rsidRPr="007375EB">
              <w:rPr>
                <w:lang w:val="bg-BG"/>
              </w:rPr>
              <w:t xml:space="preserve">Вятърен парк Комана - Печинеага - трасе за подземен </w:t>
            </w:r>
            <w:r w:rsidRPr="007375EB">
              <w:rPr>
                <w:lang w:val="bg-BG"/>
              </w:rPr>
              <w:lastRenderedPageBreak/>
              <w:t>електрически кабел МТ и оптична мрежа (предложена)</w:t>
            </w:r>
          </w:p>
        </w:tc>
        <w:tc>
          <w:tcPr>
            <w:tcW w:w="2125" w:type="dxa"/>
            <w:noWrap/>
            <w:vAlign w:val="center"/>
            <w:hideMark/>
          </w:tcPr>
          <w:p w14:paraId="3B71BFB1" w14:textId="77777777" w:rsidR="00CF09B3" w:rsidRPr="007375EB" w:rsidRDefault="00CF09B3" w:rsidP="00CF09B3">
            <w:pPr>
              <w:rPr>
                <w:lang w:val="bg-BG"/>
              </w:rPr>
            </w:pPr>
            <w:r w:rsidRPr="007375EB">
              <w:rPr>
                <w:lang w:val="bg-BG"/>
              </w:rPr>
              <w:lastRenderedPageBreak/>
              <w:t>1,84 км</w:t>
            </w:r>
          </w:p>
        </w:tc>
        <w:tc>
          <w:tcPr>
            <w:tcW w:w="482" w:type="dxa"/>
            <w:noWrap/>
            <w:vAlign w:val="center"/>
            <w:hideMark/>
          </w:tcPr>
          <w:p w14:paraId="15D3CCA9" w14:textId="77777777" w:rsidR="00CF09B3" w:rsidRPr="007375EB" w:rsidRDefault="00CF09B3" w:rsidP="00CF09B3">
            <w:pPr>
              <w:rPr>
                <w:lang w:val="bg-BG"/>
              </w:rPr>
            </w:pPr>
            <w:r w:rsidRPr="007375EB">
              <w:rPr>
                <w:lang w:val="bg-BG"/>
              </w:rPr>
              <w:t>-</w:t>
            </w:r>
          </w:p>
        </w:tc>
        <w:tc>
          <w:tcPr>
            <w:tcW w:w="916" w:type="dxa"/>
            <w:noWrap/>
            <w:vAlign w:val="center"/>
            <w:hideMark/>
          </w:tcPr>
          <w:p w14:paraId="795F1D53" w14:textId="77777777" w:rsidR="00CF09B3" w:rsidRPr="007375EB" w:rsidRDefault="00CF09B3" w:rsidP="00CF09B3">
            <w:pPr>
              <w:rPr>
                <w:lang w:val="bg-BG"/>
              </w:rPr>
            </w:pPr>
            <w:r w:rsidRPr="007375EB">
              <w:rPr>
                <w:lang w:val="bg-BG"/>
              </w:rPr>
              <w:t>-</w:t>
            </w:r>
          </w:p>
        </w:tc>
        <w:tc>
          <w:tcPr>
            <w:tcW w:w="916" w:type="dxa"/>
            <w:noWrap/>
            <w:vAlign w:val="center"/>
            <w:hideMark/>
          </w:tcPr>
          <w:p w14:paraId="50F4E041" w14:textId="77777777" w:rsidR="00CF09B3" w:rsidRPr="007375EB" w:rsidRDefault="00CF09B3" w:rsidP="00CF09B3">
            <w:pPr>
              <w:rPr>
                <w:lang w:val="bg-BG"/>
              </w:rPr>
            </w:pPr>
            <w:r w:rsidRPr="007375EB">
              <w:rPr>
                <w:lang w:val="bg-BG"/>
              </w:rPr>
              <w:t>-</w:t>
            </w:r>
          </w:p>
        </w:tc>
        <w:tc>
          <w:tcPr>
            <w:tcW w:w="810" w:type="dxa"/>
            <w:noWrap/>
            <w:vAlign w:val="center"/>
            <w:hideMark/>
          </w:tcPr>
          <w:p w14:paraId="5D4BF50E" w14:textId="77777777" w:rsidR="00CF09B3" w:rsidRPr="007375EB" w:rsidRDefault="00CF09B3" w:rsidP="00CF09B3">
            <w:pPr>
              <w:rPr>
                <w:lang w:val="bg-BG"/>
              </w:rPr>
            </w:pPr>
            <w:r w:rsidRPr="007375EB">
              <w:rPr>
                <w:lang w:val="bg-BG"/>
              </w:rPr>
              <w:t>-</w:t>
            </w:r>
          </w:p>
        </w:tc>
        <w:tc>
          <w:tcPr>
            <w:tcW w:w="630" w:type="dxa"/>
            <w:noWrap/>
            <w:vAlign w:val="center"/>
            <w:hideMark/>
          </w:tcPr>
          <w:p w14:paraId="4604F2F3" w14:textId="77777777" w:rsidR="00CF09B3" w:rsidRPr="007375EB" w:rsidRDefault="00CF09B3" w:rsidP="00CF09B3">
            <w:pPr>
              <w:rPr>
                <w:lang w:val="bg-BG"/>
              </w:rPr>
            </w:pPr>
            <w:r w:rsidRPr="007375EB">
              <w:rPr>
                <w:lang w:val="bg-BG"/>
              </w:rPr>
              <w:t>-</w:t>
            </w:r>
          </w:p>
        </w:tc>
        <w:tc>
          <w:tcPr>
            <w:tcW w:w="720" w:type="dxa"/>
            <w:noWrap/>
            <w:vAlign w:val="center"/>
            <w:hideMark/>
          </w:tcPr>
          <w:p w14:paraId="46E93E73" w14:textId="77777777" w:rsidR="00CF09B3" w:rsidRPr="007375EB" w:rsidRDefault="00CF09B3" w:rsidP="00CF09B3">
            <w:pPr>
              <w:rPr>
                <w:lang w:val="bg-BG"/>
              </w:rPr>
            </w:pPr>
            <w:r w:rsidRPr="007375EB">
              <w:rPr>
                <w:lang w:val="bg-BG"/>
              </w:rPr>
              <w:t>-</w:t>
            </w:r>
          </w:p>
        </w:tc>
        <w:tc>
          <w:tcPr>
            <w:tcW w:w="720" w:type="dxa"/>
            <w:noWrap/>
            <w:vAlign w:val="center"/>
            <w:hideMark/>
          </w:tcPr>
          <w:p w14:paraId="7D0DAA60" w14:textId="77777777" w:rsidR="00CF09B3" w:rsidRPr="007375EB" w:rsidRDefault="00CF09B3" w:rsidP="00CF09B3">
            <w:pPr>
              <w:rPr>
                <w:lang w:val="bg-BG"/>
              </w:rPr>
            </w:pPr>
            <w:r w:rsidRPr="007375EB">
              <w:rPr>
                <w:lang w:val="bg-BG"/>
              </w:rPr>
              <w:t>-</w:t>
            </w:r>
          </w:p>
        </w:tc>
        <w:tc>
          <w:tcPr>
            <w:tcW w:w="540" w:type="dxa"/>
            <w:noWrap/>
            <w:vAlign w:val="center"/>
            <w:hideMark/>
          </w:tcPr>
          <w:p w14:paraId="104E1499" w14:textId="77777777" w:rsidR="00CF09B3" w:rsidRPr="007375EB" w:rsidRDefault="00CF09B3" w:rsidP="00CF09B3">
            <w:pPr>
              <w:rPr>
                <w:lang w:val="bg-BG"/>
              </w:rPr>
            </w:pPr>
            <w:r w:rsidRPr="007375EB">
              <w:rPr>
                <w:lang w:val="bg-BG"/>
              </w:rPr>
              <w:t>X</w:t>
            </w:r>
          </w:p>
        </w:tc>
        <w:tc>
          <w:tcPr>
            <w:tcW w:w="990" w:type="dxa"/>
            <w:noWrap/>
            <w:vAlign w:val="center"/>
            <w:hideMark/>
          </w:tcPr>
          <w:p w14:paraId="1E78DE77" w14:textId="77777777" w:rsidR="00CF09B3" w:rsidRPr="007375EB" w:rsidRDefault="00CF09B3" w:rsidP="00CF09B3">
            <w:pPr>
              <w:rPr>
                <w:lang w:val="bg-BG"/>
              </w:rPr>
            </w:pPr>
            <w:r w:rsidRPr="007375EB">
              <w:rPr>
                <w:lang w:val="bg-BG"/>
              </w:rPr>
              <w:t>X</w:t>
            </w:r>
          </w:p>
        </w:tc>
        <w:tc>
          <w:tcPr>
            <w:tcW w:w="499" w:type="dxa"/>
            <w:noWrap/>
            <w:vAlign w:val="center"/>
            <w:hideMark/>
          </w:tcPr>
          <w:p w14:paraId="1DFB4D81" w14:textId="77777777" w:rsidR="00CF09B3" w:rsidRPr="007375EB" w:rsidRDefault="00CF09B3" w:rsidP="00CF09B3">
            <w:pPr>
              <w:rPr>
                <w:lang w:val="bg-BG"/>
              </w:rPr>
            </w:pPr>
            <w:r w:rsidRPr="007375EB">
              <w:rPr>
                <w:lang w:val="bg-BG"/>
              </w:rPr>
              <w:t>-</w:t>
            </w:r>
          </w:p>
        </w:tc>
        <w:tc>
          <w:tcPr>
            <w:tcW w:w="507" w:type="dxa"/>
            <w:noWrap/>
            <w:vAlign w:val="center"/>
            <w:hideMark/>
          </w:tcPr>
          <w:p w14:paraId="4CD91246" w14:textId="77777777" w:rsidR="00CF09B3" w:rsidRPr="007375EB" w:rsidRDefault="00CF09B3" w:rsidP="00CF09B3">
            <w:pPr>
              <w:rPr>
                <w:lang w:val="bg-BG"/>
              </w:rPr>
            </w:pPr>
            <w:r w:rsidRPr="007375EB">
              <w:rPr>
                <w:lang w:val="bg-BG"/>
              </w:rPr>
              <w:t>X</w:t>
            </w:r>
          </w:p>
        </w:tc>
        <w:tc>
          <w:tcPr>
            <w:tcW w:w="524" w:type="dxa"/>
            <w:noWrap/>
            <w:vAlign w:val="center"/>
            <w:hideMark/>
          </w:tcPr>
          <w:p w14:paraId="3E9EDB0D" w14:textId="77777777" w:rsidR="00CF09B3" w:rsidRPr="007375EB" w:rsidRDefault="00CF09B3" w:rsidP="00CF09B3">
            <w:pPr>
              <w:rPr>
                <w:lang w:val="bg-BG"/>
              </w:rPr>
            </w:pPr>
            <w:r w:rsidRPr="007375EB">
              <w:rPr>
                <w:lang w:val="bg-BG"/>
              </w:rPr>
              <w:t>X</w:t>
            </w:r>
          </w:p>
        </w:tc>
        <w:tc>
          <w:tcPr>
            <w:tcW w:w="616" w:type="dxa"/>
            <w:noWrap/>
            <w:vAlign w:val="center"/>
            <w:hideMark/>
          </w:tcPr>
          <w:p w14:paraId="6F465078" w14:textId="77777777" w:rsidR="00CF09B3" w:rsidRPr="007375EB" w:rsidRDefault="00CF09B3" w:rsidP="00CF09B3">
            <w:pPr>
              <w:rPr>
                <w:lang w:val="bg-BG"/>
              </w:rPr>
            </w:pPr>
            <w:r w:rsidRPr="007375EB">
              <w:rPr>
                <w:lang w:val="bg-BG"/>
              </w:rPr>
              <w:t>X</w:t>
            </w:r>
          </w:p>
        </w:tc>
        <w:tc>
          <w:tcPr>
            <w:tcW w:w="612" w:type="dxa"/>
            <w:noWrap/>
            <w:vAlign w:val="center"/>
            <w:hideMark/>
          </w:tcPr>
          <w:p w14:paraId="778A081F" w14:textId="77777777" w:rsidR="00CF09B3" w:rsidRPr="007375EB" w:rsidRDefault="00CF09B3" w:rsidP="00CF09B3">
            <w:pPr>
              <w:rPr>
                <w:lang w:val="bg-BG"/>
              </w:rPr>
            </w:pPr>
            <w:r w:rsidRPr="007375EB">
              <w:rPr>
                <w:lang w:val="bg-BG"/>
              </w:rPr>
              <w:t>X</w:t>
            </w:r>
          </w:p>
        </w:tc>
      </w:tr>
      <w:tr w:rsidR="00CF09B3" w:rsidRPr="007375EB" w14:paraId="1A85F9D4" w14:textId="77777777" w:rsidTr="002B7665">
        <w:trPr>
          <w:trHeight w:val="420"/>
        </w:trPr>
        <w:tc>
          <w:tcPr>
            <w:tcW w:w="621" w:type="dxa"/>
            <w:noWrap/>
            <w:hideMark/>
          </w:tcPr>
          <w:p w14:paraId="49ACE738" w14:textId="77777777" w:rsidR="00CF09B3" w:rsidRPr="007375EB" w:rsidRDefault="00CF09B3" w:rsidP="00CF09B3">
            <w:pPr>
              <w:rPr>
                <w:lang w:val="bg-BG"/>
              </w:rPr>
            </w:pPr>
            <w:r w:rsidRPr="007375EB">
              <w:rPr>
                <w:lang w:val="bg-BG"/>
              </w:rPr>
              <w:t>5</w:t>
            </w:r>
          </w:p>
        </w:tc>
        <w:tc>
          <w:tcPr>
            <w:tcW w:w="3189" w:type="dxa"/>
            <w:hideMark/>
          </w:tcPr>
          <w:p w14:paraId="092F304E" w14:textId="7E221326" w:rsidR="00CF09B3" w:rsidRPr="007375EB" w:rsidRDefault="00CF09B3" w:rsidP="00CF09B3">
            <w:pPr>
              <w:jc w:val="both"/>
              <w:rPr>
                <w:lang w:val="bg-BG"/>
              </w:rPr>
            </w:pPr>
            <w:r w:rsidRPr="007375EB">
              <w:rPr>
                <w:lang w:val="bg-BG"/>
              </w:rPr>
              <w:t>Изграждане на вятърна електроцентрала, включваща: вятърни турбини, пътища за достъп и платформи за монтаж/поддръжка, електрическа трансформаторна станция (собствена), електрическа мрежа средно и високо напрежение, телекомуникационна мрежа, ком. Индепенденца, окръг Констанца (предложен)</w:t>
            </w:r>
          </w:p>
        </w:tc>
        <w:tc>
          <w:tcPr>
            <w:tcW w:w="2125" w:type="dxa"/>
            <w:noWrap/>
            <w:vAlign w:val="center"/>
            <w:hideMark/>
          </w:tcPr>
          <w:p w14:paraId="725CD575" w14:textId="77777777" w:rsidR="00CF09B3" w:rsidRPr="007375EB" w:rsidRDefault="00CF09B3" w:rsidP="00CF09B3">
            <w:pPr>
              <w:rPr>
                <w:lang w:val="bg-BG"/>
              </w:rPr>
            </w:pPr>
            <w:r w:rsidRPr="007375EB">
              <w:rPr>
                <w:lang w:val="bg-BG"/>
              </w:rPr>
              <w:t>5,13 км</w:t>
            </w:r>
          </w:p>
        </w:tc>
        <w:tc>
          <w:tcPr>
            <w:tcW w:w="482" w:type="dxa"/>
            <w:noWrap/>
            <w:vAlign w:val="center"/>
            <w:hideMark/>
          </w:tcPr>
          <w:p w14:paraId="6E75E163" w14:textId="77777777" w:rsidR="00CF09B3" w:rsidRPr="007375EB" w:rsidRDefault="00CF09B3" w:rsidP="00CF09B3">
            <w:pPr>
              <w:rPr>
                <w:lang w:val="bg-BG"/>
              </w:rPr>
            </w:pPr>
            <w:r w:rsidRPr="007375EB">
              <w:rPr>
                <w:lang w:val="bg-BG"/>
              </w:rPr>
              <w:t>-</w:t>
            </w:r>
          </w:p>
        </w:tc>
        <w:tc>
          <w:tcPr>
            <w:tcW w:w="916" w:type="dxa"/>
            <w:noWrap/>
            <w:vAlign w:val="center"/>
            <w:hideMark/>
          </w:tcPr>
          <w:p w14:paraId="3B5484C8" w14:textId="77777777" w:rsidR="00CF09B3" w:rsidRPr="007375EB" w:rsidRDefault="00CF09B3" w:rsidP="00CF09B3">
            <w:pPr>
              <w:rPr>
                <w:lang w:val="bg-BG"/>
              </w:rPr>
            </w:pPr>
            <w:r w:rsidRPr="007375EB">
              <w:rPr>
                <w:lang w:val="bg-BG"/>
              </w:rPr>
              <w:t>-</w:t>
            </w:r>
          </w:p>
        </w:tc>
        <w:tc>
          <w:tcPr>
            <w:tcW w:w="916" w:type="dxa"/>
            <w:noWrap/>
            <w:vAlign w:val="center"/>
            <w:hideMark/>
          </w:tcPr>
          <w:p w14:paraId="3476C333" w14:textId="77777777" w:rsidR="00CF09B3" w:rsidRPr="007375EB" w:rsidRDefault="00CF09B3" w:rsidP="00CF09B3">
            <w:pPr>
              <w:rPr>
                <w:lang w:val="bg-BG"/>
              </w:rPr>
            </w:pPr>
            <w:r w:rsidRPr="007375EB">
              <w:rPr>
                <w:lang w:val="bg-BG"/>
              </w:rPr>
              <w:t>-</w:t>
            </w:r>
          </w:p>
        </w:tc>
        <w:tc>
          <w:tcPr>
            <w:tcW w:w="810" w:type="dxa"/>
            <w:noWrap/>
            <w:vAlign w:val="center"/>
            <w:hideMark/>
          </w:tcPr>
          <w:p w14:paraId="4B2B4D80" w14:textId="77777777" w:rsidR="00CF09B3" w:rsidRPr="007375EB" w:rsidRDefault="00CF09B3" w:rsidP="00CF09B3">
            <w:pPr>
              <w:rPr>
                <w:lang w:val="bg-BG"/>
              </w:rPr>
            </w:pPr>
            <w:r w:rsidRPr="007375EB">
              <w:rPr>
                <w:lang w:val="bg-BG"/>
              </w:rPr>
              <w:t>-</w:t>
            </w:r>
          </w:p>
        </w:tc>
        <w:tc>
          <w:tcPr>
            <w:tcW w:w="630" w:type="dxa"/>
            <w:noWrap/>
            <w:vAlign w:val="center"/>
            <w:hideMark/>
          </w:tcPr>
          <w:p w14:paraId="5748F666" w14:textId="77777777" w:rsidR="00CF09B3" w:rsidRPr="007375EB" w:rsidRDefault="00CF09B3" w:rsidP="00CF09B3">
            <w:pPr>
              <w:rPr>
                <w:lang w:val="bg-BG"/>
              </w:rPr>
            </w:pPr>
            <w:r w:rsidRPr="007375EB">
              <w:rPr>
                <w:lang w:val="bg-BG"/>
              </w:rPr>
              <w:t>-</w:t>
            </w:r>
          </w:p>
        </w:tc>
        <w:tc>
          <w:tcPr>
            <w:tcW w:w="720" w:type="dxa"/>
            <w:noWrap/>
            <w:vAlign w:val="center"/>
            <w:hideMark/>
          </w:tcPr>
          <w:p w14:paraId="25218B29" w14:textId="77777777" w:rsidR="00CF09B3" w:rsidRPr="007375EB" w:rsidRDefault="00CF09B3" w:rsidP="00CF09B3">
            <w:pPr>
              <w:rPr>
                <w:lang w:val="bg-BG"/>
              </w:rPr>
            </w:pPr>
            <w:r w:rsidRPr="007375EB">
              <w:rPr>
                <w:lang w:val="bg-BG"/>
              </w:rPr>
              <w:t>-</w:t>
            </w:r>
          </w:p>
        </w:tc>
        <w:tc>
          <w:tcPr>
            <w:tcW w:w="720" w:type="dxa"/>
            <w:noWrap/>
            <w:vAlign w:val="center"/>
            <w:hideMark/>
          </w:tcPr>
          <w:p w14:paraId="12E47126" w14:textId="77777777" w:rsidR="00CF09B3" w:rsidRPr="007375EB" w:rsidRDefault="00CF09B3" w:rsidP="00CF09B3">
            <w:pPr>
              <w:rPr>
                <w:lang w:val="bg-BG"/>
              </w:rPr>
            </w:pPr>
            <w:r w:rsidRPr="007375EB">
              <w:rPr>
                <w:lang w:val="bg-BG"/>
              </w:rPr>
              <w:t>-</w:t>
            </w:r>
          </w:p>
        </w:tc>
        <w:tc>
          <w:tcPr>
            <w:tcW w:w="540" w:type="dxa"/>
            <w:noWrap/>
            <w:vAlign w:val="center"/>
            <w:hideMark/>
          </w:tcPr>
          <w:p w14:paraId="60D57CB2" w14:textId="77777777" w:rsidR="00CF09B3" w:rsidRPr="007375EB" w:rsidRDefault="00CF09B3" w:rsidP="00CF09B3">
            <w:pPr>
              <w:rPr>
                <w:lang w:val="bg-BG"/>
              </w:rPr>
            </w:pPr>
            <w:r w:rsidRPr="007375EB">
              <w:rPr>
                <w:lang w:val="bg-BG"/>
              </w:rPr>
              <w:t>X</w:t>
            </w:r>
          </w:p>
        </w:tc>
        <w:tc>
          <w:tcPr>
            <w:tcW w:w="990" w:type="dxa"/>
            <w:noWrap/>
            <w:vAlign w:val="center"/>
            <w:hideMark/>
          </w:tcPr>
          <w:p w14:paraId="791D93D9" w14:textId="77777777" w:rsidR="00CF09B3" w:rsidRPr="007375EB" w:rsidRDefault="00CF09B3" w:rsidP="00CF09B3">
            <w:pPr>
              <w:rPr>
                <w:lang w:val="bg-BG"/>
              </w:rPr>
            </w:pPr>
            <w:r w:rsidRPr="007375EB">
              <w:rPr>
                <w:lang w:val="bg-BG"/>
              </w:rPr>
              <w:t>X</w:t>
            </w:r>
          </w:p>
        </w:tc>
        <w:tc>
          <w:tcPr>
            <w:tcW w:w="499" w:type="dxa"/>
            <w:noWrap/>
            <w:vAlign w:val="center"/>
            <w:hideMark/>
          </w:tcPr>
          <w:p w14:paraId="7EBDEE34" w14:textId="77777777" w:rsidR="00CF09B3" w:rsidRPr="007375EB" w:rsidRDefault="00CF09B3" w:rsidP="00CF09B3">
            <w:pPr>
              <w:rPr>
                <w:lang w:val="bg-BG"/>
              </w:rPr>
            </w:pPr>
            <w:r w:rsidRPr="007375EB">
              <w:rPr>
                <w:lang w:val="bg-BG"/>
              </w:rPr>
              <w:t>-</w:t>
            </w:r>
          </w:p>
        </w:tc>
        <w:tc>
          <w:tcPr>
            <w:tcW w:w="507" w:type="dxa"/>
            <w:noWrap/>
            <w:vAlign w:val="center"/>
            <w:hideMark/>
          </w:tcPr>
          <w:p w14:paraId="57684331" w14:textId="77777777" w:rsidR="00CF09B3" w:rsidRPr="007375EB" w:rsidRDefault="00CF09B3" w:rsidP="00CF09B3">
            <w:pPr>
              <w:rPr>
                <w:lang w:val="bg-BG"/>
              </w:rPr>
            </w:pPr>
            <w:r w:rsidRPr="007375EB">
              <w:rPr>
                <w:lang w:val="bg-BG"/>
              </w:rPr>
              <w:t>X</w:t>
            </w:r>
          </w:p>
        </w:tc>
        <w:tc>
          <w:tcPr>
            <w:tcW w:w="524" w:type="dxa"/>
            <w:noWrap/>
            <w:vAlign w:val="center"/>
            <w:hideMark/>
          </w:tcPr>
          <w:p w14:paraId="55E683D8" w14:textId="77777777" w:rsidR="00CF09B3" w:rsidRPr="007375EB" w:rsidRDefault="00CF09B3" w:rsidP="00CF09B3">
            <w:pPr>
              <w:rPr>
                <w:lang w:val="bg-BG"/>
              </w:rPr>
            </w:pPr>
            <w:r w:rsidRPr="007375EB">
              <w:rPr>
                <w:lang w:val="bg-BG"/>
              </w:rPr>
              <w:t>X</w:t>
            </w:r>
          </w:p>
        </w:tc>
        <w:tc>
          <w:tcPr>
            <w:tcW w:w="616" w:type="dxa"/>
            <w:noWrap/>
            <w:vAlign w:val="center"/>
            <w:hideMark/>
          </w:tcPr>
          <w:p w14:paraId="075CD588" w14:textId="77777777" w:rsidR="00CF09B3" w:rsidRPr="007375EB" w:rsidRDefault="00CF09B3" w:rsidP="00CF09B3">
            <w:pPr>
              <w:rPr>
                <w:lang w:val="bg-BG"/>
              </w:rPr>
            </w:pPr>
            <w:r w:rsidRPr="007375EB">
              <w:rPr>
                <w:lang w:val="bg-BG"/>
              </w:rPr>
              <w:t>X</w:t>
            </w:r>
          </w:p>
        </w:tc>
        <w:tc>
          <w:tcPr>
            <w:tcW w:w="612" w:type="dxa"/>
            <w:noWrap/>
            <w:vAlign w:val="center"/>
            <w:hideMark/>
          </w:tcPr>
          <w:p w14:paraId="0F7870A4" w14:textId="77777777" w:rsidR="00CF09B3" w:rsidRPr="007375EB" w:rsidRDefault="00CF09B3" w:rsidP="00CF09B3">
            <w:pPr>
              <w:rPr>
                <w:lang w:val="bg-BG"/>
              </w:rPr>
            </w:pPr>
            <w:r w:rsidRPr="007375EB">
              <w:rPr>
                <w:lang w:val="bg-BG"/>
              </w:rPr>
              <w:t>X</w:t>
            </w:r>
          </w:p>
        </w:tc>
      </w:tr>
      <w:tr w:rsidR="00CF09B3" w:rsidRPr="007375EB" w14:paraId="776D5DD4" w14:textId="77777777" w:rsidTr="002B7665">
        <w:trPr>
          <w:trHeight w:val="210"/>
        </w:trPr>
        <w:tc>
          <w:tcPr>
            <w:tcW w:w="621" w:type="dxa"/>
            <w:noWrap/>
            <w:hideMark/>
          </w:tcPr>
          <w:p w14:paraId="20CE00FA" w14:textId="77777777" w:rsidR="00CF09B3" w:rsidRPr="007375EB" w:rsidRDefault="00CF09B3" w:rsidP="00CF09B3">
            <w:pPr>
              <w:rPr>
                <w:lang w:val="bg-BG"/>
              </w:rPr>
            </w:pPr>
            <w:r w:rsidRPr="007375EB">
              <w:rPr>
                <w:lang w:val="bg-BG"/>
              </w:rPr>
              <w:t>6</w:t>
            </w:r>
          </w:p>
        </w:tc>
        <w:tc>
          <w:tcPr>
            <w:tcW w:w="3189" w:type="dxa"/>
            <w:noWrap/>
            <w:hideMark/>
          </w:tcPr>
          <w:p w14:paraId="1A082AD3" w14:textId="14F1D4B7" w:rsidR="00CF09B3" w:rsidRPr="007375EB" w:rsidRDefault="00CF09B3" w:rsidP="00CF09B3">
            <w:pPr>
              <w:jc w:val="both"/>
              <w:rPr>
                <w:lang w:val="bg-BG"/>
              </w:rPr>
            </w:pPr>
            <w:r w:rsidRPr="007375EB">
              <w:rPr>
                <w:lang w:val="bg-BG"/>
              </w:rPr>
              <w:t xml:space="preserve">Събаряне на съществуващи сгради и изграждане на фотоволтаична електроцентрала с мощност 3,212 МВт, свързване към SEN, инсталиране на PC и PTAB, </w:t>
            </w:r>
            <w:r w:rsidRPr="007375EB">
              <w:rPr>
                <w:lang w:val="bg-BG"/>
              </w:rPr>
              <w:lastRenderedPageBreak/>
              <w:t>вътрешен път и достъп, ограждане на терена и организация на строителната площадка в Индепенденца (предложена)</w:t>
            </w:r>
          </w:p>
        </w:tc>
        <w:tc>
          <w:tcPr>
            <w:tcW w:w="2125" w:type="dxa"/>
            <w:noWrap/>
            <w:vAlign w:val="center"/>
            <w:hideMark/>
          </w:tcPr>
          <w:p w14:paraId="465F9660" w14:textId="77777777" w:rsidR="00CF09B3" w:rsidRPr="007375EB" w:rsidRDefault="00CF09B3" w:rsidP="00CF09B3">
            <w:pPr>
              <w:rPr>
                <w:lang w:val="bg-BG"/>
              </w:rPr>
            </w:pPr>
            <w:r w:rsidRPr="007375EB">
              <w:rPr>
                <w:lang w:val="bg-BG"/>
              </w:rPr>
              <w:lastRenderedPageBreak/>
              <w:t>9,08 км</w:t>
            </w:r>
          </w:p>
        </w:tc>
        <w:tc>
          <w:tcPr>
            <w:tcW w:w="482" w:type="dxa"/>
            <w:noWrap/>
            <w:vAlign w:val="center"/>
            <w:hideMark/>
          </w:tcPr>
          <w:p w14:paraId="5C18C3C7" w14:textId="77777777" w:rsidR="00CF09B3" w:rsidRPr="007375EB" w:rsidRDefault="00CF09B3" w:rsidP="00CF09B3">
            <w:pPr>
              <w:rPr>
                <w:lang w:val="bg-BG"/>
              </w:rPr>
            </w:pPr>
            <w:r w:rsidRPr="007375EB">
              <w:rPr>
                <w:lang w:val="bg-BG"/>
              </w:rPr>
              <w:t>-</w:t>
            </w:r>
          </w:p>
        </w:tc>
        <w:tc>
          <w:tcPr>
            <w:tcW w:w="916" w:type="dxa"/>
            <w:noWrap/>
            <w:vAlign w:val="center"/>
            <w:hideMark/>
          </w:tcPr>
          <w:p w14:paraId="3D1BA081" w14:textId="77777777" w:rsidR="00CF09B3" w:rsidRPr="007375EB" w:rsidRDefault="00CF09B3" w:rsidP="00CF09B3">
            <w:pPr>
              <w:rPr>
                <w:lang w:val="bg-BG"/>
              </w:rPr>
            </w:pPr>
            <w:r w:rsidRPr="007375EB">
              <w:rPr>
                <w:lang w:val="bg-BG"/>
              </w:rPr>
              <w:t>-</w:t>
            </w:r>
          </w:p>
        </w:tc>
        <w:tc>
          <w:tcPr>
            <w:tcW w:w="916" w:type="dxa"/>
            <w:noWrap/>
            <w:vAlign w:val="center"/>
            <w:hideMark/>
          </w:tcPr>
          <w:p w14:paraId="67E94E53" w14:textId="77777777" w:rsidR="00CF09B3" w:rsidRPr="007375EB" w:rsidRDefault="00CF09B3" w:rsidP="00CF09B3">
            <w:pPr>
              <w:rPr>
                <w:lang w:val="bg-BG"/>
              </w:rPr>
            </w:pPr>
            <w:r w:rsidRPr="007375EB">
              <w:rPr>
                <w:lang w:val="bg-BG"/>
              </w:rPr>
              <w:t>-</w:t>
            </w:r>
          </w:p>
        </w:tc>
        <w:tc>
          <w:tcPr>
            <w:tcW w:w="810" w:type="dxa"/>
            <w:noWrap/>
            <w:vAlign w:val="center"/>
            <w:hideMark/>
          </w:tcPr>
          <w:p w14:paraId="7C6EC1B5" w14:textId="77777777" w:rsidR="00CF09B3" w:rsidRPr="007375EB" w:rsidRDefault="00CF09B3" w:rsidP="00CF09B3">
            <w:pPr>
              <w:rPr>
                <w:lang w:val="bg-BG"/>
              </w:rPr>
            </w:pPr>
            <w:r w:rsidRPr="007375EB">
              <w:rPr>
                <w:lang w:val="bg-BG"/>
              </w:rPr>
              <w:t>-</w:t>
            </w:r>
          </w:p>
        </w:tc>
        <w:tc>
          <w:tcPr>
            <w:tcW w:w="630" w:type="dxa"/>
            <w:noWrap/>
            <w:vAlign w:val="center"/>
            <w:hideMark/>
          </w:tcPr>
          <w:p w14:paraId="400A2AC0" w14:textId="77777777" w:rsidR="00CF09B3" w:rsidRPr="007375EB" w:rsidRDefault="00CF09B3" w:rsidP="00CF09B3">
            <w:pPr>
              <w:rPr>
                <w:lang w:val="bg-BG"/>
              </w:rPr>
            </w:pPr>
            <w:r w:rsidRPr="007375EB">
              <w:rPr>
                <w:lang w:val="bg-BG"/>
              </w:rPr>
              <w:t>-</w:t>
            </w:r>
          </w:p>
        </w:tc>
        <w:tc>
          <w:tcPr>
            <w:tcW w:w="720" w:type="dxa"/>
            <w:noWrap/>
            <w:vAlign w:val="center"/>
            <w:hideMark/>
          </w:tcPr>
          <w:p w14:paraId="6116D41A" w14:textId="77777777" w:rsidR="00CF09B3" w:rsidRPr="007375EB" w:rsidRDefault="00CF09B3" w:rsidP="00CF09B3">
            <w:pPr>
              <w:rPr>
                <w:lang w:val="bg-BG"/>
              </w:rPr>
            </w:pPr>
            <w:r w:rsidRPr="007375EB">
              <w:rPr>
                <w:lang w:val="bg-BG"/>
              </w:rPr>
              <w:t>-</w:t>
            </w:r>
          </w:p>
        </w:tc>
        <w:tc>
          <w:tcPr>
            <w:tcW w:w="720" w:type="dxa"/>
            <w:noWrap/>
            <w:vAlign w:val="center"/>
            <w:hideMark/>
          </w:tcPr>
          <w:p w14:paraId="43D3C6CE" w14:textId="77777777" w:rsidR="00CF09B3" w:rsidRPr="007375EB" w:rsidRDefault="00CF09B3" w:rsidP="00CF09B3">
            <w:pPr>
              <w:rPr>
                <w:lang w:val="bg-BG"/>
              </w:rPr>
            </w:pPr>
            <w:r w:rsidRPr="007375EB">
              <w:rPr>
                <w:lang w:val="bg-BG"/>
              </w:rPr>
              <w:t>-</w:t>
            </w:r>
          </w:p>
        </w:tc>
        <w:tc>
          <w:tcPr>
            <w:tcW w:w="540" w:type="dxa"/>
            <w:noWrap/>
            <w:vAlign w:val="center"/>
            <w:hideMark/>
          </w:tcPr>
          <w:p w14:paraId="2E7EB31D" w14:textId="77777777" w:rsidR="00CF09B3" w:rsidRPr="007375EB" w:rsidRDefault="00CF09B3" w:rsidP="00CF09B3">
            <w:pPr>
              <w:rPr>
                <w:lang w:val="bg-BG"/>
              </w:rPr>
            </w:pPr>
            <w:r w:rsidRPr="007375EB">
              <w:rPr>
                <w:lang w:val="bg-BG"/>
              </w:rPr>
              <w:t>-</w:t>
            </w:r>
          </w:p>
        </w:tc>
        <w:tc>
          <w:tcPr>
            <w:tcW w:w="990" w:type="dxa"/>
            <w:noWrap/>
            <w:vAlign w:val="center"/>
            <w:hideMark/>
          </w:tcPr>
          <w:p w14:paraId="4DAA370D" w14:textId="77777777" w:rsidR="00CF09B3" w:rsidRPr="007375EB" w:rsidRDefault="00CF09B3" w:rsidP="00CF09B3">
            <w:pPr>
              <w:rPr>
                <w:lang w:val="bg-BG"/>
              </w:rPr>
            </w:pPr>
            <w:r w:rsidRPr="007375EB">
              <w:rPr>
                <w:lang w:val="bg-BG"/>
              </w:rPr>
              <w:t>-</w:t>
            </w:r>
          </w:p>
        </w:tc>
        <w:tc>
          <w:tcPr>
            <w:tcW w:w="499" w:type="dxa"/>
            <w:noWrap/>
            <w:vAlign w:val="center"/>
            <w:hideMark/>
          </w:tcPr>
          <w:p w14:paraId="160ECD8F" w14:textId="77777777" w:rsidR="00CF09B3" w:rsidRPr="007375EB" w:rsidRDefault="00CF09B3" w:rsidP="00CF09B3">
            <w:pPr>
              <w:rPr>
                <w:lang w:val="bg-BG"/>
              </w:rPr>
            </w:pPr>
            <w:r w:rsidRPr="007375EB">
              <w:rPr>
                <w:lang w:val="bg-BG"/>
              </w:rPr>
              <w:t>-</w:t>
            </w:r>
          </w:p>
        </w:tc>
        <w:tc>
          <w:tcPr>
            <w:tcW w:w="507" w:type="dxa"/>
            <w:noWrap/>
            <w:vAlign w:val="center"/>
            <w:hideMark/>
          </w:tcPr>
          <w:p w14:paraId="50F0A6A3" w14:textId="77777777" w:rsidR="00CF09B3" w:rsidRPr="007375EB" w:rsidRDefault="00CF09B3" w:rsidP="00CF09B3">
            <w:pPr>
              <w:rPr>
                <w:lang w:val="bg-BG"/>
              </w:rPr>
            </w:pPr>
            <w:r w:rsidRPr="007375EB">
              <w:rPr>
                <w:lang w:val="bg-BG"/>
              </w:rPr>
              <w:t>-</w:t>
            </w:r>
          </w:p>
        </w:tc>
        <w:tc>
          <w:tcPr>
            <w:tcW w:w="524" w:type="dxa"/>
            <w:noWrap/>
            <w:vAlign w:val="center"/>
            <w:hideMark/>
          </w:tcPr>
          <w:p w14:paraId="3B35A431" w14:textId="77777777" w:rsidR="00CF09B3" w:rsidRPr="007375EB" w:rsidRDefault="00CF09B3" w:rsidP="00CF09B3">
            <w:pPr>
              <w:rPr>
                <w:lang w:val="bg-BG"/>
              </w:rPr>
            </w:pPr>
            <w:r w:rsidRPr="007375EB">
              <w:rPr>
                <w:lang w:val="bg-BG"/>
              </w:rPr>
              <w:t>-</w:t>
            </w:r>
          </w:p>
        </w:tc>
        <w:tc>
          <w:tcPr>
            <w:tcW w:w="616" w:type="dxa"/>
            <w:noWrap/>
            <w:vAlign w:val="center"/>
            <w:hideMark/>
          </w:tcPr>
          <w:p w14:paraId="13E8B1A3" w14:textId="77777777" w:rsidR="00CF09B3" w:rsidRPr="007375EB" w:rsidRDefault="00CF09B3" w:rsidP="00CF09B3">
            <w:pPr>
              <w:rPr>
                <w:lang w:val="bg-BG"/>
              </w:rPr>
            </w:pPr>
            <w:r w:rsidRPr="007375EB">
              <w:rPr>
                <w:lang w:val="bg-BG"/>
              </w:rPr>
              <w:t>-</w:t>
            </w:r>
          </w:p>
        </w:tc>
        <w:tc>
          <w:tcPr>
            <w:tcW w:w="612" w:type="dxa"/>
            <w:noWrap/>
            <w:vAlign w:val="center"/>
            <w:hideMark/>
          </w:tcPr>
          <w:p w14:paraId="60F378C7" w14:textId="77777777" w:rsidR="00CF09B3" w:rsidRPr="007375EB" w:rsidRDefault="00CF09B3" w:rsidP="00CF09B3">
            <w:pPr>
              <w:rPr>
                <w:lang w:val="bg-BG"/>
              </w:rPr>
            </w:pPr>
            <w:r w:rsidRPr="007375EB">
              <w:rPr>
                <w:lang w:val="bg-BG"/>
              </w:rPr>
              <w:t>-</w:t>
            </w:r>
          </w:p>
        </w:tc>
      </w:tr>
      <w:tr w:rsidR="00CF09B3" w:rsidRPr="007375EB" w14:paraId="49D6D16F" w14:textId="77777777" w:rsidTr="002B7665">
        <w:trPr>
          <w:trHeight w:val="210"/>
        </w:trPr>
        <w:tc>
          <w:tcPr>
            <w:tcW w:w="621" w:type="dxa"/>
            <w:noWrap/>
          </w:tcPr>
          <w:p w14:paraId="39B591AA" w14:textId="77777777" w:rsidR="00CF09B3" w:rsidRPr="007375EB" w:rsidRDefault="00CF09B3" w:rsidP="00CF09B3">
            <w:pPr>
              <w:rPr>
                <w:lang w:val="bg-BG"/>
              </w:rPr>
            </w:pPr>
            <w:r w:rsidRPr="007375EB">
              <w:rPr>
                <w:lang w:val="bg-BG"/>
              </w:rPr>
              <w:t>7</w:t>
            </w:r>
          </w:p>
        </w:tc>
        <w:tc>
          <w:tcPr>
            <w:tcW w:w="3189" w:type="dxa"/>
            <w:noWrap/>
          </w:tcPr>
          <w:p w14:paraId="05A20625" w14:textId="1699AA78" w:rsidR="00CF09B3" w:rsidRPr="007375EB" w:rsidRDefault="00CF09B3" w:rsidP="00CF09B3">
            <w:pPr>
              <w:jc w:val="both"/>
              <w:rPr>
                <w:lang w:val="bg-BG"/>
              </w:rPr>
            </w:pPr>
            <w:r w:rsidRPr="007375EB">
              <w:rPr>
                <w:lang w:val="bg-BG"/>
              </w:rPr>
              <w:t>Изграждане на подземна оптична мрежа за електронни съобщителни услуги в окръг Констанца, Индепенденца, Думбръвени (предложена)</w:t>
            </w:r>
          </w:p>
        </w:tc>
        <w:tc>
          <w:tcPr>
            <w:tcW w:w="2125" w:type="dxa"/>
            <w:noWrap/>
            <w:vAlign w:val="center"/>
          </w:tcPr>
          <w:p w14:paraId="33D275AF" w14:textId="77777777" w:rsidR="00CF09B3" w:rsidRPr="007375EB" w:rsidRDefault="00CF09B3" w:rsidP="00CF09B3">
            <w:pPr>
              <w:rPr>
                <w:lang w:val="bg-BG"/>
              </w:rPr>
            </w:pPr>
            <w:r w:rsidRPr="007375EB">
              <w:rPr>
                <w:lang w:val="bg-BG"/>
              </w:rPr>
              <w:t>11,76 км</w:t>
            </w:r>
          </w:p>
        </w:tc>
        <w:tc>
          <w:tcPr>
            <w:tcW w:w="482" w:type="dxa"/>
            <w:noWrap/>
            <w:vAlign w:val="center"/>
          </w:tcPr>
          <w:p w14:paraId="2BF995EA" w14:textId="77777777" w:rsidR="00CF09B3" w:rsidRPr="007375EB" w:rsidRDefault="00CF09B3" w:rsidP="00CF09B3">
            <w:pPr>
              <w:rPr>
                <w:lang w:val="bg-BG"/>
              </w:rPr>
            </w:pPr>
            <w:r w:rsidRPr="007375EB">
              <w:rPr>
                <w:lang w:val="bg-BG"/>
              </w:rPr>
              <w:t>-</w:t>
            </w:r>
          </w:p>
        </w:tc>
        <w:tc>
          <w:tcPr>
            <w:tcW w:w="916" w:type="dxa"/>
            <w:noWrap/>
            <w:vAlign w:val="center"/>
          </w:tcPr>
          <w:p w14:paraId="20F8F598" w14:textId="77777777" w:rsidR="00CF09B3" w:rsidRPr="007375EB" w:rsidRDefault="00CF09B3" w:rsidP="00CF09B3">
            <w:pPr>
              <w:rPr>
                <w:lang w:val="bg-BG"/>
              </w:rPr>
            </w:pPr>
            <w:r w:rsidRPr="007375EB">
              <w:rPr>
                <w:lang w:val="bg-BG"/>
              </w:rPr>
              <w:t>-</w:t>
            </w:r>
          </w:p>
        </w:tc>
        <w:tc>
          <w:tcPr>
            <w:tcW w:w="916" w:type="dxa"/>
            <w:noWrap/>
            <w:vAlign w:val="center"/>
          </w:tcPr>
          <w:p w14:paraId="09F29BEB" w14:textId="77777777" w:rsidR="00CF09B3" w:rsidRPr="007375EB" w:rsidRDefault="00CF09B3" w:rsidP="00CF09B3">
            <w:pPr>
              <w:rPr>
                <w:lang w:val="bg-BG"/>
              </w:rPr>
            </w:pPr>
            <w:r w:rsidRPr="007375EB">
              <w:rPr>
                <w:lang w:val="bg-BG"/>
              </w:rPr>
              <w:t>-</w:t>
            </w:r>
          </w:p>
        </w:tc>
        <w:tc>
          <w:tcPr>
            <w:tcW w:w="810" w:type="dxa"/>
            <w:noWrap/>
            <w:vAlign w:val="center"/>
          </w:tcPr>
          <w:p w14:paraId="3B5435BA" w14:textId="77777777" w:rsidR="00CF09B3" w:rsidRPr="007375EB" w:rsidRDefault="00CF09B3" w:rsidP="00CF09B3">
            <w:pPr>
              <w:rPr>
                <w:lang w:val="bg-BG"/>
              </w:rPr>
            </w:pPr>
            <w:r w:rsidRPr="007375EB">
              <w:rPr>
                <w:lang w:val="bg-BG"/>
              </w:rPr>
              <w:t>-</w:t>
            </w:r>
          </w:p>
        </w:tc>
        <w:tc>
          <w:tcPr>
            <w:tcW w:w="630" w:type="dxa"/>
            <w:noWrap/>
            <w:vAlign w:val="center"/>
          </w:tcPr>
          <w:p w14:paraId="289DF29E" w14:textId="77777777" w:rsidR="00CF09B3" w:rsidRPr="007375EB" w:rsidRDefault="00CF09B3" w:rsidP="00CF09B3">
            <w:pPr>
              <w:rPr>
                <w:lang w:val="bg-BG"/>
              </w:rPr>
            </w:pPr>
            <w:r w:rsidRPr="007375EB">
              <w:rPr>
                <w:lang w:val="bg-BG"/>
              </w:rPr>
              <w:t>-</w:t>
            </w:r>
          </w:p>
        </w:tc>
        <w:tc>
          <w:tcPr>
            <w:tcW w:w="720" w:type="dxa"/>
            <w:noWrap/>
            <w:vAlign w:val="center"/>
          </w:tcPr>
          <w:p w14:paraId="4E716D44" w14:textId="77777777" w:rsidR="00CF09B3" w:rsidRPr="007375EB" w:rsidRDefault="00CF09B3" w:rsidP="00CF09B3">
            <w:pPr>
              <w:rPr>
                <w:lang w:val="bg-BG"/>
              </w:rPr>
            </w:pPr>
            <w:r w:rsidRPr="007375EB">
              <w:rPr>
                <w:lang w:val="bg-BG"/>
              </w:rPr>
              <w:t>-</w:t>
            </w:r>
          </w:p>
        </w:tc>
        <w:tc>
          <w:tcPr>
            <w:tcW w:w="720" w:type="dxa"/>
            <w:noWrap/>
            <w:vAlign w:val="center"/>
          </w:tcPr>
          <w:p w14:paraId="7079A9AF" w14:textId="77777777" w:rsidR="00CF09B3" w:rsidRPr="007375EB" w:rsidRDefault="00CF09B3" w:rsidP="00CF09B3">
            <w:pPr>
              <w:rPr>
                <w:lang w:val="bg-BG"/>
              </w:rPr>
            </w:pPr>
            <w:r w:rsidRPr="007375EB">
              <w:rPr>
                <w:lang w:val="bg-BG"/>
              </w:rPr>
              <w:t>-</w:t>
            </w:r>
          </w:p>
        </w:tc>
        <w:tc>
          <w:tcPr>
            <w:tcW w:w="540" w:type="dxa"/>
            <w:noWrap/>
            <w:vAlign w:val="center"/>
          </w:tcPr>
          <w:p w14:paraId="066F9291" w14:textId="77777777" w:rsidR="00CF09B3" w:rsidRPr="007375EB" w:rsidRDefault="00CF09B3" w:rsidP="00CF09B3">
            <w:pPr>
              <w:rPr>
                <w:lang w:val="bg-BG"/>
              </w:rPr>
            </w:pPr>
            <w:r w:rsidRPr="007375EB">
              <w:rPr>
                <w:lang w:val="bg-BG"/>
              </w:rPr>
              <w:t>-</w:t>
            </w:r>
          </w:p>
        </w:tc>
        <w:tc>
          <w:tcPr>
            <w:tcW w:w="990" w:type="dxa"/>
            <w:noWrap/>
            <w:vAlign w:val="center"/>
          </w:tcPr>
          <w:p w14:paraId="01567F0D" w14:textId="77777777" w:rsidR="00CF09B3" w:rsidRPr="007375EB" w:rsidRDefault="00CF09B3" w:rsidP="00CF09B3">
            <w:pPr>
              <w:rPr>
                <w:lang w:val="bg-BG"/>
              </w:rPr>
            </w:pPr>
            <w:r w:rsidRPr="007375EB">
              <w:rPr>
                <w:lang w:val="bg-BG"/>
              </w:rPr>
              <w:t>-</w:t>
            </w:r>
          </w:p>
        </w:tc>
        <w:tc>
          <w:tcPr>
            <w:tcW w:w="499" w:type="dxa"/>
            <w:noWrap/>
            <w:vAlign w:val="center"/>
          </w:tcPr>
          <w:p w14:paraId="6E54B5F0" w14:textId="77777777" w:rsidR="00CF09B3" w:rsidRPr="007375EB" w:rsidRDefault="00CF09B3" w:rsidP="00CF09B3">
            <w:pPr>
              <w:rPr>
                <w:lang w:val="bg-BG"/>
              </w:rPr>
            </w:pPr>
            <w:r w:rsidRPr="007375EB">
              <w:rPr>
                <w:lang w:val="bg-BG"/>
              </w:rPr>
              <w:t>-</w:t>
            </w:r>
          </w:p>
        </w:tc>
        <w:tc>
          <w:tcPr>
            <w:tcW w:w="507" w:type="dxa"/>
            <w:noWrap/>
            <w:vAlign w:val="center"/>
          </w:tcPr>
          <w:p w14:paraId="42D4BC70" w14:textId="77777777" w:rsidR="00CF09B3" w:rsidRPr="007375EB" w:rsidRDefault="00CF09B3" w:rsidP="00CF09B3">
            <w:pPr>
              <w:rPr>
                <w:lang w:val="bg-BG"/>
              </w:rPr>
            </w:pPr>
            <w:r w:rsidRPr="007375EB">
              <w:rPr>
                <w:lang w:val="bg-BG"/>
              </w:rPr>
              <w:t>-</w:t>
            </w:r>
          </w:p>
        </w:tc>
        <w:tc>
          <w:tcPr>
            <w:tcW w:w="524" w:type="dxa"/>
            <w:noWrap/>
            <w:vAlign w:val="center"/>
          </w:tcPr>
          <w:p w14:paraId="764DEAA1" w14:textId="77777777" w:rsidR="00CF09B3" w:rsidRPr="007375EB" w:rsidRDefault="00CF09B3" w:rsidP="00CF09B3">
            <w:pPr>
              <w:rPr>
                <w:lang w:val="bg-BG"/>
              </w:rPr>
            </w:pPr>
            <w:r w:rsidRPr="007375EB">
              <w:rPr>
                <w:lang w:val="bg-BG"/>
              </w:rPr>
              <w:t>-</w:t>
            </w:r>
          </w:p>
        </w:tc>
        <w:tc>
          <w:tcPr>
            <w:tcW w:w="616" w:type="dxa"/>
            <w:noWrap/>
            <w:vAlign w:val="center"/>
          </w:tcPr>
          <w:p w14:paraId="262F0971" w14:textId="77777777" w:rsidR="00CF09B3" w:rsidRPr="007375EB" w:rsidRDefault="00CF09B3" w:rsidP="00CF09B3">
            <w:pPr>
              <w:rPr>
                <w:lang w:val="bg-BG"/>
              </w:rPr>
            </w:pPr>
            <w:r w:rsidRPr="007375EB">
              <w:rPr>
                <w:lang w:val="bg-BG"/>
              </w:rPr>
              <w:t>-</w:t>
            </w:r>
          </w:p>
        </w:tc>
        <w:tc>
          <w:tcPr>
            <w:tcW w:w="612" w:type="dxa"/>
            <w:noWrap/>
            <w:vAlign w:val="center"/>
          </w:tcPr>
          <w:p w14:paraId="7589FDB4" w14:textId="77777777" w:rsidR="00CF09B3" w:rsidRPr="007375EB" w:rsidRDefault="00CF09B3" w:rsidP="00CF09B3">
            <w:pPr>
              <w:rPr>
                <w:lang w:val="bg-BG"/>
              </w:rPr>
            </w:pPr>
            <w:r w:rsidRPr="007375EB">
              <w:rPr>
                <w:lang w:val="bg-BG"/>
              </w:rPr>
              <w:t>-</w:t>
            </w:r>
          </w:p>
        </w:tc>
      </w:tr>
      <w:tr w:rsidR="00CF09B3" w:rsidRPr="007375EB" w14:paraId="2BDA621E" w14:textId="77777777" w:rsidTr="002B7665">
        <w:trPr>
          <w:trHeight w:val="210"/>
        </w:trPr>
        <w:tc>
          <w:tcPr>
            <w:tcW w:w="621" w:type="dxa"/>
            <w:noWrap/>
          </w:tcPr>
          <w:p w14:paraId="512D70A8" w14:textId="77777777" w:rsidR="00CF09B3" w:rsidRPr="007375EB" w:rsidRDefault="00CF09B3" w:rsidP="00CF09B3">
            <w:pPr>
              <w:rPr>
                <w:lang w:val="bg-BG"/>
              </w:rPr>
            </w:pPr>
            <w:r w:rsidRPr="007375EB">
              <w:rPr>
                <w:lang w:val="bg-BG"/>
              </w:rPr>
              <w:t>8</w:t>
            </w:r>
          </w:p>
        </w:tc>
        <w:tc>
          <w:tcPr>
            <w:tcW w:w="3189" w:type="dxa"/>
            <w:noWrap/>
          </w:tcPr>
          <w:p w14:paraId="5747B4FF" w14:textId="0C79B8A4" w:rsidR="00CF09B3" w:rsidRPr="007375EB" w:rsidRDefault="00CF09B3" w:rsidP="00CF09B3">
            <w:pPr>
              <w:jc w:val="both"/>
              <w:rPr>
                <w:lang w:val="bg-BG"/>
              </w:rPr>
            </w:pPr>
            <w:r w:rsidRPr="007375EB">
              <w:rPr>
                <w:lang w:val="bg-BG"/>
              </w:rPr>
              <w:t>Изграждане на подземна оптична мрежа за електронни съобщителни услуги, Негру Вода (предложено)</w:t>
            </w:r>
          </w:p>
        </w:tc>
        <w:tc>
          <w:tcPr>
            <w:tcW w:w="2125" w:type="dxa"/>
            <w:noWrap/>
            <w:vAlign w:val="center"/>
          </w:tcPr>
          <w:p w14:paraId="74F77DEA" w14:textId="77777777" w:rsidR="00CF09B3" w:rsidRPr="007375EB" w:rsidRDefault="00CF09B3" w:rsidP="00CF09B3">
            <w:pPr>
              <w:rPr>
                <w:lang w:val="bg-BG"/>
              </w:rPr>
            </w:pPr>
            <w:r w:rsidRPr="007375EB">
              <w:rPr>
                <w:lang w:val="bg-BG"/>
              </w:rPr>
              <w:t>8,95 км</w:t>
            </w:r>
          </w:p>
        </w:tc>
        <w:tc>
          <w:tcPr>
            <w:tcW w:w="482" w:type="dxa"/>
            <w:noWrap/>
            <w:vAlign w:val="center"/>
          </w:tcPr>
          <w:p w14:paraId="55A66DB2" w14:textId="77777777" w:rsidR="00CF09B3" w:rsidRPr="007375EB" w:rsidRDefault="00CF09B3" w:rsidP="00CF09B3">
            <w:pPr>
              <w:rPr>
                <w:lang w:val="bg-BG"/>
              </w:rPr>
            </w:pPr>
            <w:r w:rsidRPr="007375EB">
              <w:rPr>
                <w:lang w:val="bg-BG"/>
              </w:rPr>
              <w:t>-</w:t>
            </w:r>
          </w:p>
        </w:tc>
        <w:tc>
          <w:tcPr>
            <w:tcW w:w="916" w:type="dxa"/>
            <w:noWrap/>
            <w:vAlign w:val="center"/>
          </w:tcPr>
          <w:p w14:paraId="6CCB30E2" w14:textId="77777777" w:rsidR="00CF09B3" w:rsidRPr="007375EB" w:rsidRDefault="00CF09B3" w:rsidP="00CF09B3">
            <w:pPr>
              <w:rPr>
                <w:lang w:val="bg-BG"/>
              </w:rPr>
            </w:pPr>
            <w:r w:rsidRPr="007375EB">
              <w:rPr>
                <w:lang w:val="bg-BG"/>
              </w:rPr>
              <w:t>-</w:t>
            </w:r>
          </w:p>
        </w:tc>
        <w:tc>
          <w:tcPr>
            <w:tcW w:w="916" w:type="dxa"/>
            <w:noWrap/>
            <w:vAlign w:val="center"/>
          </w:tcPr>
          <w:p w14:paraId="4A1F4B88" w14:textId="77777777" w:rsidR="00CF09B3" w:rsidRPr="007375EB" w:rsidRDefault="00CF09B3" w:rsidP="00CF09B3">
            <w:pPr>
              <w:rPr>
                <w:lang w:val="bg-BG"/>
              </w:rPr>
            </w:pPr>
            <w:r w:rsidRPr="007375EB">
              <w:rPr>
                <w:lang w:val="bg-BG"/>
              </w:rPr>
              <w:t>-</w:t>
            </w:r>
          </w:p>
        </w:tc>
        <w:tc>
          <w:tcPr>
            <w:tcW w:w="810" w:type="dxa"/>
            <w:noWrap/>
            <w:vAlign w:val="center"/>
          </w:tcPr>
          <w:p w14:paraId="2DA17CF2" w14:textId="77777777" w:rsidR="00CF09B3" w:rsidRPr="007375EB" w:rsidRDefault="00CF09B3" w:rsidP="00CF09B3">
            <w:pPr>
              <w:rPr>
                <w:lang w:val="bg-BG"/>
              </w:rPr>
            </w:pPr>
            <w:r w:rsidRPr="007375EB">
              <w:rPr>
                <w:lang w:val="bg-BG"/>
              </w:rPr>
              <w:t>-</w:t>
            </w:r>
          </w:p>
        </w:tc>
        <w:tc>
          <w:tcPr>
            <w:tcW w:w="630" w:type="dxa"/>
            <w:noWrap/>
            <w:vAlign w:val="center"/>
          </w:tcPr>
          <w:p w14:paraId="27430FE8" w14:textId="77777777" w:rsidR="00CF09B3" w:rsidRPr="007375EB" w:rsidRDefault="00CF09B3" w:rsidP="00CF09B3">
            <w:pPr>
              <w:rPr>
                <w:lang w:val="bg-BG"/>
              </w:rPr>
            </w:pPr>
            <w:r w:rsidRPr="007375EB">
              <w:rPr>
                <w:lang w:val="bg-BG"/>
              </w:rPr>
              <w:t>-</w:t>
            </w:r>
          </w:p>
        </w:tc>
        <w:tc>
          <w:tcPr>
            <w:tcW w:w="720" w:type="dxa"/>
            <w:noWrap/>
            <w:vAlign w:val="center"/>
          </w:tcPr>
          <w:p w14:paraId="52C5EF67" w14:textId="77777777" w:rsidR="00CF09B3" w:rsidRPr="007375EB" w:rsidRDefault="00CF09B3" w:rsidP="00CF09B3">
            <w:pPr>
              <w:rPr>
                <w:lang w:val="bg-BG"/>
              </w:rPr>
            </w:pPr>
            <w:r w:rsidRPr="007375EB">
              <w:rPr>
                <w:lang w:val="bg-BG"/>
              </w:rPr>
              <w:t>-</w:t>
            </w:r>
          </w:p>
        </w:tc>
        <w:tc>
          <w:tcPr>
            <w:tcW w:w="720" w:type="dxa"/>
            <w:noWrap/>
            <w:vAlign w:val="center"/>
          </w:tcPr>
          <w:p w14:paraId="0E7E1E22" w14:textId="77777777" w:rsidR="00CF09B3" w:rsidRPr="007375EB" w:rsidRDefault="00CF09B3" w:rsidP="00CF09B3">
            <w:pPr>
              <w:rPr>
                <w:lang w:val="bg-BG"/>
              </w:rPr>
            </w:pPr>
            <w:r w:rsidRPr="007375EB">
              <w:rPr>
                <w:lang w:val="bg-BG"/>
              </w:rPr>
              <w:t>-</w:t>
            </w:r>
          </w:p>
        </w:tc>
        <w:tc>
          <w:tcPr>
            <w:tcW w:w="540" w:type="dxa"/>
            <w:noWrap/>
            <w:vAlign w:val="center"/>
          </w:tcPr>
          <w:p w14:paraId="1756BE6B" w14:textId="77777777" w:rsidR="00CF09B3" w:rsidRPr="007375EB" w:rsidRDefault="00CF09B3" w:rsidP="00CF09B3">
            <w:pPr>
              <w:rPr>
                <w:lang w:val="bg-BG"/>
              </w:rPr>
            </w:pPr>
            <w:r w:rsidRPr="007375EB">
              <w:rPr>
                <w:lang w:val="bg-BG"/>
              </w:rPr>
              <w:t>-</w:t>
            </w:r>
          </w:p>
        </w:tc>
        <w:tc>
          <w:tcPr>
            <w:tcW w:w="990" w:type="dxa"/>
            <w:noWrap/>
            <w:vAlign w:val="center"/>
          </w:tcPr>
          <w:p w14:paraId="75D3CDF5" w14:textId="77777777" w:rsidR="00CF09B3" w:rsidRPr="007375EB" w:rsidRDefault="00CF09B3" w:rsidP="00CF09B3">
            <w:pPr>
              <w:rPr>
                <w:lang w:val="bg-BG"/>
              </w:rPr>
            </w:pPr>
            <w:r w:rsidRPr="007375EB">
              <w:rPr>
                <w:lang w:val="bg-BG"/>
              </w:rPr>
              <w:t>-</w:t>
            </w:r>
          </w:p>
        </w:tc>
        <w:tc>
          <w:tcPr>
            <w:tcW w:w="499" w:type="dxa"/>
            <w:noWrap/>
            <w:vAlign w:val="center"/>
          </w:tcPr>
          <w:p w14:paraId="59912DF5" w14:textId="77777777" w:rsidR="00CF09B3" w:rsidRPr="007375EB" w:rsidRDefault="00CF09B3" w:rsidP="00CF09B3">
            <w:pPr>
              <w:rPr>
                <w:lang w:val="bg-BG"/>
              </w:rPr>
            </w:pPr>
            <w:r w:rsidRPr="007375EB">
              <w:rPr>
                <w:lang w:val="bg-BG"/>
              </w:rPr>
              <w:t>-</w:t>
            </w:r>
          </w:p>
        </w:tc>
        <w:tc>
          <w:tcPr>
            <w:tcW w:w="507" w:type="dxa"/>
            <w:noWrap/>
            <w:vAlign w:val="center"/>
          </w:tcPr>
          <w:p w14:paraId="319CF6E2" w14:textId="77777777" w:rsidR="00CF09B3" w:rsidRPr="007375EB" w:rsidRDefault="00CF09B3" w:rsidP="00CF09B3">
            <w:pPr>
              <w:rPr>
                <w:lang w:val="bg-BG"/>
              </w:rPr>
            </w:pPr>
            <w:r w:rsidRPr="007375EB">
              <w:rPr>
                <w:lang w:val="bg-BG"/>
              </w:rPr>
              <w:t>-</w:t>
            </w:r>
          </w:p>
        </w:tc>
        <w:tc>
          <w:tcPr>
            <w:tcW w:w="524" w:type="dxa"/>
            <w:noWrap/>
            <w:vAlign w:val="center"/>
          </w:tcPr>
          <w:p w14:paraId="6DB7FEA3" w14:textId="77777777" w:rsidR="00CF09B3" w:rsidRPr="007375EB" w:rsidRDefault="00CF09B3" w:rsidP="00CF09B3">
            <w:pPr>
              <w:rPr>
                <w:lang w:val="bg-BG"/>
              </w:rPr>
            </w:pPr>
            <w:r w:rsidRPr="007375EB">
              <w:rPr>
                <w:lang w:val="bg-BG"/>
              </w:rPr>
              <w:t>-</w:t>
            </w:r>
          </w:p>
        </w:tc>
        <w:tc>
          <w:tcPr>
            <w:tcW w:w="616" w:type="dxa"/>
            <w:noWrap/>
            <w:vAlign w:val="center"/>
          </w:tcPr>
          <w:p w14:paraId="46B09871" w14:textId="77777777" w:rsidR="00CF09B3" w:rsidRPr="007375EB" w:rsidRDefault="00CF09B3" w:rsidP="00CF09B3">
            <w:pPr>
              <w:rPr>
                <w:lang w:val="bg-BG"/>
              </w:rPr>
            </w:pPr>
            <w:r w:rsidRPr="007375EB">
              <w:rPr>
                <w:lang w:val="bg-BG"/>
              </w:rPr>
              <w:t>-</w:t>
            </w:r>
          </w:p>
        </w:tc>
        <w:tc>
          <w:tcPr>
            <w:tcW w:w="612" w:type="dxa"/>
            <w:noWrap/>
            <w:vAlign w:val="center"/>
          </w:tcPr>
          <w:p w14:paraId="7FD5102C" w14:textId="77777777" w:rsidR="00CF09B3" w:rsidRPr="007375EB" w:rsidRDefault="00CF09B3" w:rsidP="00CF09B3">
            <w:pPr>
              <w:rPr>
                <w:lang w:val="bg-BG"/>
              </w:rPr>
            </w:pPr>
            <w:r w:rsidRPr="007375EB">
              <w:rPr>
                <w:lang w:val="bg-BG"/>
              </w:rPr>
              <w:t>-</w:t>
            </w:r>
          </w:p>
        </w:tc>
      </w:tr>
      <w:tr w:rsidR="00CF09B3" w:rsidRPr="007375EB" w14:paraId="5DC0DBA2" w14:textId="77777777" w:rsidTr="002B7665">
        <w:trPr>
          <w:trHeight w:val="210"/>
        </w:trPr>
        <w:tc>
          <w:tcPr>
            <w:tcW w:w="621" w:type="dxa"/>
            <w:noWrap/>
          </w:tcPr>
          <w:p w14:paraId="73F2F5BB" w14:textId="77777777" w:rsidR="00CF09B3" w:rsidRPr="007375EB" w:rsidRDefault="00CF09B3" w:rsidP="00CF09B3">
            <w:pPr>
              <w:rPr>
                <w:lang w:val="bg-BG"/>
              </w:rPr>
            </w:pPr>
            <w:r w:rsidRPr="007375EB">
              <w:rPr>
                <w:lang w:val="bg-BG"/>
              </w:rPr>
              <w:t>9</w:t>
            </w:r>
          </w:p>
        </w:tc>
        <w:tc>
          <w:tcPr>
            <w:tcW w:w="3189" w:type="dxa"/>
            <w:noWrap/>
          </w:tcPr>
          <w:p w14:paraId="4ACA0929" w14:textId="73E00779" w:rsidR="00CF09B3" w:rsidRPr="007375EB" w:rsidRDefault="00CF09B3" w:rsidP="00CF09B3">
            <w:pPr>
              <w:jc w:val="both"/>
              <w:rPr>
                <w:lang w:val="bg-BG"/>
              </w:rPr>
            </w:pPr>
            <w:r w:rsidRPr="007375EB">
              <w:rPr>
                <w:lang w:val="bg-BG"/>
              </w:rPr>
              <w:t>Електроснабдяване на домакинство с вода, с. Фурника, община Думбръвени, окръг Констанца (предложено)</w:t>
            </w:r>
          </w:p>
        </w:tc>
        <w:tc>
          <w:tcPr>
            <w:tcW w:w="2125" w:type="dxa"/>
            <w:noWrap/>
            <w:vAlign w:val="center"/>
          </w:tcPr>
          <w:p w14:paraId="43CE380B" w14:textId="77777777" w:rsidR="00CF09B3" w:rsidRPr="007375EB" w:rsidRDefault="00CF09B3" w:rsidP="00CF09B3">
            <w:pPr>
              <w:rPr>
                <w:lang w:val="bg-BG"/>
              </w:rPr>
            </w:pPr>
            <w:r w:rsidRPr="007375EB">
              <w:rPr>
                <w:lang w:val="bg-BG"/>
              </w:rPr>
              <w:t>15,84 км</w:t>
            </w:r>
          </w:p>
        </w:tc>
        <w:tc>
          <w:tcPr>
            <w:tcW w:w="482" w:type="dxa"/>
            <w:noWrap/>
            <w:vAlign w:val="center"/>
          </w:tcPr>
          <w:p w14:paraId="5948E924" w14:textId="77777777" w:rsidR="00CF09B3" w:rsidRPr="007375EB" w:rsidRDefault="00CF09B3" w:rsidP="00CF09B3">
            <w:pPr>
              <w:rPr>
                <w:lang w:val="bg-BG"/>
              </w:rPr>
            </w:pPr>
            <w:r w:rsidRPr="007375EB">
              <w:rPr>
                <w:lang w:val="bg-BG"/>
              </w:rPr>
              <w:t>-</w:t>
            </w:r>
          </w:p>
        </w:tc>
        <w:tc>
          <w:tcPr>
            <w:tcW w:w="916" w:type="dxa"/>
            <w:noWrap/>
            <w:vAlign w:val="center"/>
          </w:tcPr>
          <w:p w14:paraId="5D25008A" w14:textId="77777777" w:rsidR="00CF09B3" w:rsidRPr="007375EB" w:rsidRDefault="00CF09B3" w:rsidP="00CF09B3">
            <w:pPr>
              <w:rPr>
                <w:lang w:val="bg-BG"/>
              </w:rPr>
            </w:pPr>
            <w:r w:rsidRPr="007375EB">
              <w:rPr>
                <w:lang w:val="bg-BG"/>
              </w:rPr>
              <w:t>-</w:t>
            </w:r>
          </w:p>
        </w:tc>
        <w:tc>
          <w:tcPr>
            <w:tcW w:w="916" w:type="dxa"/>
            <w:noWrap/>
            <w:vAlign w:val="center"/>
          </w:tcPr>
          <w:p w14:paraId="6F928EA3" w14:textId="77777777" w:rsidR="00CF09B3" w:rsidRPr="007375EB" w:rsidRDefault="00CF09B3" w:rsidP="00CF09B3">
            <w:pPr>
              <w:rPr>
                <w:lang w:val="bg-BG"/>
              </w:rPr>
            </w:pPr>
            <w:r w:rsidRPr="007375EB">
              <w:rPr>
                <w:lang w:val="bg-BG"/>
              </w:rPr>
              <w:t>-</w:t>
            </w:r>
          </w:p>
        </w:tc>
        <w:tc>
          <w:tcPr>
            <w:tcW w:w="810" w:type="dxa"/>
            <w:noWrap/>
            <w:vAlign w:val="center"/>
          </w:tcPr>
          <w:p w14:paraId="6477019E" w14:textId="77777777" w:rsidR="00CF09B3" w:rsidRPr="007375EB" w:rsidRDefault="00CF09B3" w:rsidP="00CF09B3">
            <w:pPr>
              <w:rPr>
                <w:lang w:val="bg-BG"/>
              </w:rPr>
            </w:pPr>
            <w:r w:rsidRPr="007375EB">
              <w:rPr>
                <w:lang w:val="bg-BG"/>
              </w:rPr>
              <w:t>-</w:t>
            </w:r>
          </w:p>
        </w:tc>
        <w:tc>
          <w:tcPr>
            <w:tcW w:w="630" w:type="dxa"/>
            <w:noWrap/>
            <w:vAlign w:val="center"/>
          </w:tcPr>
          <w:p w14:paraId="4485F4B9" w14:textId="77777777" w:rsidR="00CF09B3" w:rsidRPr="007375EB" w:rsidRDefault="00CF09B3" w:rsidP="00CF09B3">
            <w:pPr>
              <w:rPr>
                <w:lang w:val="bg-BG"/>
              </w:rPr>
            </w:pPr>
            <w:r w:rsidRPr="007375EB">
              <w:rPr>
                <w:lang w:val="bg-BG"/>
              </w:rPr>
              <w:t>-</w:t>
            </w:r>
          </w:p>
        </w:tc>
        <w:tc>
          <w:tcPr>
            <w:tcW w:w="720" w:type="dxa"/>
            <w:noWrap/>
            <w:vAlign w:val="center"/>
          </w:tcPr>
          <w:p w14:paraId="620A2D61" w14:textId="77777777" w:rsidR="00CF09B3" w:rsidRPr="007375EB" w:rsidRDefault="00CF09B3" w:rsidP="00CF09B3">
            <w:pPr>
              <w:rPr>
                <w:lang w:val="bg-BG"/>
              </w:rPr>
            </w:pPr>
            <w:r w:rsidRPr="007375EB">
              <w:rPr>
                <w:lang w:val="bg-BG"/>
              </w:rPr>
              <w:t>-</w:t>
            </w:r>
          </w:p>
        </w:tc>
        <w:tc>
          <w:tcPr>
            <w:tcW w:w="720" w:type="dxa"/>
            <w:noWrap/>
            <w:vAlign w:val="center"/>
          </w:tcPr>
          <w:p w14:paraId="3B7BC9B7" w14:textId="77777777" w:rsidR="00CF09B3" w:rsidRPr="007375EB" w:rsidRDefault="00CF09B3" w:rsidP="00CF09B3">
            <w:pPr>
              <w:rPr>
                <w:lang w:val="bg-BG"/>
              </w:rPr>
            </w:pPr>
            <w:r w:rsidRPr="007375EB">
              <w:rPr>
                <w:lang w:val="bg-BG"/>
              </w:rPr>
              <w:t>-</w:t>
            </w:r>
          </w:p>
        </w:tc>
        <w:tc>
          <w:tcPr>
            <w:tcW w:w="540" w:type="dxa"/>
            <w:noWrap/>
            <w:vAlign w:val="center"/>
          </w:tcPr>
          <w:p w14:paraId="16F64567" w14:textId="77777777" w:rsidR="00CF09B3" w:rsidRPr="007375EB" w:rsidRDefault="00CF09B3" w:rsidP="00CF09B3">
            <w:pPr>
              <w:rPr>
                <w:lang w:val="bg-BG"/>
              </w:rPr>
            </w:pPr>
            <w:r w:rsidRPr="007375EB">
              <w:rPr>
                <w:lang w:val="bg-BG"/>
              </w:rPr>
              <w:t>-</w:t>
            </w:r>
          </w:p>
        </w:tc>
        <w:tc>
          <w:tcPr>
            <w:tcW w:w="990" w:type="dxa"/>
            <w:noWrap/>
            <w:vAlign w:val="center"/>
          </w:tcPr>
          <w:p w14:paraId="00D144AF" w14:textId="77777777" w:rsidR="00CF09B3" w:rsidRPr="007375EB" w:rsidRDefault="00CF09B3" w:rsidP="00CF09B3">
            <w:pPr>
              <w:rPr>
                <w:lang w:val="bg-BG"/>
              </w:rPr>
            </w:pPr>
            <w:r w:rsidRPr="007375EB">
              <w:rPr>
                <w:lang w:val="bg-BG"/>
              </w:rPr>
              <w:t>-</w:t>
            </w:r>
          </w:p>
        </w:tc>
        <w:tc>
          <w:tcPr>
            <w:tcW w:w="499" w:type="dxa"/>
            <w:noWrap/>
            <w:vAlign w:val="center"/>
          </w:tcPr>
          <w:p w14:paraId="77448CE4" w14:textId="77777777" w:rsidR="00CF09B3" w:rsidRPr="007375EB" w:rsidRDefault="00CF09B3" w:rsidP="00CF09B3">
            <w:pPr>
              <w:rPr>
                <w:lang w:val="bg-BG"/>
              </w:rPr>
            </w:pPr>
            <w:r w:rsidRPr="007375EB">
              <w:rPr>
                <w:lang w:val="bg-BG"/>
              </w:rPr>
              <w:t>-</w:t>
            </w:r>
          </w:p>
        </w:tc>
        <w:tc>
          <w:tcPr>
            <w:tcW w:w="507" w:type="dxa"/>
            <w:noWrap/>
            <w:vAlign w:val="center"/>
          </w:tcPr>
          <w:p w14:paraId="1BDE0430" w14:textId="77777777" w:rsidR="00CF09B3" w:rsidRPr="007375EB" w:rsidRDefault="00CF09B3" w:rsidP="00CF09B3">
            <w:pPr>
              <w:rPr>
                <w:lang w:val="bg-BG"/>
              </w:rPr>
            </w:pPr>
            <w:r w:rsidRPr="007375EB">
              <w:rPr>
                <w:lang w:val="bg-BG"/>
              </w:rPr>
              <w:t>-</w:t>
            </w:r>
          </w:p>
        </w:tc>
        <w:tc>
          <w:tcPr>
            <w:tcW w:w="524" w:type="dxa"/>
            <w:noWrap/>
            <w:vAlign w:val="center"/>
          </w:tcPr>
          <w:p w14:paraId="2F53601C" w14:textId="77777777" w:rsidR="00CF09B3" w:rsidRPr="007375EB" w:rsidRDefault="00CF09B3" w:rsidP="00CF09B3">
            <w:pPr>
              <w:rPr>
                <w:lang w:val="bg-BG"/>
              </w:rPr>
            </w:pPr>
            <w:r w:rsidRPr="007375EB">
              <w:rPr>
                <w:lang w:val="bg-BG"/>
              </w:rPr>
              <w:t>-</w:t>
            </w:r>
          </w:p>
        </w:tc>
        <w:tc>
          <w:tcPr>
            <w:tcW w:w="616" w:type="dxa"/>
            <w:noWrap/>
            <w:vAlign w:val="center"/>
          </w:tcPr>
          <w:p w14:paraId="2C9ACE44" w14:textId="77777777" w:rsidR="00CF09B3" w:rsidRPr="007375EB" w:rsidRDefault="00CF09B3" w:rsidP="00CF09B3">
            <w:pPr>
              <w:rPr>
                <w:lang w:val="bg-BG"/>
              </w:rPr>
            </w:pPr>
            <w:r w:rsidRPr="007375EB">
              <w:rPr>
                <w:lang w:val="bg-BG"/>
              </w:rPr>
              <w:t>-</w:t>
            </w:r>
          </w:p>
        </w:tc>
        <w:tc>
          <w:tcPr>
            <w:tcW w:w="612" w:type="dxa"/>
            <w:noWrap/>
            <w:vAlign w:val="center"/>
          </w:tcPr>
          <w:p w14:paraId="49E7D41B" w14:textId="77777777" w:rsidR="00CF09B3" w:rsidRPr="007375EB" w:rsidRDefault="00CF09B3" w:rsidP="00CF09B3">
            <w:pPr>
              <w:rPr>
                <w:lang w:val="bg-BG"/>
              </w:rPr>
            </w:pPr>
            <w:r w:rsidRPr="007375EB">
              <w:rPr>
                <w:lang w:val="bg-BG"/>
              </w:rPr>
              <w:t>-</w:t>
            </w:r>
          </w:p>
        </w:tc>
      </w:tr>
      <w:tr w:rsidR="00CF09B3" w:rsidRPr="007375EB" w14:paraId="13092EC2" w14:textId="77777777" w:rsidTr="002B7665">
        <w:trPr>
          <w:trHeight w:val="210"/>
        </w:trPr>
        <w:tc>
          <w:tcPr>
            <w:tcW w:w="621" w:type="dxa"/>
            <w:noWrap/>
          </w:tcPr>
          <w:p w14:paraId="4AB6CF29" w14:textId="77777777" w:rsidR="00CF09B3" w:rsidRPr="007375EB" w:rsidRDefault="00CF09B3" w:rsidP="00CF09B3">
            <w:pPr>
              <w:rPr>
                <w:lang w:val="bg-BG"/>
              </w:rPr>
            </w:pPr>
            <w:r w:rsidRPr="007375EB">
              <w:rPr>
                <w:lang w:val="bg-BG"/>
              </w:rPr>
              <w:t>10</w:t>
            </w:r>
          </w:p>
        </w:tc>
        <w:tc>
          <w:tcPr>
            <w:tcW w:w="3189" w:type="dxa"/>
            <w:noWrap/>
          </w:tcPr>
          <w:p w14:paraId="623634A7" w14:textId="2E9882F8" w:rsidR="00CF09B3" w:rsidRPr="007375EB" w:rsidRDefault="00CF09B3" w:rsidP="00CF09B3">
            <w:pPr>
              <w:jc w:val="both"/>
              <w:rPr>
                <w:lang w:val="bg-BG"/>
              </w:rPr>
            </w:pPr>
            <w:r w:rsidRPr="007375EB">
              <w:rPr>
                <w:lang w:val="bg-BG"/>
              </w:rPr>
              <w:t xml:space="preserve">Преместване на международния транспортен тръбопровод за природен газ </w:t>
            </w:r>
            <w:r w:rsidRPr="007375EB">
              <w:rPr>
                <w:lang w:val="bg-BG"/>
              </w:rPr>
              <w:lastRenderedPageBreak/>
              <w:t>dn 1000T1 Исакча – Негру Вода, в района на кариерата ROMCIM, PL Меджидиа (предложено)</w:t>
            </w:r>
          </w:p>
        </w:tc>
        <w:tc>
          <w:tcPr>
            <w:tcW w:w="2125" w:type="dxa"/>
            <w:noWrap/>
            <w:vAlign w:val="center"/>
          </w:tcPr>
          <w:p w14:paraId="548EE5ED" w14:textId="77777777" w:rsidR="00CF09B3" w:rsidRPr="007375EB" w:rsidRDefault="00CF09B3" w:rsidP="00CF09B3">
            <w:pPr>
              <w:rPr>
                <w:lang w:val="bg-BG"/>
              </w:rPr>
            </w:pPr>
            <w:r w:rsidRPr="007375EB">
              <w:rPr>
                <w:lang w:val="bg-BG"/>
              </w:rPr>
              <w:lastRenderedPageBreak/>
              <w:t>33,01 км</w:t>
            </w:r>
          </w:p>
        </w:tc>
        <w:tc>
          <w:tcPr>
            <w:tcW w:w="482" w:type="dxa"/>
            <w:noWrap/>
            <w:vAlign w:val="center"/>
          </w:tcPr>
          <w:p w14:paraId="09178739" w14:textId="77777777" w:rsidR="00CF09B3" w:rsidRPr="007375EB" w:rsidRDefault="00CF09B3" w:rsidP="00CF09B3">
            <w:pPr>
              <w:rPr>
                <w:lang w:val="bg-BG"/>
              </w:rPr>
            </w:pPr>
            <w:r w:rsidRPr="007375EB">
              <w:rPr>
                <w:lang w:val="bg-BG"/>
              </w:rPr>
              <w:t>-</w:t>
            </w:r>
          </w:p>
        </w:tc>
        <w:tc>
          <w:tcPr>
            <w:tcW w:w="916" w:type="dxa"/>
            <w:noWrap/>
            <w:vAlign w:val="center"/>
          </w:tcPr>
          <w:p w14:paraId="66AB4C2E" w14:textId="77777777" w:rsidR="00CF09B3" w:rsidRPr="007375EB" w:rsidRDefault="00CF09B3" w:rsidP="00CF09B3">
            <w:pPr>
              <w:rPr>
                <w:lang w:val="bg-BG"/>
              </w:rPr>
            </w:pPr>
            <w:r w:rsidRPr="007375EB">
              <w:rPr>
                <w:lang w:val="bg-BG"/>
              </w:rPr>
              <w:t>-</w:t>
            </w:r>
          </w:p>
        </w:tc>
        <w:tc>
          <w:tcPr>
            <w:tcW w:w="916" w:type="dxa"/>
            <w:noWrap/>
            <w:vAlign w:val="center"/>
          </w:tcPr>
          <w:p w14:paraId="54965C92" w14:textId="77777777" w:rsidR="00CF09B3" w:rsidRPr="007375EB" w:rsidRDefault="00CF09B3" w:rsidP="00CF09B3">
            <w:pPr>
              <w:rPr>
                <w:lang w:val="bg-BG"/>
              </w:rPr>
            </w:pPr>
            <w:r w:rsidRPr="007375EB">
              <w:rPr>
                <w:lang w:val="bg-BG"/>
              </w:rPr>
              <w:t>-</w:t>
            </w:r>
          </w:p>
        </w:tc>
        <w:tc>
          <w:tcPr>
            <w:tcW w:w="810" w:type="dxa"/>
            <w:noWrap/>
            <w:vAlign w:val="center"/>
          </w:tcPr>
          <w:p w14:paraId="276A4168" w14:textId="77777777" w:rsidR="00CF09B3" w:rsidRPr="007375EB" w:rsidRDefault="00CF09B3" w:rsidP="00CF09B3">
            <w:pPr>
              <w:rPr>
                <w:lang w:val="bg-BG"/>
              </w:rPr>
            </w:pPr>
            <w:r w:rsidRPr="007375EB">
              <w:rPr>
                <w:lang w:val="bg-BG"/>
              </w:rPr>
              <w:t>-</w:t>
            </w:r>
          </w:p>
        </w:tc>
        <w:tc>
          <w:tcPr>
            <w:tcW w:w="630" w:type="dxa"/>
            <w:noWrap/>
            <w:vAlign w:val="center"/>
          </w:tcPr>
          <w:p w14:paraId="325BE9A1" w14:textId="77777777" w:rsidR="00CF09B3" w:rsidRPr="007375EB" w:rsidRDefault="00CF09B3" w:rsidP="00CF09B3">
            <w:pPr>
              <w:rPr>
                <w:lang w:val="bg-BG"/>
              </w:rPr>
            </w:pPr>
            <w:r w:rsidRPr="007375EB">
              <w:rPr>
                <w:lang w:val="bg-BG"/>
              </w:rPr>
              <w:t>-</w:t>
            </w:r>
          </w:p>
        </w:tc>
        <w:tc>
          <w:tcPr>
            <w:tcW w:w="720" w:type="dxa"/>
            <w:noWrap/>
            <w:vAlign w:val="center"/>
          </w:tcPr>
          <w:p w14:paraId="0B1E9DD5" w14:textId="77777777" w:rsidR="00CF09B3" w:rsidRPr="007375EB" w:rsidRDefault="00CF09B3" w:rsidP="00CF09B3">
            <w:pPr>
              <w:rPr>
                <w:lang w:val="bg-BG"/>
              </w:rPr>
            </w:pPr>
            <w:r w:rsidRPr="007375EB">
              <w:rPr>
                <w:lang w:val="bg-BG"/>
              </w:rPr>
              <w:t>-</w:t>
            </w:r>
          </w:p>
        </w:tc>
        <w:tc>
          <w:tcPr>
            <w:tcW w:w="720" w:type="dxa"/>
            <w:noWrap/>
            <w:vAlign w:val="center"/>
          </w:tcPr>
          <w:p w14:paraId="3099ADC6" w14:textId="77777777" w:rsidR="00CF09B3" w:rsidRPr="007375EB" w:rsidRDefault="00CF09B3" w:rsidP="00CF09B3">
            <w:pPr>
              <w:rPr>
                <w:lang w:val="bg-BG"/>
              </w:rPr>
            </w:pPr>
            <w:r w:rsidRPr="007375EB">
              <w:rPr>
                <w:lang w:val="bg-BG"/>
              </w:rPr>
              <w:t>-</w:t>
            </w:r>
          </w:p>
        </w:tc>
        <w:tc>
          <w:tcPr>
            <w:tcW w:w="540" w:type="dxa"/>
            <w:noWrap/>
            <w:vAlign w:val="center"/>
          </w:tcPr>
          <w:p w14:paraId="12AC6404" w14:textId="77777777" w:rsidR="00CF09B3" w:rsidRPr="007375EB" w:rsidRDefault="00CF09B3" w:rsidP="00CF09B3">
            <w:pPr>
              <w:rPr>
                <w:lang w:val="bg-BG"/>
              </w:rPr>
            </w:pPr>
            <w:r w:rsidRPr="007375EB">
              <w:rPr>
                <w:lang w:val="bg-BG"/>
              </w:rPr>
              <w:t>-</w:t>
            </w:r>
          </w:p>
        </w:tc>
        <w:tc>
          <w:tcPr>
            <w:tcW w:w="990" w:type="dxa"/>
            <w:noWrap/>
            <w:vAlign w:val="center"/>
          </w:tcPr>
          <w:p w14:paraId="7A85B42F" w14:textId="77777777" w:rsidR="00CF09B3" w:rsidRPr="007375EB" w:rsidRDefault="00CF09B3" w:rsidP="00CF09B3">
            <w:pPr>
              <w:rPr>
                <w:lang w:val="bg-BG"/>
              </w:rPr>
            </w:pPr>
            <w:r w:rsidRPr="007375EB">
              <w:rPr>
                <w:lang w:val="bg-BG"/>
              </w:rPr>
              <w:t>-</w:t>
            </w:r>
          </w:p>
        </w:tc>
        <w:tc>
          <w:tcPr>
            <w:tcW w:w="499" w:type="dxa"/>
            <w:noWrap/>
            <w:vAlign w:val="center"/>
          </w:tcPr>
          <w:p w14:paraId="765E5AE5" w14:textId="77777777" w:rsidR="00CF09B3" w:rsidRPr="007375EB" w:rsidRDefault="00CF09B3" w:rsidP="00CF09B3">
            <w:pPr>
              <w:rPr>
                <w:lang w:val="bg-BG"/>
              </w:rPr>
            </w:pPr>
            <w:r w:rsidRPr="007375EB">
              <w:rPr>
                <w:lang w:val="bg-BG"/>
              </w:rPr>
              <w:t>-</w:t>
            </w:r>
          </w:p>
        </w:tc>
        <w:tc>
          <w:tcPr>
            <w:tcW w:w="507" w:type="dxa"/>
            <w:noWrap/>
            <w:vAlign w:val="center"/>
          </w:tcPr>
          <w:p w14:paraId="1CD1EBB8" w14:textId="77777777" w:rsidR="00CF09B3" w:rsidRPr="007375EB" w:rsidRDefault="00CF09B3" w:rsidP="00CF09B3">
            <w:pPr>
              <w:rPr>
                <w:lang w:val="bg-BG"/>
              </w:rPr>
            </w:pPr>
            <w:r w:rsidRPr="007375EB">
              <w:rPr>
                <w:lang w:val="bg-BG"/>
              </w:rPr>
              <w:t>-</w:t>
            </w:r>
          </w:p>
        </w:tc>
        <w:tc>
          <w:tcPr>
            <w:tcW w:w="524" w:type="dxa"/>
            <w:noWrap/>
            <w:vAlign w:val="center"/>
          </w:tcPr>
          <w:p w14:paraId="3C4CB44E" w14:textId="77777777" w:rsidR="00CF09B3" w:rsidRPr="007375EB" w:rsidRDefault="00CF09B3" w:rsidP="00CF09B3">
            <w:pPr>
              <w:rPr>
                <w:lang w:val="bg-BG"/>
              </w:rPr>
            </w:pPr>
            <w:r w:rsidRPr="007375EB">
              <w:rPr>
                <w:lang w:val="bg-BG"/>
              </w:rPr>
              <w:t>-</w:t>
            </w:r>
          </w:p>
        </w:tc>
        <w:tc>
          <w:tcPr>
            <w:tcW w:w="616" w:type="dxa"/>
            <w:noWrap/>
            <w:vAlign w:val="center"/>
          </w:tcPr>
          <w:p w14:paraId="65ADF298" w14:textId="77777777" w:rsidR="00CF09B3" w:rsidRPr="007375EB" w:rsidRDefault="00CF09B3" w:rsidP="00CF09B3">
            <w:pPr>
              <w:rPr>
                <w:lang w:val="bg-BG"/>
              </w:rPr>
            </w:pPr>
            <w:r w:rsidRPr="007375EB">
              <w:rPr>
                <w:lang w:val="bg-BG"/>
              </w:rPr>
              <w:t>-</w:t>
            </w:r>
          </w:p>
        </w:tc>
        <w:tc>
          <w:tcPr>
            <w:tcW w:w="612" w:type="dxa"/>
            <w:noWrap/>
            <w:vAlign w:val="center"/>
          </w:tcPr>
          <w:p w14:paraId="5D409E63" w14:textId="77777777" w:rsidR="00CF09B3" w:rsidRPr="007375EB" w:rsidRDefault="00CF09B3" w:rsidP="00CF09B3">
            <w:pPr>
              <w:rPr>
                <w:lang w:val="bg-BG"/>
              </w:rPr>
            </w:pPr>
            <w:r w:rsidRPr="007375EB">
              <w:rPr>
                <w:lang w:val="bg-BG"/>
              </w:rPr>
              <w:t>-</w:t>
            </w:r>
          </w:p>
        </w:tc>
      </w:tr>
      <w:tr w:rsidR="00CF09B3" w:rsidRPr="007375EB" w14:paraId="2A284590" w14:textId="77777777" w:rsidTr="002B7665">
        <w:trPr>
          <w:trHeight w:val="210"/>
        </w:trPr>
        <w:tc>
          <w:tcPr>
            <w:tcW w:w="621" w:type="dxa"/>
            <w:noWrap/>
          </w:tcPr>
          <w:p w14:paraId="62538671" w14:textId="77777777" w:rsidR="00CF09B3" w:rsidRPr="007375EB" w:rsidRDefault="00CF09B3" w:rsidP="00CF09B3">
            <w:pPr>
              <w:rPr>
                <w:lang w:val="bg-BG"/>
              </w:rPr>
            </w:pPr>
            <w:r w:rsidRPr="007375EB">
              <w:rPr>
                <w:lang w:val="bg-BG"/>
              </w:rPr>
              <w:t>11</w:t>
            </w:r>
          </w:p>
        </w:tc>
        <w:tc>
          <w:tcPr>
            <w:tcW w:w="3189" w:type="dxa"/>
            <w:noWrap/>
          </w:tcPr>
          <w:p w14:paraId="39597F35" w14:textId="127AA309" w:rsidR="00CF09B3" w:rsidRPr="007375EB" w:rsidRDefault="00CF09B3" w:rsidP="00CF09B3">
            <w:pPr>
              <w:jc w:val="both"/>
              <w:rPr>
                <w:lang w:val="bg-BG"/>
              </w:rPr>
            </w:pPr>
            <w:r w:rsidRPr="007375EB">
              <w:rPr>
                <w:lang w:val="bg-BG"/>
              </w:rPr>
              <w:t>Общ градоустройствен план на община  Индепенденца (предложен)</w:t>
            </w:r>
          </w:p>
        </w:tc>
        <w:tc>
          <w:tcPr>
            <w:tcW w:w="2125" w:type="dxa"/>
            <w:noWrap/>
            <w:vAlign w:val="center"/>
          </w:tcPr>
          <w:p w14:paraId="3971EC25" w14:textId="77777777" w:rsidR="00CF09B3" w:rsidRPr="007375EB" w:rsidRDefault="00CF09B3" w:rsidP="00CF09B3">
            <w:pPr>
              <w:rPr>
                <w:lang w:val="bg-BG"/>
              </w:rPr>
            </w:pPr>
            <w:r w:rsidRPr="007375EB">
              <w:rPr>
                <w:lang w:val="bg-BG"/>
              </w:rPr>
              <w:t>2,36 км</w:t>
            </w:r>
          </w:p>
        </w:tc>
        <w:tc>
          <w:tcPr>
            <w:tcW w:w="482" w:type="dxa"/>
            <w:noWrap/>
            <w:vAlign w:val="center"/>
          </w:tcPr>
          <w:p w14:paraId="627D23C0" w14:textId="77777777" w:rsidR="00CF09B3" w:rsidRPr="007375EB" w:rsidRDefault="00CF09B3" w:rsidP="00CF09B3">
            <w:pPr>
              <w:rPr>
                <w:lang w:val="bg-BG"/>
              </w:rPr>
            </w:pPr>
            <w:r w:rsidRPr="007375EB">
              <w:rPr>
                <w:lang w:val="bg-BG"/>
              </w:rPr>
              <w:t>-</w:t>
            </w:r>
          </w:p>
        </w:tc>
        <w:tc>
          <w:tcPr>
            <w:tcW w:w="916" w:type="dxa"/>
            <w:noWrap/>
            <w:vAlign w:val="center"/>
          </w:tcPr>
          <w:p w14:paraId="75D1748F" w14:textId="77777777" w:rsidR="00CF09B3" w:rsidRPr="007375EB" w:rsidRDefault="00CF09B3" w:rsidP="00CF09B3">
            <w:pPr>
              <w:rPr>
                <w:lang w:val="bg-BG"/>
              </w:rPr>
            </w:pPr>
            <w:r w:rsidRPr="007375EB">
              <w:rPr>
                <w:lang w:val="bg-BG"/>
              </w:rPr>
              <w:t>-</w:t>
            </w:r>
          </w:p>
        </w:tc>
        <w:tc>
          <w:tcPr>
            <w:tcW w:w="916" w:type="dxa"/>
            <w:noWrap/>
            <w:vAlign w:val="center"/>
          </w:tcPr>
          <w:p w14:paraId="7F717CCB" w14:textId="77777777" w:rsidR="00CF09B3" w:rsidRPr="007375EB" w:rsidRDefault="00CF09B3" w:rsidP="00CF09B3">
            <w:pPr>
              <w:rPr>
                <w:lang w:val="bg-BG"/>
              </w:rPr>
            </w:pPr>
            <w:r w:rsidRPr="007375EB">
              <w:rPr>
                <w:lang w:val="bg-BG"/>
              </w:rPr>
              <w:t>-</w:t>
            </w:r>
          </w:p>
        </w:tc>
        <w:tc>
          <w:tcPr>
            <w:tcW w:w="810" w:type="dxa"/>
            <w:noWrap/>
            <w:vAlign w:val="center"/>
          </w:tcPr>
          <w:p w14:paraId="3FCD78D9" w14:textId="77777777" w:rsidR="00CF09B3" w:rsidRPr="007375EB" w:rsidRDefault="00CF09B3" w:rsidP="00CF09B3">
            <w:pPr>
              <w:rPr>
                <w:lang w:val="bg-BG"/>
              </w:rPr>
            </w:pPr>
            <w:r w:rsidRPr="007375EB">
              <w:rPr>
                <w:lang w:val="bg-BG"/>
              </w:rPr>
              <w:t>-</w:t>
            </w:r>
          </w:p>
        </w:tc>
        <w:tc>
          <w:tcPr>
            <w:tcW w:w="630" w:type="dxa"/>
            <w:noWrap/>
            <w:vAlign w:val="center"/>
          </w:tcPr>
          <w:p w14:paraId="48A1F579" w14:textId="77777777" w:rsidR="00CF09B3" w:rsidRPr="007375EB" w:rsidRDefault="00CF09B3" w:rsidP="00CF09B3">
            <w:pPr>
              <w:rPr>
                <w:lang w:val="bg-BG"/>
              </w:rPr>
            </w:pPr>
            <w:r w:rsidRPr="007375EB">
              <w:rPr>
                <w:lang w:val="bg-BG"/>
              </w:rPr>
              <w:t>-</w:t>
            </w:r>
          </w:p>
        </w:tc>
        <w:tc>
          <w:tcPr>
            <w:tcW w:w="720" w:type="dxa"/>
            <w:noWrap/>
            <w:vAlign w:val="center"/>
          </w:tcPr>
          <w:p w14:paraId="0852F83B" w14:textId="77777777" w:rsidR="00CF09B3" w:rsidRPr="007375EB" w:rsidRDefault="00CF09B3" w:rsidP="00CF09B3">
            <w:pPr>
              <w:rPr>
                <w:lang w:val="bg-BG"/>
              </w:rPr>
            </w:pPr>
            <w:r w:rsidRPr="007375EB">
              <w:rPr>
                <w:lang w:val="bg-BG"/>
              </w:rPr>
              <w:t>-</w:t>
            </w:r>
          </w:p>
        </w:tc>
        <w:tc>
          <w:tcPr>
            <w:tcW w:w="720" w:type="dxa"/>
            <w:noWrap/>
            <w:vAlign w:val="center"/>
          </w:tcPr>
          <w:p w14:paraId="720997AB" w14:textId="77777777" w:rsidR="00CF09B3" w:rsidRPr="007375EB" w:rsidRDefault="00CF09B3" w:rsidP="00CF09B3">
            <w:pPr>
              <w:rPr>
                <w:lang w:val="bg-BG"/>
              </w:rPr>
            </w:pPr>
            <w:r w:rsidRPr="007375EB">
              <w:rPr>
                <w:lang w:val="bg-BG"/>
              </w:rPr>
              <w:t>-</w:t>
            </w:r>
          </w:p>
        </w:tc>
        <w:tc>
          <w:tcPr>
            <w:tcW w:w="540" w:type="dxa"/>
            <w:noWrap/>
            <w:vAlign w:val="center"/>
          </w:tcPr>
          <w:p w14:paraId="750C69B6" w14:textId="77777777" w:rsidR="00CF09B3" w:rsidRPr="007375EB" w:rsidRDefault="00CF09B3" w:rsidP="00CF09B3">
            <w:pPr>
              <w:rPr>
                <w:lang w:val="bg-BG"/>
              </w:rPr>
            </w:pPr>
            <w:r w:rsidRPr="007375EB">
              <w:rPr>
                <w:lang w:val="bg-BG"/>
              </w:rPr>
              <w:t>-</w:t>
            </w:r>
          </w:p>
        </w:tc>
        <w:tc>
          <w:tcPr>
            <w:tcW w:w="990" w:type="dxa"/>
            <w:noWrap/>
            <w:vAlign w:val="center"/>
          </w:tcPr>
          <w:p w14:paraId="78406F36" w14:textId="77777777" w:rsidR="00CF09B3" w:rsidRPr="007375EB" w:rsidRDefault="00CF09B3" w:rsidP="00CF09B3">
            <w:pPr>
              <w:rPr>
                <w:lang w:val="bg-BG"/>
              </w:rPr>
            </w:pPr>
            <w:r w:rsidRPr="007375EB">
              <w:rPr>
                <w:lang w:val="bg-BG"/>
              </w:rPr>
              <w:t>-</w:t>
            </w:r>
          </w:p>
        </w:tc>
        <w:tc>
          <w:tcPr>
            <w:tcW w:w="499" w:type="dxa"/>
            <w:noWrap/>
            <w:vAlign w:val="center"/>
          </w:tcPr>
          <w:p w14:paraId="5AF773CF" w14:textId="77777777" w:rsidR="00CF09B3" w:rsidRPr="007375EB" w:rsidRDefault="00CF09B3" w:rsidP="00CF09B3">
            <w:pPr>
              <w:rPr>
                <w:lang w:val="bg-BG"/>
              </w:rPr>
            </w:pPr>
            <w:r w:rsidRPr="007375EB">
              <w:rPr>
                <w:lang w:val="bg-BG"/>
              </w:rPr>
              <w:t>-</w:t>
            </w:r>
          </w:p>
        </w:tc>
        <w:tc>
          <w:tcPr>
            <w:tcW w:w="507" w:type="dxa"/>
            <w:noWrap/>
            <w:vAlign w:val="center"/>
          </w:tcPr>
          <w:p w14:paraId="6222BC84" w14:textId="77777777" w:rsidR="00CF09B3" w:rsidRPr="007375EB" w:rsidRDefault="00CF09B3" w:rsidP="00CF09B3">
            <w:pPr>
              <w:rPr>
                <w:lang w:val="bg-BG"/>
              </w:rPr>
            </w:pPr>
            <w:r w:rsidRPr="007375EB">
              <w:rPr>
                <w:lang w:val="bg-BG"/>
              </w:rPr>
              <w:t>-</w:t>
            </w:r>
          </w:p>
        </w:tc>
        <w:tc>
          <w:tcPr>
            <w:tcW w:w="524" w:type="dxa"/>
            <w:noWrap/>
            <w:vAlign w:val="center"/>
          </w:tcPr>
          <w:p w14:paraId="69A6F881" w14:textId="77777777" w:rsidR="00CF09B3" w:rsidRPr="007375EB" w:rsidRDefault="00CF09B3" w:rsidP="00CF09B3">
            <w:pPr>
              <w:rPr>
                <w:lang w:val="bg-BG"/>
              </w:rPr>
            </w:pPr>
            <w:r w:rsidRPr="007375EB">
              <w:rPr>
                <w:lang w:val="bg-BG"/>
              </w:rPr>
              <w:t>-</w:t>
            </w:r>
          </w:p>
        </w:tc>
        <w:tc>
          <w:tcPr>
            <w:tcW w:w="616" w:type="dxa"/>
            <w:noWrap/>
            <w:vAlign w:val="center"/>
          </w:tcPr>
          <w:p w14:paraId="459863ED" w14:textId="77777777" w:rsidR="00CF09B3" w:rsidRPr="007375EB" w:rsidRDefault="00CF09B3" w:rsidP="00CF09B3">
            <w:pPr>
              <w:rPr>
                <w:lang w:val="bg-BG"/>
              </w:rPr>
            </w:pPr>
            <w:r w:rsidRPr="007375EB">
              <w:rPr>
                <w:lang w:val="bg-BG"/>
              </w:rPr>
              <w:t>-</w:t>
            </w:r>
          </w:p>
        </w:tc>
        <w:tc>
          <w:tcPr>
            <w:tcW w:w="612" w:type="dxa"/>
            <w:noWrap/>
            <w:vAlign w:val="center"/>
          </w:tcPr>
          <w:p w14:paraId="023E46A1" w14:textId="77777777" w:rsidR="00CF09B3" w:rsidRPr="007375EB" w:rsidRDefault="00CF09B3" w:rsidP="00CF09B3">
            <w:pPr>
              <w:rPr>
                <w:lang w:val="bg-BG"/>
              </w:rPr>
            </w:pPr>
            <w:r w:rsidRPr="007375EB">
              <w:rPr>
                <w:lang w:val="bg-BG"/>
              </w:rPr>
              <w:t>-</w:t>
            </w:r>
          </w:p>
        </w:tc>
      </w:tr>
      <w:tr w:rsidR="00CF09B3" w:rsidRPr="007375EB" w14:paraId="207C3E23" w14:textId="77777777" w:rsidTr="002B7665">
        <w:trPr>
          <w:trHeight w:val="210"/>
        </w:trPr>
        <w:tc>
          <w:tcPr>
            <w:tcW w:w="621" w:type="dxa"/>
            <w:noWrap/>
          </w:tcPr>
          <w:p w14:paraId="66016C32" w14:textId="77777777" w:rsidR="00CF09B3" w:rsidRPr="007375EB" w:rsidRDefault="00CF09B3" w:rsidP="00CF09B3">
            <w:pPr>
              <w:rPr>
                <w:lang w:val="bg-BG"/>
              </w:rPr>
            </w:pPr>
            <w:r w:rsidRPr="007375EB">
              <w:rPr>
                <w:lang w:val="bg-BG"/>
              </w:rPr>
              <w:t>12</w:t>
            </w:r>
          </w:p>
        </w:tc>
        <w:tc>
          <w:tcPr>
            <w:tcW w:w="3189" w:type="dxa"/>
            <w:noWrap/>
          </w:tcPr>
          <w:p w14:paraId="5FA0A490" w14:textId="31C6245E" w:rsidR="00CF09B3" w:rsidRPr="007375EB" w:rsidRDefault="00CF09B3" w:rsidP="00CF09B3">
            <w:pPr>
              <w:jc w:val="both"/>
              <w:rPr>
                <w:lang w:val="bg-BG"/>
              </w:rPr>
            </w:pPr>
            <w:r w:rsidRPr="007375EB">
              <w:rPr>
                <w:lang w:val="bg-BG"/>
              </w:rPr>
              <w:t>Изграждане на интелигентна мрежа за разпределение на природен газ в община Индепенденца, окръг Констанца (предложена)</w:t>
            </w:r>
          </w:p>
        </w:tc>
        <w:tc>
          <w:tcPr>
            <w:tcW w:w="2125" w:type="dxa"/>
            <w:noWrap/>
            <w:vAlign w:val="center"/>
          </w:tcPr>
          <w:p w14:paraId="30D5FF75" w14:textId="77777777" w:rsidR="00CF09B3" w:rsidRPr="007375EB" w:rsidRDefault="00CF09B3" w:rsidP="00CF09B3">
            <w:pPr>
              <w:rPr>
                <w:lang w:val="bg-BG"/>
              </w:rPr>
            </w:pPr>
            <w:r w:rsidRPr="007375EB">
              <w:rPr>
                <w:lang w:val="bg-BG"/>
              </w:rPr>
              <w:t>2,46 км</w:t>
            </w:r>
          </w:p>
        </w:tc>
        <w:tc>
          <w:tcPr>
            <w:tcW w:w="482" w:type="dxa"/>
            <w:noWrap/>
            <w:vAlign w:val="center"/>
          </w:tcPr>
          <w:p w14:paraId="1CB5E87F" w14:textId="77777777" w:rsidR="00CF09B3" w:rsidRPr="007375EB" w:rsidRDefault="00CF09B3" w:rsidP="00CF09B3">
            <w:pPr>
              <w:rPr>
                <w:lang w:val="bg-BG"/>
              </w:rPr>
            </w:pPr>
            <w:r w:rsidRPr="007375EB">
              <w:rPr>
                <w:lang w:val="bg-BG"/>
              </w:rPr>
              <w:t>-</w:t>
            </w:r>
          </w:p>
        </w:tc>
        <w:tc>
          <w:tcPr>
            <w:tcW w:w="916" w:type="dxa"/>
            <w:noWrap/>
            <w:vAlign w:val="center"/>
          </w:tcPr>
          <w:p w14:paraId="09A5246F" w14:textId="77777777" w:rsidR="00CF09B3" w:rsidRPr="007375EB" w:rsidRDefault="00CF09B3" w:rsidP="00CF09B3">
            <w:pPr>
              <w:rPr>
                <w:lang w:val="bg-BG"/>
              </w:rPr>
            </w:pPr>
            <w:r w:rsidRPr="007375EB">
              <w:rPr>
                <w:lang w:val="bg-BG"/>
              </w:rPr>
              <w:t>-</w:t>
            </w:r>
          </w:p>
        </w:tc>
        <w:tc>
          <w:tcPr>
            <w:tcW w:w="916" w:type="dxa"/>
            <w:noWrap/>
            <w:vAlign w:val="center"/>
          </w:tcPr>
          <w:p w14:paraId="1F737711" w14:textId="77777777" w:rsidR="00CF09B3" w:rsidRPr="007375EB" w:rsidRDefault="00CF09B3" w:rsidP="00CF09B3">
            <w:pPr>
              <w:rPr>
                <w:lang w:val="bg-BG"/>
              </w:rPr>
            </w:pPr>
            <w:r w:rsidRPr="007375EB">
              <w:rPr>
                <w:lang w:val="bg-BG"/>
              </w:rPr>
              <w:t>-</w:t>
            </w:r>
          </w:p>
        </w:tc>
        <w:tc>
          <w:tcPr>
            <w:tcW w:w="810" w:type="dxa"/>
            <w:noWrap/>
            <w:vAlign w:val="center"/>
          </w:tcPr>
          <w:p w14:paraId="2BAB7841" w14:textId="77777777" w:rsidR="00CF09B3" w:rsidRPr="007375EB" w:rsidRDefault="00CF09B3" w:rsidP="00CF09B3">
            <w:pPr>
              <w:rPr>
                <w:lang w:val="bg-BG"/>
              </w:rPr>
            </w:pPr>
            <w:r w:rsidRPr="007375EB">
              <w:rPr>
                <w:lang w:val="bg-BG"/>
              </w:rPr>
              <w:t>-</w:t>
            </w:r>
          </w:p>
        </w:tc>
        <w:tc>
          <w:tcPr>
            <w:tcW w:w="630" w:type="dxa"/>
            <w:noWrap/>
            <w:vAlign w:val="center"/>
          </w:tcPr>
          <w:p w14:paraId="6C312E7A" w14:textId="77777777" w:rsidR="00CF09B3" w:rsidRPr="007375EB" w:rsidRDefault="00CF09B3" w:rsidP="00CF09B3">
            <w:pPr>
              <w:rPr>
                <w:lang w:val="bg-BG"/>
              </w:rPr>
            </w:pPr>
            <w:r w:rsidRPr="007375EB">
              <w:rPr>
                <w:lang w:val="bg-BG"/>
              </w:rPr>
              <w:t>-</w:t>
            </w:r>
          </w:p>
        </w:tc>
        <w:tc>
          <w:tcPr>
            <w:tcW w:w="720" w:type="dxa"/>
            <w:noWrap/>
            <w:vAlign w:val="center"/>
          </w:tcPr>
          <w:p w14:paraId="35D0E87F" w14:textId="77777777" w:rsidR="00CF09B3" w:rsidRPr="007375EB" w:rsidRDefault="00CF09B3" w:rsidP="00CF09B3">
            <w:pPr>
              <w:rPr>
                <w:lang w:val="bg-BG"/>
              </w:rPr>
            </w:pPr>
            <w:r w:rsidRPr="007375EB">
              <w:rPr>
                <w:lang w:val="bg-BG"/>
              </w:rPr>
              <w:t>-</w:t>
            </w:r>
          </w:p>
        </w:tc>
        <w:tc>
          <w:tcPr>
            <w:tcW w:w="720" w:type="dxa"/>
            <w:noWrap/>
            <w:vAlign w:val="center"/>
          </w:tcPr>
          <w:p w14:paraId="2A741273" w14:textId="77777777" w:rsidR="00CF09B3" w:rsidRPr="007375EB" w:rsidRDefault="00CF09B3" w:rsidP="00CF09B3">
            <w:pPr>
              <w:rPr>
                <w:lang w:val="bg-BG"/>
              </w:rPr>
            </w:pPr>
            <w:r w:rsidRPr="007375EB">
              <w:rPr>
                <w:lang w:val="bg-BG"/>
              </w:rPr>
              <w:t>-</w:t>
            </w:r>
          </w:p>
        </w:tc>
        <w:tc>
          <w:tcPr>
            <w:tcW w:w="540" w:type="dxa"/>
            <w:noWrap/>
            <w:vAlign w:val="center"/>
          </w:tcPr>
          <w:p w14:paraId="41F4961A" w14:textId="77777777" w:rsidR="00CF09B3" w:rsidRPr="007375EB" w:rsidRDefault="00CF09B3" w:rsidP="00CF09B3">
            <w:pPr>
              <w:rPr>
                <w:lang w:val="bg-BG"/>
              </w:rPr>
            </w:pPr>
            <w:r w:rsidRPr="007375EB">
              <w:rPr>
                <w:lang w:val="bg-BG"/>
              </w:rPr>
              <w:t>-</w:t>
            </w:r>
          </w:p>
        </w:tc>
        <w:tc>
          <w:tcPr>
            <w:tcW w:w="990" w:type="dxa"/>
            <w:noWrap/>
            <w:vAlign w:val="center"/>
          </w:tcPr>
          <w:p w14:paraId="5F2F327E" w14:textId="77777777" w:rsidR="00CF09B3" w:rsidRPr="007375EB" w:rsidRDefault="00CF09B3" w:rsidP="00CF09B3">
            <w:pPr>
              <w:rPr>
                <w:lang w:val="bg-BG"/>
              </w:rPr>
            </w:pPr>
            <w:r w:rsidRPr="007375EB">
              <w:rPr>
                <w:lang w:val="bg-BG"/>
              </w:rPr>
              <w:t>-</w:t>
            </w:r>
          </w:p>
        </w:tc>
        <w:tc>
          <w:tcPr>
            <w:tcW w:w="499" w:type="dxa"/>
            <w:noWrap/>
            <w:vAlign w:val="center"/>
          </w:tcPr>
          <w:p w14:paraId="30B0FDD1" w14:textId="77777777" w:rsidR="00CF09B3" w:rsidRPr="007375EB" w:rsidRDefault="00CF09B3" w:rsidP="00CF09B3">
            <w:pPr>
              <w:rPr>
                <w:lang w:val="bg-BG"/>
              </w:rPr>
            </w:pPr>
            <w:r w:rsidRPr="007375EB">
              <w:rPr>
                <w:lang w:val="bg-BG"/>
              </w:rPr>
              <w:t>-</w:t>
            </w:r>
          </w:p>
        </w:tc>
        <w:tc>
          <w:tcPr>
            <w:tcW w:w="507" w:type="dxa"/>
            <w:noWrap/>
            <w:vAlign w:val="center"/>
          </w:tcPr>
          <w:p w14:paraId="1105FFF0" w14:textId="77777777" w:rsidR="00CF09B3" w:rsidRPr="007375EB" w:rsidRDefault="00CF09B3" w:rsidP="00CF09B3">
            <w:pPr>
              <w:rPr>
                <w:lang w:val="bg-BG"/>
              </w:rPr>
            </w:pPr>
            <w:r w:rsidRPr="007375EB">
              <w:rPr>
                <w:lang w:val="bg-BG"/>
              </w:rPr>
              <w:t>-</w:t>
            </w:r>
          </w:p>
        </w:tc>
        <w:tc>
          <w:tcPr>
            <w:tcW w:w="524" w:type="dxa"/>
            <w:noWrap/>
            <w:vAlign w:val="center"/>
          </w:tcPr>
          <w:p w14:paraId="2E3858D4" w14:textId="77777777" w:rsidR="00CF09B3" w:rsidRPr="007375EB" w:rsidRDefault="00CF09B3" w:rsidP="00CF09B3">
            <w:pPr>
              <w:rPr>
                <w:lang w:val="bg-BG"/>
              </w:rPr>
            </w:pPr>
            <w:r w:rsidRPr="007375EB">
              <w:rPr>
                <w:lang w:val="bg-BG"/>
              </w:rPr>
              <w:t>-</w:t>
            </w:r>
          </w:p>
        </w:tc>
        <w:tc>
          <w:tcPr>
            <w:tcW w:w="616" w:type="dxa"/>
            <w:noWrap/>
            <w:vAlign w:val="center"/>
          </w:tcPr>
          <w:p w14:paraId="42B49129" w14:textId="77777777" w:rsidR="00CF09B3" w:rsidRPr="007375EB" w:rsidRDefault="00CF09B3" w:rsidP="00CF09B3">
            <w:pPr>
              <w:rPr>
                <w:lang w:val="bg-BG"/>
              </w:rPr>
            </w:pPr>
            <w:r w:rsidRPr="007375EB">
              <w:rPr>
                <w:lang w:val="bg-BG"/>
              </w:rPr>
              <w:t>-</w:t>
            </w:r>
          </w:p>
        </w:tc>
        <w:tc>
          <w:tcPr>
            <w:tcW w:w="612" w:type="dxa"/>
            <w:noWrap/>
            <w:vAlign w:val="center"/>
          </w:tcPr>
          <w:p w14:paraId="2431AB10" w14:textId="77777777" w:rsidR="00CF09B3" w:rsidRPr="007375EB" w:rsidRDefault="00CF09B3" w:rsidP="00CF09B3">
            <w:pPr>
              <w:rPr>
                <w:lang w:val="bg-BG"/>
              </w:rPr>
            </w:pPr>
            <w:r w:rsidRPr="007375EB">
              <w:rPr>
                <w:lang w:val="bg-BG"/>
              </w:rPr>
              <w:t>-</w:t>
            </w:r>
          </w:p>
        </w:tc>
      </w:tr>
      <w:tr w:rsidR="00CF09B3" w:rsidRPr="007375EB" w14:paraId="63DEB5B7" w14:textId="77777777" w:rsidTr="002B7665">
        <w:trPr>
          <w:trHeight w:val="210"/>
        </w:trPr>
        <w:tc>
          <w:tcPr>
            <w:tcW w:w="621" w:type="dxa"/>
            <w:noWrap/>
          </w:tcPr>
          <w:p w14:paraId="59687677" w14:textId="77777777" w:rsidR="00CF09B3" w:rsidRPr="007375EB" w:rsidRDefault="00CF09B3" w:rsidP="00CF09B3">
            <w:pPr>
              <w:rPr>
                <w:lang w:val="bg-BG"/>
              </w:rPr>
            </w:pPr>
            <w:r w:rsidRPr="007375EB">
              <w:rPr>
                <w:lang w:val="bg-BG"/>
              </w:rPr>
              <w:t>13</w:t>
            </w:r>
          </w:p>
        </w:tc>
        <w:tc>
          <w:tcPr>
            <w:tcW w:w="3189" w:type="dxa"/>
            <w:noWrap/>
          </w:tcPr>
          <w:p w14:paraId="1795A473" w14:textId="28D03E4C" w:rsidR="00CF09B3" w:rsidRPr="007375EB" w:rsidRDefault="00CF09B3" w:rsidP="00CF09B3">
            <w:pPr>
              <w:jc w:val="both"/>
              <w:rPr>
                <w:lang w:val="bg-BG"/>
              </w:rPr>
            </w:pPr>
            <w:r w:rsidRPr="007375EB">
              <w:rPr>
                <w:lang w:val="bg-BG"/>
              </w:rPr>
              <w:t>Изграждане на мост в Мовила Верде, улица „Бисеричи“, Мовила Верде, община Индепенденца, окръг Констанца (предложен)</w:t>
            </w:r>
          </w:p>
        </w:tc>
        <w:tc>
          <w:tcPr>
            <w:tcW w:w="2125" w:type="dxa"/>
            <w:noWrap/>
            <w:vAlign w:val="center"/>
          </w:tcPr>
          <w:p w14:paraId="62D294DC" w14:textId="77777777" w:rsidR="00CF09B3" w:rsidRPr="007375EB" w:rsidRDefault="00CF09B3" w:rsidP="00CF09B3">
            <w:pPr>
              <w:rPr>
                <w:lang w:val="bg-BG"/>
              </w:rPr>
            </w:pPr>
            <w:r w:rsidRPr="007375EB">
              <w:rPr>
                <w:lang w:val="bg-BG"/>
              </w:rPr>
              <w:t>5,36 км</w:t>
            </w:r>
          </w:p>
        </w:tc>
        <w:tc>
          <w:tcPr>
            <w:tcW w:w="482" w:type="dxa"/>
            <w:noWrap/>
            <w:vAlign w:val="center"/>
          </w:tcPr>
          <w:p w14:paraId="43A5A7E5" w14:textId="77777777" w:rsidR="00CF09B3" w:rsidRPr="007375EB" w:rsidRDefault="00CF09B3" w:rsidP="00CF09B3">
            <w:pPr>
              <w:rPr>
                <w:lang w:val="bg-BG"/>
              </w:rPr>
            </w:pPr>
            <w:r w:rsidRPr="007375EB">
              <w:rPr>
                <w:lang w:val="bg-BG"/>
              </w:rPr>
              <w:t>-</w:t>
            </w:r>
          </w:p>
        </w:tc>
        <w:tc>
          <w:tcPr>
            <w:tcW w:w="916" w:type="dxa"/>
            <w:noWrap/>
            <w:vAlign w:val="center"/>
          </w:tcPr>
          <w:p w14:paraId="4526CC37" w14:textId="77777777" w:rsidR="00CF09B3" w:rsidRPr="007375EB" w:rsidRDefault="00CF09B3" w:rsidP="00CF09B3">
            <w:pPr>
              <w:rPr>
                <w:lang w:val="bg-BG"/>
              </w:rPr>
            </w:pPr>
            <w:r w:rsidRPr="007375EB">
              <w:rPr>
                <w:lang w:val="bg-BG"/>
              </w:rPr>
              <w:t>-</w:t>
            </w:r>
          </w:p>
        </w:tc>
        <w:tc>
          <w:tcPr>
            <w:tcW w:w="916" w:type="dxa"/>
            <w:noWrap/>
            <w:vAlign w:val="center"/>
          </w:tcPr>
          <w:p w14:paraId="7C753384" w14:textId="77777777" w:rsidR="00CF09B3" w:rsidRPr="007375EB" w:rsidRDefault="00CF09B3" w:rsidP="00CF09B3">
            <w:pPr>
              <w:rPr>
                <w:lang w:val="bg-BG"/>
              </w:rPr>
            </w:pPr>
            <w:r w:rsidRPr="007375EB">
              <w:rPr>
                <w:lang w:val="bg-BG"/>
              </w:rPr>
              <w:t>-</w:t>
            </w:r>
          </w:p>
        </w:tc>
        <w:tc>
          <w:tcPr>
            <w:tcW w:w="810" w:type="dxa"/>
            <w:noWrap/>
            <w:vAlign w:val="center"/>
          </w:tcPr>
          <w:p w14:paraId="3746517B" w14:textId="77777777" w:rsidR="00CF09B3" w:rsidRPr="007375EB" w:rsidRDefault="00CF09B3" w:rsidP="00CF09B3">
            <w:pPr>
              <w:rPr>
                <w:lang w:val="bg-BG"/>
              </w:rPr>
            </w:pPr>
            <w:r w:rsidRPr="007375EB">
              <w:rPr>
                <w:lang w:val="bg-BG"/>
              </w:rPr>
              <w:t>-</w:t>
            </w:r>
          </w:p>
        </w:tc>
        <w:tc>
          <w:tcPr>
            <w:tcW w:w="630" w:type="dxa"/>
            <w:noWrap/>
            <w:vAlign w:val="center"/>
          </w:tcPr>
          <w:p w14:paraId="1FB09F59" w14:textId="77777777" w:rsidR="00CF09B3" w:rsidRPr="007375EB" w:rsidRDefault="00CF09B3" w:rsidP="00CF09B3">
            <w:pPr>
              <w:rPr>
                <w:lang w:val="bg-BG"/>
              </w:rPr>
            </w:pPr>
            <w:r w:rsidRPr="007375EB">
              <w:rPr>
                <w:lang w:val="bg-BG"/>
              </w:rPr>
              <w:t>-</w:t>
            </w:r>
          </w:p>
        </w:tc>
        <w:tc>
          <w:tcPr>
            <w:tcW w:w="720" w:type="dxa"/>
            <w:noWrap/>
            <w:vAlign w:val="center"/>
          </w:tcPr>
          <w:p w14:paraId="55DDCDA2" w14:textId="77777777" w:rsidR="00CF09B3" w:rsidRPr="007375EB" w:rsidRDefault="00CF09B3" w:rsidP="00CF09B3">
            <w:pPr>
              <w:rPr>
                <w:lang w:val="bg-BG"/>
              </w:rPr>
            </w:pPr>
            <w:r w:rsidRPr="007375EB">
              <w:rPr>
                <w:lang w:val="bg-BG"/>
              </w:rPr>
              <w:t>-</w:t>
            </w:r>
          </w:p>
        </w:tc>
        <w:tc>
          <w:tcPr>
            <w:tcW w:w="720" w:type="dxa"/>
            <w:noWrap/>
            <w:vAlign w:val="center"/>
          </w:tcPr>
          <w:p w14:paraId="39269173" w14:textId="77777777" w:rsidR="00CF09B3" w:rsidRPr="007375EB" w:rsidRDefault="00CF09B3" w:rsidP="00CF09B3">
            <w:pPr>
              <w:rPr>
                <w:lang w:val="bg-BG"/>
              </w:rPr>
            </w:pPr>
            <w:r w:rsidRPr="007375EB">
              <w:rPr>
                <w:lang w:val="bg-BG"/>
              </w:rPr>
              <w:t>-</w:t>
            </w:r>
          </w:p>
        </w:tc>
        <w:tc>
          <w:tcPr>
            <w:tcW w:w="540" w:type="dxa"/>
            <w:noWrap/>
            <w:vAlign w:val="center"/>
          </w:tcPr>
          <w:p w14:paraId="17A6BB34" w14:textId="77777777" w:rsidR="00CF09B3" w:rsidRPr="007375EB" w:rsidRDefault="00CF09B3" w:rsidP="00CF09B3">
            <w:pPr>
              <w:rPr>
                <w:lang w:val="bg-BG"/>
              </w:rPr>
            </w:pPr>
            <w:r w:rsidRPr="007375EB">
              <w:rPr>
                <w:lang w:val="bg-BG"/>
              </w:rPr>
              <w:t>-</w:t>
            </w:r>
          </w:p>
        </w:tc>
        <w:tc>
          <w:tcPr>
            <w:tcW w:w="990" w:type="dxa"/>
            <w:noWrap/>
            <w:vAlign w:val="center"/>
          </w:tcPr>
          <w:p w14:paraId="726865DF" w14:textId="77777777" w:rsidR="00CF09B3" w:rsidRPr="007375EB" w:rsidRDefault="00CF09B3" w:rsidP="00CF09B3">
            <w:pPr>
              <w:rPr>
                <w:lang w:val="bg-BG"/>
              </w:rPr>
            </w:pPr>
            <w:r w:rsidRPr="007375EB">
              <w:rPr>
                <w:lang w:val="bg-BG"/>
              </w:rPr>
              <w:t>-</w:t>
            </w:r>
          </w:p>
        </w:tc>
        <w:tc>
          <w:tcPr>
            <w:tcW w:w="499" w:type="dxa"/>
            <w:noWrap/>
            <w:vAlign w:val="center"/>
          </w:tcPr>
          <w:p w14:paraId="2A190DC1" w14:textId="77777777" w:rsidR="00CF09B3" w:rsidRPr="007375EB" w:rsidRDefault="00CF09B3" w:rsidP="00CF09B3">
            <w:pPr>
              <w:rPr>
                <w:lang w:val="bg-BG"/>
              </w:rPr>
            </w:pPr>
            <w:r w:rsidRPr="007375EB">
              <w:rPr>
                <w:lang w:val="bg-BG"/>
              </w:rPr>
              <w:t>-</w:t>
            </w:r>
          </w:p>
        </w:tc>
        <w:tc>
          <w:tcPr>
            <w:tcW w:w="507" w:type="dxa"/>
            <w:noWrap/>
            <w:vAlign w:val="center"/>
          </w:tcPr>
          <w:p w14:paraId="1E3174C4" w14:textId="77777777" w:rsidR="00CF09B3" w:rsidRPr="007375EB" w:rsidRDefault="00CF09B3" w:rsidP="00CF09B3">
            <w:pPr>
              <w:rPr>
                <w:lang w:val="bg-BG"/>
              </w:rPr>
            </w:pPr>
            <w:r w:rsidRPr="007375EB">
              <w:rPr>
                <w:lang w:val="bg-BG"/>
              </w:rPr>
              <w:t>-</w:t>
            </w:r>
          </w:p>
        </w:tc>
        <w:tc>
          <w:tcPr>
            <w:tcW w:w="524" w:type="dxa"/>
            <w:noWrap/>
            <w:vAlign w:val="center"/>
          </w:tcPr>
          <w:p w14:paraId="6A5939E6" w14:textId="77777777" w:rsidR="00CF09B3" w:rsidRPr="007375EB" w:rsidRDefault="00CF09B3" w:rsidP="00CF09B3">
            <w:pPr>
              <w:rPr>
                <w:lang w:val="bg-BG"/>
              </w:rPr>
            </w:pPr>
            <w:r w:rsidRPr="007375EB">
              <w:rPr>
                <w:lang w:val="bg-BG"/>
              </w:rPr>
              <w:t>-</w:t>
            </w:r>
          </w:p>
        </w:tc>
        <w:tc>
          <w:tcPr>
            <w:tcW w:w="616" w:type="dxa"/>
            <w:noWrap/>
            <w:vAlign w:val="center"/>
          </w:tcPr>
          <w:p w14:paraId="7C0F1D52" w14:textId="77777777" w:rsidR="00CF09B3" w:rsidRPr="007375EB" w:rsidRDefault="00CF09B3" w:rsidP="00CF09B3">
            <w:pPr>
              <w:rPr>
                <w:lang w:val="bg-BG"/>
              </w:rPr>
            </w:pPr>
            <w:r w:rsidRPr="007375EB">
              <w:rPr>
                <w:lang w:val="bg-BG"/>
              </w:rPr>
              <w:t>-</w:t>
            </w:r>
          </w:p>
        </w:tc>
        <w:tc>
          <w:tcPr>
            <w:tcW w:w="612" w:type="dxa"/>
            <w:noWrap/>
            <w:vAlign w:val="center"/>
          </w:tcPr>
          <w:p w14:paraId="6AE4BACA" w14:textId="77777777" w:rsidR="00CF09B3" w:rsidRPr="007375EB" w:rsidRDefault="00CF09B3" w:rsidP="00CF09B3">
            <w:pPr>
              <w:rPr>
                <w:lang w:val="bg-BG"/>
              </w:rPr>
            </w:pPr>
            <w:r w:rsidRPr="007375EB">
              <w:rPr>
                <w:lang w:val="bg-BG"/>
              </w:rPr>
              <w:t>-</w:t>
            </w:r>
          </w:p>
        </w:tc>
      </w:tr>
      <w:tr w:rsidR="00CF09B3" w:rsidRPr="007375EB" w14:paraId="3086903D" w14:textId="77777777" w:rsidTr="002B7665">
        <w:trPr>
          <w:trHeight w:val="210"/>
        </w:trPr>
        <w:tc>
          <w:tcPr>
            <w:tcW w:w="621" w:type="dxa"/>
            <w:noWrap/>
          </w:tcPr>
          <w:p w14:paraId="71EE21B1" w14:textId="77777777" w:rsidR="00CF09B3" w:rsidRPr="007375EB" w:rsidRDefault="00CF09B3" w:rsidP="00CF09B3">
            <w:pPr>
              <w:rPr>
                <w:lang w:val="bg-BG"/>
              </w:rPr>
            </w:pPr>
            <w:r w:rsidRPr="007375EB">
              <w:rPr>
                <w:lang w:val="bg-BG"/>
              </w:rPr>
              <w:t>14</w:t>
            </w:r>
          </w:p>
        </w:tc>
        <w:tc>
          <w:tcPr>
            <w:tcW w:w="3189" w:type="dxa"/>
            <w:noWrap/>
          </w:tcPr>
          <w:p w14:paraId="578F78F0" w14:textId="13361302" w:rsidR="00CF09B3" w:rsidRPr="007375EB" w:rsidRDefault="00CF09B3" w:rsidP="00CF09B3">
            <w:pPr>
              <w:jc w:val="both"/>
              <w:rPr>
                <w:lang w:val="bg-BG"/>
              </w:rPr>
            </w:pPr>
            <w:r w:rsidRPr="007375EB">
              <w:rPr>
                <w:lang w:val="bg-BG"/>
              </w:rPr>
              <w:t>Асфалтиране на улици Комана, Тътару и Пелину, етап I, община Комана, окръг Констанца (предложено)</w:t>
            </w:r>
          </w:p>
        </w:tc>
        <w:tc>
          <w:tcPr>
            <w:tcW w:w="2125" w:type="dxa"/>
            <w:noWrap/>
            <w:vAlign w:val="center"/>
          </w:tcPr>
          <w:p w14:paraId="361F6FEC" w14:textId="77777777" w:rsidR="00CF09B3" w:rsidRPr="007375EB" w:rsidRDefault="00CF09B3" w:rsidP="00CF09B3">
            <w:pPr>
              <w:rPr>
                <w:lang w:val="bg-BG"/>
              </w:rPr>
            </w:pPr>
            <w:r w:rsidRPr="007375EB">
              <w:rPr>
                <w:lang w:val="bg-BG"/>
              </w:rPr>
              <w:t>7,55 км</w:t>
            </w:r>
          </w:p>
        </w:tc>
        <w:tc>
          <w:tcPr>
            <w:tcW w:w="482" w:type="dxa"/>
            <w:noWrap/>
            <w:vAlign w:val="center"/>
          </w:tcPr>
          <w:p w14:paraId="6F157750" w14:textId="77777777" w:rsidR="00CF09B3" w:rsidRPr="007375EB" w:rsidRDefault="00CF09B3" w:rsidP="00CF09B3">
            <w:pPr>
              <w:rPr>
                <w:lang w:val="bg-BG"/>
              </w:rPr>
            </w:pPr>
            <w:r w:rsidRPr="007375EB">
              <w:rPr>
                <w:lang w:val="bg-BG"/>
              </w:rPr>
              <w:t>-</w:t>
            </w:r>
          </w:p>
        </w:tc>
        <w:tc>
          <w:tcPr>
            <w:tcW w:w="916" w:type="dxa"/>
            <w:noWrap/>
            <w:vAlign w:val="center"/>
          </w:tcPr>
          <w:p w14:paraId="258F3C50" w14:textId="77777777" w:rsidR="00CF09B3" w:rsidRPr="007375EB" w:rsidRDefault="00CF09B3" w:rsidP="00CF09B3">
            <w:pPr>
              <w:rPr>
                <w:lang w:val="bg-BG"/>
              </w:rPr>
            </w:pPr>
            <w:r w:rsidRPr="007375EB">
              <w:rPr>
                <w:lang w:val="bg-BG"/>
              </w:rPr>
              <w:t>-</w:t>
            </w:r>
          </w:p>
        </w:tc>
        <w:tc>
          <w:tcPr>
            <w:tcW w:w="916" w:type="dxa"/>
            <w:noWrap/>
            <w:vAlign w:val="center"/>
          </w:tcPr>
          <w:p w14:paraId="03099378" w14:textId="77777777" w:rsidR="00CF09B3" w:rsidRPr="007375EB" w:rsidRDefault="00CF09B3" w:rsidP="00CF09B3">
            <w:pPr>
              <w:rPr>
                <w:lang w:val="bg-BG"/>
              </w:rPr>
            </w:pPr>
            <w:r w:rsidRPr="007375EB">
              <w:rPr>
                <w:lang w:val="bg-BG"/>
              </w:rPr>
              <w:t>-</w:t>
            </w:r>
          </w:p>
        </w:tc>
        <w:tc>
          <w:tcPr>
            <w:tcW w:w="810" w:type="dxa"/>
            <w:noWrap/>
            <w:vAlign w:val="center"/>
          </w:tcPr>
          <w:p w14:paraId="216B243C" w14:textId="77777777" w:rsidR="00CF09B3" w:rsidRPr="007375EB" w:rsidRDefault="00CF09B3" w:rsidP="00CF09B3">
            <w:pPr>
              <w:rPr>
                <w:lang w:val="bg-BG"/>
              </w:rPr>
            </w:pPr>
            <w:r w:rsidRPr="007375EB">
              <w:rPr>
                <w:lang w:val="bg-BG"/>
              </w:rPr>
              <w:t>-</w:t>
            </w:r>
          </w:p>
        </w:tc>
        <w:tc>
          <w:tcPr>
            <w:tcW w:w="630" w:type="dxa"/>
            <w:noWrap/>
            <w:vAlign w:val="center"/>
          </w:tcPr>
          <w:p w14:paraId="2659C9C6" w14:textId="77777777" w:rsidR="00CF09B3" w:rsidRPr="007375EB" w:rsidRDefault="00CF09B3" w:rsidP="00CF09B3">
            <w:pPr>
              <w:rPr>
                <w:lang w:val="bg-BG"/>
              </w:rPr>
            </w:pPr>
            <w:r w:rsidRPr="007375EB">
              <w:rPr>
                <w:lang w:val="bg-BG"/>
              </w:rPr>
              <w:t>-</w:t>
            </w:r>
          </w:p>
        </w:tc>
        <w:tc>
          <w:tcPr>
            <w:tcW w:w="720" w:type="dxa"/>
            <w:noWrap/>
            <w:vAlign w:val="center"/>
          </w:tcPr>
          <w:p w14:paraId="5D9E6F58" w14:textId="77777777" w:rsidR="00CF09B3" w:rsidRPr="007375EB" w:rsidRDefault="00CF09B3" w:rsidP="00CF09B3">
            <w:pPr>
              <w:rPr>
                <w:lang w:val="bg-BG"/>
              </w:rPr>
            </w:pPr>
            <w:r w:rsidRPr="007375EB">
              <w:rPr>
                <w:lang w:val="bg-BG"/>
              </w:rPr>
              <w:t>-</w:t>
            </w:r>
          </w:p>
        </w:tc>
        <w:tc>
          <w:tcPr>
            <w:tcW w:w="720" w:type="dxa"/>
            <w:noWrap/>
            <w:vAlign w:val="center"/>
          </w:tcPr>
          <w:p w14:paraId="22226893" w14:textId="77777777" w:rsidR="00CF09B3" w:rsidRPr="007375EB" w:rsidRDefault="00CF09B3" w:rsidP="00CF09B3">
            <w:pPr>
              <w:rPr>
                <w:lang w:val="bg-BG"/>
              </w:rPr>
            </w:pPr>
            <w:r w:rsidRPr="007375EB">
              <w:rPr>
                <w:lang w:val="bg-BG"/>
              </w:rPr>
              <w:t>-</w:t>
            </w:r>
          </w:p>
        </w:tc>
        <w:tc>
          <w:tcPr>
            <w:tcW w:w="540" w:type="dxa"/>
            <w:noWrap/>
            <w:vAlign w:val="center"/>
          </w:tcPr>
          <w:p w14:paraId="1D128E92" w14:textId="77777777" w:rsidR="00CF09B3" w:rsidRPr="007375EB" w:rsidRDefault="00CF09B3" w:rsidP="00CF09B3">
            <w:pPr>
              <w:rPr>
                <w:lang w:val="bg-BG"/>
              </w:rPr>
            </w:pPr>
            <w:r w:rsidRPr="007375EB">
              <w:rPr>
                <w:lang w:val="bg-BG"/>
              </w:rPr>
              <w:t>-</w:t>
            </w:r>
          </w:p>
        </w:tc>
        <w:tc>
          <w:tcPr>
            <w:tcW w:w="990" w:type="dxa"/>
            <w:noWrap/>
            <w:vAlign w:val="center"/>
          </w:tcPr>
          <w:p w14:paraId="6BF42F3C" w14:textId="77777777" w:rsidR="00CF09B3" w:rsidRPr="007375EB" w:rsidRDefault="00CF09B3" w:rsidP="00CF09B3">
            <w:pPr>
              <w:rPr>
                <w:lang w:val="bg-BG"/>
              </w:rPr>
            </w:pPr>
            <w:r w:rsidRPr="007375EB">
              <w:rPr>
                <w:lang w:val="bg-BG"/>
              </w:rPr>
              <w:t>-</w:t>
            </w:r>
          </w:p>
        </w:tc>
        <w:tc>
          <w:tcPr>
            <w:tcW w:w="499" w:type="dxa"/>
            <w:noWrap/>
            <w:vAlign w:val="center"/>
          </w:tcPr>
          <w:p w14:paraId="11C4F37B" w14:textId="77777777" w:rsidR="00CF09B3" w:rsidRPr="007375EB" w:rsidRDefault="00CF09B3" w:rsidP="00CF09B3">
            <w:pPr>
              <w:rPr>
                <w:lang w:val="bg-BG"/>
              </w:rPr>
            </w:pPr>
            <w:r w:rsidRPr="007375EB">
              <w:rPr>
                <w:lang w:val="bg-BG"/>
              </w:rPr>
              <w:t>-</w:t>
            </w:r>
          </w:p>
        </w:tc>
        <w:tc>
          <w:tcPr>
            <w:tcW w:w="507" w:type="dxa"/>
            <w:noWrap/>
            <w:vAlign w:val="center"/>
          </w:tcPr>
          <w:p w14:paraId="4BBD71B3" w14:textId="77777777" w:rsidR="00CF09B3" w:rsidRPr="007375EB" w:rsidRDefault="00CF09B3" w:rsidP="00CF09B3">
            <w:pPr>
              <w:rPr>
                <w:lang w:val="bg-BG"/>
              </w:rPr>
            </w:pPr>
            <w:r w:rsidRPr="007375EB">
              <w:rPr>
                <w:lang w:val="bg-BG"/>
              </w:rPr>
              <w:t>-</w:t>
            </w:r>
          </w:p>
        </w:tc>
        <w:tc>
          <w:tcPr>
            <w:tcW w:w="524" w:type="dxa"/>
            <w:noWrap/>
            <w:vAlign w:val="center"/>
          </w:tcPr>
          <w:p w14:paraId="3DBFCCD3" w14:textId="77777777" w:rsidR="00CF09B3" w:rsidRPr="007375EB" w:rsidRDefault="00CF09B3" w:rsidP="00CF09B3">
            <w:pPr>
              <w:rPr>
                <w:lang w:val="bg-BG"/>
              </w:rPr>
            </w:pPr>
            <w:r w:rsidRPr="007375EB">
              <w:rPr>
                <w:lang w:val="bg-BG"/>
              </w:rPr>
              <w:t>-</w:t>
            </w:r>
          </w:p>
        </w:tc>
        <w:tc>
          <w:tcPr>
            <w:tcW w:w="616" w:type="dxa"/>
            <w:noWrap/>
            <w:vAlign w:val="center"/>
          </w:tcPr>
          <w:p w14:paraId="02218A9B" w14:textId="77777777" w:rsidR="00CF09B3" w:rsidRPr="007375EB" w:rsidRDefault="00CF09B3" w:rsidP="00CF09B3">
            <w:pPr>
              <w:rPr>
                <w:lang w:val="bg-BG"/>
              </w:rPr>
            </w:pPr>
            <w:r w:rsidRPr="007375EB">
              <w:rPr>
                <w:lang w:val="bg-BG"/>
              </w:rPr>
              <w:t>-</w:t>
            </w:r>
          </w:p>
        </w:tc>
        <w:tc>
          <w:tcPr>
            <w:tcW w:w="612" w:type="dxa"/>
            <w:noWrap/>
            <w:vAlign w:val="center"/>
          </w:tcPr>
          <w:p w14:paraId="5BCF0884" w14:textId="77777777" w:rsidR="00CF09B3" w:rsidRPr="007375EB" w:rsidRDefault="00CF09B3" w:rsidP="00CF09B3">
            <w:pPr>
              <w:rPr>
                <w:lang w:val="bg-BG"/>
              </w:rPr>
            </w:pPr>
            <w:r w:rsidRPr="007375EB">
              <w:rPr>
                <w:lang w:val="bg-BG"/>
              </w:rPr>
              <w:t>-</w:t>
            </w:r>
          </w:p>
        </w:tc>
      </w:tr>
      <w:tr w:rsidR="00CF09B3" w:rsidRPr="007375EB" w14:paraId="248FAA12" w14:textId="77777777" w:rsidTr="002B7665">
        <w:trPr>
          <w:trHeight w:val="210"/>
        </w:trPr>
        <w:tc>
          <w:tcPr>
            <w:tcW w:w="621" w:type="dxa"/>
            <w:noWrap/>
          </w:tcPr>
          <w:p w14:paraId="35584E4D" w14:textId="77777777" w:rsidR="00CF09B3" w:rsidRPr="007375EB" w:rsidRDefault="00CF09B3" w:rsidP="00CF09B3">
            <w:pPr>
              <w:rPr>
                <w:lang w:val="bg-BG"/>
              </w:rPr>
            </w:pPr>
            <w:r w:rsidRPr="007375EB">
              <w:rPr>
                <w:lang w:val="bg-BG"/>
              </w:rPr>
              <w:lastRenderedPageBreak/>
              <w:t>15</w:t>
            </w:r>
          </w:p>
        </w:tc>
        <w:tc>
          <w:tcPr>
            <w:tcW w:w="3189" w:type="dxa"/>
            <w:noWrap/>
          </w:tcPr>
          <w:p w14:paraId="17C0A728" w14:textId="0F151BDB" w:rsidR="00CF09B3" w:rsidRPr="007375EB" w:rsidRDefault="00CF09B3" w:rsidP="00CF09B3">
            <w:pPr>
              <w:jc w:val="both"/>
              <w:rPr>
                <w:lang w:val="bg-BG"/>
              </w:rPr>
            </w:pPr>
            <w:r w:rsidRPr="007375EB">
              <w:rPr>
                <w:lang w:val="bg-BG"/>
              </w:rPr>
              <w:t>Изграждане на мостове, водостоци и прокарване на дъждовна канализация в Крединца, община Кирногени (предложено)</w:t>
            </w:r>
          </w:p>
        </w:tc>
        <w:tc>
          <w:tcPr>
            <w:tcW w:w="2125" w:type="dxa"/>
            <w:noWrap/>
            <w:vAlign w:val="center"/>
          </w:tcPr>
          <w:p w14:paraId="54D9726F" w14:textId="77777777" w:rsidR="00CF09B3" w:rsidRPr="007375EB" w:rsidRDefault="00CF09B3" w:rsidP="00CF09B3">
            <w:pPr>
              <w:rPr>
                <w:lang w:val="bg-BG"/>
              </w:rPr>
            </w:pPr>
            <w:r w:rsidRPr="007375EB">
              <w:rPr>
                <w:lang w:val="bg-BG"/>
              </w:rPr>
              <w:t>4,39 км</w:t>
            </w:r>
          </w:p>
        </w:tc>
        <w:tc>
          <w:tcPr>
            <w:tcW w:w="482" w:type="dxa"/>
            <w:noWrap/>
            <w:vAlign w:val="center"/>
          </w:tcPr>
          <w:p w14:paraId="3508026A" w14:textId="77777777" w:rsidR="00CF09B3" w:rsidRPr="007375EB" w:rsidRDefault="00CF09B3" w:rsidP="00CF09B3">
            <w:pPr>
              <w:rPr>
                <w:lang w:val="bg-BG"/>
              </w:rPr>
            </w:pPr>
            <w:r w:rsidRPr="007375EB">
              <w:rPr>
                <w:lang w:val="bg-BG"/>
              </w:rPr>
              <w:t>-</w:t>
            </w:r>
          </w:p>
        </w:tc>
        <w:tc>
          <w:tcPr>
            <w:tcW w:w="916" w:type="dxa"/>
            <w:noWrap/>
            <w:vAlign w:val="center"/>
          </w:tcPr>
          <w:p w14:paraId="0F515A2D" w14:textId="77777777" w:rsidR="00CF09B3" w:rsidRPr="007375EB" w:rsidRDefault="00CF09B3" w:rsidP="00CF09B3">
            <w:pPr>
              <w:rPr>
                <w:lang w:val="bg-BG"/>
              </w:rPr>
            </w:pPr>
            <w:r w:rsidRPr="007375EB">
              <w:rPr>
                <w:lang w:val="bg-BG"/>
              </w:rPr>
              <w:t>-</w:t>
            </w:r>
          </w:p>
        </w:tc>
        <w:tc>
          <w:tcPr>
            <w:tcW w:w="916" w:type="dxa"/>
            <w:noWrap/>
            <w:vAlign w:val="center"/>
          </w:tcPr>
          <w:p w14:paraId="3EFD36A1" w14:textId="77777777" w:rsidR="00CF09B3" w:rsidRPr="007375EB" w:rsidRDefault="00CF09B3" w:rsidP="00CF09B3">
            <w:pPr>
              <w:rPr>
                <w:lang w:val="bg-BG"/>
              </w:rPr>
            </w:pPr>
            <w:r w:rsidRPr="007375EB">
              <w:rPr>
                <w:lang w:val="bg-BG"/>
              </w:rPr>
              <w:t>-</w:t>
            </w:r>
          </w:p>
        </w:tc>
        <w:tc>
          <w:tcPr>
            <w:tcW w:w="810" w:type="dxa"/>
            <w:noWrap/>
            <w:vAlign w:val="center"/>
          </w:tcPr>
          <w:p w14:paraId="1325A6DE" w14:textId="77777777" w:rsidR="00CF09B3" w:rsidRPr="007375EB" w:rsidRDefault="00CF09B3" w:rsidP="00CF09B3">
            <w:pPr>
              <w:rPr>
                <w:lang w:val="bg-BG"/>
              </w:rPr>
            </w:pPr>
            <w:r w:rsidRPr="007375EB">
              <w:rPr>
                <w:lang w:val="bg-BG"/>
              </w:rPr>
              <w:t>-</w:t>
            </w:r>
          </w:p>
        </w:tc>
        <w:tc>
          <w:tcPr>
            <w:tcW w:w="630" w:type="dxa"/>
            <w:noWrap/>
            <w:vAlign w:val="center"/>
          </w:tcPr>
          <w:p w14:paraId="267F471A" w14:textId="77777777" w:rsidR="00CF09B3" w:rsidRPr="007375EB" w:rsidRDefault="00CF09B3" w:rsidP="00CF09B3">
            <w:pPr>
              <w:rPr>
                <w:lang w:val="bg-BG"/>
              </w:rPr>
            </w:pPr>
            <w:r w:rsidRPr="007375EB">
              <w:rPr>
                <w:lang w:val="bg-BG"/>
              </w:rPr>
              <w:t>-</w:t>
            </w:r>
          </w:p>
        </w:tc>
        <w:tc>
          <w:tcPr>
            <w:tcW w:w="720" w:type="dxa"/>
            <w:noWrap/>
            <w:vAlign w:val="center"/>
          </w:tcPr>
          <w:p w14:paraId="7BD7699D" w14:textId="77777777" w:rsidR="00CF09B3" w:rsidRPr="007375EB" w:rsidRDefault="00CF09B3" w:rsidP="00CF09B3">
            <w:pPr>
              <w:rPr>
                <w:lang w:val="bg-BG"/>
              </w:rPr>
            </w:pPr>
            <w:r w:rsidRPr="007375EB">
              <w:rPr>
                <w:lang w:val="bg-BG"/>
              </w:rPr>
              <w:t>-</w:t>
            </w:r>
          </w:p>
        </w:tc>
        <w:tc>
          <w:tcPr>
            <w:tcW w:w="720" w:type="dxa"/>
            <w:noWrap/>
            <w:vAlign w:val="center"/>
          </w:tcPr>
          <w:p w14:paraId="11FB9C95" w14:textId="77777777" w:rsidR="00CF09B3" w:rsidRPr="007375EB" w:rsidRDefault="00CF09B3" w:rsidP="00CF09B3">
            <w:pPr>
              <w:rPr>
                <w:lang w:val="bg-BG"/>
              </w:rPr>
            </w:pPr>
            <w:r w:rsidRPr="007375EB">
              <w:rPr>
                <w:lang w:val="bg-BG"/>
              </w:rPr>
              <w:t>-</w:t>
            </w:r>
          </w:p>
        </w:tc>
        <w:tc>
          <w:tcPr>
            <w:tcW w:w="540" w:type="dxa"/>
            <w:noWrap/>
            <w:vAlign w:val="center"/>
          </w:tcPr>
          <w:p w14:paraId="7CB2AD02" w14:textId="77777777" w:rsidR="00CF09B3" w:rsidRPr="007375EB" w:rsidRDefault="00CF09B3" w:rsidP="00CF09B3">
            <w:pPr>
              <w:rPr>
                <w:lang w:val="bg-BG"/>
              </w:rPr>
            </w:pPr>
            <w:r w:rsidRPr="007375EB">
              <w:rPr>
                <w:lang w:val="bg-BG"/>
              </w:rPr>
              <w:t>-</w:t>
            </w:r>
          </w:p>
        </w:tc>
        <w:tc>
          <w:tcPr>
            <w:tcW w:w="990" w:type="dxa"/>
            <w:noWrap/>
            <w:vAlign w:val="center"/>
          </w:tcPr>
          <w:p w14:paraId="6DA41E5C" w14:textId="77777777" w:rsidR="00CF09B3" w:rsidRPr="007375EB" w:rsidRDefault="00CF09B3" w:rsidP="00CF09B3">
            <w:pPr>
              <w:rPr>
                <w:lang w:val="bg-BG"/>
              </w:rPr>
            </w:pPr>
            <w:r w:rsidRPr="007375EB">
              <w:rPr>
                <w:lang w:val="bg-BG"/>
              </w:rPr>
              <w:t>-</w:t>
            </w:r>
          </w:p>
        </w:tc>
        <w:tc>
          <w:tcPr>
            <w:tcW w:w="499" w:type="dxa"/>
            <w:noWrap/>
            <w:vAlign w:val="center"/>
          </w:tcPr>
          <w:p w14:paraId="4C2D9A58" w14:textId="77777777" w:rsidR="00CF09B3" w:rsidRPr="007375EB" w:rsidRDefault="00CF09B3" w:rsidP="00CF09B3">
            <w:pPr>
              <w:rPr>
                <w:lang w:val="bg-BG"/>
              </w:rPr>
            </w:pPr>
            <w:r w:rsidRPr="007375EB">
              <w:rPr>
                <w:lang w:val="bg-BG"/>
              </w:rPr>
              <w:t>-</w:t>
            </w:r>
          </w:p>
        </w:tc>
        <w:tc>
          <w:tcPr>
            <w:tcW w:w="507" w:type="dxa"/>
            <w:noWrap/>
            <w:vAlign w:val="center"/>
          </w:tcPr>
          <w:p w14:paraId="0C87039B" w14:textId="77777777" w:rsidR="00CF09B3" w:rsidRPr="007375EB" w:rsidRDefault="00CF09B3" w:rsidP="00CF09B3">
            <w:pPr>
              <w:rPr>
                <w:lang w:val="bg-BG"/>
              </w:rPr>
            </w:pPr>
            <w:r w:rsidRPr="007375EB">
              <w:rPr>
                <w:lang w:val="bg-BG"/>
              </w:rPr>
              <w:t>-</w:t>
            </w:r>
          </w:p>
        </w:tc>
        <w:tc>
          <w:tcPr>
            <w:tcW w:w="524" w:type="dxa"/>
            <w:noWrap/>
            <w:vAlign w:val="center"/>
          </w:tcPr>
          <w:p w14:paraId="32A1F86C" w14:textId="77777777" w:rsidR="00CF09B3" w:rsidRPr="007375EB" w:rsidRDefault="00CF09B3" w:rsidP="00CF09B3">
            <w:pPr>
              <w:rPr>
                <w:lang w:val="bg-BG"/>
              </w:rPr>
            </w:pPr>
            <w:r w:rsidRPr="007375EB">
              <w:rPr>
                <w:lang w:val="bg-BG"/>
              </w:rPr>
              <w:t>-</w:t>
            </w:r>
          </w:p>
        </w:tc>
        <w:tc>
          <w:tcPr>
            <w:tcW w:w="616" w:type="dxa"/>
            <w:noWrap/>
            <w:vAlign w:val="center"/>
          </w:tcPr>
          <w:p w14:paraId="0AC41A09" w14:textId="77777777" w:rsidR="00CF09B3" w:rsidRPr="007375EB" w:rsidRDefault="00CF09B3" w:rsidP="00CF09B3">
            <w:pPr>
              <w:rPr>
                <w:lang w:val="bg-BG"/>
              </w:rPr>
            </w:pPr>
            <w:r w:rsidRPr="007375EB">
              <w:rPr>
                <w:lang w:val="bg-BG"/>
              </w:rPr>
              <w:t>-</w:t>
            </w:r>
          </w:p>
        </w:tc>
        <w:tc>
          <w:tcPr>
            <w:tcW w:w="612" w:type="dxa"/>
            <w:noWrap/>
            <w:vAlign w:val="center"/>
          </w:tcPr>
          <w:p w14:paraId="202773BC" w14:textId="77777777" w:rsidR="00CF09B3" w:rsidRPr="007375EB" w:rsidRDefault="00CF09B3" w:rsidP="00CF09B3">
            <w:pPr>
              <w:rPr>
                <w:lang w:val="bg-BG"/>
              </w:rPr>
            </w:pPr>
            <w:r w:rsidRPr="007375EB">
              <w:rPr>
                <w:lang w:val="bg-BG"/>
              </w:rPr>
              <w:t>-</w:t>
            </w:r>
          </w:p>
        </w:tc>
      </w:tr>
      <w:tr w:rsidR="00CF09B3" w:rsidRPr="007375EB" w14:paraId="26C36BD7" w14:textId="77777777" w:rsidTr="002B7665">
        <w:trPr>
          <w:trHeight w:val="210"/>
        </w:trPr>
        <w:tc>
          <w:tcPr>
            <w:tcW w:w="621" w:type="dxa"/>
            <w:noWrap/>
          </w:tcPr>
          <w:p w14:paraId="367C45E9" w14:textId="77777777" w:rsidR="00CF09B3" w:rsidRPr="007375EB" w:rsidRDefault="00CF09B3" w:rsidP="00CF09B3">
            <w:pPr>
              <w:rPr>
                <w:lang w:val="bg-BG"/>
              </w:rPr>
            </w:pPr>
            <w:r w:rsidRPr="007375EB">
              <w:rPr>
                <w:lang w:val="bg-BG"/>
              </w:rPr>
              <w:t>16</w:t>
            </w:r>
          </w:p>
        </w:tc>
        <w:tc>
          <w:tcPr>
            <w:tcW w:w="3189" w:type="dxa"/>
            <w:noWrap/>
          </w:tcPr>
          <w:p w14:paraId="5892DF86" w14:textId="4BFF4427" w:rsidR="00CF09B3" w:rsidRPr="007375EB" w:rsidRDefault="00CF09B3" w:rsidP="00CF09B3">
            <w:pPr>
              <w:jc w:val="both"/>
              <w:rPr>
                <w:lang w:val="bg-BG"/>
              </w:rPr>
            </w:pPr>
            <w:r w:rsidRPr="007375EB">
              <w:rPr>
                <w:lang w:val="bg-BG"/>
              </w:rPr>
              <w:t>Модернизация и реконструкция на улици в община Кирногени, окръг Констанца (предложена)</w:t>
            </w:r>
          </w:p>
        </w:tc>
        <w:tc>
          <w:tcPr>
            <w:tcW w:w="2125" w:type="dxa"/>
            <w:noWrap/>
            <w:vAlign w:val="center"/>
          </w:tcPr>
          <w:p w14:paraId="1595F664" w14:textId="31432331" w:rsidR="00CF09B3" w:rsidRPr="007375EB" w:rsidRDefault="00CF09B3" w:rsidP="00CF09B3">
            <w:pPr>
              <w:rPr>
                <w:lang w:val="bg-BG"/>
              </w:rPr>
            </w:pPr>
            <w:r w:rsidRPr="007375EB">
              <w:rPr>
                <w:lang w:val="bg-BG"/>
              </w:rPr>
              <w:t>Пресечено</w:t>
            </w:r>
          </w:p>
        </w:tc>
        <w:tc>
          <w:tcPr>
            <w:tcW w:w="482" w:type="dxa"/>
            <w:noWrap/>
            <w:vAlign w:val="center"/>
          </w:tcPr>
          <w:p w14:paraId="351A2495" w14:textId="77777777" w:rsidR="00CF09B3" w:rsidRPr="007375EB" w:rsidRDefault="00CF09B3" w:rsidP="00CF09B3">
            <w:pPr>
              <w:rPr>
                <w:lang w:val="bg-BG"/>
              </w:rPr>
            </w:pPr>
            <w:r w:rsidRPr="007375EB">
              <w:rPr>
                <w:lang w:val="bg-BG"/>
              </w:rPr>
              <w:t>-</w:t>
            </w:r>
          </w:p>
        </w:tc>
        <w:tc>
          <w:tcPr>
            <w:tcW w:w="916" w:type="dxa"/>
            <w:noWrap/>
            <w:vAlign w:val="center"/>
          </w:tcPr>
          <w:p w14:paraId="46FA4231" w14:textId="77777777" w:rsidR="00CF09B3" w:rsidRPr="007375EB" w:rsidRDefault="00CF09B3" w:rsidP="00CF09B3">
            <w:pPr>
              <w:rPr>
                <w:lang w:val="bg-BG"/>
              </w:rPr>
            </w:pPr>
            <w:r w:rsidRPr="007375EB">
              <w:rPr>
                <w:lang w:val="bg-BG"/>
              </w:rPr>
              <w:t>-</w:t>
            </w:r>
          </w:p>
        </w:tc>
        <w:tc>
          <w:tcPr>
            <w:tcW w:w="916" w:type="dxa"/>
            <w:noWrap/>
            <w:vAlign w:val="center"/>
          </w:tcPr>
          <w:p w14:paraId="09CA3862" w14:textId="77777777" w:rsidR="00CF09B3" w:rsidRPr="007375EB" w:rsidRDefault="00CF09B3" w:rsidP="00CF09B3">
            <w:pPr>
              <w:rPr>
                <w:lang w:val="bg-BG"/>
              </w:rPr>
            </w:pPr>
            <w:r w:rsidRPr="007375EB">
              <w:rPr>
                <w:lang w:val="bg-BG"/>
              </w:rPr>
              <w:t>-</w:t>
            </w:r>
          </w:p>
        </w:tc>
        <w:tc>
          <w:tcPr>
            <w:tcW w:w="810" w:type="dxa"/>
            <w:noWrap/>
            <w:vAlign w:val="center"/>
          </w:tcPr>
          <w:p w14:paraId="2DE1AE44" w14:textId="77777777" w:rsidR="00CF09B3" w:rsidRPr="007375EB" w:rsidRDefault="00CF09B3" w:rsidP="00CF09B3">
            <w:pPr>
              <w:rPr>
                <w:lang w:val="bg-BG"/>
              </w:rPr>
            </w:pPr>
            <w:r w:rsidRPr="007375EB">
              <w:rPr>
                <w:lang w:val="bg-BG"/>
              </w:rPr>
              <w:t>-</w:t>
            </w:r>
          </w:p>
        </w:tc>
        <w:tc>
          <w:tcPr>
            <w:tcW w:w="630" w:type="dxa"/>
            <w:noWrap/>
            <w:vAlign w:val="center"/>
          </w:tcPr>
          <w:p w14:paraId="45E7360D" w14:textId="77777777" w:rsidR="00CF09B3" w:rsidRPr="007375EB" w:rsidRDefault="00CF09B3" w:rsidP="00CF09B3">
            <w:pPr>
              <w:rPr>
                <w:lang w:val="bg-BG"/>
              </w:rPr>
            </w:pPr>
            <w:r w:rsidRPr="007375EB">
              <w:rPr>
                <w:lang w:val="bg-BG"/>
              </w:rPr>
              <w:t>-</w:t>
            </w:r>
          </w:p>
        </w:tc>
        <w:tc>
          <w:tcPr>
            <w:tcW w:w="720" w:type="dxa"/>
            <w:noWrap/>
            <w:vAlign w:val="center"/>
          </w:tcPr>
          <w:p w14:paraId="52117846" w14:textId="77777777" w:rsidR="00CF09B3" w:rsidRPr="007375EB" w:rsidRDefault="00CF09B3" w:rsidP="00CF09B3">
            <w:pPr>
              <w:rPr>
                <w:lang w:val="bg-BG"/>
              </w:rPr>
            </w:pPr>
            <w:r w:rsidRPr="007375EB">
              <w:rPr>
                <w:lang w:val="bg-BG"/>
              </w:rPr>
              <w:t>-</w:t>
            </w:r>
          </w:p>
        </w:tc>
        <w:tc>
          <w:tcPr>
            <w:tcW w:w="720" w:type="dxa"/>
            <w:noWrap/>
            <w:vAlign w:val="center"/>
          </w:tcPr>
          <w:p w14:paraId="033FF052" w14:textId="77777777" w:rsidR="00CF09B3" w:rsidRPr="007375EB" w:rsidRDefault="00CF09B3" w:rsidP="00CF09B3">
            <w:pPr>
              <w:rPr>
                <w:lang w:val="bg-BG"/>
              </w:rPr>
            </w:pPr>
            <w:r w:rsidRPr="007375EB">
              <w:rPr>
                <w:lang w:val="bg-BG"/>
              </w:rPr>
              <w:t>-</w:t>
            </w:r>
          </w:p>
        </w:tc>
        <w:tc>
          <w:tcPr>
            <w:tcW w:w="540" w:type="dxa"/>
            <w:noWrap/>
            <w:vAlign w:val="center"/>
          </w:tcPr>
          <w:p w14:paraId="46F339ED" w14:textId="77777777" w:rsidR="00CF09B3" w:rsidRPr="007375EB" w:rsidRDefault="00CF09B3" w:rsidP="00CF09B3">
            <w:pPr>
              <w:rPr>
                <w:lang w:val="bg-BG"/>
              </w:rPr>
            </w:pPr>
            <w:r w:rsidRPr="007375EB">
              <w:rPr>
                <w:lang w:val="bg-BG"/>
              </w:rPr>
              <w:t>-</w:t>
            </w:r>
          </w:p>
        </w:tc>
        <w:tc>
          <w:tcPr>
            <w:tcW w:w="990" w:type="dxa"/>
            <w:noWrap/>
            <w:vAlign w:val="center"/>
          </w:tcPr>
          <w:p w14:paraId="7C022585" w14:textId="77777777" w:rsidR="00CF09B3" w:rsidRPr="007375EB" w:rsidRDefault="00CF09B3" w:rsidP="00CF09B3">
            <w:pPr>
              <w:rPr>
                <w:lang w:val="bg-BG"/>
              </w:rPr>
            </w:pPr>
            <w:r w:rsidRPr="007375EB">
              <w:rPr>
                <w:lang w:val="bg-BG"/>
              </w:rPr>
              <w:t>-</w:t>
            </w:r>
          </w:p>
        </w:tc>
        <w:tc>
          <w:tcPr>
            <w:tcW w:w="499" w:type="dxa"/>
            <w:noWrap/>
            <w:vAlign w:val="center"/>
          </w:tcPr>
          <w:p w14:paraId="796649C9" w14:textId="77777777" w:rsidR="00CF09B3" w:rsidRPr="007375EB" w:rsidRDefault="00CF09B3" w:rsidP="00CF09B3">
            <w:pPr>
              <w:rPr>
                <w:lang w:val="bg-BG"/>
              </w:rPr>
            </w:pPr>
            <w:r w:rsidRPr="007375EB">
              <w:rPr>
                <w:lang w:val="bg-BG"/>
              </w:rPr>
              <w:t>-</w:t>
            </w:r>
          </w:p>
        </w:tc>
        <w:tc>
          <w:tcPr>
            <w:tcW w:w="507" w:type="dxa"/>
            <w:noWrap/>
            <w:vAlign w:val="center"/>
          </w:tcPr>
          <w:p w14:paraId="6429A891" w14:textId="77777777" w:rsidR="00CF09B3" w:rsidRPr="007375EB" w:rsidRDefault="00CF09B3" w:rsidP="00CF09B3">
            <w:pPr>
              <w:rPr>
                <w:lang w:val="bg-BG"/>
              </w:rPr>
            </w:pPr>
            <w:r w:rsidRPr="007375EB">
              <w:rPr>
                <w:lang w:val="bg-BG"/>
              </w:rPr>
              <w:t>-</w:t>
            </w:r>
          </w:p>
        </w:tc>
        <w:tc>
          <w:tcPr>
            <w:tcW w:w="524" w:type="dxa"/>
            <w:noWrap/>
            <w:vAlign w:val="center"/>
          </w:tcPr>
          <w:p w14:paraId="2D34A8F4" w14:textId="77777777" w:rsidR="00CF09B3" w:rsidRPr="007375EB" w:rsidRDefault="00CF09B3" w:rsidP="00CF09B3">
            <w:pPr>
              <w:rPr>
                <w:lang w:val="bg-BG"/>
              </w:rPr>
            </w:pPr>
            <w:r w:rsidRPr="007375EB">
              <w:rPr>
                <w:lang w:val="bg-BG"/>
              </w:rPr>
              <w:t>-</w:t>
            </w:r>
          </w:p>
        </w:tc>
        <w:tc>
          <w:tcPr>
            <w:tcW w:w="616" w:type="dxa"/>
            <w:noWrap/>
            <w:vAlign w:val="center"/>
          </w:tcPr>
          <w:p w14:paraId="58427028" w14:textId="77777777" w:rsidR="00CF09B3" w:rsidRPr="007375EB" w:rsidRDefault="00CF09B3" w:rsidP="00CF09B3">
            <w:pPr>
              <w:rPr>
                <w:lang w:val="bg-BG"/>
              </w:rPr>
            </w:pPr>
            <w:r w:rsidRPr="007375EB">
              <w:rPr>
                <w:lang w:val="bg-BG"/>
              </w:rPr>
              <w:t>-</w:t>
            </w:r>
          </w:p>
        </w:tc>
        <w:tc>
          <w:tcPr>
            <w:tcW w:w="612" w:type="dxa"/>
            <w:noWrap/>
            <w:vAlign w:val="center"/>
          </w:tcPr>
          <w:p w14:paraId="07D58E5E" w14:textId="77777777" w:rsidR="00CF09B3" w:rsidRPr="007375EB" w:rsidRDefault="00CF09B3" w:rsidP="00CF09B3">
            <w:pPr>
              <w:rPr>
                <w:lang w:val="bg-BG"/>
              </w:rPr>
            </w:pPr>
            <w:r w:rsidRPr="007375EB">
              <w:rPr>
                <w:lang w:val="bg-BG"/>
              </w:rPr>
              <w:t>-</w:t>
            </w:r>
          </w:p>
        </w:tc>
      </w:tr>
      <w:tr w:rsidR="006C1B17" w:rsidRPr="007375EB" w14:paraId="32092DAE" w14:textId="77777777" w:rsidTr="006C1B17">
        <w:trPr>
          <w:trHeight w:val="210"/>
        </w:trPr>
        <w:tc>
          <w:tcPr>
            <w:tcW w:w="15417" w:type="dxa"/>
            <w:gridSpan w:val="17"/>
            <w:shd w:val="clear" w:color="auto" w:fill="F2F2F2" w:themeFill="background1" w:themeFillShade="F2"/>
            <w:noWrap/>
            <w:hideMark/>
          </w:tcPr>
          <w:p w14:paraId="320CD9B8" w14:textId="77777777" w:rsidR="006C1B17" w:rsidRPr="007375EB" w:rsidRDefault="006C1B17" w:rsidP="006C1B17">
            <w:pPr>
              <w:rPr>
                <w:b/>
                <w:bCs/>
                <w:lang w:val="bg-BG"/>
              </w:rPr>
            </w:pPr>
            <w:r w:rsidRPr="007375EB">
              <w:rPr>
                <w:b/>
                <w:bCs/>
                <w:lang w:val="bg-BG"/>
              </w:rPr>
              <w:t>ROSPA0094 Гората Хаджиени – Коту Въи</w:t>
            </w:r>
          </w:p>
        </w:tc>
      </w:tr>
      <w:tr w:rsidR="00CF09B3" w:rsidRPr="007375EB" w14:paraId="207C6CA6" w14:textId="77777777" w:rsidTr="006C1B17">
        <w:trPr>
          <w:trHeight w:val="1050"/>
        </w:trPr>
        <w:tc>
          <w:tcPr>
            <w:tcW w:w="621" w:type="dxa"/>
            <w:noWrap/>
            <w:hideMark/>
          </w:tcPr>
          <w:p w14:paraId="252A2AC7" w14:textId="77777777" w:rsidR="00CF09B3" w:rsidRPr="007375EB" w:rsidRDefault="00CF09B3" w:rsidP="00CF09B3">
            <w:pPr>
              <w:rPr>
                <w:lang w:val="bg-BG"/>
              </w:rPr>
            </w:pPr>
            <w:r w:rsidRPr="007375EB">
              <w:rPr>
                <w:lang w:val="bg-BG"/>
              </w:rPr>
              <w:t>1</w:t>
            </w:r>
          </w:p>
        </w:tc>
        <w:tc>
          <w:tcPr>
            <w:tcW w:w="3189" w:type="dxa"/>
            <w:hideMark/>
          </w:tcPr>
          <w:p w14:paraId="5DB7E178" w14:textId="75887C3E" w:rsidR="00CF09B3" w:rsidRPr="007375EB" w:rsidRDefault="00CF09B3" w:rsidP="00CF09B3">
            <w:pPr>
              <w:jc w:val="both"/>
              <w:rPr>
                <w:lang w:val="bg-BG"/>
              </w:rPr>
            </w:pPr>
            <w:r w:rsidRPr="007375EB">
              <w:rPr>
                <w:lang w:val="bg-BG"/>
              </w:rPr>
              <w:t>Парк за вятърна енергия 14 CE-92,4 МВт,  трансформаторна станция, електрически свързващи мрежи, изграждане и модернизиране на комуникации и пътища за достъп - извън село Фънтъна Маре, общ. Индепенденца, окръг Констанца (предложен)</w:t>
            </w:r>
          </w:p>
        </w:tc>
        <w:tc>
          <w:tcPr>
            <w:tcW w:w="2125" w:type="dxa"/>
            <w:noWrap/>
            <w:vAlign w:val="center"/>
            <w:hideMark/>
          </w:tcPr>
          <w:p w14:paraId="725195E0" w14:textId="77777777" w:rsidR="00CF09B3" w:rsidRPr="007375EB" w:rsidRDefault="00CF09B3" w:rsidP="00CF09B3">
            <w:pPr>
              <w:rPr>
                <w:lang w:val="bg-BG"/>
              </w:rPr>
            </w:pPr>
            <w:r w:rsidRPr="007375EB">
              <w:rPr>
                <w:lang w:val="bg-BG"/>
              </w:rPr>
              <w:t>23,36 км</w:t>
            </w:r>
          </w:p>
        </w:tc>
        <w:tc>
          <w:tcPr>
            <w:tcW w:w="482" w:type="dxa"/>
            <w:noWrap/>
            <w:vAlign w:val="center"/>
            <w:hideMark/>
          </w:tcPr>
          <w:p w14:paraId="3EEFB80C" w14:textId="77777777" w:rsidR="00CF09B3" w:rsidRPr="007375EB" w:rsidRDefault="00CF09B3" w:rsidP="00CF09B3">
            <w:pPr>
              <w:rPr>
                <w:lang w:val="bg-BG"/>
              </w:rPr>
            </w:pPr>
            <w:r w:rsidRPr="007375EB">
              <w:rPr>
                <w:lang w:val="bg-BG"/>
              </w:rPr>
              <w:t>-</w:t>
            </w:r>
          </w:p>
        </w:tc>
        <w:tc>
          <w:tcPr>
            <w:tcW w:w="916" w:type="dxa"/>
            <w:noWrap/>
            <w:vAlign w:val="center"/>
            <w:hideMark/>
          </w:tcPr>
          <w:p w14:paraId="0D748000" w14:textId="77777777" w:rsidR="00CF09B3" w:rsidRPr="007375EB" w:rsidRDefault="00CF09B3" w:rsidP="00CF09B3">
            <w:pPr>
              <w:rPr>
                <w:lang w:val="bg-BG"/>
              </w:rPr>
            </w:pPr>
            <w:r w:rsidRPr="007375EB">
              <w:rPr>
                <w:lang w:val="bg-BG"/>
              </w:rPr>
              <w:t>-</w:t>
            </w:r>
          </w:p>
        </w:tc>
        <w:tc>
          <w:tcPr>
            <w:tcW w:w="916" w:type="dxa"/>
            <w:noWrap/>
            <w:vAlign w:val="center"/>
            <w:hideMark/>
          </w:tcPr>
          <w:p w14:paraId="495F3918" w14:textId="77777777" w:rsidR="00CF09B3" w:rsidRPr="007375EB" w:rsidRDefault="00CF09B3" w:rsidP="00CF09B3">
            <w:pPr>
              <w:rPr>
                <w:lang w:val="bg-BG"/>
              </w:rPr>
            </w:pPr>
            <w:r w:rsidRPr="007375EB">
              <w:rPr>
                <w:lang w:val="bg-BG"/>
              </w:rPr>
              <w:t>-</w:t>
            </w:r>
          </w:p>
        </w:tc>
        <w:tc>
          <w:tcPr>
            <w:tcW w:w="810" w:type="dxa"/>
            <w:noWrap/>
            <w:vAlign w:val="center"/>
            <w:hideMark/>
          </w:tcPr>
          <w:p w14:paraId="651E374A" w14:textId="77777777" w:rsidR="00CF09B3" w:rsidRPr="007375EB" w:rsidRDefault="00CF09B3" w:rsidP="00CF09B3">
            <w:pPr>
              <w:rPr>
                <w:lang w:val="bg-BG"/>
              </w:rPr>
            </w:pPr>
            <w:r w:rsidRPr="007375EB">
              <w:rPr>
                <w:lang w:val="bg-BG"/>
              </w:rPr>
              <w:t>-</w:t>
            </w:r>
          </w:p>
        </w:tc>
        <w:tc>
          <w:tcPr>
            <w:tcW w:w="630" w:type="dxa"/>
            <w:noWrap/>
            <w:vAlign w:val="center"/>
            <w:hideMark/>
          </w:tcPr>
          <w:p w14:paraId="533C0F76" w14:textId="77777777" w:rsidR="00CF09B3" w:rsidRPr="007375EB" w:rsidRDefault="00CF09B3" w:rsidP="00CF09B3">
            <w:pPr>
              <w:rPr>
                <w:lang w:val="bg-BG"/>
              </w:rPr>
            </w:pPr>
            <w:r w:rsidRPr="007375EB">
              <w:rPr>
                <w:lang w:val="bg-BG"/>
              </w:rPr>
              <w:t>-</w:t>
            </w:r>
          </w:p>
        </w:tc>
        <w:tc>
          <w:tcPr>
            <w:tcW w:w="720" w:type="dxa"/>
            <w:noWrap/>
            <w:vAlign w:val="center"/>
            <w:hideMark/>
          </w:tcPr>
          <w:p w14:paraId="422A0C31" w14:textId="77777777" w:rsidR="00CF09B3" w:rsidRPr="007375EB" w:rsidRDefault="00CF09B3" w:rsidP="00CF09B3">
            <w:pPr>
              <w:rPr>
                <w:lang w:val="bg-BG"/>
              </w:rPr>
            </w:pPr>
            <w:r w:rsidRPr="007375EB">
              <w:rPr>
                <w:lang w:val="bg-BG"/>
              </w:rPr>
              <w:t>-</w:t>
            </w:r>
          </w:p>
        </w:tc>
        <w:tc>
          <w:tcPr>
            <w:tcW w:w="720" w:type="dxa"/>
            <w:noWrap/>
            <w:vAlign w:val="center"/>
            <w:hideMark/>
          </w:tcPr>
          <w:p w14:paraId="622283F9" w14:textId="77777777" w:rsidR="00CF09B3" w:rsidRPr="007375EB" w:rsidRDefault="00CF09B3" w:rsidP="00CF09B3">
            <w:pPr>
              <w:rPr>
                <w:lang w:val="bg-BG"/>
              </w:rPr>
            </w:pPr>
            <w:r w:rsidRPr="007375EB">
              <w:rPr>
                <w:lang w:val="bg-BG"/>
              </w:rPr>
              <w:t>-</w:t>
            </w:r>
          </w:p>
        </w:tc>
        <w:tc>
          <w:tcPr>
            <w:tcW w:w="540" w:type="dxa"/>
            <w:noWrap/>
            <w:vAlign w:val="center"/>
            <w:hideMark/>
          </w:tcPr>
          <w:p w14:paraId="612DCEEE" w14:textId="77777777" w:rsidR="00CF09B3" w:rsidRPr="007375EB" w:rsidRDefault="00CF09B3" w:rsidP="00CF09B3">
            <w:pPr>
              <w:rPr>
                <w:lang w:val="bg-BG"/>
              </w:rPr>
            </w:pPr>
            <w:r w:rsidRPr="007375EB">
              <w:rPr>
                <w:lang w:val="bg-BG"/>
              </w:rPr>
              <w:t>X</w:t>
            </w:r>
          </w:p>
        </w:tc>
        <w:tc>
          <w:tcPr>
            <w:tcW w:w="990" w:type="dxa"/>
            <w:noWrap/>
            <w:vAlign w:val="center"/>
            <w:hideMark/>
          </w:tcPr>
          <w:p w14:paraId="35687ABF" w14:textId="77777777" w:rsidR="00CF09B3" w:rsidRPr="007375EB" w:rsidRDefault="00CF09B3" w:rsidP="00CF09B3">
            <w:pPr>
              <w:rPr>
                <w:lang w:val="bg-BG"/>
              </w:rPr>
            </w:pPr>
            <w:r w:rsidRPr="007375EB">
              <w:rPr>
                <w:lang w:val="bg-BG"/>
              </w:rPr>
              <w:t>X</w:t>
            </w:r>
          </w:p>
        </w:tc>
        <w:tc>
          <w:tcPr>
            <w:tcW w:w="499" w:type="dxa"/>
            <w:noWrap/>
            <w:vAlign w:val="center"/>
            <w:hideMark/>
          </w:tcPr>
          <w:p w14:paraId="0439B5A6" w14:textId="77777777" w:rsidR="00CF09B3" w:rsidRPr="007375EB" w:rsidRDefault="00CF09B3" w:rsidP="00CF09B3">
            <w:pPr>
              <w:rPr>
                <w:lang w:val="bg-BG"/>
              </w:rPr>
            </w:pPr>
            <w:r w:rsidRPr="007375EB">
              <w:rPr>
                <w:lang w:val="bg-BG"/>
              </w:rPr>
              <w:t>-</w:t>
            </w:r>
          </w:p>
        </w:tc>
        <w:tc>
          <w:tcPr>
            <w:tcW w:w="507" w:type="dxa"/>
            <w:noWrap/>
            <w:vAlign w:val="center"/>
            <w:hideMark/>
          </w:tcPr>
          <w:p w14:paraId="34FA66FD" w14:textId="77777777" w:rsidR="00CF09B3" w:rsidRPr="007375EB" w:rsidRDefault="00CF09B3" w:rsidP="00CF09B3">
            <w:pPr>
              <w:rPr>
                <w:lang w:val="bg-BG"/>
              </w:rPr>
            </w:pPr>
            <w:r w:rsidRPr="007375EB">
              <w:rPr>
                <w:lang w:val="bg-BG"/>
              </w:rPr>
              <w:t>X</w:t>
            </w:r>
          </w:p>
        </w:tc>
        <w:tc>
          <w:tcPr>
            <w:tcW w:w="524" w:type="dxa"/>
            <w:noWrap/>
            <w:vAlign w:val="center"/>
            <w:hideMark/>
          </w:tcPr>
          <w:p w14:paraId="054DCEE8" w14:textId="77777777" w:rsidR="00CF09B3" w:rsidRPr="007375EB" w:rsidRDefault="00CF09B3" w:rsidP="00CF09B3">
            <w:pPr>
              <w:rPr>
                <w:lang w:val="bg-BG"/>
              </w:rPr>
            </w:pPr>
            <w:r w:rsidRPr="007375EB">
              <w:rPr>
                <w:lang w:val="bg-BG"/>
              </w:rPr>
              <w:t>X</w:t>
            </w:r>
          </w:p>
        </w:tc>
        <w:tc>
          <w:tcPr>
            <w:tcW w:w="616" w:type="dxa"/>
            <w:noWrap/>
            <w:vAlign w:val="center"/>
            <w:hideMark/>
          </w:tcPr>
          <w:p w14:paraId="15074957" w14:textId="77777777" w:rsidR="00CF09B3" w:rsidRPr="007375EB" w:rsidRDefault="00CF09B3" w:rsidP="00CF09B3">
            <w:pPr>
              <w:rPr>
                <w:lang w:val="bg-BG"/>
              </w:rPr>
            </w:pPr>
            <w:r w:rsidRPr="007375EB">
              <w:rPr>
                <w:lang w:val="bg-BG"/>
              </w:rPr>
              <w:t>X</w:t>
            </w:r>
          </w:p>
        </w:tc>
        <w:tc>
          <w:tcPr>
            <w:tcW w:w="612" w:type="dxa"/>
            <w:noWrap/>
            <w:vAlign w:val="center"/>
            <w:hideMark/>
          </w:tcPr>
          <w:p w14:paraId="539544C7" w14:textId="77777777" w:rsidR="00CF09B3" w:rsidRPr="007375EB" w:rsidRDefault="00CF09B3" w:rsidP="00CF09B3">
            <w:pPr>
              <w:rPr>
                <w:lang w:val="bg-BG"/>
              </w:rPr>
            </w:pPr>
            <w:r w:rsidRPr="007375EB">
              <w:rPr>
                <w:lang w:val="bg-BG"/>
              </w:rPr>
              <w:t>X</w:t>
            </w:r>
          </w:p>
        </w:tc>
      </w:tr>
      <w:tr w:rsidR="00CF09B3" w:rsidRPr="007375EB" w14:paraId="754B85D7" w14:textId="77777777" w:rsidTr="006C1B17">
        <w:trPr>
          <w:trHeight w:val="1050"/>
        </w:trPr>
        <w:tc>
          <w:tcPr>
            <w:tcW w:w="621" w:type="dxa"/>
            <w:noWrap/>
            <w:hideMark/>
          </w:tcPr>
          <w:p w14:paraId="6060D46D" w14:textId="77777777" w:rsidR="00CF09B3" w:rsidRPr="007375EB" w:rsidRDefault="00CF09B3" w:rsidP="00CF09B3">
            <w:pPr>
              <w:rPr>
                <w:lang w:val="bg-BG"/>
              </w:rPr>
            </w:pPr>
            <w:r w:rsidRPr="007375EB">
              <w:rPr>
                <w:lang w:val="bg-BG"/>
              </w:rPr>
              <w:lastRenderedPageBreak/>
              <w:t>2</w:t>
            </w:r>
          </w:p>
        </w:tc>
        <w:tc>
          <w:tcPr>
            <w:tcW w:w="3189" w:type="dxa"/>
            <w:hideMark/>
          </w:tcPr>
          <w:p w14:paraId="7DC2354E" w14:textId="4FC51CF8" w:rsidR="00CF09B3" w:rsidRPr="007375EB" w:rsidRDefault="00CF09B3" w:rsidP="00CF09B3">
            <w:pPr>
              <w:jc w:val="both"/>
              <w:rPr>
                <w:lang w:val="bg-BG"/>
              </w:rPr>
            </w:pPr>
            <w:r w:rsidRPr="007375EB">
              <w:rPr>
                <w:lang w:val="bg-BG"/>
              </w:rPr>
              <w:t>Парк за вятърна енергия 17 CE-112,2 МВт, трансформаторна станция, електрически свързващи мрежи, изграждане и модернизация на комуникации и пътища за достъп -  извън общината Индепенденца и общината Черкезу окръг Констанца (предложен)</w:t>
            </w:r>
          </w:p>
        </w:tc>
        <w:tc>
          <w:tcPr>
            <w:tcW w:w="2125" w:type="dxa"/>
            <w:noWrap/>
            <w:vAlign w:val="center"/>
            <w:hideMark/>
          </w:tcPr>
          <w:p w14:paraId="1E83FE21" w14:textId="77777777" w:rsidR="00CF09B3" w:rsidRPr="007375EB" w:rsidRDefault="00CF09B3" w:rsidP="00CF09B3">
            <w:pPr>
              <w:rPr>
                <w:lang w:val="bg-BG"/>
              </w:rPr>
            </w:pPr>
            <w:r w:rsidRPr="007375EB">
              <w:rPr>
                <w:lang w:val="bg-BG"/>
              </w:rPr>
              <w:t>23,04 км</w:t>
            </w:r>
          </w:p>
        </w:tc>
        <w:tc>
          <w:tcPr>
            <w:tcW w:w="482" w:type="dxa"/>
            <w:noWrap/>
            <w:vAlign w:val="center"/>
            <w:hideMark/>
          </w:tcPr>
          <w:p w14:paraId="48B8F727" w14:textId="77777777" w:rsidR="00CF09B3" w:rsidRPr="007375EB" w:rsidRDefault="00CF09B3" w:rsidP="00CF09B3">
            <w:pPr>
              <w:rPr>
                <w:lang w:val="bg-BG"/>
              </w:rPr>
            </w:pPr>
            <w:r w:rsidRPr="007375EB">
              <w:rPr>
                <w:lang w:val="bg-BG"/>
              </w:rPr>
              <w:t>-</w:t>
            </w:r>
          </w:p>
        </w:tc>
        <w:tc>
          <w:tcPr>
            <w:tcW w:w="916" w:type="dxa"/>
            <w:noWrap/>
            <w:vAlign w:val="center"/>
            <w:hideMark/>
          </w:tcPr>
          <w:p w14:paraId="7AEE71B9" w14:textId="77777777" w:rsidR="00CF09B3" w:rsidRPr="007375EB" w:rsidRDefault="00CF09B3" w:rsidP="00CF09B3">
            <w:pPr>
              <w:rPr>
                <w:lang w:val="bg-BG"/>
              </w:rPr>
            </w:pPr>
            <w:r w:rsidRPr="007375EB">
              <w:rPr>
                <w:lang w:val="bg-BG"/>
              </w:rPr>
              <w:t>-</w:t>
            </w:r>
          </w:p>
        </w:tc>
        <w:tc>
          <w:tcPr>
            <w:tcW w:w="916" w:type="dxa"/>
            <w:noWrap/>
            <w:vAlign w:val="center"/>
            <w:hideMark/>
          </w:tcPr>
          <w:p w14:paraId="288DCF41" w14:textId="77777777" w:rsidR="00CF09B3" w:rsidRPr="007375EB" w:rsidRDefault="00CF09B3" w:rsidP="00CF09B3">
            <w:pPr>
              <w:rPr>
                <w:lang w:val="bg-BG"/>
              </w:rPr>
            </w:pPr>
            <w:r w:rsidRPr="007375EB">
              <w:rPr>
                <w:lang w:val="bg-BG"/>
              </w:rPr>
              <w:t>-</w:t>
            </w:r>
          </w:p>
        </w:tc>
        <w:tc>
          <w:tcPr>
            <w:tcW w:w="810" w:type="dxa"/>
            <w:noWrap/>
            <w:vAlign w:val="center"/>
            <w:hideMark/>
          </w:tcPr>
          <w:p w14:paraId="6354ACA1" w14:textId="77777777" w:rsidR="00CF09B3" w:rsidRPr="007375EB" w:rsidRDefault="00CF09B3" w:rsidP="00CF09B3">
            <w:pPr>
              <w:rPr>
                <w:lang w:val="bg-BG"/>
              </w:rPr>
            </w:pPr>
            <w:r w:rsidRPr="007375EB">
              <w:rPr>
                <w:lang w:val="bg-BG"/>
              </w:rPr>
              <w:t>-</w:t>
            </w:r>
          </w:p>
        </w:tc>
        <w:tc>
          <w:tcPr>
            <w:tcW w:w="630" w:type="dxa"/>
            <w:noWrap/>
            <w:vAlign w:val="center"/>
            <w:hideMark/>
          </w:tcPr>
          <w:p w14:paraId="426F8949" w14:textId="77777777" w:rsidR="00CF09B3" w:rsidRPr="007375EB" w:rsidRDefault="00CF09B3" w:rsidP="00CF09B3">
            <w:pPr>
              <w:rPr>
                <w:lang w:val="bg-BG"/>
              </w:rPr>
            </w:pPr>
            <w:r w:rsidRPr="007375EB">
              <w:rPr>
                <w:lang w:val="bg-BG"/>
              </w:rPr>
              <w:t>-</w:t>
            </w:r>
          </w:p>
        </w:tc>
        <w:tc>
          <w:tcPr>
            <w:tcW w:w="720" w:type="dxa"/>
            <w:noWrap/>
            <w:vAlign w:val="center"/>
            <w:hideMark/>
          </w:tcPr>
          <w:p w14:paraId="4BF28578" w14:textId="77777777" w:rsidR="00CF09B3" w:rsidRPr="007375EB" w:rsidRDefault="00CF09B3" w:rsidP="00CF09B3">
            <w:pPr>
              <w:rPr>
                <w:lang w:val="bg-BG"/>
              </w:rPr>
            </w:pPr>
            <w:r w:rsidRPr="007375EB">
              <w:rPr>
                <w:lang w:val="bg-BG"/>
              </w:rPr>
              <w:t>-</w:t>
            </w:r>
          </w:p>
        </w:tc>
        <w:tc>
          <w:tcPr>
            <w:tcW w:w="720" w:type="dxa"/>
            <w:noWrap/>
            <w:vAlign w:val="center"/>
            <w:hideMark/>
          </w:tcPr>
          <w:p w14:paraId="31F71F2A" w14:textId="77777777" w:rsidR="00CF09B3" w:rsidRPr="007375EB" w:rsidRDefault="00CF09B3" w:rsidP="00CF09B3">
            <w:pPr>
              <w:rPr>
                <w:lang w:val="bg-BG"/>
              </w:rPr>
            </w:pPr>
            <w:r w:rsidRPr="007375EB">
              <w:rPr>
                <w:lang w:val="bg-BG"/>
              </w:rPr>
              <w:t>-</w:t>
            </w:r>
          </w:p>
        </w:tc>
        <w:tc>
          <w:tcPr>
            <w:tcW w:w="540" w:type="dxa"/>
            <w:noWrap/>
            <w:vAlign w:val="center"/>
            <w:hideMark/>
          </w:tcPr>
          <w:p w14:paraId="70736E8A" w14:textId="77777777" w:rsidR="00CF09B3" w:rsidRPr="007375EB" w:rsidRDefault="00CF09B3" w:rsidP="00CF09B3">
            <w:pPr>
              <w:rPr>
                <w:lang w:val="bg-BG"/>
              </w:rPr>
            </w:pPr>
            <w:r w:rsidRPr="007375EB">
              <w:rPr>
                <w:lang w:val="bg-BG"/>
              </w:rPr>
              <w:t>X</w:t>
            </w:r>
          </w:p>
        </w:tc>
        <w:tc>
          <w:tcPr>
            <w:tcW w:w="990" w:type="dxa"/>
            <w:noWrap/>
            <w:vAlign w:val="center"/>
            <w:hideMark/>
          </w:tcPr>
          <w:p w14:paraId="17648DA2" w14:textId="77777777" w:rsidR="00CF09B3" w:rsidRPr="007375EB" w:rsidRDefault="00CF09B3" w:rsidP="00CF09B3">
            <w:pPr>
              <w:rPr>
                <w:lang w:val="bg-BG"/>
              </w:rPr>
            </w:pPr>
            <w:r w:rsidRPr="007375EB">
              <w:rPr>
                <w:lang w:val="bg-BG"/>
              </w:rPr>
              <w:t>X</w:t>
            </w:r>
          </w:p>
        </w:tc>
        <w:tc>
          <w:tcPr>
            <w:tcW w:w="499" w:type="dxa"/>
            <w:noWrap/>
            <w:vAlign w:val="center"/>
            <w:hideMark/>
          </w:tcPr>
          <w:p w14:paraId="079A501B" w14:textId="77777777" w:rsidR="00CF09B3" w:rsidRPr="007375EB" w:rsidRDefault="00CF09B3" w:rsidP="00CF09B3">
            <w:pPr>
              <w:rPr>
                <w:lang w:val="bg-BG"/>
              </w:rPr>
            </w:pPr>
            <w:r w:rsidRPr="007375EB">
              <w:rPr>
                <w:lang w:val="bg-BG"/>
              </w:rPr>
              <w:t>-</w:t>
            </w:r>
          </w:p>
        </w:tc>
        <w:tc>
          <w:tcPr>
            <w:tcW w:w="507" w:type="dxa"/>
            <w:noWrap/>
            <w:vAlign w:val="center"/>
            <w:hideMark/>
          </w:tcPr>
          <w:p w14:paraId="45FFBD87" w14:textId="77777777" w:rsidR="00CF09B3" w:rsidRPr="007375EB" w:rsidRDefault="00CF09B3" w:rsidP="00CF09B3">
            <w:pPr>
              <w:rPr>
                <w:lang w:val="bg-BG"/>
              </w:rPr>
            </w:pPr>
            <w:r w:rsidRPr="007375EB">
              <w:rPr>
                <w:lang w:val="bg-BG"/>
              </w:rPr>
              <w:t>X</w:t>
            </w:r>
          </w:p>
        </w:tc>
        <w:tc>
          <w:tcPr>
            <w:tcW w:w="524" w:type="dxa"/>
            <w:noWrap/>
            <w:vAlign w:val="center"/>
            <w:hideMark/>
          </w:tcPr>
          <w:p w14:paraId="7F16B3D7" w14:textId="77777777" w:rsidR="00CF09B3" w:rsidRPr="007375EB" w:rsidRDefault="00CF09B3" w:rsidP="00CF09B3">
            <w:pPr>
              <w:rPr>
                <w:lang w:val="bg-BG"/>
              </w:rPr>
            </w:pPr>
            <w:r w:rsidRPr="007375EB">
              <w:rPr>
                <w:lang w:val="bg-BG"/>
              </w:rPr>
              <w:t>X</w:t>
            </w:r>
          </w:p>
        </w:tc>
        <w:tc>
          <w:tcPr>
            <w:tcW w:w="616" w:type="dxa"/>
            <w:noWrap/>
            <w:vAlign w:val="center"/>
            <w:hideMark/>
          </w:tcPr>
          <w:p w14:paraId="24FE2A1B" w14:textId="77777777" w:rsidR="00CF09B3" w:rsidRPr="007375EB" w:rsidRDefault="00CF09B3" w:rsidP="00CF09B3">
            <w:pPr>
              <w:rPr>
                <w:lang w:val="bg-BG"/>
              </w:rPr>
            </w:pPr>
            <w:r w:rsidRPr="007375EB">
              <w:rPr>
                <w:lang w:val="bg-BG"/>
              </w:rPr>
              <w:t>X</w:t>
            </w:r>
          </w:p>
        </w:tc>
        <w:tc>
          <w:tcPr>
            <w:tcW w:w="612" w:type="dxa"/>
            <w:noWrap/>
            <w:vAlign w:val="center"/>
            <w:hideMark/>
          </w:tcPr>
          <w:p w14:paraId="45A20FF8" w14:textId="77777777" w:rsidR="00CF09B3" w:rsidRPr="007375EB" w:rsidRDefault="00CF09B3" w:rsidP="00CF09B3">
            <w:pPr>
              <w:rPr>
                <w:lang w:val="bg-BG"/>
              </w:rPr>
            </w:pPr>
            <w:r w:rsidRPr="007375EB">
              <w:rPr>
                <w:lang w:val="bg-BG"/>
              </w:rPr>
              <w:t>X</w:t>
            </w:r>
          </w:p>
        </w:tc>
      </w:tr>
      <w:tr w:rsidR="00CF09B3" w:rsidRPr="007375EB" w14:paraId="264FC187" w14:textId="77777777" w:rsidTr="006C1B17">
        <w:trPr>
          <w:trHeight w:val="420"/>
        </w:trPr>
        <w:tc>
          <w:tcPr>
            <w:tcW w:w="621" w:type="dxa"/>
            <w:noWrap/>
            <w:hideMark/>
          </w:tcPr>
          <w:p w14:paraId="6D5A86C2" w14:textId="77777777" w:rsidR="00CF09B3" w:rsidRPr="007375EB" w:rsidRDefault="00CF09B3" w:rsidP="00CF09B3">
            <w:pPr>
              <w:rPr>
                <w:lang w:val="bg-BG"/>
              </w:rPr>
            </w:pPr>
            <w:r w:rsidRPr="007375EB">
              <w:rPr>
                <w:lang w:val="bg-BG"/>
              </w:rPr>
              <w:t>3</w:t>
            </w:r>
          </w:p>
        </w:tc>
        <w:tc>
          <w:tcPr>
            <w:tcW w:w="3189" w:type="dxa"/>
            <w:hideMark/>
          </w:tcPr>
          <w:p w14:paraId="44F0B1D8" w14:textId="77DD2BB9" w:rsidR="00CF09B3" w:rsidRPr="007375EB" w:rsidRDefault="00CF09B3" w:rsidP="00CF09B3">
            <w:pPr>
              <w:jc w:val="both"/>
              <w:rPr>
                <w:lang w:val="bg-BG"/>
              </w:rPr>
            </w:pPr>
            <w:r w:rsidRPr="007375EB">
              <w:rPr>
                <w:lang w:val="bg-BG"/>
              </w:rPr>
              <w:t>Вятърен парк Комана - Печинеага - трасе за подземен електрически кабел МТ и оптична мрежа (предложена)</w:t>
            </w:r>
          </w:p>
        </w:tc>
        <w:tc>
          <w:tcPr>
            <w:tcW w:w="2125" w:type="dxa"/>
            <w:noWrap/>
            <w:vAlign w:val="center"/>
            <w:hideMark/>
          </w:tcPr>
          <w:p w14:paraId="60E37E90" w14:textId="77777777" w:rsidR="00CF09B3" w:rsidRPr="007375EB" w:rsidRDefault="00CF09B3" w:rsidP="00CF09B3">
            <w:pPr>
              <w:rPr>
                <w:lang w:val="bg-BG"/>
              </w:rPr>
            </w:pPr>
            <w:r w:rsidRPr="007375EB">
              <w:rPr>
                <w:lang w:val="bg-BG"/>
              </w:rPr>
              <w:t>4,26 км</w:t>
            </w:r>
          </w:p>
        </w:tc>
        <w:tc>
          <w:tcPr>
            <w:tcW w:w="482" w:type="dxa"/>
            <w:noWrap/>
            <w:vAlign w:val="center"/>
            <w:hideMark/>
          </w:tcPr>
          <w:p w14:paraId="127B4503" w14:textId="77777777" w:rsidR="00CF09B3" w:rsidRPr="007375EB" w:rsidRDefault="00CF09B3" w:rsidP="00CF09B3">
            <w:pPr>
              <w:rPr>
                <w:lang w:val="bg-BG"/>
              </w:rPr>
            </w:pPr>
            <w:r w:rsidRPr="007375EB">
              <w:rPr>
                <w:lang w:val="bg-BG"/>
              </w:rPr>
              <w:t>-</w:t>
            </w:r>
          </w:p>
        </w:tc>
        <w:tc>
          <w:tcPr>
            <w:tcW w:w="916" w:type="dxa"/>
            <w:noWrap/>
            <w:vAlign w:val="center"/>
            <w:hideMark/>
          </w:tcPr>
          <w:p w14:paraId="1E1350BE" w14:textId="77777777" w:rsidR="00CF09B3" w:rsidRPr="007375EB" w:rsidRDefault="00CF09B3" w:rsidP="00CF09B3">
            <w:pPr>
              <w:rPr>
                <w:lang w:val="bg-BG"/>
              </w:rPr>
            </w:pPr>
            <w:r w:rsidRPr="007375EB">
              <w:rPr>
                <w:lang w:val="bg-BG"/>
              </w:rPr>
              <w:t>-</w:t>
            </w:r>
          </w:p>
        </w:tc>
        <w:tc>
          <w:tcPr>
            <w:tcW w:w="916" w:type="dxa"/>
            <w:noWrap/>
            <w:vAlign w:val="center"/>
            <w:hideMark/>
          </w:tcPr>
          <w:p w14:paraId="660D5BE4" w14:textId="77777777" w:rsidR="00CF09B3" w:rsidRPr="007375EB" w:rsidRDefault="00CF09B3" w:rsidP="00CF09B3">
            <w:pPr>
              <w:rPr>
                <w:lang w:val="bg-BG"/>
              </w:rPr>
            </w:pPr>
            <w:r w:rsidRPr="007375EB">
              <w:rPr>
                <w:lang w:val="bg-BG"/>
              </w:rPr>
              <w:t>-</w:t>
            </w:r>
          </w:p>
        </w:tc>
        <w:tc>
          <w:tcPr>
            <w:tcW w:w="810" w:type="dxa"/>
            <w:noWrap/>
            <w:vAlign w:val="center"/>
            <w:hideMark/>
          </w:tcPr>
          <w:p w14:paraId="298B35FC" w14:textId="77777777" w:rsidR="00CF09B3" w:rsidRPr="007375EB" w:rsidRDefault="00CF09B3" w:rsidP="00CF09B3">
            <w:pPr>
              <w:rPr>
                <w:lang w:val="bg-BG"/>
              </w:rPr>
            </w:pPr>
            <w:r w:rsidRPr="007375EB">
              <w:rPr>
                <w:lang w:val="bg-BG"/>
              </w:rPr>
              <w:t>-</w:t>
            </w:r>
          </w:p>
        </w:tc>
        <w:tc>
          <w:tcPr>
            <w:tcW w:w="630" w:type="dxa"/>
            <w:noWrap/>
            <w:vAlign w:val="center"/>
            <w:hideMark/>
          </w:tcPr>
          <w:p w14:paraId="5CA2DD8F" w14:textId="77777777" w:rsidR="00CF09B3" w:rsidRPr="007375EB" w:rsidRDefault="00CF09B3" w:rsidP="00CF09B3">
            <w:pPr>
              <w:rPr>
                <w:lang w:val="bg-BG"/>
              </w:rPr>
            </w:pPr>
            <w:r w:rsidRPr="007375EB">
              <w:rPr>
                <w:lang w:val="bg-BG"/>
              </w:rPr>
              <w:t>-</w:t>
            </w:r>
          </w:p>
        </w:tc>
        <w:tc>
          <w:tcPr>
            <w:tcW w:w="720" w:type="dxa"/>
            <w:noWrap/>
            <w:vAlign w:val="center"/>
            <w:hideMark/>
          </w:tcPr>
          <w:p w14:paraId="6F1AAF0F" w14:textId="77777777" w:rsidR="00CF09B3" w:rsidRPr="007375EB" w:rsidRDefault="00CF09B3" w:rsidP="00CF09B3">
            <w:pPr>
              <w:rPr>
                <w:lang w:val="bg-BG"/>
              </w:rPr>
            </w:pPr>
            <w:r w:rsidRPr="007375EB">
              <w:rPr>
                <w:lang w:val="bg-BG"/>
              </w:rPr>
              <w:t>-</w:t>
            </w:r>
          </w:p>
        </w:tc>
        <w:tc>
          <w:tcPr>
            <w:tcW w:w="720" w:type="dxa"/>
            <w:noWrap/>
            <w:vAlign w:val="center"/>
            <w:hideMark/>
          </w:tcPr>
          <w:p w14:paraId="6DBAB2CE" w14:textId="77777777" w:rsidR="00CF09B3" w:rsidRPr="007375EB" w:rsidRDefault="00CF09B3" w:rsidP="00CF09B3">
            <w:pPr>
              <w:rPr>
                <w:lang w:val="bg-BG"/>
              </w:rPr>
            </w:pPr>
            <w:r w:rsidRPr="007375EB">
              <w:rPr>
                <w:lang w:val="bg-BG"/>
              </w:rPr>
              <w:t>-</w:t>
            </w:r>
          </w:p>
        </w:tc>
        <w:tc>
          <w:tcPr>
            <w:tcW w:w="540" w:type="dxa"/>
            <w:noWrap/>
            <w:vAlign w:val="center"/>
            <w:hideMark/>
          </w:tcPr>
          <w:p w14:paraId="2E6A7974" w14:textId="77777777" w:rsidR="00CF09B3" w:rsidRPr="007375EB" w:rsidRDefault="00CF09B3" w:rsidP="00CF09B3">
            <w:pPr>
              <w:rPr>
                <w:lang w:val="bg-BG"/>
              </w:rPr>
            </w:pPr>
            <w:r w:rsidRPr="007375EB">
              <w:rPr>
                <w:lang w:val="bg-BG"/>
              </w:rPr>
              <w:t>X</w:t>
            </w:r>
          </w:p>
        </w:tc>
        <w:tc>
          <w:tcPr>
            <w:tcW w:w="990" w:type="dxa"/>
            <w:noWrap/>
            <w:vAlign w:val="center"/>
            <w:hideMark/>
          </w:tcPr>
          <w:p w14:paraId="45C23148" w14:textId="77777777" w:rsidR="00CF09B3" w:rsidRPr="007375EB" w:rsidRDefault="00CF09B3" w:rsidP="00CF09B3">
            <w:pPr>
              <w:rPr>
                <w:lang w:val="bg-BG"/>
              </w:rPr>
            </w:pPr>
            <w:r w:rsidRPr="007375EB">
              <w:rPr>
                <w:lang w:val="bg-BG"/>
              </w:rPr>
              <w:t>X</w:t>
            </w:r>
          </w:p>
        </w:tc>
        <w:tc>
          <w:tcPr>
            <w:tcW w:w="499" w:type="dxa"/>
            <w:noWrap/>
            <w:vAlign w:val="center"/>
            <w:hideMark/>
          </w:tcPr>
          <w:p w14:paraId="45E95E57" w14:textId="77777777" w:rsidR="00CF09B3" w:rsidRPr="007375EB" w:rsidRDefault="00CF09B3" w:rsidP="00CF09B3">
            <w:pPr>
              <w:rPr>
                <w:lang w:val="bg-BG"/>
              </w:rPr>
            </w:pPr>
            <w:r w:rsidRPr="007375EB">
              <w:rPr>
                <w:lang w:val="bg-BG"/>
              </w:rPr>
              <w:t>-</w:t>
            </w:r>
          </w:p>
        </w:tc>
        <w:tc>
          <w:tcPr>
            <w:tcW w:w="507" w:type="dxa"/>
            <w:noWrap/>
            <w:vAlign w:val="center"/>
            <w:hideMark/>
          </w:tcPr>
          <w:p w14:paraId="24D4F883" w14:textId="77777777" w:rsidR="00CF09B3" w:rsidRPr="007375EB" w:rsidRDefault="00CF09B3" w:rsidP="00CF09B3">
            <w:pPr>
              <w:rPr>
                <w:lang w:val="bg-BG"/>
              </w:rPr>
            </w:pPr>
            <w:r w:rsidRPr="007375EB">
              <w:rPr>
                <w:lang w:val="bg-BG"/>
              </w:rPr>
              <w:t>X</w:t>
            </w:r>
          </w:p>
        </w:tc>
        <w:tc>
          <w:tcPr>
            <w:tcW w:w="524" w:type="dxa"/>
            <w:noWrap/>
            <w:vAlign w:val="center"/>
            <w:hideMark/>
          </w:tcPr>
          <w:p w14:paraId="194E8951" w14:textId="77777777" w:rsidR="00CF09B3" w:rsidRPr="007375EB" w:rsidRDefault="00CF09B3" w:rsidP="00CF09B3">
            <w:pPr>
              <w:rPr>
                <w:lang w:val="bg-BG"/>
              </w:rPr>
            </w:pPr>
            <w:r w:rsidRPr="007375EB">
              <w:rPr>
                <w:lang w:val="bg-BG"/>
              </w:rPr>
              <w:t>X</w:t>
            </w:r>
          </w:p>
        </w:tc>
        <w:tc>
          <w:tcPr>
            <w:tcW w:w="616" w:type="dxa"/>
            <w:noWrap/>
            <w:vAlign w:val="center"/>
            <w:hideMark/>
          </w:tcPr>
          <w:p w14:paraId="74F6A617" w14:textId="77777777" w:rsidR="00CF09B3" w:rsidRPr="007375EB" w:rsidRDefault="00CF09B3" w:rsidP="00CF09B3">
            <w:pPr>
              <w:rPr>
                <w:lang w:val="bg-BG"/>
              </w:rPr>
            </w:pPr>
            <w:r w:rsidRPr="007375EB">
              <w:rPr>
                <w:lang w:val="bg-BG"/>
              </w:rPr>
              <w:t>X</w:t>
            </w:r>
          </w:p>
        </w:tc>
        <w:tc>
          <w:tcPr>
            <w:tcW w:w="612" w:type="dxa"/>
            <w:noWrap/>
            <w:vAlign w:val="center"/>
            <w:hideMark/>
          </w:tcPr>
          <w:p w14:paraId="354EAD01" w14:textId="77777777" w:rsidR="00CF09B3" w:rsidRPr="007375EB" w:rsidRDefault="00CF09B3" w:rsidP="00CF09B3">
            <w:pPr>
              <w:rPr>
                <w:lang w:val="bg-BG"/>
              </w:rPr>
            </w:pPr>
            <w:r w:rsidRPr="007375EB">
              <w:rPr>
                <w:lang w:val="bg-BG"/>
              </w:rPr>
              <w:t>X</w:t>
            </w:r>
          </w:p>
        </w:tc>
      </w:tr>
      <w:tr w:rsidR="00CF09B3" w:rsidRPr="007375EB" w14:paraId="6ACFC968" w14:textId="77777777" w:rsidTr="006C1B17">
        <w:trPr>
          <w:trHeight w:val="420"/>
        </w:trPr>
        <w:tc>
          <w:tcPr>
            <w:tcW w:w="621" w:type="dxa"/>
            <w:noWrap/>
            <w:hideMark/>
          </w:tcPr>
          <w:p w14:paraId="5CC01A6E" w14:textId="77777777" w:rsidR="00CF09B3" w:rsidRPr="007375EB" w:rsidRDefault="00CF09B3" w:rsidP="00CF09B3">
            <w:pPr>
              <w:rPr>
                <w:lang w:val="bg-BG"/>
              </w:rPr>
            </w:pPr>
            <w:r w:rsidRPr="007375EB">
              <w:rPr>
                <w:lang w:val="bg-BG"/>
              </w:rPr>
              <w:t>4</w:t>
            </w:r>
          </w:p>
        </w:tc>
        <w:tc>
          <w:tcPr>
            <w:tcW w:w="3189" w:type="dxa"/>
            <w:hideMark/>
          </w:tcPr>
          <w:p w14:paraId="50C2C540" w14:textId="7AB014C2" w:rsidR="00CF09B3" w:rsidRPr="007375EB" w:rsidRDefault="00CF09B3" w:rsidP="00CF09B3">
            <w:pPr>
              <w:jc w:val="both"/>
              <w:rPr>
                <w:lang w:val="bg-BG"/>
              </w:rPr>
            </w:pPr>
            <w:r w:rsidRPr="007375EB">
              <w:rPr>
                <w:lang w:val="bg-BG"/>
              </w:rPr>
              <w:t xml:space="preserve">Изграждане на вятърна електроцентрала, включваща: вятърни турбини, пътища за достъп и платформи за монтаж/поддръжка, електрическа трансформаторна станция </w:t>
            </w:r>
            <w:r w:rsidRPr="007375EB">
              <w:rPr>
                <w:lang w:val="bg-BG"/>
              </w:rPr>
              <w:lastRenderedPageBreak/>
              <w:t>(собствена), електрическа мрежа средно и високо напрежение, телекомуникационна мрежа, ком. Индепенденца, окръг Констанца (предложен)</w:t>
            </w:r>
          </w:p>
        </w:tc>
        <w:tc>
          <w:tcPr>
            <w:tcW w:w="2125" w:type="dxa"/>
            <w:noWrap/>
            <w:vAlign w:val="center"/>
            <w:hideMark/>
          </w:tcPr>
          <w:p w14:paraId="5B16198A" w14:textId="77777777" w:rsidR="00CF09B3" w:rsidRPr="007375EB" w:rsidRDefault="00CF09B3" w:rsidP="00CF09B3">
            <w:pPr>
              <w:rPr>
                <w:lang w:val="bg-BG"/>
              </w:rPr>
            </w:pPr>
            <w:r w:rsidRPr="007375EB">
              <w:rPr>
                <w:lang w:val="bg-BG"/>
              </w:rPr>
              <w:lastRenderedPageBreak/>
              <w:t>21,91 км</w:t>
            </w:r>
          </w:p>
        </w:tc>
        <w:tc>
          <w:tcPr>
            <w:tcW w:w="482" w:type="dxa"/>
            <w:noWrap/>
            <w:vAlign w:val="center"/>
            <w:hideMark/>
          </w:tcPr>
          <w:p w14:paraId="79DEB58C" w14:textId="77777777" w:rsidR="00CF09B3" w:rsidRPr="007375EB" w:rsidRDefault="00CF09B3" w:rsidP="00CF09B3">
            <w:pPr>
              <w:rPr>
                <w:lang w:val="bg-BG"/>
              </w:rPr>
            </w:pPr>
            <w:r w:rsidRPr="007375EB">
              <w:rPr>
                <w:lang w:val="bg-BG"/>
              </w:rPr>
              <w:t>-</w:t>
            </w:r>
          </w:p>
        </w:tc>
        <w:tc>
          <w:tcPr>
            <w:tcW w:w="916" w:type="dxa"/>
            <w:noWrap/>
            <w:vAlign w:val="center"/>
            <w:hideMark/>
          </w:tcPr>
          <w:p w14:paraId="6FE7A3B5" w14:textId="77777777" w:rsidR="00CF09B3" w:rsidRPr="007375EB" w:rsidRDefault="00CF09B3" w:rsidP="00CF09B3">
            <w:pPr>
              <w:rPr>
                <w:lang w:val="bg-BG"/>
              </w:rPr>
            </w:pPr>
            <w:r w:rsidRPr="007375EB">
              <w:rPr>
                <w:lang w:val="bg-BG"/>
              </w:rPr>
              <w:t>-</w:t>
            </w:r>
          </w:p>
        </w:tc>
        <w:tc>
          <w:tcPr>
            <w:tcW w:w="916" w:type="dxa"/>
            <w:noWrap/>
            <w:vAlign w:val="center"/>
            <w:hideMark/>
          </w:tcPr>
          <w:p w14:paraId="24804DAB" w14:textId="77777777" w:rsidR="00CF09B3" w:rsidRPr="007375EB" w:rsidRDefault="00CF09B3" w:rsidP="00CF09B3">
            <w:pPr>
              <w:rPr>
                <w:lang w:val="bg-BG"/>
              </w:rPr>
            </w:pPr>
            <w:r w:rsidRPr="007375EB">
              <w:rPr>
                <w:lang w:val="bg-BG"/>
              </w:rPr>
              <w:t>-</w:t>
            </w:r>
          </w:p>
        </w:tc>
        <w:tc>
          <w:tcPr>
            <w:tcW w:w="810" w:type="dxa"/>
            <w:noWrap/>
            <w:vAlign w:val="center"/>
            <w:hideMark/>
          </w:tcPr>
          <w:p w14:paraId="693056C9" w14:textId="77777777" w:rsidR="00CF09B3" w:rsidRPr="007375EB" w:rsidRDefault="00CF09B3" w:rsidP="00CF09B3">
            <w:pPr>
              <w:rPr>
                <w:lang w:val="bg-BG"/>
              </w:rPr>
            </w:pPr>
            <w:r w:rsidRPr="007375EB">
              <w:rPr>
                <w:lang w:val="bg-BG"/>
              </w:rPr>
              <w:t>-</w:t>
            </w:r>
          </w:p>
        </w:tc>
        <w:tc>
          <w:tcPr>
            <w:tcW w:w="630" w:type="dxa"/>
            <w:noWrap/>
            <w:vAlign w:val="center"/>
            <w:hideMark/>
          </w:tcPr>
          <w:p w14:paraId="7E7E49A9" w14:textId="77777777" w:rsidR="00CF09B3" w:rsidRPr="007375EB" w:rsidRDefault="00CF09B3" w:rsidP="00CF09B3">
            <w:pPr>
              <w:rPr>
                <w:lang w:val="bg-BG"/>
              </w:rPr>
            </w:pPr>
            <w:r w:rsidRPr="007375EB">
              <w:rPr>
                <w:lang w:val="bg-BG"/>
              </w:rPr>
              <w:t>-</w:t>
            </w:r>
          </w:p>
        </w:tc>
        <w:tc>
          <w:tcPr>
            <w:tcW w:w="720" w:type="dxa"/>
            <w:noWrap/>
            <w:vAlign w:val="center"/>
            <w:hideMark/>
          </w:tcPr>
          <w:p w14:paraId="4DDCE722" w14:textId="77777777" w:rsidR="00CF09B3" w:rsidRPr="007375EB" w:rsidRDefault="00CF09B3" w:rsidP="00CF09B3">
            <w:pPr>
              <w:rPr>
                <w:lang w:val="bg-BG"/>
              </w:rPr>
            </w:pPr>
            <w:r w:rsidRPr="007375EB">
              <w:rPr>
                <w:lang w:val="bg-BG"/>
              </w:rPr>
              <w:t>-</w:t>
            </w:r>
          </w:p>
        </w:tc>
        <w:tc>
          <w:tcPr>
            <w:tcW w:w="720" w:type="dxa"/>
            <w:noWrap/>
            <w:vAlign w:val="center"/>
            <w:hideMark/>
          </w:tcPr>
          <w:p w14:paraId="2E9BDE3E" w14:textId="77777777" w:rsidR="00CF09B3" w:rsidRPr="007375EB" w:rsidRDefault="00CF09B3" w:rsidP="00CF09B3">
            <w:pPr>
              <w:rPr>
                <w:lang w:val="bg-BG"/>
              </w:rPr>
            </w:pPr>
            <w:r w:rsidRPr="007375EB">
              <w:rPr>
                <w:lang w:val="bg-BG"/>
              </w:rPr>
              <w:t>-</w:t>
            </w:r>
          </w:p>
        </w:tc>
        <w:tc>
          <w:tcPr>
            <w:tcW w:w="540" w:type="dxa"/>
            <w:noWrap/>
            <w:vAlign w:val="center"/>
            <w:hideMark/>
          </w:tcPr>
          <w:p w14:paraId="2CA9B0AA" w14:textId="77777777" w:rsidR="00CF09B3" w:rsidRPr="007375EB" w:rsidRDefault="00CF09B3" w:rsidP="00CF09B3">
            <w:pPr>
              <w:rPr>
                <w:lang w:val="bg-BG"/>
              </w:rPr>
            </w:pPr>
            <w:r w:rsidRPr="007375EB">
              <w:rPr>
                <w:lang w:val="bg-BG"/>
              </w:rPr>
              <w:t>X</w:t>
            </w:r>
          </w:p>
        </w:tc>
        <w:tc>
          <w:tcPr>
            <w:tcW w:w="990" w:type="dxa"/>
            <w:noWrap/>
            <w:vAlign w:val="center"/>
            <w:hideMark/>
          </w:tcPr>
          <w:p w14:paraId="04EB2FD2" w14:textId="77777777" w:rsidR="00CF09B3" w:rsidRPr="007375EB" w:rsidRDefault="00CF09B3" w:rsidP="00CF09B3">
            <w:pPr>
              <w:rPr>
                <w:lang w:val="bg-BG"/>
              </w:rPr>
            </w:pPr>
            <w:r w:rsidRPr="007375EB">
              <w:rPr>
                <w:lang w:val="bg-BG"/>
              </w:rPr>
              <w:t>X</w:t>
            </w:r>
          </w:p>
        </w:tc>
        <w:tc>
          <w:tcPr>
            <w:tcW w:w="499" w:type="dxa"/>
            <w:noWrap/>
            <w:vAlign w:val="center"/>
            <w:hideMark/>
          </w:tcPr>
          <w:p w14:paraId="4D963865" w14:textId="77777777" w:rsidR="00CF09B3" w:rsidRPr="007375EB" w:rsidRDefault="00CF09B3" w:rsidP="00CF09B3">
            <w:pPr>
              <w:rPr>
                <w:lang w:val="bg-BG"/>
              </w:rPr>
            </w:pPr>
            <w:r w:rsidRPr="007375EB">
              <w:rPr>
                <w:lang w:val="bg-BG"/>
              </w:rPr>
              <w:t>-</w:t>
            </w:r>
          </w:p>
        </w:tc>
        <w:tc>
          <w:tcPr>
            <w:tcW w:w="507" w:type="dxa"/>
            <w:noWrap/>
            <w:vAlign w:val="center"/>
            <w:hideMark/>
          </w:tcPr>
          <w:p w14:paraId="16FE61DF" w14:textId="77777777" w:rsidR="00CF09B3" w:rsidRPr="007375EB" w:rsidRDefault="00CF09B3" w:rsidP="00CF09B3">
            <w:pPr>
              <w:rPr>
                <w:lang w:val="bg-BG"/>
              </w:rPr>
            </w:pPr>
            <w:r w:rsidRPr="007375EB">
              <w:rPr>
                <w:lang w:val="bg-BG"/>
              </w:rPr>
              <w:t>X</w:t>
            </w:r>
          </w:p>
        </w:tc>
        <w:tc>
          <w:tcPr>
            <w:tcW w:w="524" w:type="dxa"/>
            <w:noWrap/>
            <w:vAlign w:val="center"/>
            <w:hideMark/>
          </w:tcPr>
          <w:p w14:paraId="37FD600F" w14:textId="77777777" w:rsidR="00CF09B3" w:rsidRPr="007375EB" w:rsidRDefault="00CF09B3" w:rsidP="00CF09B3">
            <w:pPr>
              <w:rPr>
                <w:lang w:val="bg-BG"/>
              </w:rPr>
            </w:pPr>
            <w:r w:rsidRPr="007375EB">
              <w:rPr>
                <w:lang w:val="bg-BG"/>
              </w:rPr>
              <w:t>X</w:t>
            </w:r>
          </w:p>
        </w:tc>
        <w:tc>
          <w:tcPr>
            <w:tcW w:w="616" w:type="dxa"/>
            <w:noWrap/>
            <w:vAlign w:val="center"/>
            <w:hideMark/>
          </w:tcPr>
          <w:p w14:paraId="0E5AF432" w14:textId="77777777" w:rsidR="00CF09B3" w:rsidRPr="007375EB" w:rsidRDefault="00CF09B3" w:rsidP="00CF09B3">
            <w:pPr>
              <w:rPr>
                <w:lang w:val="bg-BG"/>
              </w:rPr>
            </w:pPr>
            <w:r w:rsidRPr="007375EB">
              <w:rPr>
                <w:lang w:val="bg-BG"/>
              </w:rPr>
              <w:t>X</w:t>
            </w:r>
          </w:p>
        </w:tc>
        <w:tc>
          <w:tcPr>
            <w:tcW w:w="612" w:type="dxa"/>
            <w:noWrap/>
            <w:vAlign w:val="center"/>
            <w:hideMark/>
          </w:tcPr>
          <w:p w14:paraId="5256E659" w14:textId="77777777" w:rsidR="00CF09B3" w:rsidRPr="007375EB" w:rsidRDefault="00CF09B3" w:rsidP="00CF09B3">
            <w:pPr>
              <w:rPr>
                <w:lang w:val="bg-BG"/>
              </w:rPr>
            </w:pPr>
            <w:r w:rsidRPr="007375EB">
              <w:rPr>
                <w:lang w:val="bg-BG"/>
              </w:rPr>
              <w:t>X</w:t>
            </w:r>
          </w:p>
        </w:tc>
      </w:tr>
      <w:tr w:rsidR="00CF09B3" w:rsidRPr="007375EB" w14:paraId="2BD1BA72" w14:textId="77777777" w:rsidTr="006C1B17">
        <w:trPr>
          <w:trHeight w:val="210"/>
        </w:trPr>
        <w:tc>
          <w:tcPr>
            <w:tcW w:w="621" w:type="dxa"/>
            <w:noWrap/>
            <w:hideMark/>
          </w:tcPr>
          <w:p w14:paraId="406E9C42" w14:textId="77777777" w:rsidR="00CF09B3" w:rsidRPr="007375EB" w:rsidRDefault="00CF09B3" w:rsidP="00CF09B3">
            <w:pPr>
              <w:rPr>
                <w:lang w:val="bg-BG"/>
              </w:rPr>
            </w:pPr>
            <w:r w:rsidRPr="007375EB">
              <w:rPr>
                <w:lang w:val="bg-BG"/>
              </w:rPr>
              <w:t>5</w:t>
            </w:r>
          </w:p>
        </w:tc>
        <w:tc>
          <w:tcPr>
            <w:tcW w:w="3189" w:type="dxa"/>
            <w:noWrap/>
            <w:hideMark/>
          </w:tcPr>
          <w:p w14:paraId="6E6D6505" w14:textId="770823FD" w:rsidR="00CF09B3" w:rsidRPr="007375EB" w:rsidRDefault="00CF09B3" w:rsidP="00CF09B3">
            <w:pPr>
              <w:jc w:val="both"/>
              <w:rPr>
                <w:lang w:val="bg-BG"/>
              </w:rPr>
            </w:pPr>
            <w:r w:rsidRPr="007375EB">
              <w:rPr>
                <w:lang w:val="bg-BG"/>
              </w:rPr>
              <w:t>Събаряне на съществуващи сгради и изграждане на фотоволтаична електроцентрала с мощност 3,212 МВт, свързване към SEN, инсталиране на PC и PTAB, вътрешен път и достъп, ограждане на терена и организация на строителната площадка в Индепенденца (предложена)</w:t>
            </w:r>
          </w:p>
        </w:tc>
        <w:tc>
          <w:tcPr>
            <w:tcW w:w="2125" w:type="dxa"/>
            <w:noWrap/>
            <w:vAlign w:val="center"/>
            <w:hideMark/>
          </w:tcPr>
          <w:p w14:paraId="75C950DF" w14:textId="77777777" w:rsidR="00CF09B3" w:rsidRPr="007375EB" w:rsidRDefault="00CF09B3" w:rsidP="00CF09B3">
            <w:pPr>
              <w:rPr>
                <w:lang w:val="bg-BG"/>
              </w:rPr>
            </w:pPr>
            <w:r w:rsidRPr="007375EB">
              <w:rPr>
                <w:lang w:val="bg-BG"/>
              </w:rPr>
              <w:t>27,59 км</w:t>
            </w:r>
          </w:p>
        </w:tc>
        <w:tc>
          <w:tcPr>
            <w:tcW w:w="482" w:type="dxa"/>
            <w:noWrap/>
            <w:vAlign w:val="center"/>
            <w:hideMark/>
          </w:tcPr>
          <w:p w14:paraId="4730761E" w14:textId="77777777" w:rsidR="00CF09B3" w:rsidRPr="007375EB" w:rsidRDefault="00CF09B3" w:rsidP="00CF09B3">
            <w:pPr>
              <w:rPr>
                <w:lang w:val="bg-BG"/>
              </w:rPr>
            </w:pPr>
            <w:r w:rsidRPr="007375EB">
              <w:rPr>
                <w:lang w:val="bg-BG"/>
              </w:rPr>
              <w:t>-</w:t>
            </w:r>
          </w:p>
        </w:tc>
        <w:tc>
          <w:tcPr>
            <w:tcW w:w="916" w:type="dxa"/>
            <w:noWrap/>
            <w:vAlign w:val="center"/>
            <w:hideMark/>
          </w:tcPr>
          <w:p w14:paraId="29304786" w14:textId="77777777" w:rsidR="00CF09B3" w:rsidRPr="007375EB" w:rsidRDefault="00CF09B3" w:rsidP="00CF09B3">
            <w:pPr>
              <w:rPr>
                <w:lang w:val="bg-BG"/>
              </w:rPr>
            </w:pPr>
            <w:r w:rsidRPr="007375EB">
              <w:rPr>
                <w:lang w:val="bg-BG"/>
              </w:rPr>
              <w:t>-</w:t>
            </w:r>
          </w:p>
        </w:tc>
        <w:tc>
          <w:tcPr>
            <w:tcW w:w="916" w:type="dxa"/>
            <w:noWrap/>
            <w:vAlign w:val="center"/>
            <w:hideMark/>
          </w:tcPr>
          <w:p w14:paraId="3C34A55D" w14:textId="77777777" w:rsidR="00CF09B3" w:rsidRPr="007375EB" w:rsidRDefault="00CF09B3" w:rsidP="00CF09B3">
            <w:pPr>
              <w:rPr>
                <w:lang w:val="bg-BG"/>
              </w:rPr>
            </w:pPr>
            <w:r w:rsidRPr="007375EB">
              <w:rPr>
                <w:lang w:val="bg-BG"/>
              </w:rPr>
              <w:t>-</w:t>
            </w:r>
          </w:p>
        </w:tc>
        <w:tc>
          <w:tcPr>
            <w:tcW w:w="810" w:type="dxa"/>
            <w:noWrap/>
            <w:vAlign w:val="center"/>
            <w:hideMark/>
          </w:tcPr>
          <w:p w14:paraId="4AB8B7C7" w14:textId="77777777" w:rsidR="00CF09B3" w:rsidRPr="007375EB" w:rsidRDefault="00CF09B3" w:rsidP="00CF09B3">
            <w:pPr>
              <w:rPr>
                <w:lang w:val="bg-BG"/>
              </w:rPr>
            </w:pPr>
            <w:r w:rsidRPr="007375EB">
              <w:rPr>
                <w:lang w:val="bg-BG"/>
              </w:rPr>
              <w:t>-</w:t>
            </w:r>
          </w:p>
        </w:tc>
        <w:tc>
          <w:tcPr>
            <w:tcW w:w="630" w:type="dxa"/>
            <w:noWrap/>
            <w:vAlign w:val="center"/>
            <w:hideMark/>
          </w:tcPr>
          <w:p w14:paraId="2B6F22B6" w14:textId="77777777" w:rsidR="00CF09B3" w:rsidRPr="007375EB" w:rsidRDefault="00CF09B3" w:rsidP="00CF09B3">
            <w:pPr>
              <w:rPr>
                <w:lang w:val="bg-BG"/>
              </w:rPr>
            </w:pPr>
            <w:r w:rsidRPr="007375EB">
              <w:rPr>
                <w:lang w:val="bg-BG"/>
              </w:rPr>
              <w:t>-</w:t>
            </w:r>
          </w:p>
        </w:tc>
        <w:tc>
          <w:tcPr>
            <w:tcW w:w="720" w:type="dxa"/>
            <w:noWrap/>
            <w:vAlign w:val="center"/>
            <w:hideMark/>
          </w:tcPr>
          <w:p w14:paraId="61937CA7" w14:textId="77777777" w:rsidR="00CF09B3" w:rsidRPr="007375EB" w:rsidRDefault="00CF09B3" w:rsidP="00CF09B3">
            <w:pPr>
              <w:rPr>
                <w:lang w:val="bg-BG"/>
              </w:rPr>
            </w:pPr>
            <w:r w:rsidRPr="007375EB">
              <w:rPr>
                <w:lang w:val="bg-BG"/>
              </w:rPr>
              <w:t>-</w:t>
            </w:r>
          </w:p>
        </w:tc>
        <w:tc>
          <w:tcPr>
            <w:tcW w:w="720" w:type="dxa"/>
            <w:noWrap/>
            <w:vAlign w:val="center"/>
            <w:hideMark/>
          </w:tcPr>
          <w:p w14:paraId="7221F904" w14:textId="77777777" w:rsidR="00CF09B3" w:rsidRPr="007375EB" w:rsidRDefault="00CF09B3" w:rsidP="00CF09B3">
            <w:pPr>
              <w:rPr>
                <w:lang w:val="bg-BG"/>
              </w:rPr>
            </w:pPr>
            <w:r w:rsidRPr="007375EB">
              <w:rPr>
                <w:lang w:val="bg-BG"/>
              </w:rPr>
              <w:t>-</w:t>
            </w:r>
          </w:p>
        </w:tc>
        <w:tc>
          <w:tcPr>
            <w:tcW w:w="540" w:type="dxa"/>
            <w:noWrap/>
            <w:vAlign w:val="center"/>
            <w:hideMark/>
          </w:tcPr>
          <w:p w14:paraId="1C5B134E" w14:textId="77777777" w:rsidR="00CF09B3" w:rsidRPr="007375EB" w:rsidRDefault="00CF09B3" w:rsidP="00CF09B3">
            <w:pPr>
              <w:rPr>
                <w:lang w:val="bg-BG"/>
              </w:rPr>
            </w:pPr>
            <w:r w:rsidRPr="007375EB">
              <w:rPr>
                <w:lang w:val="bg-BG"/>
              </w:rPr>
              <w:t>-</w:t>
            </w:r>
          </w:p>
        </w:tc>
        <w:tc>
          <w:tcPr>
            <w:tcW w:w="990" w:type="dxa"/>
            <w:noWrap/>
            <w:vAlign w:val="center"/>
            <w:hideMark/>
          </w:tcPr>
          <w:p w14:paraId="6D004CC2" w14:textId="77777777" w:rsidR="00CF09B3" w:rsidRPr="007375EB" w:rsidRDefault="00CF09B3" w:rsidP="00CF09B3">
            <w:pPr>
              <w:rPr>
                <w:lang w:val="bg-BG"/>
              </w:rPr>
            </w:pPr>
            <w:r w:rsidRPr="007375EB">
              <w:rPr>
                <w:lang w:val="bg-BG"/>
              </w:rPr>
              <w:t>-</w:t>
            </w:r>
          </w:p>
        </w:tc>
        <w:tc>
          <w:tcPr>
            <w:tcW w:w="499" w:type="dxa"/>
            <w:noWrap/>
            <w:vAlign w:val="center"/>
            <w:hideMark/>
          </w:tcPr>
          <w:p w14:paraId="3F8D9BDF" w14:textId="77777777" w:rsidR="00CF09B3" w:rsidRPr="007375EB" w:rsidRDefault="00CF09B3" w:rsidP="00CF09B3">
            <w:pPr>
              <w:rPr>
                <w:lang w:val="bg-BG"/>
              </w:rPr>
            </w:pPr>
            <w:r w:rsidRPr="007375EB">
              <w:rPr>
                <w:lang w:val="bg-BG"/>
              </w:rPr>
              <w:t>-</w:t>
            </w:r>
          </w:p>
        </w:tc>
        <w:tc>
          <w:tcPr>
            <w:tcW w:w="507" w:type="dxa"/>
            <w:noWrap/>
            <w:vAlign w:val="center"/>
            <w:hideMark/>
          </w:tcPr>
          <w:p w14:paraId="36A19B58" w14:textId="77777777" w:rsidR="00CF09B3" w:rsidRPr="007375EB" w:rsidRDefault="00CF09B3" w:rsidP="00CF09B3">
            <w:pPr>
              <w:rPr>
                <w:lang w:val="bg-BG"/>
              </w:rPr>
            </w:pPr>
            <w:r w:rsidRPr="007375EB">
              <w:rPr>
                <w:lang w:val="bg-BG"/>
              </w:rPr>
              <w:t>-</w:t>
            </w:r>
          </w:p>
        </w:tc>
        <w:tc>
          <w:tcPr>
            <w:tcW w:w="524" w:type="dxa"/>
            <w:noWrap/>
            <w:vAlign w:val="center"/>
            <w:hideMark/>
          </w:tcPr>
          <w:p w14:paraId="70D156EF" w14:textId="77777777" w:rsidR="00CF09B3" w:rsidRPr="007375EB" w:rsidRDefault="00CF09B3" w:rsidP="00CF09B3">
            <w:pPr>
              <w:rPr>
                <w:lang w:val="bg-BG"/>
              </w:rPr>
            </w:pPr>
            <w:r w:rsidRPr="007375EB">
              <w:rPr>
                <w:lang w:val="bg-BG"/>
              </w:rPr>
              <w:t>-</w:t>
            </w:r>
          </w:p>
        </w:tc>
        <w:tc>
          <w:tcPr>
            <w:tcW w:w="616" w:type="dxa"/>
            <w:noWrap/>
            <w:vAlign w:val="center"/>
            <w:hideMark/>
          </w:tcPr>
          <w:p w14:paraId="2A00F21B" w14:textId="77777777" w:rsidR="00CF09B3" w:rsidRPr="007375EB" w:rsidRDefault="00CF09B3" w:rsidP="00CF09B3">
            <w:pPr>
              <w:rPr>
                <w:lang w:val="bg-BG"/>
              </w:rPr>
            </w:pPr>
            <w:r w:rsidRPr="007375EB">
              <w:rPr>
                <w:lang w:val="bg-BG"/>
              </w:rPr>
              <w:t>-</w:t>
            </w:r>
          </w:p>
        </w:tc>
        <w:tc>
          <w:tcPr>
            <w:tcW w:w="612" w:type="dxa"/>
            <w:noWrap/>
            <w:vAlign w:val="center"/>
            <w:hideMark/>
          </w:tcPr>
          <w:p w14:paraId="0154C337" w14:textId="77777777" w:rsidR="00CF09B3" w:rsidRPr="007375EB" w:rsidRDefault="00CF09B3" w:rsidP="00CF09B3">
            <w:pPr>
              <w:rPr>
                <w:lang w:val="bg-BG"/>
              </w:rPr>
            </w:pPr>
            <w:r w:rsidRPr="007375EB">
              <w:rPr>
                <w:lang w:val="bg-BG"/>
              </w:rPr>
              <w:t>-</w:t>
            </w:r>
          </w:p>
        </w:tc>
      </w:tr>
      <w:tr w:rsidR="00CF09B3" w:rsidRPr="007375EB" w14:paraId="34480503" w14:textId="77777777" w:rsidTr="006C1B17">
        <w:trPr>
          <w:trHeight w:val="210"/>
        </w:trPr>
        <w:tc>
          <w:tcPr>
            <w:tcW w:w="621" w:type="dxa"/>
            <w:noWrap/>
          </w:tcPr>
          <w:p w14:paraId="27EA7A5D" w14:textId="77777777" w:rsidR="00CF09B3" w:rsidRPr="007375EB" w:rsidRDefault="00CF09B3" w:rsidP="00CF09B3">
            <w:pPr>
              <w:rPr>
                <w:lang w:val="bg-BG"/>
              </w:rPr>
            </w:pPr>
            <w:r w:rsidRPr="007375EB">
              <w:rPr>
                <w:lang w:val="bg-BG"/>
              </w:rPr>
              <w:t>6</w:t>
            </w:r>
          </w:p>
        </w:tc>
        <w:tc>
          <w:tcPr>
            <w:tcW w:w="3189" w:type="dxa"/>
            <w:noWrap/>
          </w:tcPr>
          <w:p w14:paraId="696503AF" w14:textId="1FB1C56B" w:rsidR="00CF09B3" w:rsidRPr="007375EB" w:rsidRDefault="00CF09B3" w:rsidP="00CF09B3">
            <w:pPr>
              <w:jc w:val="both"/>
              <w:rPr>
                <w:lang w:val="bg-BG"/>
              </w:rPr>
            </w:pPr>
            <w:r w:rsidRPr="007375EB">
              <w:rPr>
                <w:lang w:val="bg-BG"/>
              </w:rPr>
              <w:t xml:space="preserve">Изграждане на подземна оптична мрежа за електронни съобщителни услуги в окръг </w:t>
            </w:r>
            <w:r w:rsidRPr="007375EB">
              <w:rPr>
                <w:lang w:val="bg-BG"/>
              </w:rPr>
              <w:lastRenderedPageBreak/>
              <w:t>Констанца, Индепенденца, Думбръвени (предложена)</w:t>
            </w:r>
          </w:p>
        </w:tc>
        <w:tc>
          <w:tcPr>
            <w:tcW w:w="2125" w:type="dxa"/>
            <w:noWrap/>
            <w:vAlign w:val="center"/>
          </w:tcPr>
          <w:p w14:paraId="634B341D" w14:textId="77777777" w:rsidR="00CF09B3" w:rsidRPr="007375EB" w:rsidRDefault="00CF09B3" w:rsidP="00CF09B3">
            <w:pPr>
              <w:rPr>
                <w:lang w:val="bg-BG"/>
              </w:rPr>
            </w:pPr>
            <w:r w:rsidRPr="007375EB">
              <w:rPr>
                <w:lang w:val="bg-BG"/>
              </w:rPr>
              <w:lastRenderedPageBreak/>
              <w:t>29,4 км</w:t>
            </w:r>
          </w:p>
        </w:tc>
        <w:tc>
          <w:tcPr>
            <w:tcW w:w="482" w:type="dxa"/>
            <w:noWrap/>
            <w:vAlign w:val="center"/>
          </w:tcPr>
          <w:p w14:paraId="571B3578" w14:textId="77777777" w:rsidR="00CF09B3" w:rsidRPr="007375EB" w:rsidRDefault="00CF09B3" w:rsidP="00CF09B3">
            <w:pPr>
              <w:rPr>
                <w:lang w:val="bg-BG"/>
              </w:rPr>
            </w:pPr>
            <w:r w:rsidRPr="007375EB">
              <w:rPr>
                <w:lang w:val="bg-BG"/>
              </w:rPr>
              <w:t>-</w:t>
            </w:r>
          </w:p>
        </w:tc>
        <w:tc>
          <w:tcPr>
            <w:tcW w:w="916" w:type="dxa"/>
            <w:noWrap/>
            <w:vAlign w:val="center"/>
          </w:tcPr>
          <w:p w14:paraId="49DF1CE0" w14:textId="77777777" w:rsidR="00CF09B3" w:rsidRPr="007375EB" w:rsidRDefault="00CF09B3" w:rsidP="00CF09B3">
            <w:pPr>
              <w:rPr>
                <w:lang w:val="bg-BG"/>
              </w:rPr>
            </w:pPr>
            <w:r w:rsidRPr="007375EB">
              <w:rPr>
                <w:lang w:val="bg-BG"/>
              </w:rPr>
              <w:t>-</w:t>
            </w:r>
          </w:p>
        </w:tc>
        <w:tc>
          <w:tcPr>
            <w:tcW w:w="916" w:type="dxa"/>
            <w:noWrap/>
            <w:vAlign w:val="center"/>
          </w:tcPr>
          <w:p w14:paraId="0F63A6E1" w14:textId="77777777" w:rsidR="00CF09B3" w:rsidRPr="007375EB" w:rsidRDefault="00CF09B3" w:rsidP="00CF09B3">
            <w:pPr>
              <w:rPr>
                <w:lang w:val="bg-BG"/>
              </w:rPr>
            </w:pPr>
            <w:r w:rsidRPr="007375EB">
              <w:rPr>
                <w:lang w:val="bg-BG"/>
              </w:rPr>
              <w:t>-</w:t>
            </w:r>
          </w:p>
        </w:tc>
        <w:tc>
          <w:tcPr>
            <w:tcW w:w="810" w:type="dxa"/>
            <w:noWrap/>
            <w:vAlign w:val="center"/>
          </w:tcPr>
          <w:p w14:paraId="7D05AF9F" w14:textId="77777777" w:rsidR="00CF09B3" w:rsidRPr="007375EB" w:rsidRDefault="00CF09B3" w:rsidP="00CF09B3">
            <w:pPr>
              <w:rPr>
                <w:lang w:val="bg-BG"/>
              </w:rPr>
            </w:pPr>
            <w:r w:rsidRPr="007375EB">
              <w:rPr>
                <w:lang w:val="bg-BG"/>
              </w:rPr>
              <w:t>-</w:t>
            </w:r>
          </w:p>
        </w:tc>
        <w:tc>
          <w:tcPr>
            <w:tcW w:w="630" w:type="dxa"/>
            <w:noWrap/>
            <w:vAlign w:val="center"/>
          </w:tcPr>
          <w:p w14:paraId="5E2F5534" w14:textId="77777777" w:rsidR="00CF09B3" w:rsidRPr="007375EB" w:rsidRDefault="00CF09B3" w:rsidP="00CF09B3">
            <w:pPr>
              <w:rPr>
                <w:lang w:val="bg-BG"/>
              </w:rPr>
            </w:pPr>
            <w:r w:rsidRPr="007375EB">
              <w:rPr>
                <w:lang w:val="bg-BG"/>
              </w:rPr>
              <w:t>-</w:t>
            </w:r>
          </w:p>
        </w:tc>
        <w:tc>
          <w:tcPr>
            <w:tcW w:w="720" w:type="dxa"/>
            <w:noWrap/>
            <w:vAlign w:val="center"/>
          </w:tcPr>
          <w:p w14:paraId="58E4A234" w14:textId="77777777" w:rsidR="00CF09B3" w:rsidRPr="007375EB" w:rsidRDefault="00CF09B3" w:rsidP="00CF09B3">
            <w:pPr>
              <w:rPr>
                <w:lang w:val="bg-BG"/>
              </w:rPr>
            </w:pPr>
            <w:r w:rsidRPr="007375EB">
              <w:rPr>
                <w:lang w:val="bg-BG"/>
              </w:rPr>
              <w:t>-</w:t>
            </w:r>
          </w:p>
        </w:tc>
        <w:tc>
          <w:tcPr>
            <w:tcW w:w="720" w:type="dxa"/>
            <w:noWrap/>
            <w:vAlign w:val="center"/>
          </w:tcPr>
          <w:p w14:paraId="562F7776" w14:textId="77777777" w:rsidR="00CF09B3" w:rsidRPr="007375EB" w:rsidRDefault="00CF09B3" w:rsidP="00CF09B3">
            <w:pPr>
              <w:rPr>
                <w:lang w:val="bg-BG"/>
              </w:rPr>
            </w:pPr>
            <w:r w:rsidRPr="007375EB">
              <w:rPr>
                <w:lang w:val="bg-BG"/>
              </w:rPr>
              <w:t>-</w:t>
            </w:r>
          </w:p>
        </w:tc>
        <w:tc>
          <w:tcPr>
            <w:tcW w:w="540" w:type="dxa"/>
            <w:noWrap/>
            <w:vAlign w:val="center"/>
          </w:tcPr>
          <w:p w14:paraId="7606CA26" w14:textId="77777777" w:rsidR="00CF09B3" w:rsidRPr="007375EB" w:rsidRDefault="00CF09B3" w:rsidP="00CF09B3">
            <w:pPr>
              <w:rPr>
                <w:lang w:val="bg-BG"/>
              </w:rPr>
            </w:pPr>
            <w:r w:rsidRPr="007375EB">
              <w:rPr>
                <w:lang w:val="bg-BG"/>
              </w:rPr>
              <w:t>-</w:t>
            </w:r>
          </w:p>
        </w:tc>
        <w:tc>
          <w:tcPr>
            <w:tcW w:w="990" w:type="dxa"/>
            <w:noWrap/>
            <w:vAlign w:val="center"/>
          </w:tcPr>
          <w:p w14:paraId="7D85FD4D" w14:textId="77777777" w:rsidR="00CF09B3" w:rsidRPr="007375EB" w:rsidRDefault="00CF09B3" w:rsidP="00CF09B3">
            <w:pPr>
              <w:rPr>
                <w:lang w:val="bg-BG"/>
              </w:rPr>
            </w:pPr>
            <w:r w:rsidRPr="007375EB">
              <w:rPr>
                <w:lang w:val="bg-BG"/>
              </w:rPr>
              <w:t>-</w:t>
            </w:r>
          </w:p>
        </w:tc>
        <w:tc>
          <w:tcPr>
            <w:tcW w:w="499" w:type="dxa"/>
            <w:noWrap/>
            <w:vAlign w:val="center"/>
          </w:tcPr>
          <w:p w14:paraId="18536996" w14:textId="77777777" w:rsidR="00CF09B3" w:rsidRPr="007375EB" w:rsidRDefault="00CF09B3" w:rsidP="00CF09B3">
            <w:pPr>
              <w:rPr>
                <w:lang w:val="bg-BG"/>
              </w:rPr>
            </w:pPr>
            <w:r w:rsidRPr="007375EB">
              <w:rPr>
                <w:lang w:val="bg-BG"/>
              </w:rPr>
              <w:t>-</w:t>
            </w:r>
          </w:p>
        </w:tc>
        <w:tc>
          <w:tcPr>
            <w:tcW w:w="507" w:type="dxa"/>
            <w:noWrap/>
            <w:vAlign w:val="center"/>
          </w:tcPr>
          <w:p w14:paraId="530667A6" w14:textId="77777777" w:rsidR="00CF09B3" w:rsidRPr="007375EB" w:rsidRDefault="00CF09B3" w:rsidP="00CF09B3">
            <w:pPr>
              <w:rPr>
                <w:lang w:val="bg-BG"/>
              </w:rPr>
            </w:pPr>
            <w:r w:rsidRPr="007375EB">
              <w:rPr>
                <w:lang w:val="bg-BG"/>
              </w:rPr>
              <w:t>-</w:t>
            </w:r>
          </w:p>
        </w:tc>
        <w:tc>
          <w:tcPr>
            <w:tcW w:w="524" w:type="dxa"/>
            <w:noWrap/>
            <w:vAlign w:val="center"/>
          </w:tcPr>
          <w:p w14:paraId="37C32213" w14:textId="77777777" w:rsidR="00CF09B3" w:rsidRPr="007375EB" w:rsidRDefault="00CF09B3" w:rsidP="00CF09B3">
            <w:pPr>
              <w:rPr>
                <w:lang w:val="bg-BG"/>
              </w:rPr>
            </w:pPr>
            <w:r w:rsidRPr="007375EB">
              <w:rPr>
                <w:lang w:val="bg-BG"/>
              </w:rPr>
              <w:t>-</w:t>
            </w:r>
          </w:p>
        </w:tc>
        <w:tc>
          <w:tcPr>
            <w:tcW w:w="616" w:type="dxa"/>
            <w:noWrap/>
            <w:vAlign w:val="center"/>
          </w:tcPr>
          <w:p w14:paraId="53FEF36A" w14:textId="77777777" w:rsidR="00CF09B3" w:rsidRPr="007375EB" w:rsidRDefault="00CF09B3" w:rsidP="00CF09B3">
            <w:pPr>
              <w:rPr>
                <w:lang w:val="bg-BG"/>
              </w:rPr>
            </w:pPr>
            <w:r w:rsidRPr="007375EB">
              <w:rPr>
                <w:lang w:val="bg-BG"/>
              </w:rPr>
              <w:t>-</w:t>
            </w:r>
          </w:p>
        </w:tc>
        <w:tc>
          <w:tcPr>
            <w:tcW w:w="612" w:type="dxa"/>
            <w:noWrap/>
            <w:vAlign w:val="center"/>
          </w:tcPr>
          <w:p w14:paraId="76CD1268" w14:textId="77777777" w:rsidR="00CF09B3" w:rsidRPr="007375EB" w:rsidRDefault="00CF09B3" w:rsidP="00CF09B3">
            <w:pPr>
              <w:rPr>
                <w:lang w:val="bg-BG"/>
              </w:rPr>
            </w:pPr>
            <w:r w:rsidRPr="007375EB">
              <w:rPr>
                <w:lang w:val="bg-BG"/>
              </w:rPr>
              <w:t>-</w:t>
            </w:r>
          </w:p>
        </w:tc>
      </w:tr>
      <w:tr w:rsidR="00CF09B3" w:rsidRPr="007375EB" w14:paraId="50FE5F3F" w14:textId="77777777" w:rsidTr="006C1B17">
        <w:trPr>
          <w:trHeight w:val="210"/>
        </w:trPr>
        <w:tc>
          <w:tcPr>
            <w:tcW w:w="621" w:type="dxa"/>
            <w:noWrap/>
          </w:tcPr>
          <w:p w14:paraId="49F506DA" w14:textId="77777777" w:rsidR="00CF09B3" w:rsidRPr="007375EB" w:rsidRDefault="00CF09B3" w:rsidP="00CF09B3">
            <w:pPr>
              <w:rPr>
                <w:lang w:val="bg-BG"/>
              </w:rPr>
            </w:pPr>
            <w:r w:rsidRPr="007375EB">
              <w:rPr>
                <w:lang w:val="bg-BG"/>
              </w:rPr>
              <w:t>7</w:t>
            </w:r>
          </w:p>
        </w:tc>
        <w:tc>
          <w:tcPr>
            <w:tcW w:w="3189" w:type="dxa"/>
            <w:noWrap/>
          </w:tcPr>
          <w:p w14:paraId="5814ACF7" w14:textId="58B88FFD" w:rsidR="00CF09B3" w:rsidRPr="007375EB" w:rsidRDefault="00CF09B3" w:rsidP="00CF09B3">
            <w:pPr>
              <w:jc w:val="both"/>
              <w:rPr>
                <w:lang w:val="bg-BG"/>
              </w:rPr>
            </w:pPr>
            <w:r w:rsidRPr="007375EB">
              <w:rPr>
                <w:lang w:val="bg-BG"/>
              </w:rPr>
              <w:t>Изграждане на подземна оптична мрежа за електронни съобщителни услуги, Негру Вода (предложено)</w:t>
            </w:r>
          </w:p>
        </w:tc>
        <w:tc>
          <w:tcPr>
            <w:tcW w:w="2125" w:type="dxa"/>
            <w:noWrap/>
            <w:vAlign w:val="center"/>
          </w:tcPr>
          <w:p w14:paraId="2C3C5C6B" w14:textId="77777777" w:rsidR="00CF09B3" w:rsidRPr="007375EB" w:rsidRDefault="00CF09B3" w:rsidP="00CF09B3">
            <w:pPr>
              <w:rPr>
                <w:lang w:val="bg-BG"/>
              </w:rPr>
            </w:pPr>
            <w:r w:rsidRPr="007375EB">
              <w:rPr>
                <w:lang w:val="bg-BG"/>
              </w:rPr>
              <w:t>5,22 км</w:t>
            </w:r>
          </w:p>
        </w:tc>
        <w:tc>
          <w:tcPr>
            <w:tcW w:w="482" w:type="dxa"/>
            <w:noWrap/>
            <w:vAlign w:val="center"/>
          </w:tcPr>
          <w:p w14:paraId="22B242CC" w14:textId="77777777" w:rsidR="00CF09B3" w:rsidRPr="007375EB" w:rsidRDefault="00CF09B3" w:rsidP="00CF09B3">
            <w:pPr>
              <w:rPr>
                <w:lang w:val="bg-BG"/>
              </w:rPr>
            </w:pPr>
            <w:r w:rsidRPr="007375EB">
              <w:rPr>
                <w:lang w:val="bg-BG"/>
              </w:rPr>
              <w:t>-</w:t>
            </w:r>
          </w:p>
        </w:tc>
        <w:tc>
          <w:tcPr>
            <w:tcW w:w="916" w:type="dxa"/>
            <w:noWrap/>
            <w:vAlign w:val="center"/>
          </w:tcPr>
          <w:p w14:paraId="2BB9625A" w14:textId="77777777" w:rsidR="00CF09B3" w:rsidRPr="007375EB" w:rsidRDefault="00CF09B3" w:rsidP="00CF09B3">
            <w:pPr>
              <w:rPr>
                <w:lang w:val="bg-BG"/>
              </w:rPr>
            </w:pPr>
            <w:r w:rsidRPr="007375EB">
              <w:rPr>
                <w:lang w:val="bg-BG"/>
              </w:rPr>
              <w:t>-</w:t>
            </w:r>
          </w:p>
        </w:tc>
        <w:tc>
          <w:tcPr>
            <w:tcW w:w="916" w:type="dxa"/>
            <w:noWrap/>
            <w:vAlign w:val="center"/>
          </w:tcPr>
          <w:p w14:paraId="01FEF329" w14:textId="77777777" w:rsidR="00CF09B3" w:rsidRPr="007375EB" w:rsidRDefault="00CF09B3" w:rsidP="00CF09B3">
            <w:pPr>
              <w:rPr>
                <w:lang w:val="bg-BG"/>
              </w:rPr>
            </w:pPr>
            <w:r w:rsidRPr="007375EB">
              <w:rPr>
                <w:lang w:val="bg-BG"/>
              </w:rPr>
              <w:t>-</w:t>
            </w:r>
          </w:p>
        </w:tc>
        <w:tc>
          <w:tcPr>
            <w:tcW w:w="810" w:type="dxa"/>
            <w:noWrap/>
            <w:vAlign w:val="center"/>
          </w:tcPr>
          <w:p w14:paraId="2CC324EB" w14:textId="77777777" w:rsidR="00CF09B3" w:rsidRPr="007375EB" w:rsidRDefault="00CF09B3" w:rsidP="00CF09B3">
            <w:pPr>
              <w:rPr>
                <w:lang w:val="bg-BG"/>
              </w:rPr>
            </w:pPr>
            <w:r w:rsidRPr="007375EB">
              <w:rPr>
                <w:lang w:val="bg-BG"/>
              </w:rPr>
              <w:t>-</w:t>
            </w:r>
          </w:p>
        </w:tc>
        <w:tc>
          <w:tcPr>
            <w:tcW w:w="630" w:type="dxa"/>
            <w:noWrap/>
            <w:vAlign w:val="center"/>
          </w:tcPr>
          <w:p w14:paraId="556C079D" w14:textId="77777777" w:rsidR="00CF09B3" w:rsidRPr="007375EB" w:rsidRDefault="00CF09B3" w:rsidP="00CF09B3">
            <w:pPr>
              <w:rPr>
                <w:lang w:val="bg-BG"/>
              </w:rPr>
            </w:pPr>
            <w:r w:rsidRPr="007375EB">
              <w:rPr>
                <w:lang w:val="bg-BG"/>
              </w:rPr>
              <w:t>-</w:t>
            </w:r>
          </w:p>
        </w:tc>
        <w:tc>
          <w:tcPr>
            <w:tcW w:w="720" w:type="dxa"/>
            <w:noWrap/>
            <w:vAlign w:val="center"/>
          </w:tcPr>
          <w:p w14:paraId="2C6D0461" w14:textId="77777777" w:rsidR="00CF09B3" w:rsidRPr="007375EB" w:rsidRDefault="00CF09B3" w:rsidP="00CF09B3">
            <w:pPr>
              <w:rPr>
                <w:lang w:val="bg-BG"/>
              </w:rPr>
            </w:pPr>
            <w:r w:rsidRPr="007375EB">
              <w:rPr>
                <w:lang w:val="bg-BG"/>
              </w:rPr>
              <w:t>-</w:t>
            </w:r>
          </w:p>
        </w:tc>
        <w:tc>
          <w:tcPr>
            <w:tcW w:w="720" w:type="dxa"/>
            <w:noWrap/>
            <w:vAlign w:val="center"/>
          </w:tcPr>
          <w:p w14:paraId="6D4DB7C1" w14:textId="77777777" w:rsidR="00CF09B3" w:rsidRPr="007375EB" w:rsidRDefault="00CF09B3" w:rsidP="00CF09B3">
            <w:pPr>
              <w:rPr>
                <w:lang w:val="bg-BG"/>
              </w:rPr>
            </w:pPr>
            <w:r w:rsidRPr="007375EB">
              <w:rPr>
                <w:lang w:val="bg-BG"/>
              </w:rPr>
              <w:t>-</w:t>
            </w:r>
          </w:p>
        </w:tc>
        <w:tc>
          <w:tcPr>
            <w:tcW w:w="540" w:type="dxa"/>
            <w:noWrap/>
            <w:vAlign w:val="center"/>
          </w:tcPr>
          <w:p w14:paraId="598F61FF" w14:textId="77777777" w:rsidR="00CF09B3" w:rsidRPr="007375EB" w:rsidRDefault="00CF09B3" w:rsidP="00CF09B3">
            <w:pPr>
              <w:rPr>
                <w:lang w:val="bg-BG"/>
              </w:rPr>
            </w:pPr>
            <w:r w:rsidRPr="007375EB">
              <w:rPr>
                <w:lang w:val="bg-BG"/>
              </w:rPr>
              <w:t>-</w:t>
            </w:r>
          </w:p>
        </w:tc>
        <w:tc>
          <w:tcPr>
            <w:tcW w:w="990" w:type="dxa"/>
            <w:noWrap/>
            <w:vAlign w:val="center"/>
          </w:tcPr>
          <w:p w14:paraId="6CAF4947" w14:textId="77777777" w:rsidR="00CF09B3" w:rsidRPr="007375EB" w:rsidRDefault="00CF09B3" w:rsidP="00CF09B3">
            <w:pPr>
              <w:rPr>
                <w:lang w:val="bg-BG"/>
              </w:rPr>
            </w:pPr>
            <w:r w:rsidRPr="007375EB">
              <w:rPr>
                <w:lang w:val="bg-BG"/>
              </w:rPr>
              <w:t>-</w:t>
            </w:r>
          </w:p>
        </w:tc>
        <w:tc>
          <w:tcPr>
            <w:tcW w:w="499" w:type="dxa"/>
            <w:noWrap/>
            <w:vAlign w:val="center"/>
          </w:tcPr>
          <w:p w14:paraId="1B9B1A3D" w14:textId="77777777" w:rsidR="00CF09B3" w:rsidRPr="007375EB" w:rsidRDefault="00CF09B3" w:rsidP="00CF09B3">
            <w:pPr>
              <w:rPr>
                <w:lang w:val="bg-BG"/>
              </w:rPr>
            </w:pPr>
            <w:r w:rsidRPr="007375EB">
              <w:rPr>
                <w:lang w:val="bg-BG"/>
              </w:rPr>
              <w:t>-</w:t>
            </w:r>
          </w:p>
        </w:tc>
        <w:tc>
          <w:tcPr>
            <w:tcW w:w="507" w:type="dxa"/>
            <w:noWrap/>
            <w:vAlign w:val="center"/>
          </w:tcPr>
          <w:p w14:paraId="284A49F0" w14:textId="77777777" w:rsidR="00CF09B3" w:rsidRPr="007375EB" w:rsidRDefault="00CF09B3" w:rsidP="00CF09B3">
            <w:pPr>
              <w:rPr>
                <w:lang w:val="bg-BG"/>
              </w:rPr>
            </w:pPr>
            <w:r w:rsidRPr="007375EB">
              <w:rPr>
                <w:lang w:val="bg-BG"/>
              </w:rPr>
              <w:t>-</w:t>
            </w:r>
          </w:p>
        </w:tc>
        <w:tc>
          <w:tcPr>
            <w:tcW w:w="524" w:type="dxa"/>
            <w:noWrap/>
            <w:vAlign w:val="center"/>
          </w:tcPr>
          <w:p w14:paraId="4503435F" w14:textId="77777777" w:rsidR="00CF09B3" w:rsidRPr="007375EB" w:rsidRDefault="00CF09B3" w:rsidP="00CF09B3">
            <w:pPr>
              <w:rPr>
                <w:lang w:val="bg-BG"/>
              </w:rPr>
            </w:pPr>
            <w:r w:rsidRPr="007375EB">
              <w:rPr>
                <w:lang w:val="bg-BG"/>
              </w:rPr>
              <w:t>-</w:t>
            </w:r>
          </w:p>
        </w:tc>
        <w:tc>
          <w:tcPr>
            <w:tcW w:w="616" w:type="dxa"/>
            <w:noWrap/>
            <w:vAlign w:val="center"/>
          </w:tcPr>
          <w:p w14:paraId="293C5C6B" w14:textId="77777777" w:rsidR="00CF09B3" w:rsidRPr="007375EB" w:rsidRDefault="00CF09B3" w:rsidP="00CF09B3">
            <w:pPr>
              <w:rPr>
                <w:lang w:val="bg-BG"/>
              </w:rPr>
            </w:pPr>
            <w:r w:rsidRPr="007375EB">
              <w:rPr>
                <w:lang w:val="bg-BG"/>
              </w:rPr>
              <w:t>-</w:t>
            </w:r>
          </w:p>
        </w:tc>
        <w:tc>
          <w:tcPr>
            <w:tcW w:w="612" w:type="dxa"/>
            <w:noWrap/>
            <w:vAlign w:val="center"/>
          </w:tcPr>
          <w:p w14:paraId="0BB24499" w14:textId="77777777" w:rsidR="00CF09B3" w:rsidRPr="007375EB" w:rsidRDefault="00CF09B3" w:rsidP="00CF09B3">
            <w:pPr>
              <w:rPr>
                <w:lang w:val="bg-BG"/>
              </w:rPr>
            </w:pPr>
            <w:r w:rsidRPr="007375EB">
              <w:rPr>
                <w:lang w:val="bg-BG"/>
              </w:rPr>
              <w:t>-</w:t>
            </w:r>
          </w:p>
        </w:tc>
      </w:tr>
      <w:tr w:rsidR="00CF09B3" w:rsidRPr="007375EB" w14:paraId="5E03D0AE" w14:textId="77777777" w:rsidTr="006C1B17">
        <w:trPr>
          <w:trHeight w:val="210"/>
        </w:trPr>
        <w:tc>
          <w:tcPr>
            <w:tcW w:w="621" w:type="dxa"/>
            <w:noWrap/>
          </w:tcPr>
          <w:p w14:paraId="4998E088" w14:textId="77777777" w:rsidR="00CF09B3" w:rsidRPr="007375EB" w:rsidRDefault="00CF09B3" w:rsidP="00CF09B3">
            <w:pPr>
              <w:rPr>
                <w:lang w:val="bg-BG"/>
              </w:rPr>
            </w:pPr>
            <w:r w:rsidRPr="007375EB">
              <w:rPr>
                <w:lang w:val="bg-BG"/>
              </w:rPr>
              <w:t>8</w:t>
            </w:r>
          </w:p>
        </w:tc>
        <w:tc>
          <w:tcPr>
            <w:tcW w:w="3189" w:type="dxa"/>
            <w:noWrap/>
          </w:tcPr>
          <w:p w14:paraId="08EAA9C9" w14:textId="229D1A31" w:rsidR="00CF09B3" w:rsidRPr="007375EB" w:rsidRDefault="00CF09B3" w:rsidP="00CF09B3">
            <w:pPr>
              <w:jc w:val="both"/>
              <w:rPr>
                <w:lang w:val="bg-BG"/>
              </w:rPr>
            </w:pPr>
            <w:r w:rsidRPr="007375EB">
              <w:rPr>
                <w:lang w:val="bg-BG"/>
              </w:rPr>
              <w:t>Електроснабдяване на домакинство с вода, с. Фурника, община Думбръвени, окръг Констанца (предложено)</w:t>
            </w:r>
          </w:p>
        </w:tc>
        <w:tc>
          <w:tcPr>
            <w:tcW w:w="2125" w:type="dxa"/>
            <w:noWrap/>
            <w:vAlign w:val="center"/>
          </w:tcPr>
          <w:p w14:paraId="2D803879" w14:textId="77777777" w:rsidR="00CF09B3" w:rsidRPr="007375EB" w:rsidRDefault="00CF09B3" w:rsidP="00CF09B3">
            <w:pPr>
              <w:rPr>
                <w:lang w:val="bg-BG"/>
              </w:rPr>
            </w:pPr>
            <w:r w:rsidRPr="007375EB">
              <w:rPr>
                <w:lang w:val="bg-BG"/>
              </w:rPr>
              <w:t>34,47 км</w:t>
            </w:r>
          </w:p>
        </w:tc>
        <w:tc>
          <w:tcPr>
            <w:tcW w:w="482" w:type="dxa"/>
            <w:noWrap/>
            <w:vAlign w:val="center"/>
          </w:tcPr>
          <w:p w14:paraId="2B033321" w14:textId="77777777" w:rsidR="00CF09B3" w:rsidRPr="007375EB" w:rsidRDefault="00CF09B3" w:rsidP="00CF09B3">
            <w:pPr>
              <w:rPr>
                <w:lang w:val="bg-BG"/>
              </w:rPr>
            </w:pPr>
            <w:r w:rsidRPr="007375EB">
              <w:rPr>
                <w:lang w:val="bg-BG"/>
              </w:rPr>
              <w:t>-</w:t>
            </w:r>
          </w:p>
        </w:tc>
        <w:tc>
          <w:tcPr>
            <w:tcW w:w="916" w:type="dxa"/>
            <w:noWrap/>
            <w:vAlign w:val="center"/>
          </w:tcPr>
          <w:p w14:paraId="34CD432B" w14:textId="77777777" w:rsidR="00CF09B3" w:rsidRPr="007375EB" w:rsidRDefault="00CF09B3" w:rsidP="00CF09B3">
            <w:pPr>
              <w:rPr>
                <w:lang w:val="bg-BG"/>
              </w:rPr>
            </w:pPr>
            <w:r w:rsidRPr="007375EB">
              <w:rPr>
                <w:lang w:val="bg-BG"/>
              </w:rPr>
              <w:t>-</w:t>
            </w:r>
          </w:p>
        </w:tc>
        <w:tc>
          <w:tcPr>
            <w:tcW w:w="916" w:type="dxa"/>
            <w:noWrap/>
            <w:vAlign w:val="center"/>
          </w:tcPr>
          <w:p w14:paraId="41969BB8" w14:textId="77777777" w:rsidR="00CF09B3" w:rsidRPr="007375EB" w:rsidRDefault="00CF09B3" w:rsidP="00CF09B3">
            <w:pPr>
              <w:rPr>
                <w:lang w:val="bg-BG"/>
              </w:rPr>
            </w:pPr>
            <w:r w:rsidRPr="007375EB">
              <w:rPr>
                <w:lang w:val="bg-BG"/>
              </w:rPr>
              <w:t>-</w:t>
            </w:r>
          </w:p>
        </w:tc>
        <w:tc>
          <w:tcPr>
            <w:tcW w:w="810" w:type="dxa"/>
            <w:noWrap/>
            <w:vAlign w:val="center"/>
          </w:tcPr>
          <w:p w14:paraId="49E0A62E" w14:textId="77777777" w:rsidR="00CF09B3" w:rsidRPr="007375EB" w:rsidRDefault="00CF09B3" w:rsidP="00CF09B3">
            <w:pPr>
              <w:rPr>
                <w:lang w:val="bg-BG"/>
              </w:rPr>
            </w:pPr>
            <w:r w:rsidRPr="007375EB">
              <w:rPr>
                <w:lang w:val="bg-BG"/>
              </w:rPr>
              <w:t>-</w:t>
            </w:r>
          </w:p>
        </w:tc>
        <w:tc>
          <w:tcPr>
            <w:tcW w:w="630" w:type="dxa"/>
            <w:noWrap/>
            <w:vAlign w:val="center"/>
          </w:tcPr>
          <w:p w14:paraId="4A53FF5D" w14:textId="77777777" w:rsidR="00CF09B3" w:rsidRPr="007375EB" w:rsidRDefault="00CF09B3" w:rsidP="00CF09B3">
            <w:pPr>
              <w:rPr>
                <w:lang w:val="bg-BG"/>
              </w:rPr>
            </w:pPr>
            <w:r w:rsidRPr="007375EB">
              <w:rPr>
                <w:lang w:val="bg-BG"/>
              </w:rPr>
              <w:t>-</w:t>
            </w:r>
          </w:p>
        </w:tc>
        <w:tc>
          <w:tcPr>
            <w:tcW w:w="720" w:type="dxa"/>
            <w:noWrap/>
            <w:vAlign w:val="center"/>
          </w:tcPr>
          <w:p w14:paraId="137865A9" w14:textId="77777777" w:rsidR="00CF09B3" w:rsidRPr="007375EB" w:rsidRDefault="00CF09B3" w:rsidP="00CF09B3">
            <w:pPr>
              <w:rPr>
                <w:lang w:val="bg-BG"/>
              </w:rPr>
            </w:pPr>
            <w:r w:rsidRPr="007375EB">
              <w:rPr>
                <w:lang w:val="bg-BG"/>
              </w:rPr>
              <w:t>-</w:t>
            </w:r>
          </w:p>
        </w:tc>
        <w:tc>
          <w:tcPr>
            <w:tcW w:w="720" w:type="dxa"/>
            <w:noWrap/>
            <w:vAlign w:val="center"/>
          </w:tcPr>
          <w:p w14:paraId="0CE0B3D4" w14:textId="77777777" w:rsidR="00CF09B3" w:rsidRPr="007375EB" w:rsidRDefault="00CF09B3" w:rsidP="00CF09B3">
            <w:pPr>
              <w:rPr>
                <w:lang w:val="bg-BG"/>
              </w:rPr>
            </w:pPr>
            <w:r w:rsidRPr="007375EB">
              <w:rPr>
                <w:lang w:val="bg-BG"/>
              </w:rPr>
              <w:t>-</w:t>
            </w:r>
          </w:p>
        </w:tc>
        <w:tc>
          <w:tcPr>
            <w:tcW w:w="540" w:type="dxa"/>
            <w:noWrap/>
            <w:vAlign w:val="center"/>
          </w:tcPr>
          <w:p w14:paraId="235F7EAB" w14:textId="77777777" w:rsidR="00CF09B3" w:rsidRPr="007375EB" w:rsidRDefault="00CF09B3" w:rsidP="00CF09B3">
            <w:pPr>
              <w:rPr>
                <w:lang w:val="bg-BG"/>
              </w:rPr>
            </w:pPr>
            <w:r w:rsidRPr="007375EB">
              <w:rPr>
                <w:lang w:val="bg-BG"/>
              </w:rPr>
              <w:t>-</w:t>
            </w:r>
          </w:p>
        </w:tc>
        <w:tc>
          <w:tcPr>
            <w:tcW w:w="990" w:type="dxa"/>
            <w:noWrap/>
            <w:vAlign w:val="center"/>
          </w:tcPr>
          <w:p w14:paraId="218B37DF" w14:textId="77777777" w:rsidR="00CF09B3" w:rsidRPr="007375EB" w:rsidRDefault="00CF09B3" w:rsidP="00CF09B3">
            <w:pPr>
              <w:rPr>
                <w:lang w:val="bg-BG"/>
              </w:rPr>
            </w:pPr>
            <w:r w:rsidRPr="007375EB">
              <w:rPr>
                <w:lang w:val="bg-BG"/>
              </w:rPr>
              <w:t>-</w:t>
            </w:r>
          </w:p>
        </w:tc>
        <w:tc>
          <w:tcPr>
            <w:tcW w:w="499" w:type="dxa"/>
            <w:noWrap/>
            <w:vAlign w:val="center"/>
          </w:tcPr>
          <w:p w14:paraId="74EB2001" w14:textId="77777777" w:rsidR="00CF09B3" w:rsidRPr="007375EB" w:rsidRDefault="00CF09B3" w:rsidP="00CF09B3">
            <w:pPr>
              <w:rPr>
                <w:lang w:val="bg-BG"/>
              </w:rPr>
            </w:pPr>
            <w:r w:rsidRPr="007375EB">
              <w:rPr>
                <w:lang w:val="bg-BG"/>
              </w:rPr>
              <w:t>-</w:t>
            </w:r>
          </w:p>
        </w:tc>
        <w:tc>
          <w:tcPr>
            <w:tcW w:w="507" w:type="dxa"/>
            <w:noWrap/>
            <w:vAlign w:val="center"/>
          </w:tcPr>
          <w:p w14:paraId="7B37B6D4" w14:textId="77777777" w:rsidR="00CF09B3" w:rsidRPr="007375EB" w:rsidRDefault="00CF09B3" w:rsidP="00CF09B3">
            <w:pPr>
              <w:rPr>
                <w:lang w:val="bg-BG"/>
              </w:rPr>
            </w:pPr>
            <w:r w:rsidRPr="007375EB">
              <w:rPr>
                <w:lang w:val="bg-BG"/>
              </w:rPr>
              <w:t>-</w:t>
            </w:r>
          </w:p>
        </w:tc>
        <w:tc>
          <w:tcPr>
            <w:tcW w:w="524" w:type="dxa"/>
            <w:noWrap/>
            <w:vAlign w:val="center"/>
          </w:tcPr>
          <w:p w14:paraId="236DD595" w14:textId="77777777" w:rsidR="00CF09B3" w:rsidRPr="007375EB" w:rsidRDefault="00CF09B3" w:rsidP="00CF09B3">
            <w:pPr>
              <w:rPr>
                <w:lang w:val="bg-BG"/>
              </w:rPr>
            </w:pPr>
            <w:r w:rsidRPr="007375EB">
              <w:rPr>
                <w:lang w:val="bg-BG"/>
              </w:rPr>
              <w:t>-</w:t>
            </w:r>
          </w:p>
        </w:tc>
        <w:tc>
          <w:tcPr>
            <w:tcW w:w="616" w:type="dxa"/>
            <w:noWrap/>
            <w:vAlign w:val="center"/>
          </w:tcPr>
          <w:p w14:paraId="47A784A1" w14:textId="77777777" w:rsidR="00CF09B3" w:rsidRPr="007375EB" w:rsidRDefault="00CF09B3" w:rsidP="00CF09B3">
            <w:pPr>
              <w:rPr>
                <w:lang w:val="bg-BG"/>
              </w:rPr>
            </w:pPr>
            <w:r w:rsidRPr="007375EB">
              <w:rPr>
                <w:lang w:val="bg-BG"/>
              </w:rPr>
              <w:t>-</w:t>
            </w:r>
          </w:p>
        </w:tc>
        <w:tc>
          <w:tcPr>
            <w:tcW w:w="612" w:type="dxa"/>
            <w:noWrap/>
            <w:vAlign w:val="center"/>
          </w:tcPr>
          <w:p w14:paraId="0097E39E" w14:textId="77777777" w:rsidR="00CF09B3" w:rsidRPr="007375EB" w:rsidRDefault="00CF09B3" w:rsidP="00CF09B3">
            <w:pPr>
              <w:rPr>
                <w:lang w:val="bg-BG"/>
              </w:rPr>
            </w:pPr>
            <w:r w:rsidRPr="007375EB">
              <w:rPr>
                <w:lang w:val="bg-BG"/>
              </w:rPr>
              <w:t>-</w:t>
            </w:r>
          </w:p>
        </w:tc>
      </w:tr>
      <w:tr w:rsidR="00CF09B3" w:rsidRPr="007375EB" w14:paraId="14D00BE2" w14:textId="77777777" w:rsidTr="006C1B17">
        <w:trPr>
          <w:trHeight w:val="210"/>
        </w:trPr>
        <w:tc>
          <w:tcPr>
            <w:tcW w:w="621" w:type="dxa"/>
            <w:noWrap/>
          </w:tcPr>
          <w:p w14:paraId="53698A76" w14:textId="77777777" w:rsidR="00CF09B3" w:rsidRPr="007375EB" w:rsidRDefault="00CF09B3" w:rsidP="00CF09B3">
            <w:pPr>
              <w:rPr>
                <w:lang w:val="bg-BG"/>
              </w:rPr>
            </w:pPr>
            <w:r w:rsidRPr="007375EB">
              <w:rPr>
                <w:lang w:val="bg-BG"/>
              </w:rPr>
              <w:t>9</w:t>
            </w:r>
          </w:p>
        </w:tc>
        <w:tc>
          <w:tcPr>
            <w:tcW w:w="3189" w:type="dxa"/>
            <w:noWrap/>
          </w:tcPr>
          <w:p w14:paraId="12F1C1B6" w14:textId="7E07F65F" w:rsidR="00CF09B3" w:rsidRPr="007375EB" w:rsidRDefault="00CF09B3" w:rsidP="00CF09B3">
            <w:pPr>
              <w:jc w:val="both"/>
              <w:rPr>
                <w:lang w:val="bg-BG"/>
              </w:rPr>
            </w:pPr>
            <w:r w:rsidRPr="007375EB">
              <w:rPr>
                <w:lang w:val="bg-BG"/>
              </w:rPr>
              <w:t>Преместване на международния транспортен тръбопровод за природен газ dn 1000T1 Исакча – Негру Вода, в района на кариерата ROMCIM, PL Меджидиа (предложено)</w:t>
            </w:r>
          </w:p>
        </w:tc>
        <w:tc>
          <w:tcPr>
            <w:tcW w:w="2125" w:type="dxa"/>
            <w:noWrap/>
            <w:vAlign w:val="center"/>
          </w:tcPr>
          <w:p w14:paraId="5FA12BB9" w14:textId="77777777" w:rsidR="00CF09B3" w:rsidRPr="007375EB" w:rsidRDefault="00CF09B3" w:rsidP="00CF09B3">
            <w:pPr>
              <w:rPr>
                <w:lang w:val="bg-BG"/>
              </w:rPr>
            </w:pPr>
            <w:r w:rsidRPr="007375EB">
              <w:rPr>
                <w:lang w:val="bg-BG"/>
              </w:rPr>
              <w:t>44,95 км</w:t>
            </w:r>
          </w:p>
        </w:tc>
        <w:tc>
          <w:tcPr>
            <w:tcW w:w="482" w:type="dxa"/>
            <w:noWrap/>
            <w:vAlign w:val="center"/>
          </w:tcPr>
          <w:p w14:paraId="4517326C" w14:textId="77777777" w:rsidR="00CF09B3" w:rsidRPr="007375EB" w:rsidRDefault="00CF09B3" w:rsidP="00CF09B3">
            <w:pPr>
              <w:rPr>
                <w:lang w:val="bg-BG"/>
              </w:rPr>
            </w:pPr>
            <w:r w:rsidRPr="007375EB">
              <w:rPr>
                <w:lang w:val="bg-BG"/>
              </w:rPr>
              <w:t>-</w:t>
            </w:r>
          </w:p>
        </w:tc>
        <w:tc>
          <w:tcPr>
            <w:tcW w:w="916" w:type="dxa"/>
            <w:noWrap/>
            <w:vAlign w:val="center"/>
          </w:tcPr>
          <w:p w14:paraId="25F62763" w14:textId="77777777" w:rsidR="00CF09B3" w:rsidRPr="007375EB" w:rsidRDefault="00CF09B3" w:rsidP="00CF09B3">
            <w:pPr>
              <w:rPr>
                <w:lang w:val="bg-BG"/>
              </w:rPr>
            </w:pPr>
            <w:r w:rsidRPr="007375EB">
              <w:rPr>
                <w:lang w:val="bg-BG"/>
              </w:rPr>
              <w:t>-</w:t>
            </w:r>
          </w:p>
        </w:tc>
        <w:tc>
          <w:tcPr>
            <w:tcW w:w="916" w:type="dxa"/>
            <w:noWrap/>
            <w:vAlign w:val="center"/>
          </w:tcPr>
          <w:p w14:paraId="6F51C5BF" w14:textId="77777777" w:rsidR="00CF09B3" w:rsidRPr="007375EB" w:rsidRDefault="00CF09B3" w:rsidP="00CF09B3">
            <w:pPr>
              <w:rPr>
                <w:lang w:val="bg-BG"/>
              </w:rPr>
            </w:pPr>
            <w:r w:rsidRPr="007375EB">
              <w:rPr>
                <w:lang w:val="bg-BG"/>
              </w:rPr>
              <w:t>-</w:t>
            </w:r>
          </w:p>
        </w:tc>
        <w:tc>
          <w:tcPr>
            <w:tcW w:w="810" w:type="dxa"/>
            <w:noWrap/>
            <w:vAlign w:val="center"/>
          </w:tcPr>
          <w:p w14:paraId="2F1C26DA" w14:textId="77777777" w:rsidR="00CF09B3" w:rsidRPr="007375EB" w:rsidRDefault="00CF09B3" w:rsidP="00CF09B3">
            <w:pPr>
              <w:rPr>
                <w:lang w:val="bg-BG"/>
              </w:rPr>
            </w:pPr>
            <w:r w:rsidRPr="007375EB">
              <w:rPr>
                <w:lang w:val="bg-BG"/>
              </w:rPr>
              <w:t>-</w:t>
            </w:r>
          </w:p>
        </w:tc>
        <w:tc>
          <w:tcPr>
            <w:tcW w:w="630" w:type="dxa"/>
            <w:noWrap/>
            <w:vAlign w:val="center"/>
          </w:tcPr>
          <w:p w14:paraId="660B336A" w14:textId="77777777" w:rsidR="00CF09B3" w:rsidRPr="007375EB" w:rsidRDefault="00CF09B3" w:rsidP="00CF09B3">
            <w:pPr>
              <w:rPr>
                <w:lang w:val="bg-BG"/>
              </w:rPr>
            </w:pPr>
            <w:r w:rsidRPr="007375EB">
              <w:rPr>
                <w:lang w:val="bg-BG"/>
              </w:rPr>
              <w:t>-</w:t>
            </w:r>
          </w:p>
        </w:tc>
        <w:tc>
          <w:tcPr>
            <w:tcW w:w="720" w:type="dxa"/>
            <w:noWrap/>
            <w:vAlign w:val="center"/>
          </w:tcPr>
          <w:p w14:paraId="56C04884" w14:textId="77777777" w:rsidR="00CF09B3" w:rsidRPr="007375EB" w:rsidRDefault="00CF09B3" w:rsidP="00CF09B3">
            <w:pPr>
              <w:rPr>
                <w:lang w:val="bg-BG"/>
              </w:rPr>
            </w:pPr>
            <w:r w:rsidRPr="007375EB">
              <w:rPr>
                <w:lang w:val="bg-BG"/>
              </w:rPr>
              <w:t>-</w:t>
            </w:r>
          </w:p>
        </w:tc>
        <w:tc>
          <w:tcPr>
            <w:tcW w:w="720" w:type="dxa"/>
            <w:noWrap/>
            <w:vAlign w:val="center"/>
          </w:tcPr>
          <w:p w14:paraId="29AAD615" w14:textId="77777777" w:rsidR="00CF09B3" w:rsidRPr="007375EB" w:rsidRDefault="00CF09B3" w:rsidP="00CF09B3">
            <w:pPr>
              <w:rPr>
                <w:lang w:val="bg-BG"/>
              </w:rPr>
            </w:pPr>
            <w:r w:rsidRPr="007375EB">
              <w:rPr>
                <w:lang w:val="bg-BG"/>
              </w:rPr>
              <w:t>-</w:t>
            </w:r>
          </w:p>
        </w:tc>
        <w:tc>
          <w:tcPr>
            <w:tcW w:w="540" w:type="dxa"/>
            <w:noWrap/>
            <w:vAlign w:val="center"/>
          </w:tcPr>
          <w:p w14:paraId="19E3AD36" w14:textId="77777777" w:rsidR="00CF09B3" w:rsidRPr="007375EB" w:rsidRDefault="00CF09B3" w:rsidP="00CF09B3">
            <w:pPr>
              <w:rPr>
                <w:lang w:val="bg-BG"/>
              </w:rPr>
            </w:pPr>
            <w:r w:rsidRPr="007375EB">
              <w:rPr>
                <w:lang w:val="bg-BG"/>
              </w:rPr>
              <w:t>-</w:t>
            </w:r>
          </w:p>
        </w:tc>
        <w:tc>
          <w:tcPr>
            <w:tcW w:w="990" w:type="dxa"/>
            <w:noWrap/>
            <w:vAlign w:val="center"/>
          </w:tcPr>
          <w:p w14:paraId="4E78B254" w14:textId="77777777" w:rsidR="00CF09B3" w:rsidRPr="007375EB" w:rsidRDefault="00CF09B3" w:rsidP="00CF09B3">
            <w:pPr>
              <w:rPr>
                <w:lang w:val="bg-BG"/>
              </w:rPr>
            </w:pPr>
            <w:r w:rsidRPr="007375EB">
              <w:rPr>
                <w:lang w:val="bg-BG"/>
              </w:rPr>
              <w:t>-</w:t>
            </w:r>
          </w:p>
        </w:tc>
        <w:tc>
          <w:tcPr>
            <w:tcW w:w="499" w:type="dxa"/>
            <w:noWrap/>
            <w:vAlign w:val="center"/>
          </w:tcPr>
          <w:p w14:paraId="075E25D3" w14:textId="77777777" w:rsidR="00CF09B3" w:rsidRPr="007375EB" w:rsidRDefault="00CF09B3" w:rsidP="00CF09B3">
            <w:pPr>
              <w:rPr>
                <w:lang w:val="bg-BG"/>
              </w:rPr>
            </w:pPr>
            <w:r w:rsidRPr="007375EB">
              <w:rPr>
                <w:lang w:val="bg-BG"/>
              </w:rPr>
              <w:t>-</w:t>
            </w:r>
          </w:p>
        </w:tc>
        <w:tc>
          <w:tcPr>
            <w:tcW w:w="507" w:type="dxa"/>
            <w:noWrap/>
            <w:vAlign w:val="center"/>
          </w:tcPr>
          <w:p w14:paraId="41DDB2F2" w14:textId="77777777" w:rsidR="00CF09B3" w:rsidRPr="007375EB" w:rsidRDefault="00CF09B3" w:rsidP="00CF09B3">
            <w:pPr>
              <w:rPr>
                <w:lang w:val="bg-BG"/>
              </w:rPr>
            </w:pPr>
            <w:r w:rsidRPr="007375EB">
              <w:rPr>
                <w:lang w:val="bg-BG"/>
              </w:rPr>
              <w:t>-</w:t>
            </w:r>
          </w:p>
        </w:tc>
        <w:tc>
          <w:tcPr>
            <w:tcW w:w="524" w:type="dxa"/>
            <w:noWrap/>
            <w:vAlign w:val="center"/>
          </w:tcPr>
          <w:p w14:paraId="7126B698" w14:textId="77777777" w:rsidR="00CF09B3" w:rsidRPr="007375EB" w:rsidRDefault="00CF09B3" w:rsidP="00CF09B3">
            <w:pPr>
              <w:rPr>
                <w:lang w:val="bg-BG"/>
              </w:rPr>
            </w:pPr>
            <w:r w:rsidRPr="007375EB">
              <w:rPr>
                <w:lang w:val="bg-BG"/>
              </w:rPr>
              <w:t>-</w:t>
            </w:r>
          </w:p>
        </w:tc>
        <w:tc>
          <w:tcPr>
            <w:tcW w:w="616" w:type="dxa"/>
            <w:noWrap/>
            <w:vAlign w:val="center"/>
          </w:tcPr>
          <w:p w14:paraId="7537C666" w14:textId="77777777" w:rsidR="00CF09B3" w:rsidRPr="007375EB" w:rsidRDefault="00CF09B3" w:rsidP="00CF09B3">
            <w:pPr>
              <w:rPr>
                <w:lang w:val="bg-BG"/>
              </w:rPr>
            </w:pPr>
            <w:r w:rsidRPr="007375EB">
              <w:rPr>
                <w:lang w:val="bg-BG"/>
              </w:rPr>
              <w:t>-</w:t>
            </w:r>
          </w:p>
        </w:tc>
        <w:tc>
          <w:tcPr>
            <w:tcW w:w="612" w:type="dxa"/>
            <w:noWrap/>
            <w:vAlign w:val="center"/>
          </w:tcPr>
          <w:p w14:paraId="77C32785" w14:textId="77777777" w:rsidR="00CF09B3" w:rsidRPr="007375EB" w:rsidRDefault="00CF09B3" w:rsidP="00CF09B3">
            <w:pPr>
              <w:rPr>
                <w:lang w:val="bg-BG"/>
              </w:rPr>
            </w:pPr>
            <w:r w:rsidRPr="007375EB">
              <w:rPr>
                <w:lang w:val="bg-BG"/>
              </w:rPr>
              <w:t>-</w:t>
            </w:r>
          </w:p>
        </w:tc>
      </w:tr>
      <w:tr w:rsidR="00CF09B3" w:rsidRPr="007375EB" w14:paraId="6D5DB20C" w14:textId="77777777" w:rsidTr="006C1B17">
        <w:trPr>
          <w:trHeight w:val="210"/>
        </w:trPr>
        <w:tc>
          <w:tcPr>
            <w:tcW w:w="621" w:type="dxa"/>
            <w:noWrap/>
          </w:tcPr>
          <w:p w14:paraId="0C64AC9B" w14:textId="77777777" w:rsidR="00CF09B3" w:rsidRPr="007375EB" w:rsidRDefault="00CF09B3" w:rsidP="00CF09B3">
            <w:pPr>
              <w:rPr>
                <w:lang w:val="bg-BG"/>
              </w:rPr>
            </w:pPr>
            <w:r w:rsidRPr="007375EB">
              <w:rPr>
                <w:lang w:val="bg-BG"/>
              </w:rPr>
              <w:t>10</w:t>
            </w:r>
          </w:p>
        </w:tc>
        <w:tc>
          <w:tcPr>
            <w:tcW w:w="3189" w:type="dxa"/>
            <w:noWrap/>
          </w:tcPr>
          <w:p w14:paraId="0D3E5F13" w14:textId="5C0752B4" w:rsidR="00CF09B3" w:rsidRPr="007375EB" w:rsidRDefault="00CF09B3" w:rsidP="00CF09B3">
            <w:pPr>
              <w:jc w:val="both"/>
              <w:rPr>
                <w:lang w:val="bg-BG"/>
              </w:rPr>
            </w:pPr>
            <w:r w:rsidRPr="007375EB">
              <w:rPr>
                <w:lang w:val="bg-BG"/>
              </w:rPr>
              <w:t>Общ градоустройствен план на община  Индепенденца (предложен)</w:t>
            </w:r>
          </w:p>
        </w:tc>
        <w:tc>
          <w:tcPr>
            <w:tcW w:w="2125" w:type="dxa"/>
            <w:noWrap/>
            <w:vAlign w:val="center"/>
          </w:tcPr>
          <w:p w14:paraId="2CD20830" w14:textId="77777777" w:rsidR="00CF09B3" w:rsidRPr="007375EB" w:rsidRDefault="00CF09B3" w:rsidP="00CF09B3">
            <w:pPr>
              <w:rPr>
                <w:lang w:val="bg-BG"/>
              </w:rPr>
            </w:pPr>
            <w:r w:rsidRPr="007375EB">
              <w:rPr>
                <w:lang w:val="bg-BG"/>
              </w:rPr>
              <w:t>18,46 км</w:t>
            </w:r>
          </w:p>
        </w:tc>
        <w:tc>
          <w:tcPr>
            <w:tcW w:w="482" w:type="dxa"/>
            <w:noWrap/>
            <w:vAlign w:val="center"/>
          </w:tcPr>
          <w:p w14:paraId="1090DA54" w14:textId="77777777" w:rsidR="00CF09B3" w:rsidRPr="007375EB" w:rsidRDefault="00CF09B3" w:rsidP="00CF09B3">
            <w:pPr>
              <w:rPr>
                <w:lang w:val="bg-BG"/>
              </w:rPr>
            </w:pPr>
            <w:r w:rsidRPr="007375EB">
              <w:rPr>
                <w:lang w:val="bg-BG"/>
              </w:rPr>
              <w:t>-</w:t>
            </w:r>
          </w:p>
        </w:tc>
        <w:tc>
          <w:tcPr>
            <w:tcW w:w="916" w:type="dxa"/>
            <w:noWrap/>
            <w:vAlign w:val="center"/>
          </w:tcPr>
          <w:p w14:paraId="20148788" w14:textId="77777777" w:rsidR="00CF09B3" w:rsidRPr="007375EB" w:rsidRDefault="00CF09B3" w:rsidP="00CF09B3">
            <w:pPr>
              <w:rPr>
                <w:lang w:val="bg-BG"/>
              </w:rPr>
            </w:pPr>
            <w:r w:rsidRPr="007375EB">
              <w:rPr>
                <w:lang w:val="bg-BG"/>
              </w:rPr>
              <w:t>-</w:t>
            </w:r>
          </w:p>
        </w:tc>
        <w:tc>
          <w:tcPr>
            <w:tcW w:w="916" w:type="dxa"/>
            <w:noWrap/>
            <w:vAlign w:val="center"/>
          </w:tcPr>
          <w:p w14:paraId="4EA03D07" w14:textId="77777777" w:rsidR="00CF09B3" w:rsidRPr="007375EB" w:rsidRDefault="00CF09B3" w:rsidP="00CF09B3">
            <w:pPr>
              <w:rPr>
                <w:lang w:val="bg-BG"/>
              </w:rPr>
            </w:pPr>
            <w:r w:rsidRPr="007375EB">
              <w:rPr>
                <w:lang w:val="bg-BG"/>
              </w:rPr>
              <w:t>-</w:t>
            </w:r>
          </w:p>
        </w:tc>
        <w:tc>
          <w:tcPr>
            <w:tcW w:w="810" w:type="dxa"/>
            <w:noWrap/>
            <w:vAlign w:val="center"/>
          </w:tcPr>
          <w:p w14:paraId="74522076" w14:textId="77777777" w:rsidR="00CF09B3" w:rsidRPr="007375EB" w:rsidRDefault="00CF09B3" w:rsidP="00CF09B3">
            <w:pPr>
              <w:rPr>
                <w:lang w:val="bg-BG"/>
              </w:rPr>
            </w:pPr>
            <w:r w:rsidRPr="007375EB">
              <w:rPr>
                <w:lang w:val="bg-BG"/>
              </w:rPr>
              <w:t>-</w:t>
            </w:r>
          </w:p>
        </w:tc>
        <w:tc>
          <w:tcPr>
            <w:tcW w:w="630" w:type="dxa"/>
            <w:noWrap/>
            <w:vAlign w:val="center"/>
          </w:tcPr>
          <w:p w14:paraId="0DB456CA" w14:textId="77777777" w:rsidR="00CF09B3" w:rsidRPr="007375EB" w:rsidRDefault="00CF09B3" w:rsidP="00CF09B3">
            <w:pPr>
              <w:rPr>
                <w:lang w:val="bg-BG"/>
              </w:rPr>
            </w:pPr>
            <w:r w:rsidRPr="007375EB">
              <w:rPr>
                <w:lang w:val="bg-BG"/>
              </w:rPr>
              <w:t>-</w:t>
            </w:r>
          </w:p>
        </w:tc>
        <w:tc>
          <w:tcPr>
            <w:tcW w:w="720" w:type="dxa"/>
            <w:noWrap/>
            <w:vAlign w:val="center"/>
          </w:tcPr>
          <w:p w14:paraId="5A724A0A" w14:textId="77777777" w:rsidR="00CF09B3" w:rsidRPr="007375EB" w:rsidRDefault="00CF09B3" w:rsidP="00CF09B3">
            <w:pPr>
              <w:rPr>
                <w:lang w:val="bg-BG"/>
              </w:rPr>
            </w:pPr>
            <w:r w:rsidRPr="007375EB">
              <w:rPr>
                <w:lang w:val="bg-BG"/>
              </w:rPr>
              <w:t>-</w:t>
            </w:r>
          </w:p>
        </w:tc>
        <w:tc>
          <w:tcPr>
            <w:tcW w:w="720" w:type="dxa"/>
            <w:noWrap/>
            <w:vAlign w:val="center"/>
          </w:tcPr>
          <w:p w14:paraId="6D8F467C" w14:textId="77777777" w:rsidR="00CF09B3" w:rsidRPr="007375EB" w:rsidRDefault="00CF09B3" w:rsidP="00CF09B3">
            <w:pPr>
              <w:rPr>
                <w:lang w:val="bg-BG"/>
              </w:rPr>
            </w:pPr>
            <w:r w:rsidRPr="007375EB">
              <w:rPr>
                <w:lang w:val="bg-BG"/>
              </w:rPr>
              <w:t>-</w:t>
            </w:r>
          </w:p>
        </w:tc>
        <w:tc>
          <w:tcPr>
            <w:tcW w:w="540" w:type="dxa"/>
            <w:noWrap/>
            <w:vAlign w:val="center"/>
          </w:tcPr>
          <w:p w14:paraId="2C8FEF9F" w14:textId="77777777" w:rsidR="00CF09B3" w:rsidRPr="007375EB" w:rsidRDefault="00CF09B3" w:rsidP="00CF09B3">
            <w:pPr>
              <w:rPr>
                <w:lang w:val="bg-BG"/>
              </w:rPr>
            </w:pPr>
            <w:r w:rsidRPr="007375EB">
              <w:rPr>
                <w:lang w:val="bg-BG"/>
              </w:rPr>
              <w:t>-</w:t>
            </w:r>
          </w:p>
        </w:tc>
        <w:tc>
          <w:tcPr>
            <w:tcW w:w="990" w:type="dxa"/>
            <w:noWrap/>
            <w:vAlign w:val="center"/>
          </w:tcPr>
          <w:p w14:paraId="28E861E2" w14:textId="77777777" w:rsidR="00CF09B3" w:rsidRPr="007375EB" w:rsidRDefault="00CF09B3" w:rsidP="00CF09B3">
            <w:pPr>
              <w:rPr>
                <w:lang w:val="bg-BG"/>
              </w:rPr>
            </w:pPr>
            <w:r w:rsidRPr="007375EB">
              <w:rPr>
                <w:lang w:val="bg-BG"/>
              </w:rPr>
              <w:t>-</w:t>
            </w:r>
          </w:p>
        </w:tc>
        <w:tc>
          <w:tcPr>
            <w:tcW w:w="499" w:type="dxa"/>
            <w:noWrap/>
            <w:vAlign w:val="center"/>
          </w:tcPr>
          <w:p w14:paraId="75FFDAA3" w14:textId="77777777" w:rsidR="00CF09B3" w:rsidRPr="007375EB" w:rsidRDefault="00CF09B3" w:rsidP="00CF09B3">
            <w:pPr>
              <w:rPr>
                <w:lang w:val="bg-BG"/>
              </w:rPr>
            </w:pPr>
            <w:r w:rsidRPr="007375EB">
              <w:rPr>
                <w:lang w:val="bg-BG"/>
              </w:rPr>
              <w:t>-</w:t>
            </w:r>
          </w:p>
        </w:tc>
        <w:tc>
          <w:tcPr>
            <w:tcW w:w="507" w:type="dxa"/>
            <w:noWrap/>
            <w:vAlign w:val="center"/>
          </w:tcPr>
          <w:p w14:paraId="7373A09D" w14:textId="77777777" w:rsidR="00CF09B3" w:rsidRPr="007375EB" w:rsidRDefault="00CF09B3" w:rsidP="00CF09B3">
            <w:pPr>
              <w:rPr>
                <w:lang w:val="bg-BG"/>
              </w:rPr>
            </w:pPr>
            <w:r w:rsidRPr="007375EB">
              <w:rPr>
                <w:lang w:val="bg-BG"/>
              </w:rPr>
              <w:t>-</w:t>
            </w:r>
          </w:p>
        </w:tc>
        <w:tc>
          <w:tcPr>
            <w:tcW w:w="524" w:type="dxa"/>
            <w:noWrap/>
            <w:vAlign w:val="center"/>
          </w:tcPr>
          <w:p w14:paraId="35E59B8D" w14:textId="77777777" w:rsidR="00CF09B3" w:rsidRPr="007375EB" w:rsidRDefault="00CF09B3" w:rsidP="00CF09B3">
            <w:pPr>
              <w:rPr>
                <w:lang w:val="bg-BG"/>
              </w:rPr>
            </w:pPr>
            <w:r w:rsidRPr="007375EB">
              <w:rPr>
                <w:lang w:val="bg-BG"/>
              </w:rPr>
              <w:t>-</w:t>
            </w:r>
          </w:p>
        </w:tc>
        <w:tc>
          <w:tcPr>
            <w:tcW w:w="616" w:type="dxa"/>
            <w:noWrap/>
            <w:vAlign w:val="center"/>
          </w:tcPr>
          <w:p w14:paraId="448D3515" w14:textId="77777777" w:rsidR="00CF09B3" w:rsidRPr="007375EB" w:rsidRDefault="00CF09B3" w:rsidP="00CF09B3">
            <w:pPr>
              <w:rPr>
                <w:lang w:val="bg-BG"/>
              </w:rPr>
            </w:pPr>
            <w:r w:rsidRPr="007375EB">
              <w:rPr>
                <w:lang w:val="bg-BG"/>
              </w:rPr>
              <w:t>-</w:t>
            </w:r>
          </w:p>
        </w:tc>
        <w:tc>
          <w:tcPr>
            <w:tcW w:w="612" w:type="dxa"/>
            <w:noWrap/>
            <w:vAlign w:val="center"/>
          </w:tcPr>
          <w:p w14:paraId="783A3DB1" w14:textId="77777777" w:rsidR="00CF09B3" w:rsidRPr="007375EB" w:rsidRDefault="00CF09B3" w:rsidP="00CF09B3">
            <w:pPr>
              <w:rPr>
                <w:lang w:val="bg-BG"/>
              </w:rPr>
            </w:pPr>
            <w:r w:rsidRPr="007375EB">
              <w:rPr>
                <w:lang w:val="bg-BG"/>
              </w:rPr>
              <w:t>-</w:t>
            </w:r>
          </w:p>
        </w:tc>
      </w:tr>
      <w:tr w:rsidR="00CF09B3" w:rsidRPr="007375EB" w14:paraId="042EF6A0" w14:textId="77777777" w:rsidTr="006C1B17">
        <w:trPr>
          <w:trHeight w:val="210"/>
        </w:trPr>
        <w:tc>
          <w:tcPr>
            <w:tcW w:w="621" w:type="dxa"/>
            <w:noWrap/>
          </w:tcPr>
          <w:p w14:paraId="3E847537" w14:textId="77777777" w:rsidR="00CF09B3" w:rsidRPr="007375EB" w:rsidRDefault="00CF09B3" w:rsidP="00CF09B3">
            <w:pPr>
              <w:rPr>
                <w:lang w:val="bg-BG"/>
              </w:rPr>
            </w:pPr>
            <w:r w:rsidRPr="007375EB">
              <w:rPr>
                <w:lang w:val="bg-BG"/>
              </w:rPr>
              <w:lastRenderedPageBreak/>
              <w:t>11</w:t>
            </w:r>
          </w:p>
        </w:tc>
        <w:tc>
          <w:tcPr>
            <w:tcW w:w="3189" w:type="dxa"/>
            <w:noWrap/>
          </w:tcPr>
          <w:p w14:paraId="7A918662" w14:textId="3DA39E81" w:rsidR="00CF09B3" w:rsidRPr="007375EB" w:rsidRDefault="00CF09B3" w:rsidP="00CF09B3">
            <w:pPr>
              <w:jc w:val="both"/>
              <w:rPr>
                <w:lang w:val="bg-BG"/>
              </w:rPr>
            </w:pPr>
            <w:r w:rsidRPr="007375EB">
              <w:rPr>
                <w:lang w:val="bg-BG"/>
              </w:rPr>
              <w:t>Изграждане на интелигентна мрежа за разпределение на природен газ в община Индепенденца, окръг Констанца (предложена)</w:t>
            </w:r>
          </w:p>
        </w:tc>
        <w:tc>
          <w:tcPr>
            <w:tcW w:w="2125" w:type="dxa"/>
            <w:noWrap/>
            <w:vAlign w:val="center"/>
          </w:tcPr>
          <w:p w14:paraId="3BDD61C7" w14:textId="77777777" w:rsidR="00CF09B3" w:rsidRPr="007375EB" w:rsidRDefault="00CF09B3" w:rsidP="00CF09B3">
            <w:pPr>
              <w:rPr>
                <w:lang w:val="bg-BG"/>
              </w:rPr>
            </w:pPr>
            <w:r w:rsidRPr="007375EB">
              <w:rPr>
                <w:lang w:val="bg-BG"/>
              </w:rPr>
              <w:t>22,6 км</w:t>
            </w:r>
          </w:p>
        </w:tc>
        <w:tc>
          <w:tcPr>
            <w:tcW w:w="482" w:type="dxa"/>
            <w:noWrap/>
            <w:vAlign w:val="center"/>
          </w:tcPr>
          <w:p w14:paraId="36FCD2A8" w14:textId="77777777" w:rsidR="00CF09B3" w:rsidRPr="007375EB" w:rsidRDefault="00CF09B3" w:rsidP="00CF09B3">
            <w:pPr>
              <w:rPr>
                <w:lang w:val="bg-BG"/>
              </w:rPr>
            </w:pPr>
            <w:r w:rsidRPr="007375EB">
              <w:rPr>
                <w:lang w:val="bg-BG"/>
              </w:rPr>
              <w:t>-</w:t>
            </w:r>
          </w:p>
        </w:tc>
        <w:tc>
          <w:tcPr>
            <w:tcW w:w="916" w:type="dxa"/>
            <w:noWrap/>
            <w:vAlign w:val="center"/>
          </w:tcPr>
          <w:p w14:paraId="1C2A35D3" w14:textId="77777777" w:rsidR="00CF09B3" w:rsidRPr="007375EB" w:rsidRDefault="00CF09B3" w:rsidP="00CF09B3">
            <w:pPr>
              <w:rPr>
                <w:lang w:val="bg-BG"/>
              </w:rPr>
            </w:pPr>
            <w:r w:rsidRPr="007375EB">
              <w:rPr>
                <w:lang w:val="bg-BG"/>
              </w:rPr>
              <w:t>-</w:t>
            </w:r>
          </w:p>
        </w:tc>
        <w:tc>
          <w:tcPr>
            <w:tcW w:w="916" w:type="dxa"/>
            <w:noWrap/>
            <w:vAlign w:val="center"/>
          </w:tcPr>
          <w:p w14:paraId="1A5F9B5F" w14:textId="77777777" w:rsidR="00CF09B3" w:rsidRPr="007375EB" w:rsidRDefault="00CF09B3" w:rsidP="00CF09B3">
            <w:pPr>
              <w:rPr>
                <w:lang w:val="bg-BG"/>
              </w:rPr>
            </w:pPr>
            <w:r w:rsidRPr="007375EB">
              <w:rPr>
                <w:lang w:val="bg-BG"/>
              </w:rPr>
              <w:t>-</w:t>
            </w:r>
          </w:p>
        </w:tc>
        <w:tc>
          <w:tcPr>
            <w:tcW w:w="810" w:type="dxa"/>
            <w:noWrap/>
            <w:vAlign w:val="center"/>
          </w:tcPr>
          <w:p w14:paraId="60D85C6F" w14:textId="77777777" w:rsidR="00CF09B3" w:rsidRPr="007375EB" w:rsidRDefault="00CF09B3" w:rsidP="00CF09B3">
            <w:pPr>
              <w:rPr>
                <w:lang w:val="bg-BG"/>
              </w:rPr>
            </w:pPr>
            <w:r w:rsidRPr="007375EB">
              <w:rPr>
                <w:lang w:val="bg-BG"/>
              </w:rPr>
              <w:t>-</w:t>
            </w:r>
          </w:p>
        </w:tc>
        <w:tc>
          <w:tcPr>
            <w:tcW w:w="630" w:type="dxa"/>
            <w:noWrap/>
            <w:vAlign w:val="center"/>
          </w:tcPr>
          <w:p w14:paraId="675EEEC1" w14:textId="77777777" w:rsidR="00CF09B3" w:rsidRPr="007375EB" w:rsidRDefault="00CF09B3" w:rsidP="00CF09B3">
            <w:pPr>
              <w:rPr>
                <w:lang w:val="bg-BG"/>
              </w:rPr>
            </w:pPr>
            <w:r w:rsidRPr="007375EB">
              <w:rPr>
                <w:lang w:val="bg-BG"/>
              </w:rPr>
              <w:t>-</w:t>
            </w:r>
          </w:p>
        </w:tc>
        <w:tc>
          <w:tcPr>
            <w:tcW w:w="720" w:type="dxa"/>
            <w:noWrap/>
            <w:vAlign w:val="center"/>
          </w:tcPr>
          <w:p w14:paraId="3FFA598D" w14:textId="77777777" w:rsidR="00CF09B3" w:rsidRPr="007375EB" w:rsidRDefault="00CF09B3" w:rsidP="00CF09B3">
            <w:pPr>
              <w:rPr>
                <w:lang w:val="bg-BG"/>
              </w:rPr>
            </w:pPr>
            <w:r w:rsidRPr="007375EB">
              <w:rPr>
                <w:lang w:val="bg-BG"/>
              </w:rPr>
              <w:t>-</w:t>
            </w:r>
          </w:p>
        </w:tc>
        <w:tc>
          <w:tcPr>
            <w:tcW w:w="720" w:type="dxa"/>
            <w:noWrap/>
            <w:vAlign w:val="center"/>
          </w:tcPr>
          <w:p w14:paraId="024A3E3C" w14:textId="77777777" w:rsidR="00CF09B3" w:rsidRPr="007375EB" w:rsidRDefault="00CF09B3" w:rsidP="00CF09B3">
            <w:pPr>
              <w:rPr>
                <w:lang w:val="bg-BG"/>
              </w:rPr>
            </w:pPr>
            <w:r w:rsidRPr="007375EB">
              <w:rPr>
                <w:lang w:val="bg-BG"/>
              </w:rPr>
              <w:t>-</w:t>
            </w:r>
          </w:p>
        </w:tc>
        <w:tc>
          <w:tcPr>
            <w:tcW w:w="540" w:type="dxa"/>
            <w:noWrap/>
            <w:vAlign w:val="center"/>
          </w:tcPr>
          <w:p w14:paraId="75422643" w14:textId="77777777" w:rsidR="00CF09B3" w:rsidRPr="007375EB" w:rsidRDefault="00CF09B3" w:rsidP="00CF09B3">
            <w:pPr>
              <w:rPr>
                <w:lang w:val="bg-BG"/>
              </w:rPr>
            </w:pPr>
            <w:r w:rsidRPr="007375EB">
              <w:rPr>
                <w:lang w:val="bg-BG"/>
              </w:rPr>
              <w:t>-</w:t>
            </w:r>
          </w:p>
        </w:tc>
        <w:tc>
          <w:tcPr>
            <w:tcW w:w="990" w:type="dxa"/>
            <w:noWrap/>
            <w:vAlign w:val="center"/>
          </w:tcPr>
          <w:p w14:paraId="05C2C777" w14:textId="77777777" w:rsidR="00CF09B3" w:rsidRPr="007375EB" w:rsidRDefault="00CF09B3" w:rsidP="00CF09B3">
            <w:pPr>
              <w:rPr>
                <w:lang w:val="bg-BG"/>
              </w:rPr>
            </w:pPr>
            <w:r w:rsidRPr="007375EB">
              <w:rPr>
                <w:lang w:val="bg-BG"/>
              </w:rPr>
              <w:t>-</w:t>
            </w:r>
          </w:p>
        </w:tc>
        <w:tc>
          <w:tcPr>
            <w:tcW w:w="499" w:type="dxa"/>
            <w:noWrap/>
            <w:vAlign w:val="center"/>
          </w:tcPr>
          <w:p w14:paraId="1C6AD2A9" w14:textId="77777777" w:rsidR="00CF09B3" w:rsidRPr="007375EB" w:rsidRDefault="00CF09B3" w:rsidP="00CF09B3">
            <w:pPr>
              <w:rPr>
                <w:lang w:val="bg-BG"/>
              </w:rPr>
            </w:pPr>
            <w:r w:rsidRPr="007375EB">
              <w:rPr>
                <w:lang w:val="bg-BG"/>
              </w:rPr>
              <w:t>-</w:t>
            </w:r>
          </w:p>
        </w:tc>
        <w:tc>
          <w:tcPr>
            <w:tcW w:w="507" w:type="dxa"/>
            <w:noWrap/>
            <w:vAlign w:val="center"/>
          </w:tcPr>
          <w:p w14:paraId="49205A3C" w14:textId="77777777" w:rsidR="00CF09B3" w:rsidRPr="007375EB" w:rsidRDefault="00CF09B3" w:rsidP="00CF09B3">
            <w:pPr>
              <w:rPr>
                <w:lang w:val="bg-BG"/>
              </w:rPr>
            </w:pPr>
            <w:r w:rsidRPr="007375EB">
              <w:rPr>
                <w:lang w:val="bg-BG"/>
              </w:rPr>
              <w:t>-</w:t>
            </w:r>
          </w:p>
        </w:tc>
        <w:tc>
          <w:tcPr>
            <w:tcW w:w="524" w:type="dxa"/>
            <w:noWrap/>
            <w:vAlign w:val="center"/>
          </w:tcPr>
          <w:p w14:paraId="79329C84" w14:textId="77777777" w:rsidR="00CF09B3" w:rsidRPr="007375EB" w:rsidRDefault="00CF09B3" w:rsidP="00CF09B3">
            <w:pPr>
              <w:rPr>
                <w:lang w:val="bg-BG"/>
              </w:rPr>
            </w:pPr>
            <w:r w:rsidRPr="007375EB">
              <w:rPr>
                <w:lang w:val="bg-BG"/>
              </w:rPr>
              <w:t>-</w:t>
            </w:r>
          </w:p>
        </w:tc>
        <w:tc>
          <w:tcPr>
            <w:tcW w:w="616" w:type="dxa"/>
            <w:noWrap/>
            <w:vAlign w:val="center"/>
          </w:tcPr>
          <w:p w14:paraId="25AB634C" w14:textId="77777777" w:rsidR="00CF09B3" w:rsidRPr="007375EB" w:rsidRDefault="00CF09B3" w:rsidP="00CF09B3">
            <w:pPr>
              <w:rPr>
                <w:lang w:val="bg-BG"/>
              </w:rPr>
            </w:pPr>
            <w:r w:rsidRPr="007375EB">
              <w:rPr>
                <w:lang w:val="bg-BG"/>
              </w:rPr>
              <w:t>-</w:t>
            </w:r>
          </w:p>
        </w:tc>
        <w:tc>
          <w:tcPr>
            <w:tcW w:w="612" w:type="dxa"/>
            <w:noWrap/>
            <w:vAlign w:val="center"/>
          </w:tcPr>
          <w:p w14:paraId="3B0D3174" w14:textId="77777777" w:rsidR="00CF09B3" w:rsidRPr="007375EB" w:rsidRDefault="00CF09B3" w:rsidP="00CF09B3">
            <w:pPr>
              <w:rPr>
                <w:lang w:val="bg-BG"/>
              </w:rPr>
            </w:pPr>
            <w:r w:rsidRPr="007375EB">
              <w:rPr>
                <w:lang w:val="bg-BG"/>
              </w:rPr>
              <w:t>-</w:t>
            </w:r>
          </w:p>
        </w:tc>
      </w:tr>
      <w:tr w:rsidR="00CF09B3" w:rsidRPr="007375EB" w14:paraId="1C21DA48" w14:textId="77777777" w:rsidTr="006C1B17">
        <w:trPr>
          <w:trHeight w:val="210"/>
        </w:trPr>
        <w:tc>
          <w:tcPr>
            <w:tcW w:w="621" w:type="dxa"/>
            <w:noWrap/>
          </w:tcPr>
          <w:p w14:paraId="18B8168B" w14:textId="77777777" w:rsidR="00CF09B3" w:rsidRPr="007375EB" w:rsidRDefault="00CF09B3" w:rsidP="00CF09B3">
            <w:pPr>
              <w:rPr>
                <w:lang w:val="bg-BG"/>
              </w:rPr>
            </w:pPr>
            <w:r w:rsidRPr="007375EB">
              <w:rPr>
                <w:lang w:val="bg-BG"/>
              </w:rPr>
              <w:t>12</w:t>
            </w:r>
          </w:p>
        </w:tc>
        <w:tc>
          <w:tcPr>
            <w:tcW w:w="3189" w:type="dxa"/>
            <w:noWrap/>
          </w:tcPr>
          <w:p w14:paraId="694591BC" w14:textId="508466A8" w:rsidR="00CF09B3" w:rsidRPr="007375EB" w:rsidRDefault="00CF09B3" w:rsidP="00CF09B3">
            <w:pPr>
              <w:jc w:val="both"/>
              <w:rPr>
                <w:lang w:val="bg-BG"/>
              </w:rPr>
            </w:pPr>
            <w:r w:rsidRPr="007375EB">
              <w:rPr>
                <w:lang w:val="bg-BG"/>
              </w:rPr>
              <w:t>Изграждане на мост в Мовила Верде, улица „Бисеричи“, Мовила Верде, община Индепенденца, окръг Констанца (предложен)</w:t>
            </w:r>
          </w:p>
        </w:tc>
        <w:tc>
          <w:tcPr>
            <w:tcW w:w="2125" w:type="dxa"/>
            <w:noWrap/>
            <w:vAlign w:val="center"/>
          </w:tcPr>
          <w:p w14:paraId="2CF4BED4" w14:textId="77777777" w:rsidR="00CF09B3" w:rsidRPr="007375EB" w:rsidRDefault="00CF09B3" w:rsidP="00CF09B3">
            <w:pPr>
              <w:rPr>
                <w:lang w:val="bg-BG"/>
              </w:rPr>
            </w:pPr>
            <w:r w:rsidRPr="007375EB">
              <w:rPr>
                <w:lang w:val="bg-BG"/>
              </w:rPr>
              <w:t>25,37 км</w:t>
            </w:r>
          </w:p>
        </w:tc>
        <w:tc>
          <w:tcPr>
            <w:tcW w:w="482" w:type="dxa"/>
            <w:noWrap/>
            <w:vAlign w:val="center"/>
          </w:tcPr>
          <w:p w14:paraId="44498336" w14:textId="77777777" w:rsidR="00CF09B3" w:rsidRPr="007375EB" w:rsidRDefault="00CF09B3" w:rsidP="00CF09B3">
            <w:pPr>
              <w:rPr>
                <w:lang w:val="bg-BG"/>
              </w:rPr>
            </w:pPr>
            <w:r w:rsidRPr="007375EB">
              <w:rPr>
                <w:lang w:val="bg-BG"/>
              </w:rPr>
              <w:t>-</w:t>
            </w:r>
          </w:p>
        </w:tc>
        <w:tc>
          <w:tcPr>
            <w:tcW w:w="916" w:type="dxa"/>
            <w:noWrap/>
            <w:vAlign w:val="center"/>
          </w:tcPr>
          <w:p w14:paraId="533B914C" w14:textId="77777777" w:rsidR="00CF09B3" w:rsidRPr="007375EB" w:rsidRDefault="00CF09B3" w:rsidP="00CF09B3">
            <w:pPr>
              <w:rPr>
                <w:lang w:val="bg-BG"/>
              </w:rPr>
            </w:pPr>
            <w:r w:rsidRPr="007375EB">
              <w:rPr>
                <w:lang w:val="bg-BG"/>
              </w:rPr>
              <w:t>-</w:t>
            </w:r>
          </w:p>
        </w:tc>
        <w:tc>
          <w:tcPr>
            <w:tcW w:w="916" w:type="dxa"/>
            <w:noWrap/>
            <w:vAlign w:val="center"/>
          </w:tcPr>
          <w:p w14:paraId="2F41F2EB" w14:textId="77777777" w:rsidR="00CF09B3" w:rsidRPr="007375EB" w:rsidRDefault="00CF09B3" w:rsidP="00CF09B3">
            <w:pPr>
              <w:rPr>
                <w:lang w:val="bg-BG"/>
              </w:rPr>
            </w:pPr>
            <w:r w:rsidRPr="007375EB">
              <w:rPr>
                <w:lang w:val="bg-BG"/>
              </w:rPr>
              <w:t>-</w:t>
            </w:r>
          </w:p>
        </w:tc>
        <w:tc>
          <w:tcPr>
            <w:tcW w:w="810" w:type="dxa"/>
            <w:noWrap/>
            <w:vAlign w:val="center"/>
          </w:tcPr>
          <w:p w14:paraId="1010E0D7" w14:textId="77777777" w:rsidR="00CF09B3" w:rsidRPr="007375EB" w:rsidRDefault="00CF09B3" w:rsidP="00CF09B3">
            <w:pPr>
              <w:rPr>
                <w:lang w:val="bg-BG"/>
              </w:rPr>
            </w:pPr>
            <w:r w:rsidRPr="007375EB">
              <w:rPr>
                <w:lang w:val="bg-BG"/>
              </w:rPr>
              <w:t>-</w:t>
            </w:r>
          </w:p>
        </w:tc>
        <w:tc>
          <w:tcPr>
            <w:tcW w:w="630" w:type="dxa"/>
            <w:noWrap/>
            <w:vAlign w:val="center"/>
          </w:tcPr>
          <w:p w14:paraId="728E45CF" w14:textId="77777777" w:rsidR="00CF09B3" w:rsidRPr="007375EB" w:rsidRDefault="00CF09B3" w:rsidP="00CF09B3">
            <w:pPr>
              <w:rPr>
                <w:lang w:val="bg-BG"/>
              </w:rPr>
            </w:pPr>
            <w:r w:rsidRPr="007375EB">
              <w:rPr>
                <w:lang w:val="bg-BG"/>
              </w:rPr>
              <w:t>-</w:t>
            </w:r>
          </w:p>
        </w:tc>
        <w:tc>
          <w:tcPr>
            <w:tcW w:w="720" w:type="dxa"/>
            <w:noWrap/>
            <w:vAlign w:val="center"/>
          </w:tcPr>
          <w:p w14:paraId="57190EC2" w14:textId="77777777" w:rsidR="00CF09B3" w:rsidRPr="007375EB" w:rsidRDefault="00CF09B3" w:rsidP="00CF09B3">
            <w:pPr>
              <w:rPr>
                <w:lang w:val="bg-BG"/>
              </w:rPr>
            </w:pPr>
            <w:r w:rsidRPr="007375EB">
              <w:rPr>
                <w:lang w:val="bg-BG"/>
              </w:rPr>
              <w:t>-</w:t>
            </w:r>
          </w:p>
        </w:tc>
        <w:tc>
          <w:tcPr>
            <w:tcW w:w="720" w:type="dxa"/>
            <w:noWrap/>
            <w:vAlign w:val="center"/>
          </w:tcPr>
          <w:p w14:paraId="77580C5A" w14:textId="77777777" w:rsidR="00CF09B3" w:rsidRPr="007375EB" w:rsidRDefault="00CF09B3" w:rsidP="00CF09B3">
            <w:pPr>
              <w:rPr>
                <w:lang w:val="bg-BG"/>
              </w:rPr>
            </w:pPr>
            <w:r w:rsidRPr="007375EB">
              <w:rPr>
                <w:lang w:val="bg-BG"/>
              </w:rPr>
              <w:t>-</w:t>
            </w:r>
          </w:p>
        </w:tc>
        <w:tc>
          <w:tcPr>
            <w:tcW w:w="540" w:type="dxa"/>
            <w:noWrap/>
            <w:vAlign w:val="center"/>
          </w:tcPr>
          <w:p w14:paraId="07DEDDC6" w14:textId="77777777" w:rsidR="00CF09B3" w:rsidRPr="007375EB" w:rsidRDefault="00CF09B3" w:rsidP="00CF09B3">
            <w:pPr>
              <w:rPr>
                <w:lang w:val="bg-BG"/>
              </w:rPr>
            </w:pPr>
            <w:r w:rsidRPr="007375EB">
              <w:rPr>
                <w:lang w:val="bg-BG"/>
              </w:rPr>
              <w:t>-</w:t>
            </w:r>
          </w:p>
        </w:tc>
        <w:tc>
          <w:tcPr>
            <w:tcW w:w="990" w:type="dxa"/>
            <w:noWrap/>
            <w:vAlign w:val="center"/>
          </w:tcPr>
          <w:p w14:paraId="0BEE98D3" w14:textId="77777777" w:rsidR="00CF09B3" w:rsidRPr="007375EB" w:rsidRDefault="00CF09B3" w:rsidP="00CF09B3">
            <w:pPr>
              <w:rPr>
                <w:lang w:val="bg-BG"/>
              </w:rPr>
            </w:pPr>
            <w:r w:rsidRPr="007375EB">
              <w:rPr>
                <w:lang w:val="bg-BG"/>
              </w:rPr>
              <w:t>-</w:t>
            </w:r>
          </w:p>
        </w:tc>
        <w:tc>
          <w:tcPr>
            <w:tcW w:w="499" w:type="dxa"/>
            <w:noWrap/>
            <w:vAlign w:val="center"/>
          </w:tcPr>
          <w:p w14:paraId="5B698A5A" w14:textId="77777777" w:rsidR="00CF09B3" w:rsidRPr="007375EB" w:rsidRDefault="00CF09B3" w:rsidP="00CF09B3">
            <w:pPr>
              <w:rPr>
                <w:lang w:val="bg-BG"/>
              </w:rPr>
            </w:pPr>
            <w:r w:rsidRPr="007375EB">
              <w:rPr>
                <w:lang w:val="bg-BG"/>
              </w:rPr>
              <w:t>-</w:t>
            </w:r>
          </w:p>
        </w:tc>
        <w:tc>
          <w:tcPr>
            <w:tcW w:w="507" w:type="dxa"/>
            <w:noWrap/>
            <w:vAlign w:val="center"/>
          </w:tcPr>
          <w:p w14:paraId="7AED8545" w14:textId="77777777" w:rsidR="00CF09B3" w:rsidRPr="007375EB" w:rsidRDefault="00CF09B3" w:rsidP="00CF09B3">
            <w:pPr>
              <w:rPr>
                <w:lang w:val="bg-BG"/>
              </w:rPr>
            </w:pPr>
            <w:r w:rsidRPr="007375EB">
              <w:rPr>
                <w:lang w:val="bg-BG"/>
              </w:rPr>
              <w:t>-</w:t>
            </w:r>
          </w:p>
        </w:tc>
        <w:tc>
          <w:tcPr>
            <w:tcW w:w="524" w:type="dxa"/>
            <w:noWrap/>
            <w:vAlign w:val="center"/>
          </w:tcPr>
          <w:p w14:paraId="051E9B76" w14:textId="77777777" w:rsidR="00CF09B3" w:rsidRPr="007375EB" w:rsidRDefault="00CF09B3" w:rsidP="00CF09B3">
            <w:pPr>
              <w:rPr>
                <w:lang w:val="bg-BG"/>
              </w:rPr>
            </w:pPr>
            <w:r w:rsidRPr="007375EB">
              <w:rPr>
                <w:lang w:val="bg-BG"/>
              </w:rPr>
              <w:t>-</w:t>
            </w:r>
          </w:p>
        </w:tc>
        <w:tc>
          <w:tcPr>
            <w:tcW w:w="616" w:type="dxa"/>
            <w:noWrap/>
            <w:vAlign w:val="center"/>
          </w:tcPr>
          <w:p w14:paraId="023EA6DB" w14:textId="77777777" w:rsidR="00CF09B3" w:rsidRPr="007375EB" w:rsidRDefault="00CF09B3" w:rsidP="00CF09B3">
            <w:pPr>
              <w:rPr>
                <w:lang w:val="bg-BG"/>
              </w:rPr>
            </w:pPr>
            <w:r w:rsidRPr="007375EB">
              <w:rPr>
                <w:lang w:val="bg-BG"/>
              </w:rPr>
              <w:t>-</w:t>
            </w:r>
          </w:p>
        </w:tc>
        <w:tc>
          <w:tcPr>
            <w:tcW w:w="612" w:type="dxa"/>
            <w:noWrap/>
            <w:vAlign w:val="center"/>
          </w:tcPr>
          <w:p w14:paraId="3893E0BF" w14:textId="77777777" w:rsidR="00CF09B3" w:rsidRPr="007375EB" w:rsidRDefault="00CF09B3" w:rsidP="00CF09B3">
            <w:pPr>
              <w:rPr>
                <w:lang w:val="bg-BG"/>
              </w:rPr>
            </w:pPr>
            <w:r w:rsidRPr="007375EB">
              <w:rPr>
                <w:lang w:val="bg-BG"/>
              </w:rPr>
              <w:t>-</w:t>
            </w:r>
          </w:p>
        </w:tc>
      </w:tr>
      <w:tr w:rsidR="00CF09B3" w:rsidRPr="007375EB" w14:paraId="3617D9E0" w14:textId="77777777" w:rsidTr="006C1B17">
        <w:trPr>
          <w:trHeight w:val="210"/>
        </w:trPr>
        <w:tc>
          <w:tcPr>
            <w:tcW w:w="621" w:type="dxa"/>
            <w:noWrap/>
          </w:tcPr>
          <w:p w14:paraId="59BFACEF" w14:textId="77777777" w:rsidR="00CF09B3" w:rsidRPr="007375EB" w:rsidRDefault="00CF09B3" w:rsidP="00CF09B3">
            <w:pPr>
              <w:rPr>
                <w:lang w:val="bg-BG"/>
              </w:rPr>
            </w:pPr>
            <w:r w:rsidRPr="007375EB">
              <w:rPr>
                <w:lang w:val="bg-BG"/>
              </w:rPr>
              <w:t>13</w:t>
            </w:r>
          </w:p>
        </w:tc>
        <w:tc>
          <w:tcPr>
            <w:tcW w:w="3189" w:type="dxa"/>
            <w:noWrap/>
          </w:tcPr>
          <w:p w14:paraId="295A302E" w14:textId="2E2D204C" w:rsidR="00CF09B3" w:rsidRPr="007375EB" w:rsidRDefault="00CF09B3" w:rsidP="00CF09B3">
            <w:pPr>
              <w:jc w:val="both"/>
              <w:rPr>
                <w:lang w:val="bg-BG"/>
              </w:rPr>
            </w:pPr>
            <w:r w:rsidRPr="007375EB">
              <w:rPr>
                <w:lang w:val="bg-BG"/>
              </w:rPr>
              <w:t>Асфалтиране на улици Комана, Тътару и Пелину, етап I, община Комана, окръг Констанца (предложено)</w:t>
            </w:r>
          </w:p>
        </w:tc>
        <w:tc>
          <w:tcPr>
            <w:tcW w:w="2125" w:type="dxa"/>
            <w:noWrap/>
            <w:vAlign w:val="center"/>
          </w:tcPr>
          <w:p w14:paraId="03F72902" w14:textId="77777777" w:rsidR="00CF09B3" w:rsidRPr="007375EB" w:rsidRDefault="00CF09B3" w:rsidP="00CF09B3">
            <w:pPr>
              <w:rPr>
                <w:lang w:val="bg-BG"/>
              </w:rPr>
            </w:pPr>
            <w:r w:rsidRPr="007375EB">
              <w:rPr>
                <w:lang w:val="bg-BG"/>
              </w:rPr>
              <w:t>7,43 км</w:t>
            </w:r>
          </w:p>
        </w:tc>
        <w:tc>
          <w:tcPr>
            <w:tcW w:w="482" w:type="dxa"/>
            <w:noWrap/>
            <w:vAlign w:val="center"/>
          </w:tcPr>
          <w:p w14:paraId="3BECF277" w14:textId="77777777" w:rsidR="00CF09B3" w:rsidRPr="007375EB" w:rsidRDefault="00CF09B3" w:rsidP="00CF09B3">
            <w:pPr>
              <w:rPr>
                <w:lang w:val="bg-BG"/>
              </w:rPr>
            </w:pPr>
            <w:r w:rsidRPr="007375EB">
              <w:rPr>
                <w:lang w:val="bg-BG"/>
              </w:rPr>
              <w:t>-</w:t>
            </w:r>
          </w:p>
        </w:tc>
        <w:tc>
          <w:tcPr>
            <w:tcW w:w="916" w:type="dxa"/>
            <w:noWrap/>
            <w:vAlign w:val="center"/>
          </w:tcPr>
          <w:p w14:paraId="0C1E96AD" w14:textId="77777777" w:rsidR="00CF09B3" w:rsidRPr="007375EB" w:rsidRDefault="00CF09B3" w:rsidP="00CF09B3">
            <w:pPr>
              <w:rPr>
                <w:lang w:val="bg-BG"/>
              </w:rPr>
            </w:pPr>
            <w:r w:rsidRPr="007375EB">
              <w:rPr>
                <w:lang w:val="bg-BG"/>
              </w:rPr>
              <w:t>-</w:t>
            </w:r>
          </w:p>
        </w:tc>
        <w:tc>
          <w:tcPr>
            <w:tcW w:w="916" w:type="dxa"/>
            <w:noWrap/>
            <w:vAlign w:val="center"/>
          </w:tcPr>
          <w:p w14:paraId="0C871D5A" w14:textId="77777777" w:rsidR="00CF09B3" w:rsidRPr="007375EB" w:rsidRDefault="00CF09B3" w:rsidP="00CF09B3">
            <w:pPr>
              <w:rPr>
                <w:lang w:val="bg-BG"/>
              </w:rPr>
            </w:pPr>
            <w:r w:rsidRPr="007375EB">
              <w:rPr>
                <w:lang w:val="bg-BG"/>
              </w:rPr>
              <w:t>-</w:t>
            </w:r>
          </w:p>
        </w:tc>
        <w:tc>
          <w:tcPr>
            <w:tcW w:w="810" w:type="dxa"/>
            <w:noWrap/>
            <w:vAlign w:val="center"/>
          </w:tcPr>
          <w:p w14:paraId="367DC982" w14:textId="77777777" w:rsidR="00CF09B3" w:rsidRPr="007375EB" w:rsidRDefault="00CF09B3" w:rsidP="00CF09B3">
            <w:pPr>
              <w:rPr>
                <w:lang w:val="bg-BG"/>
              </w:rPr>
            </w:pPr>
            <w:r w:rsidRPr="007375EB">
              <w:rPr>
                <w:lang w:val="bg-BG"/>
              </w:rPr>
              <w:t>-</w:t>
            </w:r>
          </w:p>
        </w:tc>
        <w:tc>
          <w:tcPr>
            <w:tcW w:w="630" w:type="dxa"/>
            <w:noWrap/>
            <w:vAlign w:val="center"/>
          </w:tcPr>
          <w:p w14:paraId="12A84277" w14:textId="77777777" w:rsidR="00CF09B3" w:rsidRPr="007375EB" w:rsidRDefault="00CF09B3" w:rsidP="00CF09B3">
            <w:pPr>
              <w:rPr>
                <w:lang w:val="bg-BG"/>
              </w:rPr>
            </w:pPr>
            <w:r w:rsidRPr="007375EB">
              <w:rPr>
                <w:lang w:val="bg-BG"/>
              </w:rPr>
              <w:t>-</w:t>
            </w:r>
          </w:p>
        </w:tc>
        <w:tc>
          <w:tcPr>
            <w:tcW w:w="720" w:type="dxa"/>
            <w:noWrap/>
            <w:vAlign w:val="center"/>
          </w:tcPr>
          <w:p w14:paraId="5C0A9895" w14:textId="77777777" w:rsidR="00CF09B3" w:rsidRPr="007375EB" w:rsidRDefault="00CF09B3" w:rsidP="00CF09B3">
            <w:pPr>
              <w:rPr>
                <w:lang w:val="bg-BG"/>
              </w:rPr>
            </w:pPr>
            <w:r w:rsidRPr="007375EB">
              <w:rPr>
                <w:lang w:val="bg-BG"/>
              </w:rPr>
              <w:t>-</w:t>
            </w:r>
          </w:p>
        </w:tc>
        <w:tc>
          <w:tcPr>
            <w:tcW w:w="720" w:type="dxa"/>
            <w:noWrap/>
            <w:vAlign w:val="center"/>
          </w:tcPr>
          <w:p w14:paraId="1D8C85AA" w14:textId="77777777" w:rsidR="00CF09B3" w:rsidRPr="007375EB" w:rsidRDefault="00CF09B3" w:rsidP="00CF09B3">
            <w:pPr>
              <w:rPr>
                <w:lang w:val="bg-BG"/>
              </w:rPr>
            </w:pPr>
            <w:r w:rsidRPr="007375EB">
              <w:rPr>
                <w:lang w:val="bg-BG"/>
              </w:rPr>
              <w:t>-</w:t>
            </w:r>
          </w:p>
        </w:tc>
        <w:tc>
          <w:tcPr>
            <w:tcW w:w="540" w:type="dxa"/>
            <w:noWrap/>
            <w:vAlign w:val="center"/>
          </w:tcPr>
          <w:p w14:paraId="32F09610" w14:textId="77777777" w:rsidR="00CF09B3" w:rsidRPr="007375EB" w:rsidRDefault="00CF09B3" w:rsidP="00CF09B3">
            <w:pPr>
              <w:rPr>
                <w:lang w:val="bg-BG"/>
              </w:rPr>
            </w:pPr>
            <w:r w:rsidRPr="007375EB">
              <w:rPr>
                <w:lang w:val="bg-BG"/>
              </w:rPr>
              <w:t>-</w:t>
            </w:r>
          </w:p>
        </w:tc>
        <w:tc>
          <w:tcPr>
            <w:tcW w:w="990" w:type="dxa"/>
            <w:noWrap/>
            <w:vAlign w:val="center"/>
          </w:tcPr>
          <w:p w14:paraId="52B9AC58" w14:textId="77777777" w:rsidR="00CF09B3" w:rsidRPr="007375EB" w:rsidRDefault="00CF09B3" w:rsidP="00CF09B3">
            <w:pPr>
              <w:rPr>
                <w:lang w:val="bg-BG"/>
              </w:rPr>
            </w:pPr>
            <w:r w:rsidRPr="007375EB">
              <w:rPr>
                <w:lang w:val="bg-BG"/>
              </w:rPr>
              <w:t>-</w:t>
            </w:r>
          </w:p>
        </w:tc>
        <w:tc>
          <w:tcPr>
            <w:tcW w:w="499" w:type="dxa"/>
            <w:noWrap/>
            <w:vAlign w:val="center"/>
          </w:tcPr>
          <w:p w14:paraId="38157F37" w14:textId="77777777" w:rsidR="00CF09B3" w:rsidRPr="007375EB" w:rsidRDefault="00CF09B3" w:rsidP="00CF09B3">
            <w:pPr>
              <w:rPr>
                <w:lang w:val="bg-BG"/>
              </w:rPr>
            </w:pPr>
            <w:r w:rsidRPr="007375EB">
              <w:rPr>
                <w:lang w:val="bg-BG"/>
              </w:rPr>
              <w:t>-</w:t>
            </w:r>
          </w:p>
        </w:tc>
        <w:tc>
          <w:tcPr>
            <w:tcW w:w="507" w:type="dxa"/>
            <w:noWrap/>
            <w:vAlign w:val="center"/>
          </w:tcPr>
          <w:p w14:paraId="2BBE3341" w14:textId="77777777" w:rsidR="00CF09B3" w:rsidRPr="007375EB" w:rsidRDefault="00CF09B3" w:rsidP="00CF09B3">
            <w:pPr>
              <w:rPr>
                <w:lang w:val="bg-BG"/>
              </w:rPr>
            </w:pPr>
            <w:r w:rsidRPr="007375EB">
              <w:rPr>
                <w:lang w:val="bg-BG"/>
              </w:rPr>
              <w:t>-</w:t>
            </w:r>
          </w:p>
        </w:tc>
        <w:tc>
          <w:tcPr>
            <w:tcW w:w="524" w:type="dxa"/>
            <w:noWrap/>
            <w:vAlign w:val="center"/>
          </w:tcPr>
          <w:p w14:paraId="3AC10906" w14:textId="77777777" w:rsidR="00CF09B3" w:rsidRPr="007375EB" w:rsidRDefault="00CF09B3" w:rsidP="00CF09B3">
            <w:pPr>
              <w:rPr>
                <w:lang w:val="bg-BG"/>
              </w:rPr>
            </w:pPr>
            <w:r w:rsidRPr="007375EB">
              <w:rPr>
                <w:lang w:val="bg-BG"/>
              </w:rPr>
              <w:t>-</w:t>
            </w:r>
          </w:p>
        </w:tc>
        <w:tc>
          <w:tcPr>
            <w:tcW w:w="616" w:type="dxa"/>
            <w:noWrap/>
            <w:vAlign w:val="center"/>
          </w:tcPr>
          <w:p w14:paraId="1A83FECD" w14:textId="77777777" w:rsidR="00CF09B3" w:rsidRPr="007375EB" w:rsidRDefault="00CF09B3" w:rsidP="00CF09B3">
            <w:pPr>
              <w:rPr>
                <w:lang w:val="bg-BG"/>
              </w:rPr>
            </w:pPr>
            <w:r w:rsidRPr="007375EB">
              <w:rPr>
                <w:lang w:val="bg-BG"/>
              </w:rPr>
              <w:t>-</w:t>
            </w:r>
          </w:p>
        </w:tc>
        <w:tc>
          <w:tcPr>
            <w:tcW w:w="612" w:type="dxa"/>
            <w:noWrap/>
            <w:vAlign w:val="center"/>
          </w:tcPr>
          <w:p w14:paraId="54D2CD39" w14:textId="77777777" w:rsidR="00CF09B3" w:rsidRPr="007375EB" w:rsidRDefault="00CF09B3" w:rsidP="00CF09B3">
            <w:pPr>
              <w:rPr>
                <w:lang w:val="bg-BG"/>
              </w:rPr>
            </w:pPr>
            <w:r w:rsidRPr="007375EB">
              <w:rPr>
                <w:lang w:val="bg-BG"/>
              </w:rPr>
              <w:t>-</w:t>
            </w:r>
          </w:p>
        </w:tc>
      </w:tr>
      <w:tr w:rsidR="00CF09B3" w:rsidRPr="007375EB" w14:paraId="6AC17D77" w14:textId="77777777" w:rsidTr="006C1B17">
        <w:trPr>
          <w:trHeight w:val="210"/>
        </w:trPr>
        <w:tc>
          <w:tcPr>
            <w:tcW w:w="621" w:type="dxa"/>
            <w:noWrap/>
          </w:tcPr>
          <w:p w14:paraId="4C0E3BDE" w14:textId="77777777" w:rsidR="00CF09B3" w:rsidRPr="007375EB" w:rsidRDefault="00CF09B3" w:rsidP="00CF09B3">
            <w:pPr>
              <w:rPr>
                <w:lang w:val="bg-BG"/>
              </w:rPr>
            </w:pPr>
            <w:r w:rsidRPr="007375EB">
              <w:rPr>
                <w:lang w:val="bg-BG"/>
              </w:rPr>
              <w:t>14</w:t>
            </w:r>
          </w:p>
        </w:tc>
        <w:tc>
          <w:tcPr>
            <w:tcW w:w="3189" w:type="dxa"/>
            <w:noWrap/>
          </w:tcPr>
          <w:p w14:paraId="591B9727" w14:textId="7C1CE390" w:rsidR="00CF09B3" w:rsidRPr="007375EB" w:rsidRDefault="00CF09B3" w:rsidP="00CF09B3">
            <w:pPr>
              <w:jc w:val="both"/>
              <w:rPr>
                <w:lang w:val="bg-BG"/>
              </w:rPr>
            </w:pPr>
            <w:r w:rsidRPr="007375EB">
              <w:rPr>
                <w:lang w:val="bg-BG"/>
              </w:rPr>
              <w:t>Изграждане на мостове, водостоци и прокарване на дъждовна канализация в Крединца, община Кирногени (предложено)</w:t>
            </w:r>
          </w:p>
        </w:tc>
        <w:tc>
          <w:tcPr>
            <w:tcW w:w="2125" w:type="dxa"/>
            <w:noWrap/>
            <w:vAlign w:val="center"/>
          </w:tcPr>
          <w:p w14:paraId="12829567" w14:textId="77777777" w:rsidR="00CF09B3" w:rsidRPr="007375EB" w:rsidRDefault="00CF09B3" w:rsidP="00CF09B3">
            <w:pPr>
              <w:rPr>
                <w:lang w:val="bg-BG"/>
              </w:rPr>
            </w:pPr>
            <w:r w:rsidRPr="007375EB">
              <w:rPr>
                <w:lang w:val="bg-BG"/>
              </w:rPr>
              <w:t>20,91 км</w:t>
            </w:r>
          </w:p>
        </w:tc>
        <w:tc>
          <w:tcPr>
            <w:tcW w:w="482" w:type="dxa"/>
            <w:noWrap/>
            <w:vAlign w:val="center"/>
          </w:tcPr>
          <w:p w14:paraId="36AA48EA" w14:textId="77777777" w:rsidR="00CF09B3" w:rsidRPr="007375EB" w:rsidRDefault="00CF09B3" w:rsidP="00CF09B3">
            <w:pPr>
              <w:rPr>
                <w:lang w:val="bg-BG"/>
              </w:rPr>
            </w:pPr>
            <w:r w:rsidRPr="007375EB">
              <w:rPr>
                <w:lang w:val="bg-BG"/>
              </w:rPr>
              <w:t>-</w:t>
            </w:r>
          </w:p>
        </w:tc>
        <w:tc>
          <w:tcPr>
            <w:tcW w:w="916" w:type="dxa"/>
            <w:noWrap/>
            <w:vAlign w:val="center"/>
          </w:tcPr>
          <w:p w14:paraId="3DBC1133" w14:textId="77777777" w:rsidR="00CF09B3" w:rsidRPr="007375EB" w:rsidRDefault="00CF09B3" w:rsidP="00CF09B3">
            <w:pPr>
              <w:rPr>
                <w:lang w:val="bg-BG"/>
              </w:rPr>
            </w:pPr>
            <w:r w:rsidRPr="007375EB">
              <w:rPr>
                <w:lang w:val="bg-BG"/>
              </w:rPr>
              <w:t>-</w:t>
            </w:r>
          </w:p>
        </w:tc>
        <w:tc>
          <w:tcPr>
            <w:tcW w:w="916" w:type="dxa"/>
            <w:noWrap/>
            <w:vAlign w:val="center"/>
          </w:tcPr>
          <w:p w14:paraId="72ECA359" w14:textId="77777777" w:rsidR="00CF09B3" w:rsidRPr="007375EB" w:rsidRDefault="00CF09B3" w:rsidP="00CF09B3">
            <w:pPr>
              <w:rPr>
                <w:lang w:val="bg-BG"/>
              </w:rPr>
            </w:pPr>
            <w:r w:rsidRPr="007375EB">
              <w:rPr>
                <w:lang w:val="bg-BG"/>
              </w:rPr>
              <w:t>-</w:t>
            </w:r>
          </w:p>
        </w:tc>
        <w:tc>
          <w:tcPr>
            <w:tcW w:w="810" w:type="dxa"/>
            <w:noWrap/>
            <w:vAlign w:val="center"/>
          </w:tcPr>
          <w:p w14:paraId="7B4374A8" w14:textId="77777777" w:rsidR="00CF09B3" w:rsidRPr="007375EB" w:rsidRDefault="00CF09B3" w:rsidP="00CF09B3">
            <w:pPr>
              <w:rPr>
                <w:lang w:val="bg-BG"/>
              </w:rPr>
            </w:pPr>
            <w:r w:rsidRPr="007375EB">
              <w:rPr>
                <w:lang w:val="bg-BG"/>
              </w:rPr>
              <w:t>-</w:t>
            </w:r>
          </w:p>
        </w:tc>
        <w:tc>
          <w:tcPr>
            <w:tcW w:w="630" w:type="dxa"/>
            <w:noWrap/>
            <w:vAlign w:val="center"/>
          </w:tcPr>
          <w:p w14:paraId="65DF3D73" w14:textId="77777777" w:rsidR="00CF09B3" w:rsidRPr="007375EB" w:rsidRDefault="00CF09B3" w:rsidP="00CF09B3">
            <w:pPr>
              <w:rPr>
                <w:lang w:val="bg-BG"/>
              </w:rPr>
            </w:pPr>
            <w:r w:rsidRPr="007375EB">
              <w:rPr>
                <w:lang w:val="bg-BG"/>
              </w:rPr>
              <w:t>-</w:t>
            </w:r>
          </w:p>
        </w:tc>
        <w:tc>
          <w:tcPr>
            <w:tcW w:w="720" w:type="dxa"/>
            <w:noWrap/>
            <w:vAlign w:val="center"/>
          </w:tcPr>
          <w:p w14:paraId="40455EB0" w14:textId="77777777" w:rsidR="00CF09B3" w:rsidRPr="007375EB" w:rsidRDefault="00CF09B3" w:rsidP="00CF09B3">
            <w:pPr>
              <w:rPr>
                <w:lang w:val="bg-BG"/>
              </w:rPr>
            </w:pPr>
            <w:r w:rsidRPr="007375EB">
              <w:rPr>
                <w:lang w:val="bg-BG"/>
              </w:rPr>
              <w:t>-</w:t>
            </w:r>
          </w:p>
        </w:tc>
        <w:tc>
          <w:tcPr>
            <w:tcW w:w="720" w:type="dxa"/>
            <w:noWrap/>
            <w:vAlign w:val="center"/>
          </w:tcPr>
          <w:p w14:paraId="404E4DB8" w14:textId="77777777" w:rsidR="00CF09B3" w:rsidRPr="007375EB" w:rsidRDefault="00CF09B3" w:rsidP="00CF09B3">
            <w:pPr>
              <w:rPr>
                <w:lang w:val="bg-BG"/>
              </w:rPr>
            </w:pPr>
            <w:r w:rsidRPr="007375EB">
              <w:rPr>
                <w:lang w:val="bg-BG"/>
              </w:rPr>
              <w:t>-</w:t>
            </w:r>
          </w:p>
        </w:tc>
        <w:tc>
          <w:tcPr>
            <w:tcW w:w="540" w:type="dxa"/>
            <w:noWrap/>
            <w:vAlign w:val="center"/>
          </w:tcPr>
          <w:p w14:paraId="17086623" w14:textId="77777777" w:rsidR="00CF09B3" w:rsidRPr="007375EB" w:rsidRDefault="00CF09B3" w:rsidP="00CF09B3">
            <w:pPr>
              <w:rPr>
                <w:lang w:val="bg-BG"/>
              </w:rPr>
            </w:pPr>
            <w:r w:rsidRPr="007375EB">
              <w:rPr>
                <w:lang w:val="bg-BG"/>
              </w:rPr>
              <w:t>-</w:t>
            </w:r>
          </w:p>
        </w:tc>
        <w:tc>
          <w:tcPr>
            <w:tcW w:w="990" w:type="dxa"/>
            <w:noWrap/>
            <w:vAlign w:val="center"/>
          </w:tcPr>
          <w:p w14:paraId="3842FB79" w14:textId="77777777" w:rsidR="00CF09B3" w:rsidRPr="007375EB" w:rsidRDefault="00CF09B3" w:rsidP="00CF09B3">
            <w:pPr>
              <w:rPr>
                <w:lang w:val="bg-BG"/>
              </w:rPr>
            </w:pPr>
            <w:r w:rsidRPr="007375EB">
              <w:rPr>
                <w:lang w:val="bg-BG"/>
              </w:rPr>
              <w:t>-</w:t>
            </w:r>
          </w:p>
        </w:tc>
        <w:tc>
          <w:tcPr>
            <w:tcW w:w="499" w:type="dxa"/>
            <w:noWrap/>
            <w:vAlign w:val="center"/>
          </w:tcPr>
          <w:p w14:paraId="7CB6119E" w14:textId="77777777" w:rsidR="00CF09B3" w:rsidRPr="007375EB" w:rsidRDefault="00CF09B3" w:rsidP="00CF09B3">
            <w:pPr>
              <w:rPr>
                <w:lang w:val="bg-BG"/>
              </w:rPr>
            </w:pPr>
            <w:r w:rsidRPr="007375EB">
              <w:rPr>
                <w:lang w:val="bg-BG"/>
              </w:rPr>
              <w:t>-</w:t>
            </w:r>
          </w:p>
        </w:tc>
        <w:tc>
          <w:tcPr>
            <w:tcW w:w="507" w:type="dxa"/>
            <w:noWrap/>
            <w:vAlign w:val="center"/>
          </w:tcPr>
          <w:p w14:paraId="6FCED13B" w14:textId="77777777" w:rsidR="00CF09B3" w:rsidRPr="007375EB" w:rsidRDefault="00CF09B3" w:rsidP="00CF09B3">
            <w:pPr>
              <w:rPr>
                <w:lang w:val="bg-BG"/>
              </w:rPr>
            </w:pPr>
            <w:r w:rsidRPr="007375EB">
              <w:rPr>
                <w:lang w:val="bg-BG"/>
              </w:rPr>
              <w:t>-</w:t>
            </w:r>
          </w:p>
        </w:tc>
        <w:tc>
          <w:tcPr>
            <w:tcW w:w="524" w:type="dxa"/>
            <w:noWrap/>
            <w:vAlign w:val="center"/>
          </w:tcPr>
          <w:p w14:paraId="6C3DC7EE" w14:textId="77777777" w:rsidR="00CF09B3" w:rsidRPr="007375EB" w:rsidRDefault="00CF09B3" w:rsidP="00CF09B3">
            <w:pPr>
              <w:rPr>
                <w:lang w:val="bg-BG"/>
              </w:rPr>
            </w:pPr>
            <w:r w:rsidRPr="007375EB">
              <w:rPr>
                <w:lang w:val="bg-BG"/>
              </w:rPr>
              <w:t>-</w:t>
            </w:r>
          </w:p>
        </w:tc>
        <w:tc>
          <w:tcPr>
            <w:tcW w:w="616" w:type="dxa"/>
            <w:noWrap/>
            <w:vAlign w:val="center"/>
          </w:tcPr>
          <w:p w14:paraId="192BED46" w14:textId="77777777" w:rsidR="00CF09B3" w:rsidRPr="007375EB" w:rsidRDefault="00CF09B3" w:rsidP="00CF09B3">
            <w:pPr>
              <w:rPr>
                <w:lang w:val="bg-BG"/>
              </w:rPr>
            </w:pPr>
            <w:r w:rsidRPr="007375EB">
              <w:rPr>
                <w:lang w:val="bg-BG"/>
              </w:rPr>
              <w:t>-</w:t>
            </w:r>
          </w:p>
        </w:tc>
        <w:tc>
          <w:tcPr>
            <w:tcW w:w="612" w:type="dxa"/>
            <w:noWrap/>
            <w:vAlign w:val="center"/>
          </w:tcPr>
          <w:p w14:paraId="453A5AFD" w14:textId="77777777" w:rsidR="00CF09B3" w:rsidRPr="007375EB" w:rsidRDefault="00CF09B3" w:rsidP="00CF09B3">
            <w:pPr>
              <w:rPr>
                <w:lang w:val="bg-BG"/>
              </w:rPr>
            </w:pPr>
            <w:r w:rsidRPr="007375EB">
              <w:rPr>
                <w:lang w:val="bg-BG"/>
              </w:rPr>
              <w:t>-</w:t>
            </w:r>
          </w:p>
        </w:tc>
      </w:tr>
      <w:tr w:rsidR="00CF09B3" w:rsidRPr="007375EB" w14:paraId="7FB9C1B7" w14:textId="77777777" w:rsidTr="006C1B17">
        <w:trPr>
          <w:trHeight w:val="210"/>
        </w:trPr>
        <w:tc>
          <w:tcPr>
            <w:tcW w:w="621" w:type="dxa"/>
            <w:noWrap/>
          </w:tcPr>
          <w:p w14:paraId="1BF72B1B" w14:textId="77777777" w:rsidR="00CF09B3" w:rsidRPr="007375EB" w:rsidRDefault="00CF09B3" w:rsidP="00CF09B3">
            <w:pPr>
              <w:rPr>
                <w:lang w:val="bg-BG"/>
              </w:rPr>
            </w:pPr>
            <w:r w:rsidRPr="007375EB">
              <w:rPr>
                <w:lang w:val="bg-BG"/>
              </w:rPr>
              <w:t>15</w:t>
            </w:r>
          </w:p>
        </w:tc>
        <w:tc>
          <w:tcPr>
            <w:tcW w:w="3189" w:type="dxa"/>
            <w:noWrap/>
          </w:tcPr>
          <w:p w14:paraId="743D5B5C" w14:textId="3C9FD0AF" w:rsidR="00CF09B3" w:rsidRPr="007375EB" w:rsidRDefault="00CF09B3" w:rsidP="00CF09B3">
            <w:pPr>
              <w:jc w:val="both"/>
              <w:rPr>
                <w:lang w:val="bg-BG"/>
              </w:rPr>
            </w:pPr>
            <w:r w:rsidRPr="007375EB">
              <w:rPr>
                <w:lang w:val="bg-BG"/>
              </w:rPr>
              <w:t xml:space="preserve">Модернизация и реконструкция на улици в </w:t>
            </w:r>
            <w:r w:rsidRPr="007375EB">
              <w:rPr>
                <w:lang w:val="bg-BG"/>
              </w:rPr>
              <w:lastRenderedPageBreak/>
              <w:t>община Кирногени, окръг Констанца (предложена)</w:t>
            </w:r>
          </w:p>
        </w:tc>
        <w:tc>
          <w:tcPr>
            <w:tcW w:w="2125" w:type="dxa"/>
            <w:noWrap/>
            <w:vAlign w:val="center"/>
          </w:tcPr>
          <w:p w14:paraId="70E6CD3C" w14:textId="77777777" w:rsidR="00CF09B3" w:rsidRPr="007375EB" w:rsidRDefault="00CF09B3" w:rsidP="00CF09B3">
            <w:pPr>
              <w:rPr>
                <w:lang w:val="bg-BG"/>
              </w:rPr>
            </w:pPr>
            <w:r w:rsidRPr="007375EB">
              <w:rPr>
                <w:lang w:val="bg-BG"/>
              </w:rPr>
              <w:lastRenderedPageBreak/>
              <w:t>14,26 км</w:t>
            </w:r>
          </w:p>
        </w:tc>
        <w:tc>
          <w:tcPr>
            <w:tcW w:w="482" w:type="dxa"/>
            <w:noWrap/>
            <w:vAlign w:val="center"/>
          </w:tcPr>
          <w:p w14:paraId="615C5787" w14:textId="77777777" w:rsidR="00CF09B3" w:rsidRPr="007375EB" w:rsidRDefault="00CF09B3" w:rsidP="00CF09B3">
            <w:pPr>
              <w:rPr>
                <w:lang w:val="bg-BG"/>
              </w:rPr>
            </w:pPr>
            <w:r w:rsidRPr="007375EB">
              <w:rPr>
                <w:lang w:val="bg-BG"/>
              </w:rPr>
              <w:t>-</w:t>
            </w:r>
          </w:p>
        </w:tc>
        <w:tc>
          <w:tcPr>
            <w:tcW w:w="916" w:type="dxa"/>
            <w:noWrap/>
            <w:vAlign w:val="center"/>
          </w:tcPr>
          <w:p w14:paraId="2E96C311" w14:textId="77777777" w:rsidR="00CF09B3" w:rsidRPr="007375EB" w:rsidRDefault="00CF09B3" w:rsidP="00CF09B3">
            <w:pPr>
              <w:rPr>
                <w:lang w:val="bg-BG"/>
              </w:rPr>
            </w:pPr>
            <w:r w:rsidRPr="007375EB">
              <w:rPr>
                <w:lang w:val="bg-BG"/>
              </w:rPr>
              <w:t>-</w:t>
            </w:r>
          </w:p>
        </w:tc>
        <w:tc>
          <w:tcPr>
            <w:tcW w:w="916" w:type="dxa"/>
            <w:noWrap/>
            <w:vAlign w:val="center"/>
          </w:tcPr>
          <w:p w14:paraId="68C621AA" w14:textId="77777777" w:rsidR="00CF09B3" w:rsidRPr="007375EB" w:rsidRDefault="00CF09B3" w:rsidP="00CF09B3">
            <w:pPr>
              <w:rPr>
                <w:lang w:val="bg-BG"/>
              </w:rPr>
            </w:pPr>
            <w:r w:rsidRPr="007375EB">
              <w:rPr>
                <w:lang w:val="bg-BG"/>
              </w:rPr>
              <w:t>-</w:t>
            </w:r>
          </w:p>
        </w:tc>
        <w:tc>
          <w:tcPr>
            <w:tcW w:w="810" w:type="dxa"/>
            <w:noWrap/>
            <w:vAlign w:val="center"/>
          </w:tcPr>
          <w:p w14:paraId="14066355" w14:textId="77777777" w:rsidR="00CF09B3" w:rsidRPr="007375EB" w:rsidRDefault="00CF09B3" w:rsidP="00CF09B3">
            <w:pPr>
              <w:rPr>
                <w:lang w:val="bg-BG"/>
              </w:rPr>
            </w:pPr>
            <w:r w:rsidRPr="007375EB">
              <w:rPr>
                <w:lang w:val="bg-BG"/>
              </w:rPr>
              <w:t>-</w:t>
            </w:r>
          </w:p>
        </w:tc>
        <w:tc>
          <w:tcPr>
            <w:tcW w:w="630" w:type="dxa"/>
            <w:noWrap/>
            <w:vAlign w:val="center"/>
          </w:tcPr>
          <w:p w14:paraId="541D6EEC" w14:textId="77777777" w:rsidR="00CF09B3" w:rsidRPr="007375EB" w:rsidRDefault="00CF09B3" w:rsidP="00CF09B3">
            <w:pPr>
              <w:rPr>
                <w:lang w:val="bg-BG"/>
              </w:rPr>
            </w:pPr>
            <w:r w:rsidRPr="007375EB">
              <w:rPr>
                <w:lang w:val="bg-BG"/>
              </w:rPr>
              <w:t>-</w:t>
            </w:r>
          </w:p>
        </w:tc>
        <w:tc>
          <w:tcPr>
            <w:tcW w:w="720" w:type="dxa"/>
            <w:noWrap/>
            <w:vAlign w:val="center"/>
          </w:tcPr>
          <w:p w14:paraId="083532AC" w14:textId="77777777" w:rsidR="00CF09B3" w:rsidRPr="007375EB" w:rsidRDefault="00CF09B3" w:rsidP="00CF09B3">
            <w:pPr>
              <w:rPr>
                <w:lang w:val="bg-BG"/>
              </w:rPr>
            </w:pPr>
            <w:r w:rsidRPr="007375EB">
              <w:rPr>
                <w:lang w:val="bg-BG"/>
              </w:rPr>
              <w:t>-</w:t>
            </w:r>
          </w:p>
        </w:tc>
        <w:tc>
          <w:tcPr>
            <w:tcW w:w="720" w:type="dxa"/>
            <w:noWrap/>
            <w:vAlign w:val="center"/>
          </w:tcPr>
          <w:p w14:paraId="7BE5A947" w14:textId="77777777" w:rsidR="00CF09B3" w:rsidRPr="007375EB" w:rsidRDefault="00CF09B3" w:rsidP="00CF09B3">
            <w:pPr>
              <w:rPr>
                <w:lang w:val="bg-BG"/>
              </w:rPr>
            </w:pPr>
            <w:r w:rsidRPr="007375EB">
              <w:rPr>
                <w:lang w:val="bg-BG"/>
              </w:rPr>
              <w:t>-</w:t>
            </w:r>
          </w:p>
        </w:tc>
        <w:tc>
          <w:tcPr>
            <w:tcW w:w="540" w:type="dxa"/>
            <w:noWrap/>
            <w:vAlign w:val="center"/>
          </w:tcPr>
          <w:p w14:paraId="349BFCDC" w14:textId="77777777" w:rsidR="00CF09B3" w:rsidRPr="007375EB" w:rsidRDefault="00CF09B3" w:rsidP="00CF09B3">
            <w:pPr>
              <w:rPr>
                <w:lang w:val="bg-BG"/>
              </w:rPr>
            </w:pPr>
            <w:r w:rsidRPr="007375EB">
              <w:rPr>
                <w:lang w:val="bg-BG"/>
              </w:rPr>
              <w:t>-</w:t>
            </w:r>
          </w:p>
        </w:tc>
        <w:tc>
          <w:tcPr>
            <w:tcW w:w="990" w:type="dxa"/>
            <w:noWrap/>
            <w:vAlign w:val="center"/>
          </w:tcPr>
          <w:p w14:paraId="5F404555" w14:textId="77777777" w:rsidR="00CF09B3" w:rsidRPr="007375EB" w:rsidRDefault="00CF09B3" w:rsidP="00CF09B3">
            <w:pPr>
              <w:rPr>
                <w:lang w:val="bg-BG"/>
              </w:rPr>
            </w:pPr>
            <w:r w:rsidRPr="007375EB">
              <w:rPr>
                <w:lang w:val="bg-BG"/>
              </w:rPr>
              <w:t>-</w:t>
            </w:r>
          </w:p>
        </w:tc>
        <w:tc>
          <w:tcPr>
            <w:tcW w:w="499" w:type="dxa"/>
            <w:noWrap/>
            <w:vAlign w:val="center"/>
          </w:tcPr>
          <w:p w14:paraId="3FB0BDAC" w14:textId="77777777" w:rsidR="00CF09B3" w:rsidRPr="007375EB" w:rsidRDefault="00CF09B3" w:rsidP="00CF09B3">
            <w:pPr>
              <w:rPr>
                <w:lang w:val="bg-BG"/>
              </w:rPr>
            </w:pPr>
            <w:r w:rsidRPr="007375EB">
              <w:rPr>
                <w:lang w:val="bg-BG"/>
              </w:rPr>
              <w:t>-</w:t>
            </w:r>
          </w:p>
        </w:tc>
        <w:tc>
          <w:tcPr>
            <w:tcW w:w="507" w:type="dxa"/>
            <w:noWrap/>
            <w:vAlign w:val="center"/>
          </w:tcPr>
          <w:p w14:paraId="7A69499F" w14:textId="77777777" w:rsidR="00CF09B3" w:rsidRPr="007375EB" w:rsidRDefault="00CF09B3" w:rsidP="00CF09B3">
            <w:pPr>
              <w:rPr>
                <w:lang w:val="bg-BG"/>
              </w:rPr>
            </w:pPr>
            <w:r w:rsidRPr="007375EB">
              <w:rPr>
                <w:lang w:val="bg-BG"/>
              </w:rPr>
              <w:t>-</w:t>
            </w:r>
          </w:p>
        </w:tc>
        <w:tc>
          <w:tcPr>
            <w:tcW w:w="524" w:type="dxa"/>
            <w:noWrap/>
            <w:vAlign w:val="center"/>
          </w:tcPr>
          <w:p w14:paraId="343A464F" w14:textId="77777777" w:rsidR="00CF09B3" w:rsidRPr="007375EB" w:rsidRDefault="00CF09B3" w:rsidP="00CF09B3">
            <w:pPr>
              <w:rPr>
                <w:lang w:val="bg-BG"/>
              </w:rPr>
            </w:pPr>
            <w:r w:rsidRPr="007375EB">
              <w:rPr>
                <w:lang w:val="bg-BG"/>
              </w:rPr>
              <w:t>-</w:t>
            </w:r>
          </w:p>
        </w:tc>
        <w:tc>
          <w:tcPr>
            <w:tcW w:w="616" w:type="dxa"/>
            <w:noWrap/>
            <w:vAlign w:val="center"/>
          </w:tcPr>
          <w:p w14:paraId="3AA80DC1" w14:textId="77777777" w:rsidR="00CF09B3" w:rsidRPr="007375EB" w:rsidRDefault="00CF09B3" w:rsidP="00CF09B3">
            <w:pPr>
              <w:rPr>
                <w:lang w:val="bg-BG"/>
              </w:rPr>
            </w:pPr>
            <w:r w:rsidRPr="007375EB">
              <w:rPr>
                <w:lang w:val="bg-BG"/>
              </w:rPr>
              <w:t>-</w:t>
            </w:r>
          </w:p>
        </w:tc>
        <w:tc>
          <w:tcPr>
            <w:tcW w:w="612" w:type="dxa"/>
            <w:noWrap/>
            <w:vAlign w:val="center"/>
          </w:tcPr>
          <w:p w14:paraId="5C2482C6" w14:textId="77777777" w:rsidR="00CF09B3" w:rsidRPr="007375EB" w:rsidRDefault="00CF09B3" w:rsidP="00CF09B3">
            <w:pPr>
              <w:rPr>
                <w:lang w:val="bg-BG"/>
              </w:rPr>
            </w:pPr>
            <w:r w:rsidRPr="007375EB">
              <w:rPr>
                <w:lang w:val="bg-BG"/>
              </w:rPr>
              <w:t>-</w:t>
            </w:r>
          </w:p>
        </w:tc>
      </w:tr>
      <w:tr w:rsidR="006C1B17" w:rsidRPr="007375EB" w14:paraId="616250B5" w14:textId="77777777" w:rsidTr="006C1B17">
        <w:trPr>
          <w:trHeight w:val="210"/>
        </w:trPr>
        <w:tc>
          <w:tcPr>
            <w:tcW w:w="15417" w:type="dxa"/>
            <w:gridSpan w:val="17"/>
            <w:shd w:val="clear" w:color="auto" w:fill="F2F2F2" w:themeFill="background1" w:themeFillShade="F2"/>
            <w:noWrap/>
            <w:hideMark/>
          </w:tcPr>
          <w:p w14:paraId="144976E1" w14:textId="243F2A99" w:rsidR="006C1B17" w:rsidRPr="007375EB" w:rsidRDefault="006C1B17" w:rsidP="006C1B17">
            <w:pPr>
              <w:rPr>
                <w:b/>
                <w:bCs/>
                <w:lang w:val="bg-BG"/>
              </w:rPr>
            </w:pPr>
            <w:r w:rsidRPr="007375EB">
              <w:rPr>
                <w:b/>
                <w:bCs/>
                <w:lang w:val="bg-BG"/>
              </w:rPr>
              <w:t xml:space="preserve">BG0000569 </w:t>
            </w:r>
            <w:r w:rsidR="00CF09B3" w:rsidRPr="007375EB">
              <w:rPr>
                <w:b/>
                <w:bCs/>
                <w:lang w:val="bg-BG"/>
              </w:rPr>
              <w:t>Кардам</w:t>
            </w:r>
          </w:p>
        </w:tc>
      </w:tr>
      <w:tr w:rsidR="00CF09B3" w:rsidRPr="007375EB" w14:paraId="2DA190AA" w14:textId="77777777" w:rsidTr="006C1B17">
        <w:trPr>
          <w:trHeight w:val="1050"/>
        </w:trPr>
        <w:tc>
          <w:tcPr>
            <w:tcW w:w="621" w:type="dxa"/>
            <w:noWrap/>
            <w:hideMark/>
          </w:tcPr>
          <w:p w14:paraId="13BF07B9" w14:textId="77777777" w:rsidR="00CF09B3" w:rsidRPr="007375EB" w:rsidRDefault="00CF09B3" w:rsidP="00CF09B3">
            <w:pPr>
              <w:rPr>
                <w:lang w:val="bg-BG"/>
              </w:rPr>
            </w:pPr>
            <w:r w:rsidRPr="007375EB">
              <w:rPr>
                <w:lang w:val="bg-BG"/>
              </w:rPr>
              <w:t>1</w:t>
            </w:r>
          </w:p>
        </w:tc>
        <w:tc>
          <w:tcPr>
            <w:tcW w:w="3189" w:type="dxa"/>
            <w:hideMark/>
          </w:tcPr>
          <w:p w14:paraId="22980120" w14:textId="0552637A" w:rsidR="00CF09B3" w:rsidRPr="007375EB" w:rsidRDefault="00CF09B3" w:rsidP="00CF09B3">
            <w:pPr>
              <w:jc w:val="both"/>
              <w:rPr>
                <w:lang w:val="bg-BG"/>
              </w:rPr>
            </w:pPr>
            <w:r w:rsidRPr="007375EB">
              <w:rPr>
                <w:lang w:val="bg-BG"/>
              </w:rPr>
              <w:t>Парк за вятърна енергия 14 CE-92,4 МВт,  трансформаторна станция, електрически свързващи мрежи, изграждане и модернизиране на комуникации и пътища за достъп - извън село Фънтъна Маре, общ. Индепенденца, окръг Констанца (предложен)</w:t>
            </w:r>
          </w:p>
        </w:tc>
        <w:tc>
          <w:tcPr>
            <w:tcW w:w="2125" w:type="dxa"/>
            <w:noWrap/>
            <w:vAlign w:val="center"/>
            <w:hideMark/>
          </w:tcPr>
          <w:p w14:paraId="3C6FF5F4" w14:textId="77777777" w:rsidR="00CF09B3" w:rsidRPr="007375EB" w:rsidRDefault="00CF09B3" w:rsidP="00CF09B3">
            <w:pPr>
              <w:rPr>
                <w:lang w:val="bg-BG"/>
              </w:rPr>
            </w:pPr>
            <w:r w:rsidRPr="007375EB">
              <w:rPr>
                <w:lang w:val="bg-BG"/>
              </w:rPr>
              <w:t>13,05 км</w:t>
            </w:r>
          </w:p>
        </w:tc>
        <w:tc>
          <w:tcPr>
            <w:tcW w:w="482" w:type="dxa"/>
            <w:noWrap/>
            <w:vAlign w:val="center"/>
            <w:hideMark/>
          </w:tcPr>
          <w:p w14:paraId="2E3B5680" w14:textId="77777777" w:rsidR="00CF09B3" w:rsidRPr="007375EB" w:rsidRDefault="00CF09B3" w:rsidP="00CF09B3">
            <w:pPr>
              <w:rPr>
                <w:lang w:val="bg-BG"/>
              </w:rPr>
            </w:pPr>
            <w:r w:rsidRPr="007375EB">
              <w:rPr>
                <w:lang w:val="bg-BG"/>
              </w:rPr>
              <w:t>-</w:t>
            </w:r>
          </w:p>
        </w:tc>
        <w:tc>
          <w:tcPr>
            <w:tcW w:w="916" w:type="dxa"/>
            <w:noWrap/>
            <w:vAlign w:val="center"/>
            <w:hideMark/>
          </w:tcPr>
          <w:p w14:paraId="35724391" w14:textId="77777777" w:rsidR="00CF09B3" w:rsidRPr="007375EB" w:rsidRDefault="00CF09B3" w:rsidP="00CF09B3">
            <w:pPr>
              <w:rPr>
                <w:lang w:val="bg-BG"/>
              </w:rPr>
            </w:pPr>
            <w:r w:rsidRPr="007375EB">
              <w:rPr>
                <w:lang w:val="bg-BG"/>
              </w:rPr>
              <w:t>-</w:t>
            </w:r>
          </w:p>
        </w:tc>
        <w:tc>
          <w:tcPr>
            <w:tcW w:w="916" w:type="dxa"/>
            <w:noWrap/>
            <w:vAlign w:val="center"/>
            <w:hideMark/>
          </w:tcPr>
          <w:p w14:paraId="7B96EE0F" w14:textId="77777777" w:rsidR="00CF09B3" w:rsidRPr="007375EB" w:rsidRDefault="00CF09B3" w:rsidP="00CF09B3">
            <w:pPr>
              <w:rPr>
                <w:lang w:val="bg-BG"/>
              </w:rPr>
            </w:pPr>
            <w:r w:rsidRPr="007375EB">
              <w:rPr>
                <w:lang w:val="bg-BG"/>
              </w:rPr>
              <w:t>-</w:t>
            </w:r>
          </w:p>
        </w:tc>
        <w:tc>
          <w:tcPr>
            <w:tcW w:w="810" w:type="dxa"/>
            <w:noWrap/>
            <w:vAlign w:val="center"/>
            <w:hideMark/>
          </w:tcPr>
          <w:p w14:paraId="6837B43A" w14:textId="77777777" w:rsidR="00CF09B3" w:rsidRPr="007375EB" w:rsidRDefault="00CF09B3" w:rsidP="00CF09B3">
            <w:pPr>
              <w:rPr>
                <w:lang w:val="bg-BG"/>
              </w:rPr>
            </w:pPr>
            <w:r w:rsidRPr="007375EB">
              <w:rPr>
                <w:lang w:val="bg-BG"/>
              </w:rPr>
              <w:t>-</w:t>
            </w:r>
          </w:p>
        </w:tc>
        <w:tc>
          <w:tcPr>
            <w:tcW w:w="630" w:type="dxa"/>
            <w:noWrap/>
            <w:vAlign w:val="center"/>
            <w:hideMark/>
          </w:tcPr>
          <w:p w14:paraId="3C09FBCC" w14:textId="77777777" w:rsidR="00CF09B3" w:rsidRPr="007375EB" w:rsidRDefault="00CF09B3" w:rsidP="00CF09B3">
            <w:pPr>
              <w:rPr>
                <w:lang w:val="bg-BG"/>
              </w:rPr>
            </w:pPr>
            <w:r w:rsidRPr="007375EB">
              <w:rPr>
                <w:lang w:val="bg-BG"/>
              </w:rPr>
              <w:t>-</w:t>
            </w:r>
          </w:p>
        </w:tc>
        <w:tc>
          <w:tcPr>
            <w:tcW w:w="720" w:type="dxa"/>
            <w:noWrap/>
            <w:vAlign w:val="center"/>
            <w:hideMark/>
          </w:tcPr>
          <w:p w14:paraId="660D9C12" w14:textId="77777777" w:rsidR="00CF09B3" w:rsidRPr="007375EB" w:rsidRDefault="00CF09B3" w:rsidP="00CF09B3">
            <w:pPr>
              <w:rPr>
                <w:lang w:val="bg-BG"/>
              </w:rPr>
            </w:pPr>
            <w:r w:rsidRPr="007375EB">
              <w:rPr>
                <w:lang w:val="bg-BG"/>
              </w:rPr>
              <w:t>-</w:t>
            </w:r>
          </w:p>
        </w:tc>
        <w:tc>
          <w:tcPr>
            <w:tcW w:w="720" w:type="dxa"/>
            <w:noWrap/>
            <w:vAlign w:val="center"/>
            <w:hideMark/>
          </w:tcPr>
          <w:p w14:paraId="33294C03" w14:textId="77777777" w:rsidR="00CF09B3" w:rsidRPr="007375EB" w:rsidRDefault="00CF09B3" w:rsidP="00CF09B3">
            <w:pPr>
              <w:rPr>
                <w:lang w:val="bg-BG"/>
              </w:rPr>
            </w:pPr>
            <w:r w:rsidRPr="007375EB">
              <w:rPr>
                <w:lang w:val="bg-BG"/>
              </w:rPr>
              <w:t>-</w:t>
            </w:r>
          </w:p>
        </w:tc>
        <w:tc>
          <w:tcPr>
            <w:tcW w:w="540" w:type="dxa"/>
            <w:noWrap/>
            <w:vAlign w:val="center"/>
            <w:hideMark/>
          </w:tcPr>
          <w:p w14:paraId="5255D107" w14:textId="77777777" w:rsidR="00CF09B3" w:rsidRPr="007375EB" w:rsidRDefault="00CF09B3" w:rsidP="00CF09B3">
            <w:pPr>
              <w:rPr>
                <w:lang w:val="bg-BG"/>
              </w:rPr>
            </w:pPr>
            <w:r w:rsidRPr="007375EB">
              <w:rPr>
                <w:lang w:val="bg-BG"/>
              </w:rPr>
              <w:t>X</w:t>
            </w:r>
          </w:p>
        </w:tc>
        <w:tc>
          <w:tcPr>
            <w:tcW w:w="990" w:type="dxa"/>
            <w:noWrap/>
            <w:vAlign w:val="center"/>
            <w:hideMark/>
          </w:tcPr>
          <w:p w14:paraId="4140CD63" w14:textId="77777777" w:rsidR="00CF09B3" w:rsidRPr="007375EB" w:rsidRDefault="00CF09B3" w:rsidP="00CF09B3">
            <w:pPr>
              <w:rPr>
                <w:lang w:val="bg-BG"/>
              </w:rPr>
            </w:pPr>
            <w:r w:rsidRPr="007375EB">
              <w:rPr>
                <w:lang w:val="bg-BG"/>
              </w:rPr>
              <w:t>X</w:t>
            </w:r>
          </w:p>
        </w:tc>
        <w:tc>
          <w:tcPr>
            <w:tcW w:w="499" w:type="dxa"/>
            <w:noWrap/>
            <w:vAlign w:val="center"/>
            <w:hideMark/>
          </w:tcPr>
          <w:p w14:paraId="6E14329E" w14:textId="77777777" w:rsidR="00CF09B3" w:rsidRPr="007375EB" w:rsidRDefault="00CF09B3" w:rsidP="00CF09B3">
            <w:pPr>
              <w:rPr>
                <w:lang w:val="bg-BG"/>
              </w:rPr>
            </w:pPr>
            <w:r w:rsidRPr="007375EB">
              <w:rPr>
                <w:lang w:val="bg-BG"/>
              </w:rPr>
              <w:t>-</w:t>
            </w:r>
          </w:p>
        </w:tc>
        <w:tc>
          <w:tcPr>
            <w:tcW w:w="507" w:type="dxa"/>
            <w:noWrap/>
            <w:vAlign w:val="center"/>
            <w:hideMark/>
          </w:tcPr>
          <w:p w14:paraId="17E6C792" w14:textId="77777777" w:rsidR="00CF09B3" w:rsidRPr="007375EB" w:rsidRDefault="00CF09B3" w:rsidP="00CF09B3">
            <w:pPr>
              <w:rPr>
                <w:lang w:val="bg-BG"/>
              </w:rPr>
            </w:pPr>
            <w:r w:rsidRPr="007375EB">
              <w:rPr>
                <w:lang w:val="bg-BG"/>
              </w:rPr>
              <w:t>X</w:t>
            </w:r>
          </w:p>
        </w:tc>
        <w:tc>
          <w:tcPr>
            <w:tcW w:w="524" w:type="dxa"/>
            <w:noWrap/>
            <w:vAlign w:val="center"/>
            <w:hideMark/>
          </w:tcPr>
          <w:p w14:paraId="0B82DC5F" w14:textId="77777777" w:rsidR="00CF09B3" w:rsidRPr="007375EB" w:rsidRDefault="00CF09B3" w:rsidP="00CF09B3">
            <w:pPr>
              <w:rPr>
                <w:lang w:val="bg-BG"/>
              </w:rPr>
            </w:pPr>
            <w:r w:rsidRPr="007375EB">
              <w:rPr>
                <w:lang w:val="bg-BG"/>
              </w:rPr>
              <w:t>X</w:t>
            </w:r>
          </w:p>
        </w:tc>
        <w:tc>
          <w:tcPr>
            <w:tcW w:w="616" w:type="dxa"/>
            <w:noWrap/>
            <w:vAlign w:val="center"/>
            <w:hideMark/>
          </w:tcPr>
          <w:p w14:paraId="364CE20F" w14:textId="77777777" w:rsidR="00CF09B3" w:rsidRPr="007375EB" w:rsidRDefault="00CF09B3" w:rsidP="00CF09B3">
            <w:pPr>
              <w:rPr>
                <w:lang w:val="bg-BG"/>
              </w:rPr>
            </w:pPr>
            <w:r w:rsidRPr="007375EB">
              <w:rPr>
                <w:lang w:val="bg-BG"/>
              </w:rPr>
              <w:t>X</w:t>
            </w:r>
          </w:p>
        </w:tc>
        <w:tc>
          <w:tcPr>
            <w:tcW w:w="612" w:type="dxa"/>
            <w:noWrap/>
            <w:vAlign w:val="center"/>
            <w:hideMark/>
          </w:tcPr>
          <w:p w14:paraId="3E89201B" w14:textId="77777777" w:rsidR="00CF09B3" w:rsidRPr="007375EB" w:rsidRDefault="00CF09B3" w:rsidP="00CF09B3">
            <w:pPr>
              <w:rPr>
                <w:lang w:val="bg-BG"/>
              </w:rPr>
            </w:pPr>
            <w:r w:rsidRPr="007375EB">
              <w:rPr>
                <w:lang w:val="bg-BG"/>
              </w:rPr>
              <w:t>X</w:t>
            </w:r>
          </w:p>
        </w:tc>
      </w:tr>
      <w:tr w:rsidR="00CF09B3" w:rsidRPr="007375EB" w14:paraId="5C56EB08" w14:textId="77777777" w:rsidTr="006C1B17">
        <w:trPr>
          <w:trHeight w:val="1050"/>
        </w:trPr>
        <w:tc>
          <w:tcPr>
            <w:tcW w:w="621" w:type="dxa"/>
            <w:noWrap/>
            <w:hideMark/>
          </w:tcPr>
          <w:p w14:paraId="2A378FF8" w14:textId="77777777" w:rsidR="00CF09B3" w:rsidRPr="007375EB" w:rsidRDefault="00CF09B3" w:rsidP="00CF09B3">
            <w:pPr>
              <w:rPr>
                <w:lang w:val="bg-BG"/>
              </w:rPr>
            </w:pPr>
            <w:r w:rsidRPr="007375EB">
              <w:rPr>
                <w:lang w:val="bg-BG"/>
              </w:rPr>
              <w:t>2</w:t>
            </w:r>
          </w:p>
        </w:tc>
        <w:tc>
          <w:tcPr>
            <w:tcW w:w="3189" w:type="dxa"/>
            <w:hideMark/>
          </w:tcPr>
          <w:p w14:paraId="309AD823" w14:textId="6C3610A0" w:rsidR="00CF09B3" w:rsidRPr="007375EB" w:rsidRDefault="00CF09B3" w:rsidP="00CF09B3">
            <w:pPr>
              <w:jc w:val="both"/>
              <w:rPr>
                <w:lang w:val="bg-BG"/>
              </w:rPr>
            </w:pPr>
            <w:r w:rsidRPr="007375EB">
              <w:rPr>
                <w:lang w:val="bg-BG"/>
              </w:rPr>
              <w:t xml:space="preserve">Парк за вятърна енергия 17 CE-112,2 МВт, трансформаторна станция, електрически свързващи мрежи, изграждане и модернизация на комуникации и пътища за достъп -  извън общината Индепенденца и общината </w:t>
            </w:r>
            <w:r w:rsidRPr="007375EB">
              <w:rPr>
                <w:lang w:val="bg-BG"/>
              </w:rPr>
              <w:lastRenderedPageBreak/>
              <w:t>Черкезу окръг Констанца (предложен)</w:t>
            </w:r>
          </w:p>
        </w:tc>
        <w:tc>
          <w:tcPr>
            <w:tcW w:w="2125" w:type="dxa"/>
            <w:noWrap/>
            <w:vAlign w:val="center"/>
            <w:hideMark/>
          </w:tcPr>
          <w:p w14:paraId="3F6295A6" w14:textId="77777777" w:rsidR="00CF09B3" w:rsidRPr="007375EB" w:rsidRDefault="00CF09B3" w:rsidP="00CF09B3">
            <w:pPr>
              <w:rPr>
                <w:lang w:val="bg-BG"/>
              </w:rPr>
            </w:pPr>
            <w:r w:rsidRPr="007375EB">
              <w:rPr>
                <w:lang w:val="bg-BG"/>
              </w:rPr>
              <w:lastRenderedPageBreak/>
              <w:t>7,38 км</w:t>
            </w:r>
          </w:p>
        </w:tc>
        <w:tc>
          <w:tcPr>
            <w:tcW w:w="482" w:type="dxa"/>
            <w:noWrap/>
            <w:vAlign w:val="center"/>
            <w:hideMark/>
          </w:tcPr>
          <w:p w14:paraId="4413E077" w14:textId="77777777" w:rsidR="00CF09B3" w:rsidRPr="007375EB" w:rsidRDefault="00CF09B3" w:rsidP="00CF09B3">
            <w:pPr>
              <w:rPr>
                <w:lang w:val="bg-BG"/>
              </w:rPr>
            </w:pPr>
            <w:r w:rsidRPr="007375EB">
              <w:rPr>
                <w:lang w:val="bg-BG"/>
              </w:rPr>
              <w:t>-</w:t>
            </w:r>
          </w:p>
        </w:tc>
        <w:tc>
          <w:tcPr>
            <w:tcW w:w="916" w:type="dxa"/>
            <w:noWrap/>
            <w:vAlign w:val="center"/>
            <w:hideMark/>
          </w:tcPr>
          <w:p w14:paraId="499702EE" w14:textId="77777777" w:rsidR="00CF09B3" w:rsidRPr="007375EB" w:rsidRDefault="00CF09B3" w:rsidP="00CF09B3">
            <w:pPr>
              <w:rPr>
                <w:lang w:val="bg-BG"/>
              </w:rPr>
            </w:pPr>
            <w:r w:rsidRPr="007375EB">
              <w:rPr>
                <w:lang w:val="bg-BG"/>
              </w:rPr>
              <w:t>-</w:t>
            </w:r>
          </w:p>
        </w:tc>
        <w:tc>
          <w:tcPr>
            <w:tcW w:w="916" w:type="dxa"/>
            <w:noWrap/>
            <w:vAlign w:val="center"/>
            <w:hideMark/>
          </w:tcPr>
          <w:p w14:paraId="41584C29" w14:textId="77777777" w:rsidR="00CF09B3" w:rsidRPr="007375EB" w:rsidRDefault="00CF09B3" w:rsidP="00CF09B3">
            <w:pPr>
              <w:rPr>
                <w:lang w:val="bg-BG"/>
              </w:rPr>
            </w:pPr>
            <w:r w:rsidRPr="007375EB">
              <w:rPr>
                <w:lang w:val="bg-BG"/>
              </w:rPr>
              <w:t>-</w:t>
            </w:r>
          </w:p>
        </w:tc>
        <w:tc>
          <w:tcPr>
            <w:tcW w:w="810" w:type="dxa"/>
            <w:noWrap/>
            <w:vAlign w:val="center"/>
            <w:hideMark/>
          </w:tcPr>
          <w:p w14:paraId="736EA9B7" w14:textId="77777777" w:rsidR="00CF09B3" w:rsidRPr="007375EB" w:rsidRDefault="00CF09B3" w:rsidP="00CF09B3">
            <w:pPr>
              <w:rPr>
                <w:lang w:val="bg-BG"/>
              </w:rPr>
            </w:pPr>
            <w:r w:rsidRPr="007375EB">
              <w:rPr>
                <w:lang w:val="bg-BG"/>
              </w:rPr>
              <w:t>-</w:t>
            </w:r>
          </w:p>
        </w:tc>
        <w:tc>
          <w:tcPr>
            <w:tcW w:w="630" w:type="dxa"/>
            <w:noWrap/>
            <w:vAlign w:val="center"/>
            <w:hideMark/>
          </w:tcPr>
          <w:p w14:paraId="7771D61A" w14:textId="77777777" w:rsidR="00CF09B3" w:rsidRPr="007375EB" w:rsidRDefault="00CF09B3" w:rsidP="00CF09B3">
            <w:pPr>
              <w:rPr>
                <w:lang w:val="bg-BG"/>
              </w:rPr>
            </w:pPr>
            <w:r w:rsidRPr="007375EB">
              <w:rPr>
                <w:lang w:val="bg-BG"/>
              </w:rPr>
              <w:t>-</w:t>
            </w:r>
          </w:p>
        </w:tc>
        <w:tc>
          <w:tcPr>
            <w:tcW w:w="720" w:type="dxa"/>
            <w:noWrap/>
            <w:vAlign w:val="center"/>
            <w:hideMark/>
          </w:tcPr>
          <w:p w14:paraId="652F90C4" w14:textId="77777777" w:rsidR="00CF09B3" w:rsidRPr="007375EB" w:rsidRDefault="00CF09B3" w:rsidP="00CF09B3">
            <w:pPr>
              <w:rPr>
                <w:lang w:val="bg-BG"/>
              </w:rPr>
            </w:pPr>
            <w:r w:rsidRPr="007375EB">
              <w:rPr>
                <w:lang w:val="bg-BG"/>
              </w:rPr>
              <w:t>-</w:t>
            </w:r>
          </w:p>
        </w:tc>
        <w:tc>
          <w:tcPr>
            <w:tcW w:w="720" w:type="dxa"/>
            <w:noWrap/>
            <w:vAlign w:val="center"/>
            <w:hideMark/>
          </w:tcPr>
          <w:p w14:paraId="6CD189A4" w14:textId="77777777" w:rsidR="00CF09B3" w:rsidRPr="007375EB" w:rsidRDefault="00CF09B3" w:rsidP="00CF09B3">
            <w:pPr>
              <w:rPr>
                <w:lang w:val="bg-BG"/>
              </w:rPr>
            </w:pPr>
            <w:r w:rsidRPr="007375EB">
              <w:rPr>
                <w:lang w:val="bg-BG"/>
              </w:rPr>
              <w:t>-</w:t>
            </w:r>
          </w:p>
        </w:tc>
        <w:tc>
          <w:tcPr>
            <w:tcW w:w="540" w:type="dxa"/>
            <w:noWrap/>
            <w:vAlign w:val="center"/>
            <w:hideMark/>
          </w:tcPr>
          <w:p w14:paraId="3D9A3BA2" w14:textId="77777777" w:rsidR="00CF09B3" w:rsidRPr="007375EB" w:rsidRDefault="00CF09B3" w:rsidP="00CF09B3">
            <w:pPr>
              <w:rPr>
                <w:lang w:val="bg-BG"/>
              </w:rPr>
            </w:pPr>
            <w:r w:rsidRPr="007375EB">
              <w:rPr>
                <w:lang w:val="bg-BG"/>
              </w:rPr>
              <w:t>X</w:t>
            </w:r>
          </w:p>
        </w:tc>
        <w:tc>
          <w:tcPr>
            <w:tcW w:w="990" w:type="dxa"/>
            <w:noWrap/>
            <w:vAlign w:val="center"/>
            <w:hideMark/>
          </w:tcPr>
          <w:p w14:paraId="60EE94C9" w14:textId="77777777" w:rsidR="00CF09B3" w:rsidRPr="007375EB" w:rsidRDefault="00CF09B3" w:rsidP="00CF09B3">
            <w:pPr>
              <w:rPr>
                <w:lang w:val="bg-BG"/>
              </w:rPr>
            </w:pPr>
            <w:r w:rsidRPr="007375EB">
              <w:rPr>
                <w:lang w:val="bg-BG"/>
              </w:rPr>
              <w:t>X</w:t>
            </w:r>
          </w:p>
        </w:tc>
        <w:tc>
          <w:tcPr>
            <w:tcW w:w="499" w:type="dxa"/>
            <w:noWrap/>
            <w:vAlign w:val="center"/>
            <w:hideMark/>
          </w:tcPr>
          <w:p w14:paraId="3BCEC22E" w14:textId="77777777" w:rsidR="00CF09B3" w:rsidRPr="007375EB" w:rsidRDefault="00CF09B3" w:rsidP="00CF09B3">
            <w:pPr>
              <w:rPr>
                <w:lang w:val="bg-BG"/>
              </w:rPr>
            </w:pPr>
            <w:r w:rsidRPr="007375EB">
              <w:rPr>
                <w:lang w:val="bg-BG"/>
              </w:rPr>
              <w:t>-</w:t>
            </w:r>
          </w:p>
        </w:tc>
        <w:tc>
          <w:tcPr>
            <w:tcW w:w="507" w:type="dxa"/>
            <w:noWrap/>
            <w:vAlign w:val="center"/>
            <w:hideMark/>
          </w:tcPr>
          <w:p w14:paraId="05FC2C6A" w14:textId="77777777" w:rsidR="00CF09B3" w:rsidRPr="007375EB" w:rsidRDefault="00CF09B3" w:rsidP="00CF09B3">
            <w:pPr>
              <w:rPr>
                <w:lang w:val="bg-BG"/>
              </w:rPr>
            </w:pPr>
            <w:r w:rsidRPr="007375EB">
              <w:rPr>
                <w:lang w:val="bg-BG"/>
              </w:rPr>
              <w:t>X</w:t>
            </w:r>
          </w:p>
        </w:tc>
        <w:tc>
          <w:tcPr>
            <w:tcW w:w="524" w:type="dxa"/>
            <w:noWrap/>
            <w:vAlign w:val="center"/>
            <w:hideMark/>
          </w:tcPr>
          <w:p w14:paraId="36409FD9" w14:textId="77777777" w:rsidR="00CF09B3" w:rsidRPr="007375EB" w:rsidRDefault="00CF09B3" w:rsidP="00CF09B3">
            <w:pPr>
              <w:rPr>
                <w:lang w:val="bg-BG"/>
              </w:rPr>
            </w:pPr>
            <w:r w:rsidRPr="007375EB">
              <w:rPr>
                <w:lang w:val="bg-BG"/>
              </w:rPr>
              <w:t>X</w:t>
            </w:r>
          </w:p>
        </w:tc>
        <w:tc>
          <w:tcPr>
            <w:tcW w:w="616" w:type="dxa"/>
            <w:noWrap/>
            <w:vAlign w:val="center"/>
            <w:hideMark/>
          </w:tcPr>
          <w:p w14:paraId="68410A4B" w14:textId="77777777" w:rsidR="00CF09B3" w:rsidRPr="007375EB" w:rsidRDefault="00CF09B3" w:rsidP="00CF09B3">
            <w:pPr>
              <w:rPr>
                <w:lang w:val="bg-BG"/>
              </w:rPr>
            </w:pPr>
            <w:r w:rsidRPr="007375EB">
              <w:rPr>
                <w:lang w:val="bg-BG"/>
              </w:rPr>
              <w:t>X</w:t>
            </w:r>
          </w:p>
        </w:tc>
        <w:tc>
          <w:tcPr>
            <w:tcW w:w="612" w:type="dxa"/>
            <w:noWrap/>
            <w:vAlign w:val="center"/>
            <w:hideMark/>
          </w:tcPr>
          <w:p w14:paraId="2234BD82" w14:textId="77777777" w:rsidR="00CF09B3" w:rsidRPr="007375EB" w:rsidRDefault="00CF09B3" w:rsidP="00CF09B3">
            <w:pPr>
              <w:rPr>
                <w:lang w:val="bg-BG"/>
              </w:rPr>
            </w:pPr>
            <w:r w:rsidRPr="007375EB">
              <w:rPr>
                <w:lang w:val="bg-BG"/>
              </w:rPr>
              <w:t>X</w:t>
            </w:r>
          </w:p>
        </w:tc>
      </w:tr>
      <w:tr w:rsidR="00CF09B3" w:rsidRPr="007375EB" w14:paraId="1069338D" w14:textId="77777777" w:rsidTr="006C1B17">
        <w:trPr>
          <w:trHeight w:val="420"/>
        </w:trPr>
        <w:tc>
          <w:tcPr>
            <w:tcW w:w="621" w:type="dxa"/>
            <w:noWrap/>
            <w:hideMark/>
          </w:tcPr>
          <w:p w14:paraId="0D8384B3" w14:textId="77777777" w:rsidR="00CF09B3" w:rsidRPr="007375EB" w:rsidRDefault="00CF09B3" w:rsidP="00CF09B3">
            <w:pPr>
              <w:rPr>
                <w:lang w:val="bg-BG"/>
              </w:rPr>
            </w:pPr>
            <w:r w:rsidRPr="007375EB">
              <w:rPr>
                <w:lang w:val="bg-BG"/>
              </w:rPr>
              <w:t>3</w:t>
            </w:r>
          </w:p>
        </w:tc>
        <w:tc>
          <w:tcPr>
            <w:tcW w:w="3189" w:type="dxa"/>
            <w:hideMark/>
          </w:tcPr>
          <w:p w14:paraId="098684FF" w14:textId="412C7533" w:rsidR="00CF09B3" w:rsidRPr="007375EB" w:rsidRDefault="00CF09B3" w:rsidP="00CF09B3">
            <w:pPr>
              <w:jc w:val="both"/>
              <w:rPr>
                <w:lang w:val="bg-BG"/>
              </w:rPr>
            </w:pPr>
            <w:r w:rsidRPr="007375EB">
              <w:rPr>
                <w:lang w:val="bg-BG"/>
              </w:rPr>
              <w:t>Вятърен парк Комана - Печинеага - трасе за подземен електрически кабел МТ и оптична мрежа (предложена)</w:t>
            </w:r>
          </w:p>
        </w:tc>
        <w:tc>
          <w:tcPr>
            <w:tcW w:w="2125" w:type="dxa"/>
            <w:noWrap/>
            <w:vAlign w:val="center"/>
            <w:hideMark/>
          </w:tcPr>
          <w:p w14:paraId="08A8E66F" w14:textId="77777777" w:rsidR="00CF09B3" w:rsidRPr="007375EB" w:rsidRDefault="00CF09B3" w:rsidP="00CF09B3">
            <w:pPr>
              <w:rPr>
                <w:lang w:val="bg-BG"/>
              </w:rPr>
            </w:pPr>
            <w:r w:rsidRPr="007375EB">
              <w:rPr>
                <w:lang w:val="bg-BG"/>
              </w:rPr>
              <w:t>8,86 км</w:t>
            </w:r>
          </w:p>
        </w:tc>
        <w:tc>
          <w:tcPr>
            <w:tcW w:w="482" w:type="dxa"/>
            <w:noWrap/>
            <w:vAlign w:val="center"/>
            <w:hideMark/>
          </w:tcPr>
          <w:p w14:paraId="529CE1DA" w14:textId="77777777" w:rsidR="00CF09B3" w:rsidRPr="007375EB" w:rsidRDefault="00CF09B3" w:rsidP="00CF09B3">
            <w:pPr>
              <w:rPr>
                <w:lang w:val="bg-BG"/>
              </w:rPr>
            </w:pPr>
            <w:r w:rsidRPr="007375EB">
              <w:rPr>
                <w:lang w:val="bg-BG"/>
              </w:rPr>
              <w:t>-</w:t>
            </w:r>
          </w:p>
        </w:tc>
        <w:tc>
          <w:tcPr>
            <w:tcW w:w="916" w:type="dxa"/>
            <w:noWrap/>
            <w:vAlign w:val="center"/>
            <w:hideMark/>
          </w:tcPr>
          <w:p w14:paraId="67914481" w14:textId="77777777" w:rsidR="00CF09B3" w:rsidRPr="007375EB" w:rsidRDefault="00CF09B3" w:rsidP="00CF09B3">
            <w:pPr>
              <w:rPr>
                <w:lang w:val="bg-BG"/>
              </w:rPr>
            </w:pPr>
            <w:r w:rsidRPr="007375EB">
              <w:rPr>
                <w:lang w:val="bg-BG"/>
              </w:rPr>
              <w:t>-</w:t>
            </w:r>
          </w:p>
        </w:tc>
        <w:tc>
          <w:tcPr>
            <w:tcW w:w="916" w:type="dxa"/>
            <w:noWrap/>
            <w:vAlign w:val="center"/>
            <w:hideMark/>
          </w:tcPr>
          <w:p w14:paraId="4AFE00AC" w14:textId="77777777" w:rsidR="00CF09B3" w:rsidRPr="007375EB" w:rsidRDefault="00CF09B3" w:rsidP="00CF09B3">
            <w:pPr>
              <w:rPr>
                <w:lang w:val="bg-BG"/>
              </w:rPr>
            </w:pPr>
            <w:r w:rsidRPr="007375EB">
              <w:rPr>
                <w:lang w:val="bg-BG"/>
              </w:rPr>
              <w:t>-</w:t>
            </w:r>
          </w:p>
        </w:tc>
        <w:tc>
          <w:tcPr>
            <w:tcW w:w="810" w:type="dxa"/>
            <w:noWrap/>
            <w:vAlign w:val="center"/>
            <w:hideMark/>
          </w:tcPr>
          <w:p w14:paraId="0D6CB156" w14:textId="77777777" w:rsidR="00CF09B3" w:rsidRPr="007375EB" w:rsidRDefault="00CF09B3" w:rsidP="00CF09B3">
            <w:pPr>
              <w:rPr>
                <w:lang w:val="bg-BG"/>
              </w:rPr>
            </w:pPr>
            <w:r w:rsidRPr="007375EB">
              <w:rPr>
                <w:lang w:val="bg-BG"/>
              </w:rPr>
              <w:t>-</w:t>
            </w:r>
          </w:p>
        </w:tc>
        <w:tc>
          <w:tcPr>
            <w:tcW w:w="630" w:type="dxa"/>
            <w:noWrap/>
            <w:vAlign w:val="center"/>
            <w:hideMark/>
          </w:tcPr>
          <w:p w14:paraId="1DDBE478" w14:textId="77777777" w:rsidR="00CF09B3" w:rsidRPr="007375EB" w:rsidRDefault="00CF09B3" w:rsidP="00CF09B3">
            <w:pPr>
              <w:rPr>
                <w:lang w:val="bg-BG"/>
              </w:rPr>
            </w:pPr>
            <w:r w:rsidRPr="007375EB">
              <w:rPr>
                <w:lang w:val="bg-BG"/>
              </w:rPr>
              <w:t>-</w:t>
            </w:r>
          </w:p>
        </w:tc>
        <w:tc>
          <w:tcPr>
            <w:tcW w:w="720" w:type="dxa"/>
            <w:noWrap/>
            <w:vAlign w:val="center"/>
            <w:hideMark/>
          </w:tcPr>
          <w:p w14:paraId="17D89A3A" w14:textId="77777777" w:rsidR="00CF09B3" w:rsidRPr="007375EB" w:rsidRDefault="00CF09B3" w:rsidP="00CF09B3">
            <w:pPr>
              <w:rPr>
                <w:lang w:val="bg-BG"/>
              </w:rPr>
            </w:pPr>
            <w:r w:rsidRPr="007375EB">
              <w:rPr>
                <w:lang w:val="bg-BG"/>
              </w:rPr>
              <w:t>-</w:t>
            </w:r>
          </w:p>
        </w:tc>
        <w:tc>
          <w:tcPr>
            <w:tcW w:w="720" w:type="dxa"/>
            <w:noWrap/>
            <w:vAlign w:val="center"/>
            <w:hideMark/>
          </w:tcPr>
          <w:p w14:paraId="6BA1533F" w14:textId="77777777" w:rsidR="00CF09B3" w:rsidRPr="007375EB" w:rsidRDefault="00CF09B3" w:rsidP="00CF09B3">
            <w:pPr>
              <w:rPr>
                <w:lang w:val="bg-BG"/>
              </w:rPr>
            </w:pPr>
            <w:r w:rsidRPr="007375EB">
              <w:rPr>
                <w:lang w:val="bg-BG"/>
              </w:rPr>
              <w:t>-</w:t>
            </w:r>
          </w:p>
        </w:tc>
        <w:tc>
          <w:tcPr>
            <w:tcW w:w="540" w:type="dxa"/>
            <w:noWrap/>
            <w:vAlign w:val="center"/>
            <w:hideMark/>
          </w:tcPr>
          <w:p w14:paraId="27039039" w14:textId="77777777" w:rsidR="00CF09B3" w:rsidRPr="007375EB" w:rsidRDefault="00CF09B3" w:rsidP="00CF09B3">
            <w:pPr>
              <w:rPr>
                <w:lang w:val="bg-BG"/>
              </w:rPr>
            </w:pPr>
            <w:r w:rsidRPr="007375EB">
              <w:rPr>
                <w:lang w:val="bg-BG"/>
              </w:rPr>
              <w:t>X</w:t>
            </w:r>
          </w:p>
        </w:tc>
        <w:tc>
          <w:tcPr>
            <w:tcW w:w="990" w:type="dxa"/>
            <w:noWrap/>
            <w:vAlign w:val="center"/>
            <w:hideMark/>
          </w:tcPr>
          <w:p w14:paraId="4EC0A9C1" w14:textId="77777777" w:rsidR="00CF09B3" w:rsidRPr="007375EB" w:rsidRDefault="00CF09B3" w:rsidP="00CF09B3">
            <w:pPr>
              <w:rPr>
                <w:lang w:val="bg-BG"/>
              </w:rPr>
            </w:pPr>
            <w:r w:rsidRPr="007375EB">
              <w:rPr>
                <w:lang w:val="bg-BG"/>
              </w:rPr>
              <w:t>X</w:t>
            </w:r>
          </w:p>
        </w:tc>
        <w:tc>
          <w:tcPr>
            <w:tcW w:w="499" w:type="dxa"/>
            <w:noWrap/>
            <w:vAlign w:val="center"/>
            <w:hideMark/>
          </w:tcPr>
          <w:p w14:paraId="503D4327" w14:textId="77777777" w:rsidR="00CF09B3" w:rsidRPr="007375EB" w:rsidRDefault="00CF09B3" w:rsidP="00CF09B3">
            <w:pPr>
              <w:rPr>
                <w:lang w:val="bg-BG"/>
              </w:rPr>
            </w:pPr>
            <w:r w:rsidRPr="007375EB">
              <w:rPr>
                <w:lang w:val="bg-BG"/>
              </w:rPr>
              <w:t>-</w:t>
            </w:r>
          </w:p>
        </w:tc>
        <w:tc>
          <w:tcPr>
            <w:tcW w:w="507" w:type="dxa"/>
            <w:noWrap/>
            <w:vAlign w:val="center"/>
            <w:hideMark/>
          </w:tcPr>
          <w:p w14:paraId="59461A8A" w14:textId="77777777" w:rsidR="00CF09B3" w:rsidRPr="007375EB" w:rsidRDefault="00CF09B3" w:rsidP="00CF09B3">
            <w:pPr>
              <w:rPr>
                <w:lang w:val="bg-BG"/>
              </w:rPr>
            </w:pPr>
            <w:r w:rsidRPr="007375EB">
              <w:rPr>
                <w:lang w:val="bg-BG"/>
              </w:rPr>
              <w:t>X</w:t>
            </w:r>
          </w:p>
        </w:tc>
        <w:tc>
          <w:tcPr>
            <w:tcW w:w="524" w:type="dxa"/>
            <w:noWrap/>
            <w:vAlign w:val="center"/>
            <w:hideMark/>
          </w:tcPr>
          <w:p w14:paraId="71750522" w14:textId="77777777" w:rsidR="00CF09B3" w:rsidRPr="007375EB" w:rsidRDefault="00CF09B3" w:rsidP="00CF09B3">
            <w:pPr>
              <w:rPr>
                <w:lang w:val="bg-BG"/>
              </w:rPr>
            </w:pPr>
            <w:r w:rsidRPr="007375EB">
              <w:rPr>
                <w:lang w:val="bg-BG"/>
              </w:rPr>
              <w:t>X</w:t>
            </w:r>
          </w:p>
        </w:tc>
        <w:tc>
          <w:tcPr>
            <w:tcW w:w="616" w:type="dxa"/>
            <w:noWrap/>
            <w:vAlign w:val="center"/>
            <w:hideMark/>
          </w:tcPr>
          <w:p w14:paraId="3152E3DC" w14:textId="77777777" w:rsidR="00CF09B3" w:rsidRPr="007375EB" w:rsidRDefault="00CF09B3" w:rsidP="00CF09B3">
            <w:pPr>
              <w:rPr>
                <w:lang w:val="bg-BG"/>
              </w:rPr>
            </w:pPr>
            <w:r w:rsidRPr="007375EB">
              <w:rPr>
                <w:lang w:val="bg-BG"/>
              </w:rPr>
              <w:t>X</w:t>
            </w:r>
          </w:p>
        </w:tc>
        <w:tc>
          <w:tcPr>
            <w:tcW w:w="612" w:type="dxa"/>
            <w:noWrap/>
            <w:vAlign w:val="center"/>
            <w:hideMark/>
          </w:tcPr>
          <w:p w14:paraId="53FC4829" w14:textId="77777777" w:rsidR="00CF09B3" w:rsidRPr="007375EB" w:rsidRDefault="00CF09B3" w:rsidP="00CF09B3">
            <w:pPr>
              <w:rPr>
                <w:lang w:val="bg-BG"/>
              </w:rPr>
            </w:pPr>
            <w:r w:rsidRPr="007375EB">
              <w:rPr>
                <w:lang w:val="bg-BG"/>
              </w:rPr>
              <w:t>X</w:t>
            </w:r>
          </w:p>
        </w:tc>
      </w:tr>
      <w:tr w:rsidR="00CF09B3" w:rsidRPr="007375EB" w14:paraId="4C2ADF37" w14:textId="77777777" w:rsidTr="006C1B17">
        <w:trPr>
          <w:trHeight w:val="420"/>
        </w:trPr>
        <w:tc>
          <w:tcPr>
            <w:tcW w:w="621" w:type="dxa"/>
            <w:noWrap/>
            <w:hideMark/>
          </w:tcPr>
          <w:p w14:paraId="2EEB55DB" w14:textId="77777777" w:rsidR="00CF09B3" w:rsidRPr="007375EB" w:rsidRDefault="00CF09B3" w:rsidP="00CF09B3">
            <w:pPr>
              <w:rPr>
                <w:lang w:val="bg-BG"/>
              </w:rPr>
            </w:pPr>
            <w:r w:rsidRPr="007375EB">
              <w:rPr>
                <w:lang w:val="bg-BG"/>
              </w:rPr>
              <w:t>4</w:t>
            </w:r>
          </w:p>
        </w:tc>
        <w:tc>
          <w:tcPr>
            <w:tcW w:w="3189" w:type="dxa"/>
            <w:hideMark/>
          </w:tcPr>
          <w:p w14:paraId="15497DCA" w14:textId="449815AF" w:rsidR="00CF09B3" w:rsidRPr="007375EB" w:rsidRDefault="00CF09B3" w:rsidP="00CF09B3">
            <w:pPr>
              <w:jc w:val="both"/>
              <w:rPr>
                <w:lang w:val="bg-BG"/>
              </w:rPr>
            </w:pPr>
            <w:r w:rsidRPr="007375EB">
              <w:rPr>
                <w:lang w:val="bg-BG"/>
              </w:rPr>
              <w:t>Изграждане на вятърна електроцентрала, включваща: вятърни турбини, пътища за достъп и платформи за монтаж/поддръжка, електрическа трансформаторна станция (собствена), електрическа мрежа средно и високо напрежение, телекомуникационна мрежа, ком. Индепенденца, окръг Констанца (предложен)</w:t>
            </w:r>
          </w:p>
        </w:tc>
        <w:tc>
          <w:tcPr>
            <w:tcW w:w="2125" w:type="dxa"/>
            <w:noWrap/>
            <w:vAlign w:val="center"/>
            <w:hideMark/>
          </w:tcPr>
          <w:p w14:paraId="3F6B6FF2" w14:textId="77777777" w:rsidR="00CF09B3" w:rsidRPr="007375EB" w:rsidRDefault="00CF09B3" w:rsidP="00CF09B3">
            <w:pPr>
              <w:rPr>
                <w:lang w:val="bg-BG"/>
              </w:rPr>
            </w:pPr>
            <w:r w:rsidRPr="007375EB">
              <w:rPr>
                <w:lang w:val="bg-BG"/>
              </w:rPr>
              <w:t>8,37 км</w:t>
            </w:r>
          </w:p>
        </w:tc>
        <w:tc>
          <w:tcPr>
            <w:tcW w:w="482" w:type="dxa"/>
            <w:noWrap/>
            <w:vAlign w:val="center"/>
            <w:hideMark/>
          </w:tcPr>
          <w:p w14:paraId="17B26E49" w14:textId="77777777" w:rsidR="00CF09B3" w:rsidRPr="007375EB" w:rsidRDefault="00CF09B3" w:rsidP="00CF09B3">
            <w:pPr>
              <w:rPr>
                <w:lang w:val="bg-BG"/>
              </w:rPr>
            </w:pPr>
            <w:r w:rsidRPr="007375EB">
              <w:rPr>
                <w:lang w:val="bg-BG"/>
              </w:rPr>
              <w:t>-</w:t>
            </w:r>
          </w:p>
        </w:tc>
        <w:tc>
          <w:tcPr>
            <w:tcW w:w="916" w:type="dxa"/>
            <w:noWrap/>
            <w:vAlign w:val="center"/>
            <w:hideMark/>
          </w:tcPr>
          <w:p w14:paraId="333D920E" w14:textId="77777777" w:rsidR="00CF09B3" w:rsidRPr="007375EB" w:rsidRDefault="00CF09B3" w:rsidP="00CF09B3">
            <w:pPr>
              <w:rPr>
                <w:lang w:val="bg-BG"/>
              </w:rPr>
            </w:pPr>
            <w:r w:rsidRPr="007375EB">
              <w:rPr>
                <w:lang w:val="bg-BG"/>
              </w:rPr>
              <w:t>-</w:t>
            </w:r>
          </w:p>
        </w:tc>
        <w:tc>
          <w:tcPr>
            <w:tcW w:w="916" w:type="dxa"/>
            <w:noWrap/>
            <w:vAlign w:val="center"/>
            <w:hideMark/>
          </w:tcPr>
          <w:p w14:paraId="5C18EB04" w14:textId="77777777" w:rsidR="00CF09B3" w:rsidRPr="007375EB" w:rsidRDefault="00CF09B3" w:rsidP="00CF09B3">
            <w:pPr>
              <w:rPr>
                <w:lang w:val="bg-BG"/>
              </w:rPr>
            </w:pPr>
            <w:r w:rsidRPr="007375EB">
              <w:rPr>
                <w:lang w:val="bg-BG"/>
              </w:rPr>
              <w:t>-</w:t>
            </w:r>
          </w:p>
        </w:tc>
        <w:tc>
          <w:tcPr>
            <w:tcW w:w="810" w:type="dxa"/>
            <w:noWrap/>
            <w:vAlign w:val="center"/>
            <w:hideMark/>
          </w:tcPr>
          <w:p w14:paraId="42FCE0AE" w14:textId="77777777" w:rsidR="00CF09B3" w:rsidRPr="007375EB" w:rsidRDefault="00CF09B3" w:rsidP="00CF09B3">
            <w:pPr>
              <w:rPr>
                <w:lang w:val="bg-BG"/>
              </w:rPr>
            </w:pPr>
            <w:r w:rsidRPr="007375EB">
              <w:rPr>
                <w:lang w:val="bg-BG"/>
              </w:rPr>
              <w:t>-</w:t>
            </w:r>
          </w:p>
        </w:tc>
        <w:tc>
          <w:tcPr>
            <w:tcW w:w="630" w:type="dxa"/>
            <w:noWrap/>
            <w:vAlign w:val="center"/>
            <w:hideMark/>
          </w:tcPr>
          <w:p w14:paraId="7A444016" w14:textId="77777777" w:rsidR="00CF09B3" w:rsidRPr="007375EB" w:rsidRDefault="00CF09B3" w:rsidP="00CF09B3">
            <w:pPr>
              <w:rPr>
                <w:lang w:val="bg-BG"/>
              </w:rPr>
            </w:pPr>
            <w:r w:rsidRPr="007375EB">
              <w:rPr>
                <w:lang w:val="bg-BG"/>
              </w:rPr>
              <w:t>-</w:t>
            </w:r>
          </w:p>
        </w:tc>
        <w:tc>
          <w:tcPr>
            <w:tcW w:w="720" w:type="dxa"/>
            <w:noWrap/>
            <w:vAlign w:val="center"/>
            <w:hideMark/>
          </w:tcPr>
          <w:p w14:paraId="275B73C5" w14:textId="77777777" w:rsidR="00CF09B3" w:rsidRPr="007375EB" w:rsidRDefault="00CF09B3" w:rsidP="00CF09B3">
            <w:pPr>
              <w:rPr>
                <w:lang w:val="bg-BG"/>
              </w:rPr>
            </w:pPr>
            <w:r w:rsidRPr="007375EB">
              <w:rPr>
                <w:lang w:val="bg-BG"/>
              </w:rPr>
              <w:t>-</w:t>
            </w:r>
          </w:p>
        </w:tc>
        <w:tc>
          <w:tcPr>
            <w:tcW w:w="720" w:type="dxa"/>
            <w:noWrap/>
            <w:vAlign w:val="center"/>
            <w:hideMark/>
          </w:tcPr>
          <w:p w14:paraId="7A751611" w14:textId="77777777" w:rsidR="00CF09B3" w:rsidRPr="007375EB" w:rsidRDefault="00CF09B3" w:rsidP="00CF09B3">
            <w:pPr>
              <w:rPr>
                <w:lang w:val="bg-BG"/>
              </w:rPr>
            </w:pPr>
            <w:r w:rsidRPr="007375EB">
              <w:rPr>
                <w:lang w:val="bg-BG"/>
              </w:rPr>
              <w:t>-</w:t>
            </w:r>
          </w:p>
        </w:tc>
        <w:tc>
          <w:tcPr>
            <w:tcW w:w="540" w:type="dxa"/>
            <w:noWrap/>
            <w:vAlign w:val="center"/>
            <w:hideMark/>
          </w:tcPr>
          <w:p w14:paraId="78DC91A5" w14:textId="77777777" w:rsidR="00CF09B3" w:rsidRPr="007375EB" w:rsidRDefault="00CF09B3" w:rsidP="00CF09B3">
            <w:pPr>
              <w:rPr>
                <w:lang w:val="bg-BG"/>
              </w:rPr>
            </w:pPr>
            <w:r w:rsidRPr="007375EB">
              <w:rPr>
                <w:lang w:val="bg-BG"/>
              </w:rPr>
              <w:t>X</w:t>
            </w:r>
          </w:p>
        </w:tc>
        <w:tc>
          <w:tcPr>
            <w:tcW w:w="990" w:type="dxa"/>
            <w:noWrap/>
            <w:vAlign w:val="center"/>
            <w:hideMark/>
          </w:tcPr>
          <w:p w14:paraId="40CC505E" w14:textId="77777777" w:rsidR="00CF09B3" w:rsidRPr="007375EB" w:rsidRDefault="00CF09B3" w:rsidP="00CF09B3">
            <w:pPr>
              <w:rPr>
                <w:lang w:val="bg-BG"/>
              </w:rPr>
            </w:pPr>
            <w:r w:rsidRPr="007375EB">
              <w:rPr>
                <w:lang w:val="bg-BG"/>
              </w:rPr>
              <w:t>X</w:t>
            </w:r>
          </w:p>
        </w:tc>
        <w:tc>
          <w:tcPr>
            <w:tcW w:w="499" w:type="dxa"/>
            <w:noWrap/>
            <w:vAlign w:val="center"/>
            <w:hideMark/>
          </w:tcPr>
          <w:p w14:paraId="7933EF80" w14:textId="77777777" w:rsidR="00CF09B3" w:rsidRPr="007375EB" w:rsidRDefault="00CF09B3" w:rsidP="00CF09B3">
            <w:pPr>
              <w:rPr>
                <w:lang w:val="bg-BG"/>
              </w:rPr>
            </w:pPr>
            <w:r w:rsidRPr="007375EB">
              <w:rPr>
                <w:lang w:val="bg-BG"/>
              </w:rPr>
              <w:t>-</w:t>
            </w:r>
          </w:p>
        </w:tc>
        <w:tc>
          <w:tcPr>
            <w:tcW w:w="507" w:type="dxa"/>
            <w:noWrap/>
            <w:vAlign w:val="center"/>
            <w:hideMark/>
          </w:tcPr>
          <w:p w14:paraId="5877FB08" w14:textId="77777777" w:rsidR="00CF09B3" w:rsidRPr="007375EB" w:rsidRDefault="00CF09B3" w:rsidP="00CF09B3">
            <w:pPr>
              <w:rPr>
                <w:lang w:val="bg-BG"/>
              </w:rPr>
            </w:pPr>
            <w:r w:rsidRPr="007375EB">
              <w:rPr>
                <w:lang w:val="bg-BG"/>
              </w:rPr>
              <w:t>X</w:t>
            </w:r>
          </w:p>
        </w:tc>
        <w:tc>
          <w:tcPr>
            <w:tcW w:w="524" w:type="dxa"/>
            <w:noWrap/>
            <w:vAlign w:val="center"/>
            <w:hideMark/>
          </w:tcPr>
          <w:p w14:paraId="0DE653BA" w14:textId="77777777" w:rsidR="00CF09B3" w:rsidRPr="007375EB" w:rsidRDefault="00CF09B3" w:rsidP="00CF09B3">
            <w:pPr>
              <w:rPr>
                <w:lang w:val="bg-BG"/>
              </w:rPr>
            </w:pPr>
            <w:r w:rsidRPr="007375EB">
              <w:rPr>
                <w:lang w:val="bg-BG"/>
              </w:rPr>
              <w:t>X</w:t>
            </w:r>
          </w:p>
        </w:tc>
        <w:tc>
          <w:tcPr>
            <w:tcW w:w="616" w:type="dxa"/>
            <w:noWrap/>
            <w:vAlign w:val="center"/>
            <w:hideMark/>
          </w:tcPr>
          <w:p w14:paraId="5826B6AC" w14:textId="77777777" w:rsidR="00CF09B3" w:rsidRPr="007375EB" w:rsidRDefault="00CF09B3" w:rsidP="00CF09B3">
            <w:pPr>
              <w:rPr>
                <w:lang w:val="bg-BG"/>
              </w:rPr>
            </w:pPr>
            <w:r w:rsidRPr="007375EB">
              <w:rPr>
                <w:lang w:val="bg-BG"/>
              </w:rPr>
              <w:t>X</w:t>
            </w:r>
          </w:p>
        </w:tc>
        <w:tc>
          <w:tcPr>
            <w:tcW w:w="612" w:type="dxa"/>
            <w:noWrap/>
            <w:vAlign w:val="center"/>
            <w:hideMark/>
          </w:tcPr>
          <w:p w14:paraId="603AD5D9" w14:textId="77777777" w:rsidR="00CF09B3" w:rsidRPr="007375EB" w:rsidRDefault="00CF09B3" w:rsidP="00CF09B3">
            <w:pPr>
              <w:rPr>
                <w:lang w:val="bg-BG"/>
              </w:rPr>
            </w:pPr>
            <w:r w:rsidRPr="007375EB">
              <w:rPr>
                <w:lang w:val="bg-BG"/>
              </w:rPr>
              <w:t>X</w:t>
            </w:r>
          </w:p>
        </w:tc>
      </w:tr>
      <w:tr w:rsidR="00CF09B3" w:rsidRPr="007375EB" w14:paraId="7C09F610" w14:textId="77777777" w:rsidTr="006C1B17">
        <w:trPr>
          <w:trHeight w:val="210"/>
        </w:trPr>
        <w:tc>
          <w:tcPr>
            <w:tcW w:w="621" w:type="dxa"/>
            <w:noWrap/>
            <w:hideMark/>
          </w:tcPr>
          <w:p w14:paraId="23C224B6" w14:textId="77777777" w:rsidR="00CF09B3" w:rsidRPr="007375EB" w:rsidRDefault="00CF09B3" w:rsidP="00CF09B3">
            <w:pPr>
              <w:rPr>
                <w:lang w:val="bg-BG"/>
              </w:rPr>
            </w:pPr>
            <w:r w:rsidRPr="007375EB">
              <w:rPr>
                <w:lang w:val="bg-BG"/>
              </w:rPr>
              <w:lastRenderedPageBreak/>
              <w:t>5</w:t>
            </w:r>
          </w:p>
        </w:tc>
        <w:tc>
          <w:tcPr>
            <w:tcW w:w="3189" w:type="dxa"/>
            <w:noWrap/>
            <w:hideMark/>
          </w:tcPr>
          <w:p w14:paraId="6A072AE3" w14:textId="131B5768" w:rsidR="00CF09B3" w:rsidRPr="007375EB" w:rsidRDefault="00CF09B3" w:rsidP="00CF09B3">
            <w:pPr>
              <w:jc w:val="both"/>
              <w:rPr>
                <w:lang w:val="bg-BG"/>
              </w:rPr>
            </w:pPr>
            <w:r w:rsidRPr="007375EB">
              <w:rPr>
                <w:lang w:val="bg-BG"/>
              </w:rPr>
              <w:t>Събаряне на съществуващи сгради и изграждане на фотоволтаична електроцентрала с мощност 3,212 МВт, свързване към SEN, инсталиране на PC и PTAB, вътрешен път и достъп, ограждане на терена и организация на строителната площадка в Индепенденца (предложена)</w:t>
            </w:r>
          </w:p>
        </w:tc>
        <w:tc>
          <w:tcPr>
            <w:tcW w:w="2125" w:type="dxa"/>
            <w:noWrap/>
            <w:vAlign w:val="center"/>
            <w:hideMark/>
          </w:tcPr>
          <w:p w14:paraId="30053F53" w14:textId="77777777" w:rsidR="00CF09B3" w:rsidRPr="007375EB" w:rsidRDefault="00CF09B3" w:rsidP="00CF09B3">
            <w:pPr>
              <w:rPr>
                <w:lang w:val="bg-BG"/>
              </w:rPr>
            </w:pPr>
            <w:r w:rsidRPr="007375EB">
              <w:rPr>
                <w:lang w:val="bg-BG"/>
              </w:rPr>
              <w:t>14,74 км</w:t>
            </w:r>
          </w:p>
        </w:tc>
        <w:tc>
          <w:tcPr>
            <w:tcW w:w="482" w:type="dxa"/>
            <w:noWrap/>
            <w:vAlign w:val="center"/>
            <w:hideMark/>
          </w:tcPr>
          <w:p w14:paraId="545B2C77" w14:textId="77777777" w:rsidR="00CF09B3" w:rsidRPr="007375EB" w:rsidRDefault="00CF09B3" w:rsidP="00CF09B3">
            <w:pPr>
              <w:rPr>
                <w:lang w:val="bg-BG"/>
              </w:rPr>
            </w:pPr>
            <w:r w:rsidRPr="007375EB">
              <w:rPr>
                <w:lang w:val="bg-BG"/>
              </w:rPr>
              <w:t>-</w:t>
            </w:r>
          </w:p>
        </w:tc>
        <w:tc>
          <w:tcPr>
            <w:tcW w:w="916" w:type="dxa"/>
            <w:noWrap/>
            <w:vAlign w:val="center"/>
            <w:hideMark/>
          </w:tcPr>
          <w:p w14:paraId="48C5BEDA" w14:textId="77777777" w:rsidR="00CF09B3" w:rsidRPr="007375EB" w:rsidRDefault="00CF09B3" w:rsidP="00CF09B3">
            <w:pPr>
              <w:rPr>
                <w:lang w:val="bg-BG"/>
              </w:rPr>
            </w:pPr>
            <w:r w:rsidRPr="007375EB">
              <w:rPr>
                <w:lang w:val="bg-BG"/>
              </w:rPr>
              <w:t>-</w:t>
            </w:r>
          </w:p>
        </w:tc>
        <w:tc>
          <w:tcPr>
            <w:tcW w:w="916" w:type="dxa"/>
            <w:noWrap/>
            <w:vAlign w:val="center"/>
            <w:hideMark/>
          </w:tcPr>
          <w:p w14:paraId="65378111" w14:textId="77777777" w:rsidR="00CF09B3" w:rsidRPr="007375EB" w:rsidRDefault="00CF09B3" w:rsidP="00CF09B3">
            <w:pPr>
              <w:rPr>
                <w:lang w:val="bg-BG"/>
              </w:rPr>
            </w:pPr>
            <w:r w:rsidRPr="007375EB">
              <w:rPr>
                <w:lang w:val="bg-BG"/>
              </w:rPr>
              <w:t>-</w:t>
            </w:r>
          </w:p>
        </w:tc>
        <w:tc>
          <w:tcPr>
            <w:tcW w:w="810" w:type="dxa"/>
            <w:noWrap/>
            <w:vAlign w:val="center"/>
            <w:hideMark/>
          </w:tcPr>
          <w:p w14:paraId="1D5F5B25" w14:textId="77777777" w:rsidR="00CF09B3" w:rsidRPr="007375EB" w:rsidRDefault="00CF09B3" w:rsidP="00CF09B3">
            <w:pPr>
              <w:rPr>
                <w:lang w:val="bg-BG"/>
              </w:rPr>
            </w:pPr>
            <w:r w:rsidRPr="007375EB">
              <w:rPr>
                <w:lang w:val="bg-BG"/>
              </w:rPr>
              <w:t>-</w:t>
            </w:r>
          </w:p>
        </w:tc>
        <w:tc>
          <w:tcPr>
            <w:tcW w:w="630" w:type="dxa"/>
            <w:noWrap/>
            <w:vAlign w:val="center"/>
            <w:hideMark/>
          </w:tcPr>
          <w:p w14:paraId="6E38587B" w14:textId="77777777" w:rsidR="00CF09B3" w:rsidRPr="007375EB" w:rsidRDefault="00CF09B3" w:rsidP="00CF09B3">
            <w:pPr>
              <w:rPr>
                <w:lang w:val="bg-BG"/>
              </w:rPr>
            </w:pPr>
            <w:r w:rsidRPr="007375EB">
              <w:rPr>
                <w:lang w:val="bg-BG"/>
              </w:rPr>
              <w:t>-</w:t>
            </w:r>
          </w:p>
        </w:tc>
        <w:tc>
          <w:tcPr>
            <w:tcW w:w="720" w:type="dxa"/>
            <w:noWrap/>
            <w:vAlign w:val="center"/>
            <w:hideMark/>
          </w:tcPr>
          <w:p w14:paraId="02A74FD0" w14:textId="77777777" w:rsidR="00CF09B3" w:rsidRPr="007375EB" w:rsidRDefault="00CF09B3" w:rsidP="00CF09B3">
            <w:pPr>
              <w:rPr>
                <w:lang w:val="bg-BG"/>
              </w:rPr>
            </w:pPr>
            <w:r w:rsidRPr="007375EB">
              <w:rPr>
                <w:lang w:val="bg-BG"/>
              </w:rPr>
              <w:t>-</w:t>
            </w:r>
          </w:p>
        </w:tc>
        <w:tc>
          <w:tcPr>
            <w:tcW w:w="720" w:type="dxa"/>
            <w:noWrap/>
            <w:vAlign w:val="center"/>
            <w:hideMark/>
          </w:tcPr>
          <w:p w14:paraId="67AD8C0B" w14:textId="77777777" w:rsidR="00CF09B3" w:rsidRPr="007375EB" w:rsidRDefault="00CF09B3" w:rsidP="00CF09B3">
            <w:pPr>
              <w:rPr>
                <w:lang w:val="bg-BG"/>
              </w:rPr>
            </w:pPr>
            <w:r w:rsidRPr="007375EB">
              <w:rPr>
                <w:lang w:val="bg-BG"/>
              </w:rPr>
              <w:t>-</w:t>
            </w:r>
          </w:p>
        </w:tc>
        <w:tc>
          <w:tcPr>
            <w:tcW w:w="540" w:type="dxa"/>
            <w:noWrap/>
            <w:vAlign w:val="center"/>
            <w:hideMark/>
          </w:tcPr>
          <w:p w14:paraId="07E265A8" w14:textId="77777777" w:rsidR="00CF09B3" w:rsidRPr="007375EB" w:rsidRDefault="00CF09B3" w:rsidP="00CF09B3">
            <w:pPr>
              <w:rPr>
                <w:lang w:val="bg-BG"/>
              </w:rPr>
            </w:pPr>
            <w:r w:rsidRPr="007375EB">
              <w:rPr>
                <w:lang w:val="bg-BG"/>
              </w:rPr>
              <w:t>-</w:t>
            </w:r>
          </w:p>
        </w:tc>
        <w:tc>
          <w:tcPr>
            <w:tcW w:w="990" w:type="dxa"/>
            <w:noWrap/>
            <w:vAlign w:val="center"/>
            <w:hideMark/>
          </w:tcPr>
          <w:p w14:paraId="1362987A" w14:textId="77777777" w:rsidR="00CF09B3" w:rsidRPr="007375EB" w:rsidRDefault="00CF09B3" w:rsidP="00CF09B3">
            <w:pPr>
              <w:rPr>
                <w:lang w:val="bg-BG"/>
              </w:rPr>
            </w:pPr>
            <w:r w:rsidRPr="007375EB">
              <w:rPr>
                <w:lang w:val="bg-BG"/>
              </w:rPr>
              <w:t>-</w:t>
            </w:r>
          </w:p>
        </w:tc>
        <w:tc>
          <w:tcPr>
            <w:tcW w:w="499" w:type="dxa"/>
            <w:noWrap/>
            <w:vAlign w:val="center"/>
            <w:hideMark/>
          </w:tcPr>
          <w:p w14:paraId="48804DDF" w14:textId="77777777" w:rsidR="00CF09B3" w:rsidRPr="007375EB" w:rsidRDefault="00CF09B3" w:rsidP="00CF09B3">
            <w:pPr>
              <w:rPr>
                <w:lang w:val="bg-BG"/>
              </w:rPr>
            </w:pPr>
            <w:r w:rsidRPr="007375EB">
              <w:rPr>
                <w:lang w:val="bg-BG"/>
              </w:rPr>
              <w:t>-</w:t>
            </w:r>
          </w:p>
        </w:tc>
        <w:tc>
          <w:tcPr>
            <w:tcW w:w="507" w:type="dxa"/>
            <w:noWrap/>
            <w:vAlign w:val="center"/>
            <w:hideMark/>
          </w:tcPr>
          <w:p w14:paraId="7D383DC6" w14:textId="77777777" w:rsidR="00CF09B3" w:rsidRPr="007375EB" w:rsidRDefault="00CF09B3" w:rsidP="00CF09B3">
            <w:pPr>
              <w:rPr>
                <w:lang w:val="bg-BG"/>
              </w:rPr>
            </w:pPr>
            <w:r w:rsidRPr="007375EB">
              <w:rPr>
                <w:lang w:val="bg-BG"/>
              </w:rPr>
              <w:t>-</w:t>
            </w:r>
          </w:p>
        </w:tc>
        <w:tc>
          <w:tcPr>
            <w:tcW w:w="524" w:type="dxa"/>
            <w:noWrap/>
            <w:vAlign w:val="center"/>
            <w:hideMark/>
          </w:tcPr>
          <w:p w14:paraId="71A6C5FE" w14:textId="77777777" w:rsidR="00CF09B3" w:rsidRPr="007375EB" w:rsidRDefault="00CF09B3" w:rsidP="00CF09B3">
            <w:pPr>
              <w:rPr>
                <w:lang w:val="bg-BG"/>
              </w:rPr>
            </w:pPr>
            <w:r w:rsidRPr="007375EB">
              <w:rPr>
                <w:lang w:val="bg-BG"/>
              </w:rPr>
              <w:t>-</w:t>
            </w:r>
          </w:p>
        </w:tc>
        <w:tc>
          <w:tcPr>
            <w:tcW w:w="616" w:type="dxa"/>
            <w:noWrap/>
            <w:vAlign w:val="center"/>
            <w:hideMark/>
          </w:tcPr>
          <w:p w14:paraId="2606A539" w14:textId="77777777" w:rsidR="00CF09B3" w:rsidRPr="007375EB" w:rsidRDefault="00CF09B3" w:rsidP="00CF09B3">
            <w:pPr>
              <w:rPr>
                <w:lang w:val="bg-BG"/>
              </w:rPr>
            </w:pPr>
            <w:r w:rsidRPr="007375EB">
              <w:rPr>
                <w:lang w:val="bg-BG"/>
              </w:rPr>
              <w:t>-</w:t>
            </w:r>
          </w:p>
        </w:tc>
        <w:tc>
          <w:tcPr>
            <w:tcW w:w="612" w:type="dxa"/>
            <w:noWrap/>
            <w:vAlign w:val="center"/>
            <w:hideMark/>
          </w:tcPr>
          <w:p w14:paraId="67FD5099" w14:textId="77777777" w:rsidR="00CF09B3" w:rsidRPr="007375EB" w:rsidRDefault="00CF09B3" w:rsidP="00CF09B3">
            <w:pPr>
              <w:rPr>
                <w:lang w:val="bg-BG"/>
              </w:rPr>
            </w:pPr>
            <w:r w:rsidRPr="007375EB">
              <w:rPr>
                <w:lang w:val="bg-BG"/>
              </w:rPr>
              <w:t>-</w:t>
            </w:r>
          </w:p>
        </w:tc>
      </w:tr>
      <w:tr w:rsidR="00CF09B3" w:rsidRPr="007375EB" w14:paraId="11D82787" w14:textId="77777777" w:rsidTr="006C1B17">
        <w:trPr>
          <w:trHeight w:val="210"/>
        </w:trPr>
        <w:tc>
          <w:tcPr>
            <w:tcW w:w="621" w:type="dxa"/>
            <w:noWrap/>
          </w:tcPr>
          <w:p w14:paraId="2531C704" w14:textId="77777777" w:rsidR="00CF09B3" w:rsidRPr="007375EB" w:rsidRDefault="00CF09B3" w:rsidP="00CF09B3">
            <w:pPr>
              <w:rPr>
                <w:lang w:val="bg-BG"/>
              </w:rPr>
            </w:pPr>
            <w:r w:rsidRPr="007375EB">
              <w:rPr>
                <w:lang w:val="bg-BG"/>
              </w:rPr>
              <w:t>6</w:t>
            </w:r>
          </w:p>
        </w:tc>
        <w:tc>
          <w:tcPr>
            <w:tcW w:w="3189" w:type="dxa"/>
            <w:noWrap/>
          </w:tcPr>
          <w:p w14:paraId="01AC9A08" w14:textId="41DF72E3" w:rsidR="00CF09B3" w:rsidRPr="007375EB" w:rsidRDefault="00CF09B3" w:rsidP="00CF09B3">
            <w:pPr>
              <w:jc w:val="both"/>
              <w:rPr>
                <w:lang w:val="bg-BG"/>
              </w:rPr>
            </w:pPr>
            <w:r w:rsidRPr="007375EB">
              <w:rPr>
                <w:lang w:val="bg-BG"/>
              </w:rPr>
              <w:t>Изграждане на подземна оптична мрежа за електронни съобщителни услуги в окръг Констанца, Индепенденца, Думбръвени (предложена)</w:t>
            </w:r>
          </w:p>
        </w:tc>
        <w:tc>
          <w:tcPr>
            <w:tcW w:w="2125" w:type="dxa"/>
            <w:noWrap/>
            <w:vAlign w:val="center"/>
          </w:tcPr>
          <w:p w14:paraId="559DD383" w14:textId="77777777" w:rsidR="00CF09B3" w:rsidRPr="007375EB" w:rsidRDefault="00CF09B3" w:rsidP="00CF09B3">
            <w:pPr>
              <w:rPr>
                <w:lang w:val="bg-BG"/>
              </w:rPr>
            </w:pPr>
            <w:r w:rsidRPr="007375EB">
              <w:rPr>
                <w:lang w:val="bg-BG"/>
              </w:rPr>
              <w:t>13,94 км</w:t>
            </w:r>
          </w:p>
        </w:tc>
        <w:tc>
          <w:tcPr>
            <w:tcW w:w="482" w:type="dxa"/>
            <w:noWrap/>
            <w:vAlign w:val="center"/>
          </w:tcPr>
          <w:p w14:paraId="22C821AF" w14:textId="77777777" w:rsidR="00CF09B3" w:rsidRPr="007375EB" w:rsidRDefault="00CF09B3" w:rsidP="00CF09B3">
            <w:pPr>
              <w:rPr>
                <w:lang w:val="bg-BG"/>
              </w:rPr>
            </w:pPr>
            <w:r w:rsidRPr="007375EB">
              <w:rPr>
                <w:lang w:val="bg-BG"/>
              </w:rPr>
              <w:t>-</w:t>
            </w:r>
          </w:p>
        </w:tc>
        <w:tc>
          <w:tcPr>
            <w:tcW w:w="916" w:type="dxa"/>
            <w:noWrap/>
            <w:vAlign w:val="center"/>
          </w:tcPr>
          <w:p w14:paraId="72C0FFED" w14:textId="77777777" w:rsidR="00CF09B3" w:rsidRPr="007375EB" w:rsidRDefault="00CF09B3" w:rsidP="00CF09B3">
            <w:pPr>
              <w:rPr>
                <w:lang w:val="bg-BG"/>
              </w:rPr>
            </w:pPr>
            <w:r w:rsidRPr="007375EB">
              <w:rPr>
                <w:lang w:val="bg-BG"/>
              </w:rPr>
              <w:t>-</w:t>
            </w:r>
          </w:p>
        </w:tc>
        <w:tc>
          <w:tcPr>
            <w:tcW w:w="916" w:type="dxa"/>
            <w:noWrap/>
            <w:vAlign w:val="center"/>
          </w:tcPr>
          <w:p w14:paraId="712720A1" w14:textId="77777777" w:rsidR="00CF09B3" w:rsidRPr="007375EB" w:rsidRDefault="00CF09B3" w:rsidP="00CF09B3">
            <w:pPr>
              <w:rPr>
                <w:lang w:val="bg-BG"/>
              </w:rPr>
            </w:pPr>
            <w:r w:rsidRPr="007375EB">
              <w:rPr>
                <w:lang w:val="bg-BG"/>
              </w:rPr>
              <w:t>-</w:t>
            </w:r>
          </w:p>
        </w:tc>
        <w:tc>
          <w:tcPr>
            <w:tcW w:w="810" w:type="dxa"/>
            <w:noWrap/>
            <w:vAlign w:val="center"/>
          </w:tcPr>
          <w:p w14:paraId="051BB24F" w14:textId="77777777" w:rsidR="00CF09B3" w:rsidRPr="007375EB" w:rsidRDefault="00CF09B3" w:rsidP="00CF09B3">
            <w:pPr>
              <w:rPr>
                <w:lang w:val="bg-BG"/>
              </w:rPr>
            </w:pPr>
            <w:r w:rsidRPr="007375EB">
              <w:rPr>
                <w:lang w:val="bg-BG"/>
              </w:rPr>
              <w:t>-</w:t>
            </w:r>
          </w:p>
        </w:tc>
        <w:tc>
          <w:tcPr>
            <w:tcW w:w="630" w:type="dxa"/>
            <w:noWrap/>
            <w:vAlign w:val="center"/>
          </w:tcPr>
          <w:p w14:paraId="129430E2" w14:textId="77777777" w:rsidR="00CF09B3" w:rsidRPr="007375EB" w:rsidRDefault="00CF09B3" w:rsidP="00CF09B3">
            <w:pPr>
              <w:rPr>
                <w:lang w:val="bg-BG"/>
              </w:rPr>
            </w:pPr>
            <w:r w:rsidRPr="007375EB">
              <w:rPr>
                <w:lang w:val="bg-BG"/>
              </w:rPr>
              <w:t>-</w:t>
            </w:r>
          </w:p>
        </w:tc>
        <w:tc>
          <w:tcPr>
            <w:tcW w:w="720" w:type="dxa"/>
            <w:noWrap/>
            <w:vAlign w:val="center"/>
          </w:tcPr>
          <w:p w14:paraId="5A23F9B5" w14:textId="77777777" w:rsidR="00CF09B3" w:rsidRPr="007375EB" w:rsidRDefault="00CF09B3" w:rsidP="00CF09B3">
            <w:pPr>
              <w:rPr>
                <w:lang w:val="bg-BG"/>
              </w:rPr>
            </w:pPr>
            <w:r w:rsidRPr="007375EB">
              <w:rPr>
                <w:lang w:val="bg-BG"/>
              </w:rPr>
              <w:t>-</w:t>
            </w:r>
          </w:p>
        </w:tc>
        <w:tc>
          <w:tcPr>
            <w:tcW w:w="720" w:type="dxa"/>
            <w:noWrap/>
            <w:vAlign w:val="center"/>
          </w:tcPr>
          <w:p w14:paraId="312F8A05" w14:textId="77777777" w:rsidR="00CF09B3" w:rsidRPr="007375EB" w:rsidRDefault="00CF09B3" w:rsidP="00CF09B3">
            <w:pPr>
              <w:rPr>
                <w:lang w:val="bg-BG"/>
              </w:rPr>
            </w:pPr>
            <w:r w:rsidRPr="007375EB">
              <w:rPr>
                <w:lang w:val="bg-BG"/>
              </w:rPr>
              <w:t>-</w:t>
            </w:r>
          </w:p>
        </w:tc>
        <w:tc>
          <w:tcPr>
            <w:tcW w:w="540" w:type="dxa"/>
            <w:noWrap/>
            <w:vAlign w:val="center"/>
          </w:tcPr>
          <w:p w14:paraId="07CE9F90" w14:textId="77777777" w:rsidR="00CF09B3" w:rsidRPr="007375EB" w:rsidRDefault="00CF09B3" w:rsidP="00CF09B3">
            <w:pPr>
              <w:rPr>
                <w:lang w:val="bg-BG"/>
              </w:rPr>
            </w:pPr>
            <w:r w:rsidRPr="007375EB">
              <w:rPr>
                <w:lang w:val="bg-BG"/>
              </w:rPr>
              <w:t>-</w:t>
            </w:r>
          </w:p>
        </w:tc>
        <w:tc>
          <w:tcPr>
            <w:tcW w:w="990" w:type="dxa"/>
            <w:noWrap/>
            <w:vAlign w:val="center"/>
          </w:tcPr>
          <w:p w14:paraId="1CCBFE34" w14:textId="77777777" w:rsidR="00CF09B3" w:rsidRPr="007375EB" w:rsidRDefault="00CF09B3" w:rsidP="00CF09B3">
            <w:pPr>
              <w:rPr>
                <w:lang w:val="bg-BG"/>
              </w:rPr>
            </w:pPr>
            <w:r w:rsidRPr="007375EB">
              <w:rPr>
                <w:lang w:val="bg-BG"/>
              </w:rPr>
              <w:t>-</w:t>
            </w:r>
          </w:p>
        </w:tc>
        <w:tc>
          <w:tcPr>
            <w:tcW w:w="499" w:type="dxa"/>
            <w:noWrap/>
            <w:vAlign w:val="center"/>
          </w:tcPr>
          <w:p w14:paraId="58E3CEC8" w14:textId="77777777" w:rsidR="00CF09B3" w:rsidRPr="007375EB" w:rsidRDefault="00CF09B3" w:rsidP="00CF09B3">
            <w:pPr>
              <w:rPr>
                <w:lang w:val="bg-BG"/>
              </w:rPr>
            </w:pPr>
            <w:r w:rsidRPr="007375EB">
              <w:rPr>
                <w:lang w:val="bg-BG"/>
              </w:rPr>
              <w:t>-</w:t>
            </w:r>
          </w:p>
        </w:tc>
        <w:tc>
          <w:tcPr>
            <w:tcW w:w="507" w:type="dxa"/>
            <w:noWrap/>
            <w:vAlign w:val="center"/>
          </w:tcPr>
          <w:p w14:paraId="3680A9D8" w14:textId="77777777" w:rsidR="00CF09B3" w:rsidRPr="007375EB" w:rsidRDefault="00CF09B3" w:rsidP="00CF09B3">
            <w:pPr>
              <w:rPr>
                <w:lang w:val="bg-BG"/>
              </w:rPr>
            </w:pPr>
            <w:r w:rsidRPr="007375EB">
              <w:rPr>
                <w:lang w:val="bg-BG"/>
              </w:rPr>
              <w:t>-</w:t>
            </w:r>
          </w:p>
        </w:tc>
        <w:tc>
          <w:tcPr>
            <w:tcW w:w="524" w:type="dxa"/>
            <w:noWrap/>
            <w:vAlign w:val="center"/>
          </w:tcPr>
          <w:p w14:paraId="01009F7C" w14:textId="77777777" w:rsidR="00CF09B3" w:rsidRPr="007375EB" w:rsidRDefault="00CF09B3" w:rsidP="00CF09B3">
            <w:pPr>
              <w:rPr>
                <w:lang w:val="bg-BG"/>
              </w:rPr>
            </w:pPr>
            <w:r w:rsidRPr="007375EB">
              <w:rPr>
                <w:lang w:val="bg-BG"/>
              </w:rPr>
              <w:t>-</w:t>
            </w:r>
          </w:p>
        </w:tc>
        <w:tc>
          <w:tcPr>
            <w:tcW w:w="616" w:type="dxa"/>
            <w:noWrap/>
            <w:vAlign w:val="center"/>
          </w:tcPr>
          <w:p w14:paraId="0FF30DA0" w14:textId="77777777" w:rsidR="00CF09B3" w:rsidRPr="007375EB" w:rsidRDefault="00CF09B3" w:rsidP="00CF09B3">
            <w:pPr>
              <w:rPr>
                <w:lang w:val="bg-BG"/>
              </w:rPr>
            </w:pPr>
            <w:r w:rsidRPr="007375EB">
              <w:rPr>
                <w:lang w:val="bg-BG"/>
              </w:rPr>
              <w:t>-</w:t>
            </w:r>
          </w:p>
        </w:tc>
        <w:tc>
          <w:tcPr>
            <w:tcW w:w="612" w:type="dxa"/>
            <w:noWrap/>
            <w:vAlign w:val="center"/>
          </w:tcPr>
          <w:p w14:paraId="7A5E61BA" w14:textId="77777777" w:rsidR="00CF09B3" w:rsidRPr="007375EB" w:rsidRDefault="00CF09B3" w:rsidP="00CF09B3">
            <w:pPr>
              <w:rPr>
                <w:lang w:val="bg-BG"/>
              </w:rPr>
            </w:pPr>
            <w:r w:rsidRPr="007375EB">
              <w:rPr>
                <w:lang w:val="bg-BG"/>
              </w:rPr>
              <w:t>-</w:t>
            </w:r>
          </w:p>
        </w:tc>
      </w:tr>
      <w:tr w:rsidR="00CF09B3" w:rsidRPr="007375EB" w14:paraId="30CE63D6" w14:textId="77777777" w:rsidTr="006C1B17">
        <w:trPr>
          <w:trHeight w:val="210"/>
        </w:trPr>
        <w:tc>
          <w:tcPr>
            <w:tcW w:w="621" w:type="dxa"/>
            <w:noWrap/>
          </w:tcPr>
          <w:p w14:paraId="2C712728" w14:textId="77777777" w:rsidR="00CF09B3" w:rsidRPr="007375EB" w:rsidRDefault="00CF09B3" w:rsidP="00CF09B3">
            <w:pPr>
              <w:rPr>
                <w:lang w:val="bg-BG"/>
              </w:rPr>
            </w:pPr>
            <w:r w:rsidRPr="007375EB">
              <w:rPr>
                <w:lang w:val="bg-BG"/>
              </w:rPr>
              <w:t>7</w:t>
            </w:r>
          </w:p>
        </w:tc>
        <w:tc>
          <w:tcPr>
            <w:tcW w:w="3189" w:type="dxa"/>
            <w:noWrap/>
          </w:tcPr>
          <w:p w14:paraId="0BF7FD74" w14:textId="2E266494" w:rsidR="00CF09B3" w:rsidRPr="007375EB" w:rsidRDefault="00CF09B3" w:rsidP="00CF09B3">
            <w:pPr>
              <w:jc w:val="both"/>
              <w:rPr>
                <w:lang w:val="bg-BG"/>
              </w:rPr>
            </w:pPr>
            <w:r w:rsidRPr="007375EB">
              <w:rPr>
                <w:lang w:val="bg-BG"/>
              </w:rPr>
              <w:t>Изграждане на подземна оптична мрежа за електронни съобщителни услуги, Негру Вода (предложено)</w:t>
            </w:r>
          </w:p>
        </w:tc>
        <w:tc>
          <w:tcPr>
            <w:tcW w:w="2125" w:type="dxa"/>
            <w:noWrap/>
            <w:vAlign w:val="center"/>
          </w:tcPr>
          <w:p w14:paraId="43C30F67" w14:textId="77777777" w:rsidR="00CF09B3" w:rsidRPr="007375EB" w:rsidRDefault="00CF09B3" w:rsidP="00CF09B3">
            <w:pPr>
              <w:rPr>
                <w:lang w:val="bg-BG"/>
              </w:rPr>
            </w:pPr>
            <w:r w:rsidRPr="007375EB">
              <w:rPr>
                <w:lang w:val="bg-BG"/>
              </w:rPr>
              <w:t>7,73 км</w:t>
            </w:r>
          </w:p>
        </w:tc>
        <w:tc>
          <w:tcPr>
            <w:tcW w:w="482" w:type="dxa"/>
            <w:noWrap/>
            <w:vAlign w:val="center"/>
          </w:tcPr>
          <w:p w14:paraId="2D32A81A" w14:textId="77777777" w:rsidR="00CF09B3" w:rsidRPr="007375EB" w:rsidRDefault="00CF09B3" w:rsidP="00CF09B3">
            <w:pPr>
              <w:rPr>
                <w:lang w:val="bg-BG"/>
              </w:rPr>
            </w:pPr>
            <w:r w:rsidRPr="007375EB">
              <w:rPr>
                <w:lang w:val="bg-BG"/>
              </w:rPr>
              <w:t>-</w:t>
            </w:r>
          </w:p>
        </w:tc>
        <w:tc>
          <w:tcPr>
            <w:tcW w:w="916" w:type="dxa"/>
            <w:noWrap/>
            <w:vAlign w:val="center"/>
          </w:tcPr>
          <w:p w14:paraId="0B67C471" w14:textId="77777777" w:rsidR="00CF09B3" w:rsidRPr="007375EB" w:rsidRDefault="00CF09B3" w:rsidP="00CF09B3">
            <w:pPr>
              <w:rPr>
                <w:lang w:val="bg-BG"/>
              </w:rPr>
            </w:pPr>
            <w:r w:rsidRPr="007375EB">
              <w:rPr>
                <w:lang w:val="bg-BG"/>
              </w:rPr>
              <w:t>-</w:t>
            </w:r>
          </w:p>
        </w:tc>
        <w:tc>
          <w:tcPr>
            <w:tcW w:w="916" w:type="dxa"/>
            <w:noWrap/>
            <w:vAlign w:val="center"/>
          </w:tcPr>
          <w:p w14:paraId="26E7D21C" w14:textId="77777777" w:rsidR="00CF09B3" w:rsidRPr="007375EB" w:rsidRDefault="00CF09B3" w:rsidP="00CF09B3">
            <w:pPr>
              <w:rPr>
                <w:lang w:val="bg-BG"/>
              </w:rPr>
            </w:pPr>
            <w:r w:rsidRPr="007375EB">
              <w:rPr>
                <w:lang w:val="bg-BG"/>
              </w:rPr>
              <w:t>-</w:t>
            </w:r>
          </w:p>
        </w:tc>
        <w:tc>
          <w:tcPr>
            <w:tcW w:w="810" w:type="dxa"/>
            <w:noWrap/>
            <w:vAlign w:val="center"/>
          </w:tcPr>
          <w:p w14:paraId="26743259" w14:textId="77777777" w:rsidR="00CF09B3" w:rsidRPr="007375EB" w:rsidRDefault="00CF09B3" w:rsidP="00CF09B3">
            <w:pPr>
              <w:rPr>
                <w:lang w:val="bg-BG"/>
              </w:rPr>
            </w:pPr>
            <w:r w:rsidRPr="007375EB">
              <w:rPr>
                <w:lang w:val="bg-BG"/>
              </w:rPr>
              <w:t>-</w:t>
            </w:r>
          </w:p>
        </w:tc>
        <w:tc>
          <w:tcPr>
            <w:tcW w:w="630" w:type="dxa"/>
            <w:noWrap/>
            <w:vAlign w:val="center"/>
          </w:tcPr>
          <w:p w14:paraId="52BC4052" w14:textId="77777777" w:rsidR="00CF09B3" w:rsidRPr="007375EB" w:rsidRDefault="00CF09B3" w:rsidP="00CF09B3">
            <w:pPr>
              <w:rPr>
                <w:lang w:val="bg-BG"/>
              </w:rPr>
            </w:pPr>
            <w:r w:rsidRPr="007375EB">
              <w:rPr>
                <w:lang w:val="bg-BG"/>
              </w:rPr>
              <w:t>-</w:t>
            </w:r>
          </w:p>
        </w:tc>
        <w:tc>
          <w:tcPr>
            <w:tcW w:w="720" w:type="dxa"/>
            <w:noWrap/>
            <w:vAlign w:val="center"/>
          </w:tcPr>
          <w:p w14:paraId="1AFC6847" w14:textId="77777777" w:rsidR="00CF09B3" w:rsidRPr="007375EB" w:rsidRDefault="00CF09B3" w:rsidP="00CF09B3">
            <w:pPr>
              <w:rPr>
                <w:lang w:val="bg-BG"/>
              </w:rPr>
            </w:pPr>
            <w:r w:rsidRPr="007375EB">
              <w:rPr>
                <w:lang w:val="bg-BG"/>
              </w:rPr>
              <w:t>-</w:t>
            </w:r>
          </w:p>
        </w:tc>
        <w:tc>
          <w:tcPr>
            <w:tcW w:w="720" w:type="dxa"/>
            <w:noWrap/>
            <w:vAlign w:val="center"/>
          </w:tcPr>
          <w:p w14:paraId="60392124" w14:textId="77777777" w:rsidR="00CF09B3" w:rsidRPr="007375EB" w:rsidRDefault="00CF09B3" w:rsidP="00CF09B3">
            <w:pPr>
              <w:rPr>
                <w:lang w:val="bg-BG"/>
              </w:rPr>
            </w:pPr>
            <w:r w:rsidRPr="007375EB">
              <w:rPr>
                <w:lang w:val="bg-BG"/>
              </w:rPr>
              <w:t>-</w:t>
            </w:r>
          </w:p>
        </w:tc>
        <w:tc>
          <w:tcPr>
            <w:tcW w:w="540" w:type="dxa"/>
            <w:noWrap/>
            <w:vAlign w:val="center"/>
          </w:tcPr>
          <w:p w14:paraId="0AB94882" w14:textId="77777777" w:rsidR="00CF09B3" w:rsidRPr="007375EB" w:rsidRDefault="00CF09B3" w:rsidP="00CF09B3">
            <w:pPr>
              <w:rPr>
                <w:lang w:val="bg-BG"/>
              </w:rPr>
            </w:pPr>
            <w:r w:rsidRPr="007375EB">
              <w:rPr>
                <w:lang w:val="bg-BG"/>
              </w:rPr>
              <w:t>-</w:t>
            </w:r>
          </w:p>
        </w:tc>
        <w:tc>
          <w:tcPr>
            <w:tcW w:w="990" w:type="dxa"/>
            <w:noWrap/>
            <w:vAlign w:val="center"/>
          </w:tcPr>
          <w:p w14:paraId="011F6252" w14:textId="77777777" w:rsidR="00CF09B3" w:rsidRPr="007375EB" w:rsidRDefault="00CF09B3" w:rsidP="00CF09B3">
            <w:pPr>
              <w:rPr>
                <w:lang w:val="bg-BG"/>
              </w:rPr>
            </w:pPr>
            <w:r w:rsidRPr="007375EB">
              <w:rPr>
                <w:lang w:val="bg-BG"/>
              </w:rPr>
              <w:t>-</w:t>
            </w:r>
          </w:p>
        </w:tc>
        <w:tc>
          <w:tcPr>
            <w:tcW w:w="499" w:type="dxa"/>
            <w:noWrap/>
            <w:vAlign w:val="center"/>
          </w:tcPr>
          <w:p w14:paraId="2C0B9505" w14:textId="77777777" w:rsidR="00CF09B3" w:rsidRPr="007375EB" w:rsidRDefault="00CF09B3" w:rsidP="00CF09B3">
            <w:pPr>
              <w:rPr>
                <w:lang w:val="bg-BG"/>
              </w:rPr>
            </w:pPr>
            <w:r w:rsidRPr="007375EB">
              <w:rPr>
                <w:lang w:val="bg-BG"/>
              </w:rPr>
              <w:t>-</w:t>
            </w:r>
          </w:p>
        </w:tc>
        <w:tc>
          <w:tcPr>
            <w:tcW w:w="507" w:type="dxa"/>
            <w:noWrap/>
            <w:vAlign w:val="center"/>
          </w:tcPr>
          <w:p w14:paraId="5360A141" w14:textId="77777777" w:rsidR="00CF09B3" w:rsidRPr="007375EB" w:rsidRDefault="00CF09B3" w:rsidP="00CF09B3">
            <w:pPr>
              <w:rPr>
                <w:lang w:val="bg-BG"/>
              </w:rPr>
            </w:pPr>
            <w:r w:rsidRPr="007375EB">
              <w:rPr>
                <w:lang w:val="bg-BG"/>
              </w:rPr>
              <w:t>-</w:t>
            </w:r>
          </w:p>
        </w:tc>
        <w:tc>
          <w:tcPr>
            <w:tcW w:w="524" w:type="dxa"/>
            <w:noWrap/>
            <w:vAlign w:val="center"/>
          </w:tcPr>
          <w:p w14:paraId="3D17280C" w14:textId="77777777" w:rsidR="00CF09B3" w:rsidRPr="007375EB" w:rsidRDefault="00CF09B3" w:rsidP="00CF09B3">
            <w:pPr>
              <w:rPr>
                <w:lang w:val="bg-BG"/>
              </w:rPr>
            </w:pPr>
            <w:r w:rsidRPr="007375EB">
              <w:rPr>
                <w:lang w:val="bg-BG"/>
              </w:rPr>
              <w:t>-</w:t>
            </w:r>
          </w:p>
        </w:tc>
        <w:tc>
          <w:tcPr>
            <w:tcW w:w="616" w:type="dxa"/>
            <w:noWrap/>
            <w:vAlign w:val="center"/>
          </w:tcPr>
          <w:p w14:paraId="3C682608" w14:textId="77777777" w:rsidR="00CF09B3" w:rsidRPr="007375EB" w:rsidRDefault="00CF09B3" w:rsidP="00CF09B3">
            <w:pPr>
              <w:rPr>
                <w:lang w:val="bg-BG"/>
              </w:rPr>
            </w:pPr>
            <w:r w:rsidRPr="007375EB">
              <w:rPr>
                <w:lang w:val="bg-BG"/>
              </w:rPr>
              <w:t>-</w:t>
            </w:r>
          </w:p>
        </w:tc>
        <w:tc>
          <w:tcPr>
            <w:tcW w:w="612" w:type="dxa"/>
            <w:noWrap/>
            <w:vAlign w:val="center"/>
          </w:tcPr>
          <w:p w14:paraId="0287DA4D" w14:textId="77777777" w:rsidR="00CF09B3" w:rsidRPr="007375EB" w:rsidRDefault="00CF09B3" w:rsidP="00CF09B3">
            <w:pPr>
              <w:rPr>
                <w:lang w:val="bg-BG"/>
              </w:rPr>
            </w:pPr>
            <w:r w:rsidRPr="007375EB">
              <w:rPr>
                <w:lang w:val="bg-BG"/>
              </w:rPr>
              <w:t>-</w:t>
            </w:r>
          </w:p>
        </w:tc>
      </w:tr>
      <w:tr w:rsidR="00CF09B3" w:rsidRPr="007375EB" w14:paraId="49F3CAE4" w14:textId="77777777" w:rsidTr="006C1B17">
        <w:trPr>
          <w:trHeight w:val="210"/>
        </w:trPr>
        <w:tc>
          <w:tcPr>
            <w:tcW w:w="621" w:type="dxa"/>
            <w:noWrap/>
          </w:tcPr>
          <w:p w14:paraId="78D8D47E" w14:textId="77777777" w:rsidR="00CF09B3" w:rsidRPr="007375EB" w:rsidRDefault="00CF09B3" w:rsidP="00CF09B3">
            <w:pPr>
              <w:rPr>
                <w:lang w:val="bg-BG"/>
              </w:rPr>
            </w:pPr>
            <w:r w:rsidRPr="007375EB">
              <w:rPr>
                <w:lang w:val="bg-BG"/>
              </w:rPr>
              <w:lastRenderedPageBreak/>
              <w:t>8</w:t>
            </w:r>
          </w:p>
        </w:tc>
        <w:tc>
          <w:tcPr>
            <w:tcW w:w="3189" w:type="dxa"/>
            <w:noWrap/>
          </w:tcPr>
          <w:p w14:paraId="315CEF1E" w14:textId="56DDBDA4" w:rsidR="00CF09B3" w:rsidRPr="007375EB" w:rsidRDefault="00CF09B3" w:rsidP="00CF09B3">
            <w:pPr>
              <w:jc w:val="both"/>
              <w:rPr>
                <w:lang w:val="bg-BG"/>
              </w:rPr>
            </w:pPr>
            <w:r w:rsidRPr="007375EB">
              <w:rPr>
                <w:lang w:val="bg-BG"/>
              </w:rPr>
              <w:t>Електроснабдяване на домакинство с вода, с. Фурника, община Думбръвени, окръг Констанца (предложено)</w:t>
            </w:r>
          </w:p>
        </w:tc>
        <w:tc>
          <w:tcPr>
            <w:tcW w:w="2125" w:type="dxa"/>
            <w:noWrap/>
            <w:vAlign w:val="center"/>
          </w:tcPr>
          <w:p w14:paraId="554E29CA" w14:textId="77777777" w:rsidR="00CF09B3" w:rsidRPr="007375EB" w:rsidRDefault="00CF09B3" w:rsidP="00CF09B3">
            <w:pPr>
              <w:rPr>
                <w:lang w:val="bg-BG"/>
              </w:rPr>
            </w:pPr>
            <w:r w:rsidRPr="007375EB">
              <w:rPr>
                <w:lang w:val="bg-BG"/>
              </w:rPr>
              <w:t>18,22 км</w:t>
            </w:r>
          </w:p>
        </w:tc>
        <w:tc>
          <w:tcPr>
            <w:tcW w:w="482" w:type="dxa"/>
            <w:noWrap/>
            <w:vAlign w:val="center"/>
          </w:tcPr>
          <w:p w14:paraId="32A606B2" w14:textId="77777777" w:rsidR="00CF09B3" w:rsidRPr="007375EB" w:rsidRDefault="00CF09B3" w:rsidP="00CF09B3">
            <w:pPr>
              <w:rPr>
                <w:lang w:val="bg-BG"/>
              </w:rPr>
            </w:pPr>
            <w:r w:rsidRPr="007375EB">
              <w:rPr>
                <w:lang w:val="bg-BG"/>
              </w:rPr>
              <w:t>-</w:t>
            </w:r>
          </w:p>
        </w:tc>
        <w:tc>
          <w:tcPr>
            <w:tcW w:w="916" w:type="dxa"/>
            <w:noWrap/>
            <w:vAlign w:val="center"/>
          </w:tcPr>
          <w:p w14:paraId="265BAC1D" w14:textId="77777777" w:rsidR="00CF09B3" w:rsidRPr="007375EB" w:rsidRDefault="00CF09B3" w:rsidP="00CF09B3">
            <w:pPr>
              <w:rPr>
                <w:lang w:val="bg-BG"/>
              </w:rPr>
            </w:pPr>
            <w:r w:rsidRPr="007375EB">
              <w:rPr>
                <w:lang w:val="bg-BG"/>
              </w:rPr>
              <w:t>-</w:t>
            </w:r>
          </w:p>
        </w:tc>
        <w:tc>
          <w:tcPr>
            <w:tcW w:w="916" w:type="dxa"/>
            <w:noWrap/>
            <w:vAlign w:val="center"/>
          </w:tcPr>
          <w:p w14:paraId="25E69906" w14:textId="77777777" w:rsidR="00CF09B3" w:rsidRPr="007375EB" w:rsidRDefault="00CF09B3" w:rsidP="00CF09B3">
            <w:pPr>
              <w:rPr>
                <w:lang w:val="bg-BG"/>
              </w:rPr>
            </w:pPr>
            <w:r w:rsidRPr="007375EB">
              <w:rPr>
                <w:lang w:val="bg-BG"/>
              </w:rPr>
              <w:t>-</w:t>
            </w:r>
          </w:p>
        </w:tc>
        <w:tc>
          <w:tcPr>
            <w:tcW w:w="810" w:type="dxa"/>
            <w:noWrap/>
            <w:vAlign w:val="center"/>
          </w:tcPr>
          <w:p w14:paraId="1A892F68" w14:textId="77777777" w:rsidR="00CF09B3" w:rsidRPr="007375EB" w:rsidRDefault="00CF09B3" w:rsidP="00CF09B3">
            <w:pPr>
              <w:rPr>
                <w:lang w:val="bg-BG"/>
              </w:rPr>
            </w:pPr>
            <w:r w:rsidRPr="007375EB">
              <w:rPr>
                <w:lang w:val="bg-BG"/>
              </w:rPr>
              <w:t>-</w:t>
            </w:r>
          </w:p>
        </w:tc>
        <w:tc>
          <w:tcPr>
            <w:tcW w:w="630" w:type="dxa"/>
            <w:noWrap/>
            <w:vAlign w:val="center"/>
          </w:tcPr>
          <w:p w14:paraId="1BEC736A" w14:textId="77777777" w:rsidR="00CF09B3" w:rsidRPr="007375EB" w:rsidRDefault="00CF09B3" w:rsidP="00CF09B3">
            <w:pPr>
              <w:rPr>
                <w:lang w:val="bg-BG"/>
              </w:rPr>
            </w:pPr>
            <w:r w:rsidRPr="007375EB">
              <w:rPr>
                <w:lang w:val="bg-BG"/>
              </w:rPr>
              <w:t>-</w:t>
            </w:r>
          </w:p>
        </w:tc>
        <w:tc>
          <w:tcPr>
            <w:tcW w:w="720" w:type="dxa"/>
            <w:noWrap/>
            <w:vAlign w:val="center"/>
          </w:tcPr>
          <w:p w14:paraId="591459AF" w14:textId="77777777" w:rsidR="00CF09B3" w:rsidRPr="007375EB" w:rsidRDefault="00CF09B3" w:rsidP="00CF09B3">
            <w:pPr>
              <w:rPr>
                <w:lang w:val="bg-BG"/>
              </w:rPr>
            </w:pPr>
            <w:r w:rsidRPr="007375EB">
              <w:rPr>
                <w:lang w:val="bg-BG"/>
              </w:rPr>
              <w:t>-</w:t>
            </w:r>
          </w:p>
        </w:tc>
        <w:tc>
          <w:tcPr>
            <w:tcW w:w="720" w:type="dxa"/>
            <w:noWrap/>
            <w:vAlign w:val="center"/>
          </w:tcPr>
          <w:p w14:paraId="7CC186E8" w14:textId="77777777" w:rsidR="00CF09B3" w:rsidRPr="007375EB" w:rsidRDefault="00CF09B3" w:rsidP="00CF09B3">
            <w:pPr>
              <w:rPr>
                <w:lang w:val="bg-BG"/>
              </w:rPr>
            </w:pPr>
            <w:r w:rsidRPr="007375EB">
              <w:rPr>
                <w:lang w:val="bg-BG"/>
              </w:rPr>
              <w:t>-</w:t>
            </w:r>
          </w:p>
        </w:tc>
        <w:tc>
          <w:tcPr>
            <w:tcW w:w="540" w:type="dxa"/>
            <w:noWrap/>
            <w:vAlign w:val="center"/>
          </w:tcPr>
          <w:p w14:paraId="2761678C" w14:textId="77777777" w:rsidR="00CF09B3" w:rsidRPr="007375EB" w:rsidRDefault="00CF09B3" w:rsidP="00CF09B3">
            <w:pPr>
              <w:rPr>
                <w:lang w:val="bg-BG"/>
              </w:rPr>
            </w:pPr>
            <w:r w:rsidRPr="007375EB">
              <w:rPr>
                <w:lang w:val="bg-BG"/>
              </w:rPr>
              <w:t>-</w:t>
            </w:r>
          </w:p>
        </w:tc>
        <w:tc>
          <w:tcPr>
            <w:tcW w:w="990" w:type="dxa"/>
            <w:noWrap/>
            <w:vAlign w:val="center"/>
          </w:tcPr>
          <w:p w14:paraId="5ECE23AC" w14:textId="77777777" w:rsidR="00CF09B3" w:rsidRPr="007375EB" w:rsidRDefault="00CF09B3" w:rsidP="00CF09B3">
            <w:pPr>
              <w:rPr>
                <w:lang w:val="bg-BG"/>
              </w:rPr>
            </w:pPr>
            <w:r w:rsidRPr="007375EB">
              <w:rPr>
                <w:lang w:val="bg-BG"/>
              </w:rPr>
              <w:t>-</w:t>
            </w:r>
          </w:p>
        </w:tc>
        <w:tc>
          <w:tcPr>
            <w:tcW w:w="499" w:type="dxa"/>
            <w:noWrap/>
            <w:vAlign w:val="center"/>
          </w:tcPr>
          <w:p w14:paraId="253B7812" w14:textId="77777777" w:rsidR="00CF09B3" w:rsidRPr="007375EB" w:rsidRDefault="00CF09B3" w:rsidP="00CF09B3">
            <w:pPr>
              <w:rPr>
                <w:lang w:val="bg-BG"/>
              </w:rPr>
            </w:pPr>
            <w:r w:rsidRPr="007375EB">
              <w:rPr>
                <w:lang w:val="bg-BG"/>
              </w:rPr>
              <w:t>-</w:t>
            </w:r>
          </w:p>
        </w:tc>
        <w:tc>
          <w:tcPr>
            <w:tcW w:w="507" w:type="dxa"/>
            <w:noWrap/>
            <w:vAlign w:val="center"/>
          </w:tcPr>
          <w:p w14:paraId="757A044E" w14:textId="77777777" w:rsidR="00CF09B3" w:rsidRPr="007375EB" w:rsidRDefault="00CF09B3" w:rsidP="00CF09B3">
            <w:pPr>
              <w:rPr>
                <w:lang w:val="bg-BG"/>
              </w:rPr>
            </w:pPr>
            <w:r w:rsidRPr="007375EB">
              <w:rPr>
                <w:lang w:val="bg-BG"/>
              </w:rPr>
              <w:t>-</w:t>
            </w:r>
          </w:p>
        </w:tc>
        <w:tc>
          <w:tcPr>
            <w:tcW w:w="524" w:type="dxa"/>
            <w:noWrap/>
            <w:vAlign w:val="center"/>
          </w:tcPr>
          <w:p w14:paraId="65042642" w14:textId="77777777" w:rsidR="00CF09B3" w:rsidRPr="007375EB" w:rsidRDefault="00CF09B3" w:rsidP="00CF09B3">
            <w:pPr>
              <w:rPr>
                <w:lang w:val="bg-BG"/>
              </w:rPr>
            </w:pPr>
            <w:r w:rsidRPr="007375EB">
              <w:rPr>
                <w:lang w:val="bg-BG"/>
              </w:rPr>
              <w:t>-</w:t>
            </w:r>
          </w:p>
        </w:tc>
        <w:tc>
          <w:tcPr>
            <w:tcW w:w="616" w:type="dxa"/>
            <w:noWrap/>
            <w:vAlign w:val="center"/>
          </w:tcPr>
          <w:p w14:paraId="6B3CB0FA" w14:textId="77777777" w:rsidR="00CF09B3" w:rsidRPr="007375EB" w:rsidRDefault="00CF09B3" w:rsidP="00CF09B3">
            <w:pPr>
              <w:rPr>
                <w:lang w:val="bg-BG"/>
              </w:rPr>
            </w:pPr>
            <w:r w:rsidRPr="007375EB">
              <w:rPr>
                <w:lang w:val="bg-BG"/>
              </w:rPr>
              <w:t>-</w:t>
            </w:r>
          </w:p>
        </w:tc>
        <w:tc>
          <w:tcPr>
            <w:tcW w:w="612" w:type="dxa"/>
            <w:noWrap/>
            <w:vAlign w:val="center"/>
          </w:tcPr>
          <w:p w14:paraId="125E6275" w14:textId="77777777" w:rsidR="00CF09B3" w:rsidRPr="007375EB" w:rsidRDefault="00CF09B3" w:rsidP="00CF09B3">
            <w:pPr>
              <w:rPr>
                <w:lang w:val="bg-BG"/>
              </w:rPr>
            </w:pPr>
            <w:r w:rsidRPr="007375EB">
              <w:rPr>
                <w:lang w:val="bg-BG"/>
              </w:rPr>
              <w:t>-</w:t>
            </w:r>
          </w:p>
        </w:tc>
      </w:tr>
      <w:tr w:rsidR="00CF09B3" w:rsidRPr="007375EB" w14:paraId="0F562E6B" w14:textId="77777777" w:rsidTr="006C1B17">
        <w:trPr>
          <w:trHeight w:val="210"/>
        </w:trPr>
        <w:tc>
          <w:tcPr>
            <w:tcW w:w="621" w:type="dxa"/>
            <w:noWrap/>
          </w:tcPr>
          <w:p w14:paraId="28BB62FF" w14:textId="77777777" w:rsidR="00CF09B3" w:rsidRPr="007375EB" w:rsidRDefault="00CF09B3" w:rsidP="00CF09B3">
            <w:pPr>
              <w:rPr>
                <w:lang w:val="bg-BG"/>
              </w:rPr>
            </w:pPr>
            <w:r w:rsidRPr="007375EB">
              <w:rPr>
                <w:lang w:val="bg-BG"/>
              </w:rPr>
              <w:t>9</w:t>
            </w:r>
          </w:p>
        </w:tc>
        <w:tc>
          <w:tcPr>
            <w:tcW w:w="3189" w:type="dxa"/>
            <w:noWrap/>
          </w:tcPr>
          <w:p w14:paraId="37D1A621" w14:textId="703E2749" w:rsidR="00CF09B3" w:rsidRPr="007375EB" w:rsidRDefault="00CF09B3" w:rsidP="00CF09B3">
            <w:pPr>
              <w:jc w:val="both"/>
              <w:rPr>
                <w:lang w:val="bg-BG"/>
              </w:rPr>
            </w:pPr>
            <w:r w:rsidRPr="007375EB">
              <w:rPr>
                <w:lang w:val="bg-BG"/>
              </w:rPr>
              <w:t>Преместване на международния транспортен тръбопровод за природен газ dn 1000T1 Исакча – Негру Вода, в района на кариерата ROMCIM, PL Меджидиа (предложено)</w:t>
            </w:r>
          </w:p>
        </w:tc>
        <w:tc>
          <w:tcPr>
            <w:tcW w:w="2125" w:type="dxa"/>
            <w:noWrap/>
            <w:vAlign w:val="center"/>
          </w:tcPr>
          <w:p w14:paraId="00DF237F" w14:textId="77777777" w:rsidR="00CF09B3" w:rsidRPr="007375EB" w:rsidRDefault="00CF09B3" w:rsidP="00CF09B3">
            <w:pPr>
              <w:rPr>
                <w:lang w:val="bg-BG"/>
              </w:rPr>
            </w:pPr>
            <w:r w:rsidRPr="007375EB">
              <w:rPr>
                <w:lang w:val="bg-BG"/>
              </w:rPr>
              <w:t>50,31 км</w:t>
            </w:r>
          </w:p>
        </w:tc>
        <w:tc>
          <w:tcPr>
            <w:tcW w:w="482" w:type="dxa"/>
            <w:noWrap/>
            <w:vAlign w:val="center"/>
          </w:tcPr>
          <w:p w14:paraId="0B617B02" w14:textId="77777777" w:rsidR="00CF09B3" w:rsidRPr="007375EB" w:rsidRDefault="00CF09B3" w:rsidP="00CF09B3">
            <w:pPr>
              <w:rPr>
                <w:lang w:val="bg-BG"/>
              </w:rPr>
            </w:pPr>
            <w:r w:rsidRPr="007375EB">
              <w:rPr>
                <w:lang w:val="bg-BG"/>
              </w:rPr>
              <w:t>-</w:t>
            </w:r>
          </w:p>
        </w:tc>
        <w:tc>
          <w:tcPr>
            <w:tcW w:w="916" w:type="dxa"/>
            <w:noWrap/>
            <w:vAlign w:val="center"/>
          </w:tcPr>
          <w:p w14:paraId="35B8B43A" w14:textId="77777777" w:rsidR="00CF09B3" w:rsidRPr="007375EB" w:rsidRDefault="00CF09B3" w:rsidP="00CF09B3">
            <w:pPr>
              <w:rPr>
                <w:lang w:val="bg-BG"/>
              </w:rPr>
            </w:pPr>
            <w:r w:rsidRPr="007375EB">
              <w:rPr>
                <w:lang w:val="bg-BG"/>
              </w:rPr>
              <w:t>-</w:t>
            </w:r>
          </w:p>
        </w:tc>
        <w:tc>
          <w:tcPr>
            <w:tcW w:w="916" w:type="dxa"/>
            <w:noWrap/>
            <w:vAlign w:val="center"/>
          </w:tcPr>
          <w:p w14:paraId="09E6D267" w14:textId="77777777" w:rsidR="00CF09B3" w:rsidRPr="007375EB" w:rsidRDefault="00CF09B3" w:rsidP="00CF09B3">
            <w:pPr>
              <w:rPr>
                <w:lang w:val="bg-BG"/>
              </w:rPr>
            </w:pPr>
            <w:r w:rsidRPr="007375EB">
              <w:rPr>
                <w:lang w:val="bg-BG"/>
              </w:rPr>
              <w:t>-</w:t>
            </w:r>
          </w:p>
        </w:tc>
        <w:tc>
          <w:tcPr>
            <w:tcW w:w="810" w:type="dxa"/>
            <w:noWrap/>
            <w:vAlign w:val="center"/>
          </w:tcPr>
          <w:p w14:paraId="7722738F" w14:textId="77777777" w:rsidR="00CF09B3" w:rsidRPr="007375EB" w:rsidRDefault="00CF09B3" w:rsidP="00CF09B3">
            <w:pPr>
              <w:rPr>
                <w:lang w:val="bg-BG"/>
              </w:rPr>
            </w:pPr>
            <w:r w:rsidRPr="007375EB">
              <w:rPr>
                <w:lang w:val="bg-BG"/>
              </w:rPr>
              <w:t>-</w:t>
            </w:r>
          </w:p>
        </w:tc>
        <w:tc>
          <w:tcPr>
            <w:tcW w:w="630" w:type="dxa"/>
            <w:noWrap/>
            <w:vAlign w:val="center"/>
          </w:tcPr>
          <w:p w14:paraId="7FB8335A" w14:textId="77777777" w:rsidR="00CF09B3" w:rsidRPr="007375EB" w:rsidRDefault="00CF09B3" w:rsidP="00CF09B3">
            <w:pPr>
              <w:rPr>
                <w:lang w:val="bg-BG"/>
              </w:rPr>
            </w:pPr>
            <w:r w:rsidRPr="007375EB">
              <w:rPr>
                <w:lang w:val="bg-BG"/>
              </w:rPr>
              <w:t>-</w:t>
            </w:r>
          </w:p>
        </w:tc>
        <w:tc>
          <w:tcPr>
            <w:tcW w:w="720" w:type="dxa"/>
            <w:noWrap/>
            <w:vAlign w:val="center"/>
          </w:tcPr>
          <w:p w14:paraId="5896EE04" w14:textId="77777777" w:rsidR="00CF09B3" w:rsidRPr="007375EB" w:rsidRDefault="00CF09B3" w:rsidP="00CF09B3">
            <w:pPr>
              <w:rPr>
                <w:lang w:val="bg-BG"/>
              </w:rPr>
            </w:pPr>
            <w:r w:rsidRPr="007375EB">
              <w:rPr>
                <w:lang w:val="bg-BG"/>
              </w:rPr>
              <w:t>-</w:t>
            </w:r>
          </w:p>
        </w:tc>
        <w:tc>
          <w:tcPr>
            <w:tcW w:w="720" w:type="dxa"/>
            <w:noWrap/>
            <w:vAlign w:val="center"/>
          </w:tcPr>
          <w:p w14:paraId="31360611" w14:textId="77777777" w:rsidR="00CF09B3" w:rsidRPr="007375EB" w:rsidRDefault="00CF09B3" w:rsidP="00CF09B3">
            <w:pPr>
              <w:rPr>
                <w:lang w:val="bg-BG"/>
              </w:rPr>
            </w:pPr>
            <w:r w:rsidRPr="007375EB">
              <w:rPr>
                <w:lang w:val="bg-BG"/>
              </w:rPr>
              <w:t>-</w:t>
            </w:r>
          </w:p>
        </w:tc>
        <w:tc>
          <w:tcPr>
            <w:tcW w:w="540" w:type="dxa"/>
            <w:noWrap/>
            <w:vAlign w:val="center"/>
          </w:tcPr>
          <w:p w14:paraId="00938243" w14:textId="77777777" w:rsidR="00CF09B3" w:rsidRPr="007375EB" w:rsidRDefault="00CF09B3" w:rsidP="00CF09B3">
            <w:pPr>
              <w:rPr>
                <w:lang w:val="bg-BG"/>
              </w:rPr>
            </w:pPr>
            <w:r w:rsidRPr="007375EB">
              <w:rPr>
                <w:lang w:val="bg-BG"/>
              </w:rPr>
              <w:t>-</w:t>
            </w:r>
          </w:p>
        </w:tc>
        <w:tc>
          <w:tcPr>
            <w:tcW w:w="990" w:type="dxa"/>
            <w:noWrap/>
            <w:vAlign w:val="center"/>
          </w:tcPr>
          <w:p w14:paraId="35F8EDC7" w14:textId="77777777" w:rsidR="00CF09B3" w:rsidRPr="007375EB" w:rsidRDefault="00CF09B3" w:rsidP="00CF09B3">
            <w:pPr>
              <w:rPr>
                <w:lang w:val="bg-BG"/>
              </w:rPr>
            </w:pPr>
            <w:r w:rsidRPr="007375EB">
              <w:rPr>
                <w:lang w:val="bg-BG"/>
              </w:rPr>
              <w:t>-</w:t>
            </w:r>
          </w:p>
        </w:tc>
        <w:tc>
          <w:tcPr>
            <w:tcW w:w="499" w:type="dxa"/>
            <w:noWrap/>
            <w:vAlign w:val="center"/>
          </w:tcPr>
          <w:p w14:paraId="29C6AFEE" w14:textId="77777777" w:rsidR="00CF09B3" w:rsidRPr="007375EB" w:rsidRDefault="00CF09B3" w:rsidP="00CF09B3">
            <w:pPr>
              <w:rPr>
                <w:lang w:val="bg-BG"/>
              </w:rPr>
            </w:pPr>
            <w:r w:rsidRPr="007375EB">
              <w:rPr>
                <w:lang w:val="bg-BG"/>
              </w:rPr>
              <w:t>-</w:t>
            </w:r>
          </w:p>
        </w:tc>
        <w:tc>
          <w:tcPr>
            <w:tcW w:w="507" w:type="dxa"/>
            <w:noWrap/>
            <w:vAlign w:val="center"/>
          </w:tcPr>
          <w:p w14:paraId="46580B16" w14:textId="77777777" w:rsidR="00CF09B3" w:rsidRPr="007375EB" w:rsidRDefault="00CF09B3" w:rsidP="00CF09B3">
            <w:pPr>
              <w:rPr>
                <w:lang w:val="bg-BG"/>
              </w:rPr>
            </w:pPr>
            <w:r w:rsidRPr="007375EB">
              <w:rPr>
                <w:lang w:val="bg-BG"/>
              </w:rPr>
              <w:t>-</w:t>
            </w:r>
          </w:p>
        </w:tc>
        <w:tc>
          <w:tcPr>
            <w:tcW w:w="524" w:type="dxa"/>
            <w:noWrap/>
            <w:vAlign w:val="center"/>
          </w:tcPr>
          <w:p w14:paraId="3AAE2BBA" w14:textId="77777777" w:rsidR="00CF09B3" w:rsidRPr="007375EB" w:rsidRDefault="00CF09B3" w:rsidP="00CF09B3">
            <w:pPr>
              <w:rPr>
                <w:lang w:val="bg-BG"/>
              </w:rPr>
            </w:pPr>
            <w:r w:rsidRPr="007375EB">
              <w:rPr>
                <w:lang w:val="bg-BG"/>
              </w:rPr>
              <w:t>-</w:t>
            </w:r>
          </w:p>
        </w:tc>
        <w:tc>
          <w:tcPr>
            <w:tcW w:w="616" w:type="dxa"/>
            <w:noWrap/>
            <w:vAlign w:val="center"/>
          </w:tcPr>
          <w:p w14:paraId="46D04527" w14:textId="77777777" w:rsidR="00CF09B3" w:rsidRPr="007375EB" w:rsidRDefault="00CF09B3" w:rsidP="00CF09B3">
            <w:pPr>
              <w:rPr>
                <w:lang w:val="bg-BG"/>
              </w:rPr>
            </w:pPr>
            <w:r w:rsidRPr="007375EB">
              <w:rPr>
                <w:lang w:val="bg-BG"/>
              </w:rPr>
              <w:t>-</w:t>
            </w:r>
          </w:p>
        </w:tc>
        <w:tc>
          <w:tcPr>
            <w:tcW w:w="612" w:type="dxa"/>
            <w:noWrap/>
            <w:vAlign w:val="center"/>
          </w:tcPr>
          <w:p w14:paraId="3EF9C70E" w14:textId="77777777" w:rsidR="00CF09B3" w:rsidRPr="007375EB" w:rsidRDefault="00CF09B3" w:rsidP="00CF09B3">
            <w:pPr>
              <w:rPr>
                <w:lang w:val="bg-BG"/>
              </w:rPr>
            </w:pPr>
            <w:r w:rsidRPr="007375EB">
              <w:rPr>
                <w:lang w:val="bg-BG"/>
              </w:rPr>
              <w:t>-</w:t>
            </w:r>
          </w:p>
        </w:tc>
      </w:tr>
      <w:tr w:rsidR="00CF09B3" w:rsidRPr="007375EB" w14:paraId="4F0FFF33" w14:textId="77777777" w:rsidTr="006C1B17">
        <w:trPr>
          <w:trHeight w:val="210"/>
        </w:trPr>
        <w:tc>
          <w:tcPr>
            <w:tcW w:w="621" w:type="dxa"/>
            <w:noWrap/>
          </w:tcPr>
          <w:p w14:paraId="783F7989" w14:textId="77777777" w:rsidR="00CF09B3" w:rsidRPr="007375EB" w:rsidRDefault="00CF09B3" w:rsidP="00CF09B3">
            <w:pPr>
              <w:rPr>
                <w:lang w:val="bg-BG"/>
              </w:rPr>
            </w:pPr>
            <w:r w:rsidRPr="007375EB">
              <w:rPr>
                <w:lang w:val="bg-BG"/>
              </w:rPr>
              <w:t>10</w:t>
            </w:r>
          </w:p>
        </w:tc>
        <w:tc>
          <w:tcPr>
            <w:tcW w:w="3189" w:type="dxa"/>
            <w:noWrap/>
          </w:tcPr>
          <w:p w14:paraId="36268597" w14:textId="18AB8CA7" w:rsidR="00CF09B3" w:rsidRPr="007375EB" w:rsidRDefault="00CF09B3" w:rsidP="00CF09B3">
            <w:pPr>
              <w:jc w:val="both"/>
              <w:rPr>
                <w:lang w:val="bg-BG"/>
              </w:rPr>
            </w:pPr>
            <w:r w:rsidRPr="007375EB">
              <w:rPr>
                <w:lang w:val="bg-BG"/>
              </w:rPr>
              <w:t>Общ градоустройствен план на община  Индепенденца (предложен)</w:t>
            </w:r>
          </w:p>
        </w:tc>
        <w:tc>
          <w:tcPr>
            <w:tcW w:w="2125" w:type="dxa"/>
            <w:noWrap/>
            <w:vAlign w:val="center"/>
          </w:tcPr>
          <w:p w14:paraId="7EDFBF67" w14:textId="77777777" w:rsidR="00CF09B3" w:rsidRPr="007375EB" w:rsidRDefault="00CF09B3" w:rsidP="00CF09B3">
            <w:pPr>
              <w:rPr>
                <w:lang w:val="bg-BG"/>
              </w:rPr>
            </w:pPr>
            <w:r w:rsidRPr="007375EB">
              <w:rPr>
                <w:lang w:val="bg-BG"/>
              </w:rPr>
              <w:t>8,28 км</w:t>
            </w:r>
          </w:p>
        </w:tc>
        <w:tc>
          <w:tcPr>
            <w:tcW w:w="482" w:type="dxa"/>
            <w:noWrap/>
            <w:vAlign w:val="center"/>
          </w:tcPr>
          <w:p w14:paraId="68BED28B" w14:textId="77777777" w:rsidR="00CF09B3" w:rsidRPr="007375EB" w:rsidRDefault="00CF09B3" w:rsidP="00CF09B3">
            <w:pPr>
              <w:rPr>
                <w:lang w:val="bg-BG"/>
              </w:rPr>
            </w:pPr>
            <w:r w:rsidRPr="007375EB">
              <w:rPr>
                <w:lang w:val="bg-BG"/>
              </w:rPr>
              <w:t>-</w:t>
            </w:r>
          </w:p>
        </w:tc>
        <w:tc>
          <w:tcPr>
            <w:tcW w:w="916" w:type="dxa"/>
            <w:noWrap/>
            <w:vAlign w:val="center"/>
          </w:tcPr>
          <w:p w14:paraId="7BA00FB6" w14:textId="77777777" w:rsidR="00CF09B3" w:rsidRPr="007375EB" w:rsidRDefault="00CF09B3" w:rsidP="00CF09B3">
            <w:pPr>
              <w:rPr>
                <w:lang w:val="bg-BG"/>
              </w:rPr>
            </w:pPr>
            <w:r w:rsidRPr="007375EB">
              <w:rPr>
                <w:lang w:val="bg-BG"/>
              </w:rPr>
              <w:t>-</w:t>
            </w:r>
          </w:p>
        </w:tc>
        <w:tc>
          <w:tcPr>
            <w:tcW w:w="916" w:type="dxa"/>
            <w:noWrap/>
            <w:vAlign w:val="center"/>
          </w:tcPr>
          <w:p w14:paraId="4687A490" w14:textId="77777777" w:rsidR="00CF09B3" w:rsidRPr="007375EB" w:rsidRDefault="00CF09B3" w:rsidP="00CF09B3">
            <w:pPr>
              <w:rPr>
                <w:lang w:val="bg-BG"/>
              </w:rPr>
            </w:pPr>
            <w:r w:rsidRPr="007375EB">
              <w:rPr>
                <w:lang w:val="bg-BG"/>
              </w:rPr>
              <w:t>-</w:t>
            </w:r>
          </w:p>
        </w:tc>
        <w:tc>
          <w:tcPr>
            <w:tcW w:w="810" w:type="dxa"/>
            <w:noWrap/>
            <w:vAlign w:val="center"/>
          </w:tcPr>
          <w:p w14:paraId="5CC1146F" w14:textId="77777777" w:rsidR="00CF09B3" w:rsidRPr="007375EB" w:rsidRDefault="00CF09B3" w:rsidP="00CF09B3">
            <w:pPr>
              <w:rPr>
                <w:lang w:val="bg-BG"/>
              </w:rPr>
            </w:pPr>
            <w:r w:rsidRPr="007375EB">
              <w:rPr>
                <w:lang w:val="bg-BG"/>
              </w:rPr>
              <w:t>-</w:t>
            </w:r>
          </w:p>
        </w:tc>
        <w:tc>
          <w:tcPr>
            <w:tcW w:w="630" w:type="dxa"/>
            <w:noWrap/>
            <w:vAlign w:val="center"/>
          </w:tcPr>
          <w:p w14:paraId="7639C448" w14:textId="77777777" w:rsidR="00CF09B3" w:rsidRPr="007375EB" w:rsidRDefault="00CF09B3" w:rsidP="00CF09B3">
            <w:pPr>
              <w:rPr>
                <w:lang w:val="bg-BG"/>
              </w:rPr>
            </w:pPr>
            <w:r w:rsidRPr="007375EB">
              <w:rPr>
                <w:lang w:val="bg-BG"/>
              </w:rPr>
              <w:t>-</w:t>
            </w:r>
          </w:p>
        </w:tc>
        <w:tc>
          <w:tcPr>
            <w:tcW w:w="720" w:type="dxa"/>
            <w:noWrap/>
            <w:vAlign w:val="center"/>
          </w:tcPr>
          <w:p w14:paraId="212BF5D2" w14:textId="77777777" w:rsidR="00CF09B3" w:rsidRPr="007375EB" w:rsidRDefault="00CF09B3" w:rsidP="00CF09B3">
            <w:pPr>
              <w:rPr>
                <w:lang w:val="bg-BG"/>
              </w:rPr>
            </w:pPr>
            <w:r w:rsidRPr="007375EB">
              <w:rPr>
                <w:lang w:val="bg-BG"/>
              </w:rPr>
              <w:t>-</w:t>
            </w:r>
          </w:p>
        </w:tc>
        <w:tc>
          <w:tcPr>
            <w:tcW w:w="720" w:type="dxa"/>
            <w:noWrap/>
            <w:vAlign w:val="center"/>
          </w:tcPr>
          <w:p w14:paraId="2E822FEA" w14:textId="77777777" w:rsidR="00CF09B3" w:rsidRPr="007375EB" w:rsidRDefault="00CF09B3" w:rsidP="00CF09B3">
            <w:pPr>
              <w:rPr>
                <w:lang w:val="bg-BG"/>
              </w:rPr>
            </w:pPr>
            <w:r w:rsidRPr="007375EB">
              <w:rPr>
                <w:lang w:val="bg-BG"/>
              </w:rPr>
              <w:t>-</w:t>
            </w:r>
          </w:p>
        </w:tc>
        <w:tc>
          <w:tcPr>
            <w:tcW w:w="540" w:type="dxa"/>
            <w:noWrap/>
            <w:vAlign w:val="center"/>
          </w:tcPr>
          <w:p w14:paraId="5374E771" w14:textId="77777777" w:rsidR="00CF09B3" w:rsidRPr="007375EB" w:rsidRDefault="00CF09B3" w:rsidP="00CF09B3">
            <w:pPr>
              <w:rPr>
                <w:lang w:val="bg-BG"/>
              </w:rPr>
            </w:pPr>
            <w:r w:rsidRPr="007375EB">
              <w:rPr>
                <w:lang w:val="bg-BG"/>
              </w:rPr>
              <w:t>-</w:t>
            </w:r>
          </w:p>
        </w:tc>
        <w:tc>
          <w:tcPr>
            <w:tcW w:w="990" w:type="dxa"/>
            <w:noWrap/>
            <w:vAlign w:val="center"/>
          </w:tcPr>
          <w:p w14:paraId="46DFC62C" w14:textId="77777777" w:rsidR="00CF09B3" w:rsidRPr="007375EB" w:rsidRDefault="00CF09B3" w:rsidP="00CF09B3">
            <w:pPr>
              <w:rPr>
                <w:lang w:val="bg-BG"/>
              </w:rPr>
            </w:pPr>
            <w:r w:rsidRPr="007375EB">
              <w:rPr>
                <w:lang w:val="bg-BG"/>
              </w:rPr>
              <w:t>-</w:t>
            </w:r>
          </w:p>
        </w:tc>
        <w:tc>
          <w:tcPr>
            <w:tcW w:w="499" w:type="dxa"/>
            <w:noWrap/>
            <w:vAlign w:val="center"/>
          </w:tcPr>
          <w:p w14:paraId="11C263F3" w14:textId="77777777" w:rsidR="00CF09B3" w:rsidRPr="007375EB" w:rsidRDefault="00CF09B3" w:rsidP="00CF09B3">
            <w:pPr>
              <w:rPr>
                <w:lang w:val="bg-BG"/>
              </w:rPr>
            </w:pPr>
            <w:r w:rsidRPr="007375EB">
              <w:rPr>
                <w:lang w:val="bg-BG"/>
              </w:rPr>
              <w:t>-</w:t>
            </w:r>
          </w:p>
        </w:tc>
        <w:tc>
          <w:tcPr>
            <w:tcW w:w="507" w:type="dxa"/>
            <w:noWrap/>
            <w:vAlign w:val="center"/>
          </w:tcPr>
          <w:p w14:paraId="69810C36" w14:textId="77777777" w:rsidR="00CF09B3" w:rsidRPr="007375EB" w:rsidRDefault="00CF09B3" w:rsidP="00CF09B3">
            <w:pPr>
              <w:rPr>
                <w:lang w:val="bg-BG"/>
              </w:rPr>
            </w:pPr>
            <w:r w:rsidRPr="007375EB">
              <w:rPr>
                <w:lang w:val="bg-BG"/>
              </w:rPr>
              <w:t>-</w:t>
            </w:r>
          </w:p>
        </w:tc>
        <w:tc>
          <w:tcPr>
            <w:tcW w:w="524" w:type="dxa"/>
            <w:noWrap/>
            <w:vAlign w:val="center"/>
          </w:tcPr>
          <w:p w14:paraId="16BE5088" w14:textId="77777777" w:rsidR="00CF09B3" w:rsidRPr="007375EB" w:rsidRDefault="00CF09B3" w:rsidP="00CF09B3">
            <w:pPr>
              <w:rPr>
                <w:lang w:val="bg-BG"/>
              </w:rPr>
            </w:pPr>
            <w:r w:rsidRPr="007375EB">
              <w:rPr>
                <w:lang w:val="bg-BG"/>
              </w:rPr>
              <w:t>-</w:t>
            </w:r>
          </w:p>
        </w:tc>
        <w:tc>
          <w:tcPr>
            <w:tcW w:w="616" w:type="dxa"/>
            <w:noWrap/>
            <w:vAlign w:val="center"/>
          </w:tcPr>
          <w:p w14:paraId="1E242DE0" w14:textId="77777777" w:rsidR="00CF09B3" w:rsidRPr="007375EB" w:rsidRDefault="00CF09B3" w:rsidP="00CF09B3">
            <w:pPr>
              <w:rPr>
                <w:lang w:val="bg-BG"/>
              </w:rPr>
            </w:pPr>
            <w:r w:rsidRPr="007375EB">
              <w:rPr>
                <w:lang w:val="bg-BG"/>
              </w:rPr>
              <w:t>-</w:t>
            </w:r>
          </w:p>
        </w:tc>
        <w:tc>
          <w:tcPr>
            <w:tcW w:w="612" w:type="dxa"/>
            <w:noWrap/>
            <w:vAlign w:val="center"/>
          </w:tcPr>
          <w:p w14:paraId="6D00B440" w14:textId="77777777" w:rsidR="00CF09B3" w:rsidRPr="007375EB" w:rsidRDefault="00CF09B3" w:rsidP="00CF09B3">
            <w:pPr>
              <w:rPr>
                <w:lang w:val="bg-BG"/>
              </w:rPr>
            </w:pPr>
            <w:r w:rsidRPr="007375EB">
              <w:rPr>
                <w:lang w:val="bg-BG"/>
              </w:rPr>
              <w:t>-</w:t>
            </w:r>
          </w:p>
        </w:tc>
      </w:tr>
      <w:tr w:rsidR="00CF09B3" w:rsidRPr="007375EB" w14:paraId="09F30005" w14:textId="77777777" w:rsidTr="006C1B17">
        <w:trPr>
          <w:trHeight w:val="210"/>
        </w:trPr>
        <w:tc>
          <w:tcPr>
            <w:tcW w:w="621" w:type="dxa"/>
            <w:noWrap/>
          </w:tcPr>
          <w:p w14:paraId="33BE1C6C" w14:textId="77777777" w:rsidR="00CF09B3" w:rsidRPr="007375EB" w:rsidRDefault="00CF09B3" w:rsidP="00CF09B3">
            <w:pPr>
              <w:rPr>
                <w:lang w:val="bg-BG"/>
              </w:rPr>
            </w:pPr>
            <w:r w:rsidRPr="007375EB">
              <w:rPr>
                <w:lang w:val="bg-BG"/>
              </w:rPr>
              <w:t>11</w:t>
            </w:r>
          </w:p>
        </w:tc>
        <w:tc>
          <w:tcPr>
            <w:tcW w:w="3189" w:type="dxa"/>
            <w:noWrap/>
          </w:tcPr>
          <w:p w14:paraId="1F552D5C" w14:textId="0C0AE8A0" w:rsidR="00CF09B3" w:rsidRPr="007375EB" w:rsidRDefault="00CF09B3" w:rsidP="00CF09B3">
            <w:pPr>
              <w:jc w:val="both"/>
              <w:rPr>
                <w:lang w:val="bg-BG"/>
              </w:rPr>
            </w:pPr>
            <w:r w:rsidRPr="007375EB">
              <w:rPr>
                <w:lang w:val="bg-BG"/>
              </w:rPr>
              <w:t>Изграждане на интелигентна мрежа за разпределение на природен газ в община Индепенденца, окръг Констанца (предложена)</w:t>
            </w:r>
          </w:p>
        </w:tc>
        <w:tc>
          <w:tcPr>
            <w:tcW w:w="2125" w:type="dxa"/>
            <w:noWrap/>
            <w:vAlign w:val="center"/>
          </w:tcPr>
          <w:p w14:paraId="21B9D8E6" w14:textId="77777777" w:rsidR="00CF09B3" w:rsidRPr="007375EB" w:rsidRDefault="00CF09B3" w:rsidP="00CF09B3">
            <w:pPr>
              <w:rPr>
                <w:lang w:val="bg-BG"/>
              </w:rPr>
            </w:pPr>
            <w:r w:rsidRPr="007375EB">
              <w:rPr>
                <w:lang w:val="bg-BG"/>
              </w:rPr>
              <w:t>15,04 км</w:t>
            </w:r>
          </w:p>
        </w:tc>
        <w:tc>
          <w:tcPr>
            <w:tcW w:w="482" w:type="dxa"/>
            <w:noWrap/>
            <w:vAlign w:val="center"/>
          </w:tcPr>
          <w:p w14:paraId="71C2A50D" w14:textId="77777777" w:rsidR="00CF09B3" w:rsidRPr="007375EB" w:rsidRDefault="00CF09B3" w:rsidP="00CF09B3">
            <w:pPr>
              <w:rPr>
                <w:lang w:val="bg-BG"/>
              </w:rPr>
            </w:pPr>
            <w:r w:rsidRPr="007375EB">
              <w:rPr>
                <w:lang w:val="bg-BG"/>
              </w:rPr>
              <w:t>-</w:t>
            </w:r>
          </w:p>
        </w:tc>
        <w:tc>
          <w:tcPr>
            <w:tcW w:w="916" w:type="dxa"/>
            <w:noWrap/>
            <w:vAlign w:val="center"/>
          </w:tcPr>
          <w:p w14:paraId="5342D816" w14:textId="77777777" w:rsidR="00CF09B3" w:rsidRPr="007375EB" w:rsidRDefault="00CF09B3" w:rsidP="00CF09B3">
            <w:pPr>
              <w:rPr>
                <w:lang w:val="bg-BG"/>
              </w:rPr>
            </w:pPr>
            <w:r w:rsidRPr="007375EB">
              <w:rPr>
                <w:lang w:val="bg-BG"/>
              </w:rPr>
              <w:t>-</w:t>
            </w:r>
          </w:p>
        </w:tc>
        <w:tc>
          <w:tcPr>
            <w:tcW w:w="916" w:type="dxa"/>
            <w:noWrap/>
            <w:vAlign w:val="center"/>
          </w:tcPr>
          <w:p w14:paraId="4668A147" w14:textId="77777777" w:rsidR="00CF09B3" w:rsidRPr="007375EB" w:rsidRDefault="00CF09B3" w:rsidP="00CF09B3">
            <w:pPr>
              <w:rPr>
                <w:lang w:val="bg-BG"/>
              </w:rPr>
            </w:pPr>
            <w:r w:rsidRPr="007375EB">
              <w:rPr>
                <w:lang w:val="bg-BG"/>
              </w:rPr>
              <w:t>-</w:t>
            </w:r>
          </w:p>
        </w:tc>
        <w:tc>
          <w:tcPr>
            <w:tcW w:w="810" w:type="dxa"/>
            <w:noWrap/>
            <w:vAlign w:val="center"/>
          </w:tcPr>
          <w:p w14:paraId="3700001A" w14:textId="77777777" w:rsidR="00CF09B3" w:rsidRPr="007375EB" w:rsidRDefault="00CF09B3" w:rsidP="00CF09B3">
            <w:pPr>
              <w:rPr>
                <w:lang w:val="bg-BG"/>
              </w:rPr>
            </w:pPr>
            <w:r w:rsidRPr="007375EB">
              <w:rPr>
                <w:lang w:val="bg-BG"/>
              </w:rPr>
              <w:t>-</w:t>
            </w:r>
          </w:p>
        </w:tc>
        <w:tc>
          <w:tcPr>
            <w:tcW w:w="630" w:type="dxa"/>
            <w:noWrap/>
            <w:vAlign w:val="center"/>
          </w:tcPr>
          <w:p w14:paraId="1610C116" w14:textId="77777777" w:rsidR="00CF09B3" w:rsidRPr="007375EB" w:rsidRDefault="00CF09B3" w:rsidP="00CF09B3">
            <w:pPr>
              <w:rPr>
                <w:lang w:val="bg-BG"/>
              </w:rPr>
            </w:pPr>
            <w:r w:rsidRPr="007375EB">
              <w:rPr>
                <w:lang w:val="bg-BG"/>
              </w:rPr>
              <w:t>-</w:t>
            </w:r>
          </w:p>
        </w:tc>
        <w:tc>
          <w:tcPr>
            <w:tcW w:w="720" w:type="dxa"/>
            <w:noWrap/>
            <w:vAlign w:val="center"/>
          </w:tcPr>
          <w:p w14:paraId="1BCC2217" w14:textId="77777777" w:rsidR="00CF09B3" w:rsidRPr="007375EB" w:rsidRDefault="00CF09B3" w:rsidP="00CF09B3">
            <w:pPr>
              <w:rPr>
                <w:lang w:val="bg-BG"/>
              </w:rPr>
            </w:pPr>
            <w:r w:rsidRPr="007375EB">
              <w:rPr>
                <w:lang w:val="bg-BG"/>
              </w:rPr>
              <w:t>-</w:t>
            </w:r>
          </w:p>
        </w:tc>
        <w:tc>
          <w:tcPr>
            <w:tcW w:w="720" w:type="dxa"/>
            <w:noWrap/>
            <w:vAlign w:val="center"/>
          </w:tcPr>
          <w:p w14:paraId="01448F92" w14:textId="77777777" w:rsidR="00CF09B3" w:rsidRPr="007375EB" w:rsidRDefault="00CF09B3" w:rsidP="00CF09B3">
            <w:pPr>
              <w:rPr>
                <w:lang w:val="bg-BG"/>
              </w:rPr>
            </w:pPr>
            <w:r w:rsidRPr="007375EB">
              <w:rPr>
                <w:lang w:val="bg-BG"/>
              </w:rPr>
              <w:t>-</w:t>
            </w:r>
          </w:p>
        </w:tc>
        <w:tc>
          <w:tcPr>
            <w:tcW w:w="540" w:type="dxa"/>
            <w:noWrap/>
            <w:vAlign w:val="center"/>
          </w:tcPr>
          <w:p w14:paraId="3E4484E5" w14:textId="77777777" w:rsidR="00CF09B3" w:rsidRPr="007375EB" w:rsidRDefault="00CF09B3" w:rsidP="00CF09B3">
            <w:pPr>
              <w:rPr>
                <w:lang w:val="bg-BG"/>
              </w:rPr>
            </w:pPr>
            <w:r w:rsidRPr="007375EB">
              <w:rPr>
                <w:lang w:val="bg-BG"/>
              </w:rPr>
              <w:t>-</w:t>
            </w:r>
          </w:p>
        </w:tc>
        <w:tc>
          <w:tcPr>
            <w:tcW w:w="990" w:type="dxa"/>
            <w:noWrap/>
            <w:vAlign w:val="center"/>
          </w:tcPr>
          <w:p w14:paraId="65AB0927" w14:textId="77777777" w:rsidR="00CF09B3" w:rsidRPr="007375EB" w:rsidRDefault="00CF09B3" w:rsidP="00CF09B3">
            <w:pPr>
              <w:rPr>
                <w:lang w:val="bg-BG"/>
              </w:rPr>
            </w:pPr>
            <w:r w:rsidRPr="007375EB">
              <w:rPr>
                <w:lang w:val="bg-BG"/>
              </w:rPr>
              <w:t>-</w:t>
            </w:r>
          </w:p>
        </w:tc>
        <w:tc>
          <w:tcPr>
            <w:tcW w:w="499" w:type="dxa"/>
            <w:noWrap/>
            <w:vAlign w:val="center"/>
          </w:tcPr>
          <w:p w14:paraId="6D8AF8CE" w14:textId="77777777" w:rsidR="00CF09B3" w:rsidRPr="007375EB" w:rsidRDefault="00CF09B3" w:rsidP="00CF09B3">
            <w:pPr>
              <w:rPr>
                <w:lang w:val="bg-BG"/>
              </w:rPr>
            </w:pPr>
            <w:r w:rsidRPr="007375EB">
              <w:rPr>
                <w:lang w:val="bg-BG"/>
              </w:rPr>
              <w:t>-</w:t>
            </w:r>
          </w:p>
        </w:tc>
        <w:tc>
          <w:tcPr>
            <w:tcW w:w="507" w:type="dxa"/>
            <w:noWrap/>
            <w:vAlign w:val="center"/>
          </w:tcPr>
          <w:p w14:paraId="0777D64C" w14:textId="77777777" w:rsidR="00CF09B3" w:rsidRPr="007375EB" w:rsidRDefault="00CF09B3" w:rsidP="00CF09B3">
            <w:pPr>
              <w:rPr>
                <w:lang w:val="bg-BG"/>
              </w:rPr>
            </w:pPr>
            <w:r w:rsidRPr="007375EB">
              <w:rPr>
                <w:lang w:val="bg-BG"/>
              </w:rPr>
              <w:t>-</w:t>
            </w:r>
          </w:p>
        </w:tc>
        <w:tc>
          <w:tcPr>
            <w:tcW w:w="524" w:type="dxa"/>
            <w:noWrap/>
            <w:vAlign w:val="center"/>
          </w:tcPr>
          <w:p w14:paraId="1B64E4F9" w14:textId="77777777" w:rsidR="00CF09B3" w:rsidRPr="007375EB" w:rsidRDefault="00CF09B3" w:rsidP="00CF09B3">
            <w:pPr>
              <w:rPr>
                <w:lang w:val="bg-BG"/>
              </w:rPr>
            </w:pPr>
            <w:r w:rsidRPr="007375EB">
              <w:rPr>
                <w:lang w:val="bg-BG"/>
              </w:rPr>
              <w:t>-</w:t>
            </w:r>
          </w:p>
        </w:tc>
        <w:tc>
          <w:tcPr>
            <w:tcW w:w="616" w:type="dxa"/>
            <w:noWrap/>
            <w:vAlign w:val="center"/>
          </w:tcPr>
          <w:p w14:paraId="08B0E340" w14:textId="77777777" w:rsidR="00CF09B3" w:rsidRPr="007375EB" w:rsidRDefault="00CF09B3" w:rsidP="00CF09B3">
            <w:pPr>
              <w:rPr>
                <w:lang w:val="bg-BG"/>
              </w:rPr>
            </w:pPr>
            <w:r w:rsidRPr="007375EB">
              <w:rPr>
                <w:lang w:val="bg-BG"/>
              </w:rPr>
              <w:t>-</w:t>
            </w:r>
          </w:p>
        </w:tc>
        <w:tc>
          <w:tcPr>
            <w:tcW w:w="612" w:type="dxa"/>
            <w:noWrap/>
            <w:vAlign w:val="center"/>
          </w:tcPr>
          <w:p w14:paraId="050AC9F9" w14:textId="77777777" w:rsidR="00CF09B3" w:rsidRPr="007375EB" w:rsidRDefault="00CF09B3" w:rsidP="00CF09B3">
            <w:pPr>
              <w:rPr>
                <w:lang w:val="bg-BG"/>
              </w:rPr>
            </w:pPr>
            <w:r w:rsidRPr="007375EB">
              <w:rPr>
                <w:lang w:val="bg-BG"/>
              </w:rPr>
              <w:t>-</w:t>
            </w:r>
          </w:p>
        </w:tc>
      </w:tr>
      <w:tr w:rsidR="00CF09B3" w:rsidRPr="007375EB" w14:paraId="0AE6646A" w14:textId="77777777" w:rsidTr="006C1B17">
        <w:trPr>
          <w:trHeight w:val="210"/>
        </w:trPr>
        <w:tc>
          <w:tcPr>
            <w:tcW w:w="621" w:type="dxa"/>
            <w:noWrap/>
          </w:tcPr>
          <w:p w14:paraId="4A5479E3" w14:textId="77777777" w:rsidR="00CF09B3" w:rsidRPr="007375EB" w:rsidRDefault="00CF09B3" w:rsidP="00CF09B3">
            <w:pPr>
              <w:rPr>
                <w:lang w:val="bg-BG"/>
              </w:rPr>
            </w:pPr>
            <w:r w:rsidRPr="007375EB">
              <w:rPr>
                <w:lang w:val="bg-BG"/>
              </w:rPr>
              <w:t>12</w:t>
            </w:r>
          </w:p>
        </w:tc>
        <w:tc>
          <w:tcPr>
            <w:tcW w:w="3189" w:type="dxa"/>
            <w:noWrap/>
          </w:tcPr>
          <w:p w14:paraId="25D4CA8A" w14:textId="00D7DF53" w:rsidR="00CF09B3" w:rsidRPr="007375EB" w:rsidRDefault="00CF09B3" w:rsidP="00CF09B3">
            <w:pPr>
              <w:jc w:val="both"/>
              <w:rPr>
                <w:lang w:val="bg-BG"/>
              </w:rPr>
            </w:pPr>
            <w:r w:rsidRPr="007375EB">
              <w:rPr>
                <w:lang w:val="bg-BG"/>
              </w:rPr>
              <w:t xml:space="preserve">Изграждане на мост в Мовила Верде, улица „Бисеричи“, </w:t>
            </w:r>
            <w:r w:rsidRPr="007375EB">
              <w:rPr>
                <w:lang w:val="bg-BG"/>
              </w:rPr>
              <w:lastRenderedPageBreak/>
              <w:t>Мовила Верде, община Индепенденца, окръг Констанца (предложен)</w:t>
            </w:r>
          </w:p>
        </w:tc>
        <w:tc>
          <w:tcPr>
            <w:tcW w:w="2125" w:type="dxa"/>
            <w:noWrap/>
            <w:vAlign w:val="center"/>
          </w:tcPr>
          <w:p w14:paraId="6F6AD823" w14:textId="77777777" w:rsidR="00CF09B3" w:rsidRPr="007375EB" w:rsidRDefault="00CF09B3" w:rsidP="00CF09B3">
            <w:pPr>
              <w:rPr>
                <w:lang w:val="bg-BG"/>
              </w:rPr>
            </w:pPr>
            <w:r w:rsidRPr="007375EB">
              <w:rPr>
                <w:lang w:val="bg-BG"/>
              </w:rPr>
              <w:lastRenderedPageBreak/>
              <w:t>17,71 км</w:t>
            </w:r>
          </w:p>
        </w:tc>
        <w:tc>
          <w:tcPr>
            <w:tcW w:w="482" w:type="dxa"/>
            <w:noWrap/>
            <w:vAlign w:val="center"/>
          </w:tcPr>
          <w:p w14:paraId="70F2A5E8" w14:textId="77777777" w:rsidR="00CF09B3" w:rsidRPr="007375EB" w:rsidRDefault="00CF09B3" w:rsidP="00CF09B3">
            <w:pPr>
              <w:rPr>
                <w:lang w:val="bg-BG"/>
              </w:rPr>
            </w:pPr>
            <w:r w:rsidRPr="007375EB">
              <w:rPr>
                <w:lang w:val="bg-BG"/>
              </w:rPr>
              <w:t>-</w:t>
            </w:r>
          </w:p>
        </w:tc>
        <w:tc>
          <w:tcPr>
            <w:tcW w:w="916" w:type="dxa"/>
            <w:noWrap/>
            <w:vAlign w:val="center"/>
          </w:tcPr>
          <w:p w14:paraId="27D3A467" w14:textId="77777777" w:rsidR="00CF09B3" w:rsidRPr="007375EB" w:rsidRDefault="00CF09B3" w:rsidP="00CF09B3">
            <w:pPr>
              <w:rPr>
                <w:lang w:val="bg-BG"/>
              </w:rPr>
            </w:pPr>
            <w:r w:rsidRPr="007375EB">
              <w:rPr>
                <w:lang w:val="bg-BG"/>
              </w:rPr>
              <w:t>-</w:t>
            </w:r>
          </w:p>
        </w:tc>
        <w:tc>
          <w:tcPr>
            <w:tcW w:w="916" w:type="dxa"/>
            <w:noWrap/>
            <w:vAlign w:val="center"/>
          </w:tcPr>
          <w:p w14:paraId="7D56C547" w14:textId="77777777" w:rsidR="00CF09B3" w:rsidRPr="007375EB" w:rsidRDefault="00CF09B3" w:rsidP="00CF09B3">
            <w:pPr>
              <w:rPr>
                <w:lang w:val="bg-BG"/>
              </w:rPr>
            </w:pPr>
            <w:r w:rsidRPr="007375EB">
              <w:rPr>
                <w:lang w:val="bg-BG"/>
              </w:rPr>
              <w:t>-</w:t>
            </w:r>
          </w:p>
        </w:tc>
        <w:tc>
          <w:tcPr>
            <w:tcW w:w="810" w:type="dxa"/>
            <w:noWrap/>
            <w:vAlign w:val="center"/>
          </w:tcPr>
          <w:p w14:paraId="04DB2809" w14:textId="77777777" w:rsidR="00CF09B3" w:rsidRPr="007375EB" w:rsidRDefault="00CF09B3" w:rsidP="00CF09B3">
            <w:pPr>
              <w:rPr>
                <w:lang w:val="bg-BG"/>
              </w:rPr>
            </w:pPr>
            <w:r w:rsidRPr="007375EB">
              <w:rPr>
                <w:lang w:val="bg-BG"/>
              </w:rPr>
              <w:t>-</w:t>
            </w:r>
          </w:p>
        </w:tc>
        <w:tc>
          <w:tcPr>
            <w:tcW w:w="630" w:type="dxa"/>
            <w:noWrap/>
            <w:vAlign w:val="center"/>
          </w:tcPr>
          <w:p w14:paraId="669BA2D4" w14:textId="77777777" w:rsidR="00CF09B3" w:rsidRPr="007375EB" w:rsidRDefault="00CF09B3" w:rsidP="00CF09B3">
            <w:pPr>
              <w:rPr>
                <w:lang w:val="bg-BG"/>
              </w:rPr>
            </w:pPr>
            <w:r w:rsidRPr="007375EB">
              <w:rPr>
                <w:lang w:val="bg-BG"/>
              </w:rPr>
              <w:t>-</w:t>
            </w:r>
          </w:p>
        </w:tc>
        <w:tc>
          <w:tcPr>
            <w:tcW w:w="720" w:type="dxa"/>
            <w:noWrap/>
            <w:vAlign w:val="center"/>
          </w:tcPr>
          <w:p w14:paraId="7BC29CBE" w14:textId="77777777" w:rsidR="00CF09B3" w:rsidRPr="007375EB" w:rsidRDefault="00CF09B3" w:rsidP="00CF09B3">
            <w:pPr>
              <w:rPr>
                <w:lang w:val="bg-BG"/>
              </w:rPr>
            </w:pPr>
            <w:r w:rsidRPr="007375EB">
              <w:rPr>
                <w:lang w:val="bg-BG"/>
              </w:rPr>
              <w:t>-</w:t>
            </w:r>
          </w:p>
        </w:tc>
        <w:tc>
          <w:tcPr>
            <w:tcW w:w="720" w:type="dxa"/>
            <w:noWrap/>
            <w:vAlign w:val="center"/>
          </w:tcPr>
          <w:p w14:paraId="74041D48" w14:textId="77777777" w:rsidR="00CF09B3" w:rsidRPr="007375EB" w:rsidRDefault="00CF09B3" w:rsidP="00CF09B3">
            <w:pPr>
              <w:rPr>
                <w:lang w:val="bg-BG"/>
              </w:rPr>
            </w:pPr>
            <w:r w:rsidRPr="007375EB">
              <w:rPr>
                <w:lang w:val="bg-BG"/>
              </w:rPr>
              <w:t>-</w:t>
            </w:r>
          </w:p>
        </w:tc>
        <w:tc>
          <w:tcPr>
            <w:tcW w:w="540" w:type="dxa"/>
            <w:noWrap/>
            <w:vAlign w:val="center"/>
          </w:tcPr>
          <w:p w14:paraId="5CE44186" w14:textId="77777777" w:rsidR="00CF09B3" w:rsidRPr="007375EB" w:rsidRDefault="00CF09B3" w:rsidP="00CF09B3">
            <w:pPr>
              <w:rPr>
                <w:lang w:val="bg-BG"/>
              </w:rPr>
            </w:pPr>
            <w:r w:rsidRPr="007375EB">
              <w:rPr>
                <w:lang w:val="bg-BG"/>
              </w:rPr>
              <w:t>-</w:t>
            </w:r>
          </w:p>
        </w:tc>
        <w:tc>
          <w:tcPr>
            <w:tcW w:w="990" w:type="dxa"/>
            <w:noWrap/>
            <w:vAlign w:val="center"/>
          </w:tcPr>
          <w:p w14:paraId="3BB2A0F3" w14:textId="77777777" w:rsidR="00CF09B3" w:rsidRPr="007375EB" w:rsidRDefault="00CF09B3" w:rsidP="00CF09B3">
            <w:pPr>
              <w:rPr>
                <w:lang w:val="bg-BG"/>
              </w:rPr>
            </w:pPr>
            <w:r w:rsidRPr="007375EB">
              <w:rPr>
                <w:lang w:val="bg-BG"/>
              </w:rPr>
              <w:t>-</w:t>
            </w:r>
          </w:p>
        </w:tc>
        <w:tc>
          <w:tcPr>
            <w:tcW w:w="499" w:type="dxa"/>
            <w:noWrap/>
            <w:vAlign w:val="center"/>
          </w:tcPr>
          <w:p w14:paraId="4ED55A00" w14:textId="77777777" w:rsidR="00CF09B3" w:rsidRPr="007375EB" w:rsidRDefault="00CF09B3" w:rsidP="00CF09B3">
            <w:pPr>
              <w:rPr>
                <w:lang w:val="bg-BG"/>
              </w:rPr>
            </w:pPr>
            <w:r w:rsidRPr="007375EB">
              <w:rPr>
                <w:lang w:val="bg-BG"/>
              </w:rPr>
              <w:t>-</w:t>
            </w:r>
          </w:p>
        </w:tc>
        <w:tc>
          <w:tcPr>
            <w:tcW w:w="507" w:type="dxa"/>
            <w:noWrap/>
            <w:vAlign w:val="center"/>
          </w:tcPr>
          <w:p w14:paraId="69EA9607" w14:textId="77777777" w:rsidR="00CF09B3" w:rsidRPr="007375EB" w:rsidRDefault="00CF09B3" w:rsidP="00CF09B3">
            <w:pPr>
              <w:rPr>
                <w:lang w:val="bg-BG"/>
              </w:rPr>
            </w:pPr>
            <w:r w:rsidRPr="007375EB">
              <w:rPr>
                <w:lang w:val="bg-BG"/>
              </w:rPr>
              <w:t>-</w:t>
            </w:r>
          </w:p>
        </w:tc>
        <w:tc>
          <w:tcPr>
            <w:tcW w:w="524" w:type="dxa"/>
            <w:noWrap/>
            <w:vAlign w:val="center"/>
          </w:tcPr>
          <w:p w14:paraId="678A7730" w14:textId="77777777" w:rsidR="00CF09B3" w:rsidRPr="007375EB" w:rsidRDefault="00CF09B3" w:rsidP="00CF09B3">
            <w:pPr>
              <w:rPr>
                <w:lang w:val="bg-BG"/>
              </w:rPr>
            </w:pPr>
            <w:r w:rsidRPr="007375EB">
              <w:rPr>
                <w:lang w:val="bg-BG"/>
              </w:rPr>
              <w:t>-</w:t>
            </w:r>
          </w:p>
        </w:tc>
        <w:tc>
          <w:tcPr>
            <w:tcW w:w="616" w:type="dxa"/>
            <w:noWrap/>
            <w:vAlign w:val="center"/>
          </w:tcPr>
          <w:p w14:paraId="460B54D0" w14:textId="77777777" w:rsidR="00CF09B3" w:rsidRPr="007375EB" w:rsidRDefault="00CF09B3" w:rsidP="00CF09B3">
            <w:pPr>
              <w:rPr>
                <w:lang w:val="bg-BG"/>
              </w:rPr>
            </w:pPr>
            <w:r w:rsidRPr="007375EB">
              <w:rPr>
                <w:lang w:val="bg-BG"/>
              </w:rPr>
              <w:t>-</w:t>
            </w:r>
          </w:p>
        </w:tc>
        <w:tc>
          <w:tcPr>
            <w:tcW w:w="612" w:type="dxa"/>
            <w:noWrap/>
            <w:vAlign w:val="center"/>
          </w:tcPr>
          <w:p w14:paraId="3BC18A60" w14:textId="77777777" w:rsidR="00CF09B3" w:rsidRPr="007375EB" w:rsidRDefault="00CF09B3" w:rsidP="00CF09B3">
            <w:pPr>
              <w:rPr>
                <w:lang w:val="bg-BG"/>
              </w:rPr>
            </w:pPr>
            <w:r w:rsidRPr="007375EB">
              <w:rPr>
                <w:lang w:val="bg-BG"/>
              </w:rPr>
              <w:t>-</w:t>
            </w:r>
          </w:p>
        </w:tc>
      </w:tr>
      <w:tr w:rsidR="00CF09B3" w:rsidRPr="007375EB" w14:paraId="1148C9EE" w14:textId="77777777" w:rsidTr="006C1B17">
        <w:trPr>
          <w:trHeight w:val="210"/>
        </w:trPr>
        <w:tc>
          <w:tcPr>
            <w:tcW w:w="621" w:type="dxa"/>
            <w:noWrap/>
          </w:tcPr>
          <w:p w14:paraId="43A6DA53" w14:textId="77777777" w:rsidR="00CF09B3" w:rsidRPr="007375EB" w:rsidRDefault="00CF09B3" w:rsidP="00CF09B3">
            <w:pPr>
              <w:rPr>
                <w:lang w:val="bg-BG"/>
              </w:rPr>
            </w:pPr>
            <w:r w:rsidRPr="007375EB">
              <w:rPr>
                <w:lang w:val="bg-BG"/>
              </w:rPr>
              <w:t>13</w:t>
            </w:r>
          </w:p>
        </w:tc>
        <w:tc>
          <w:tcPr>
            <w:tcW w:w="3189" w:type="dxa"/>
            <w:noWrap/>
          </w:tcPr>
          <w:p w14:paraId="7312753F" w14:textId="15C280E2" w:rsidR="00CF09B3" w:rsidRPr="007375EB" w:rsidRDefault="00CF09B3" w:rsidP="00CF09B3">
            <w:pPr>
              <w:jc w:val="both"/>
              <w:rPr>
                <w:lang w:val="bg-BG"/>
              </w:rPr>
            </w:pPr>
            <w:r w:rsidRPr="007375EB">
              <w:rPr>
                <w:lang w:val="bg-BG"/>
              </w:rPr>
              <w:t>Асфалтиране на улици Комана, Тътару и Пелину, етап I, община Комана, окръг Констанца (предложено)</w:t>
            </w:r>
          </w:p>
        </w:tc>
        <w:tc>
          <w:tcPr>
            <w:tcW w:w="2125" w:type="dxa"/>
            <w:noWrap/>
            <w:vAlign w:val="center"/>
          </w:tcPr>
          <w:p w14:paraId="2628DC96" w14:textId="77777777" w:rsidR="00CF09B3" w:rsidRPr="007375EB" w:rsidRDefault="00CF09B3" w:rsidP="00CF09B3">
            <w:pPr>
              <w:rPr>
                <w:lang w:val="bg-BG"/>
              </w:rPr>
            </w:pPr>
            <w:r w:rsidRPr="007375EB">
              <w:rPr>
                <w:lang w:val="bg-BG"/>
              </w:rPr>
              <w:t>20,86 км</w:t>
            </w:r>
          </w:p>
        </w:tc>
        <w:tc>
          <w:tcPr>
            <w:tcW w:w="482" w:type="dxa"/>
            <w:noWrap/>
            <w:vAlign w:val="center"/>
          </w:tcPr>
          <w:p w14:paraId="08A33326" w14:textId="77777777" w:rsidR="00CF09B3" w:rsidRPr="007375EB" w:rsidRDefault="00CF09B3" w:rsidP="00CF09B3">
            <w:pPr>
              <w:rPr>
                <w:lang w:val="bg-BG"/>
              </w:rPr>
            </w:pPr>
            <w:r w:rsidRPr="007375EB">
              <w:rPr>
                <w:lang w:val="bg-BG"/>
              </w:rPr>
              <w:t>-</w:t>
            </w:r>
          </w:p>
        </w:tc>
        <w:tc>
          <w:tcPr>
            <w:tcW w:w="916" w:type="dxa"/>
            <w:noWrap/>
            <w:vAlign w:val="center"/>
          </w:tcPr>
          <w:p w14:paraId="77EDE54F" w14:textId="77777777" w:rsidR="00CF09B3" w:rsidRPr="007375EB" w:rsidRDefault="00CF09B3" w:rsidP="00CF09B3">
            <w:pPr>
              <w:rPr>
                <w:lang w:val="bg-BG"/>
              </w:rPr>
            </w:pPr>
            <w:r w:rsidRPr="007375EB">
              <w:rPr>
                <w:lang w:val="bg-BG"/>
              </w:rPr>
              <w:t>-</w:t>
            </w:r>
          </w:p>
        </w:tc>
        <w:tc>
          <w:tcPr>
            <w:tcW w:w="916" w:type="dxa"/>
            <w:noWrap/>
            <w:vAlign w:val="center"/>
          </w:tcPr>
          <w:p w14:paraId="7C8303DA" w14:textId="77777777" w:rsidR="00CF09B3" w:rsidRPr="007375EB" w:rsidRDefault="00CF09B3" w:rsidP="00CF09B3">
            <w:pPr>
              <w:rPr>
                <w:lang w:val="bg-BG"/>
              </w:rPr>
            </w:pPr>
            <w:r w:rsidRPr="007375EB">
              <w:rPr>
                <w:lang w:val="bg-BG"/>
              </w:rPr>
              <w:t>-</w:t>
            </w:r>
          </w:p>
        </w:tc>
        <w:tc>
          <w:tcPr>
            <w:tcW w:w="810" w:type="dxa"/>
            <w:noWrap/>
            <w:vAlign w:val="center"/>
          </w:tcPr>
          <w:p w14:paraId="4937C1A6" w14:textId="77777777" w:rsidR="00CF09B3" w:rsidRPr="007375EB" w:rsidRDefault="00CF09B3" w:rsidP="00CF09B3">
            <w:pPr>
              <w:rPr>
                <w:lang w:val="bg-BG"/>
              </w:rPr>
            </w:pPr>
            <w:r w:rsidRPr="007375EB">
              <w:rPr>
                <w:lang w:val="bg-BG"/>
              </w:rPr>
              <w:t>-</w:t>
            </w:r>
          </w:p>
        </w:tc>
        <w:tc>
          <w:tcPr>
            <w:tcW w:w="630" w:type="dxa"/>
            <w:noWrap/>
            <w:vAlign w:val="center"/>
          </w:tcPr>
          <w:p w14:paraId="7B0CD617" w14:textId="77777777" w:rsidR="00CF09B3" w:rsidRPr="007375EB" w:rsidRDefault="00CF09B3" w:rsidP="00CF09B3">
            <w:pPr>
              <w:rPr>
                <w:lang w:val="bg-BG"/>
              </w:rPr>
            </w:pPr>
            <w:r w:rsidRPr="007375EB">
              <w:rPr>
                <w:lang w:val="bg-BG"/>
              </w:rPr>
              <w:t>-</w:t>
            </w:r>
          </w:p>
        </w:tc>
        <w:tc>
          <w:tcPr>
            <w:tcW w:w="720" w:type="dxa"/>
            <w:noWrap/>
            <w:vAlign w:val="center"/>
          </w:tcPr>
          <w:p w14:paraId="367E39ED" w14:textId="77777777" w:rsidR="00CF09B3" w:rsidRPr="007375EB" w:rsidRDefault="00CF09B3" w:rsidP="00CF09B3">
            <w:pPr>
              <w:rPr>
                <w:lang w:val="bg-BG"/>
              </w:rPr>
            </w:pPr>
            <w:r w:rsidRPr="007375EB">
              <w:rPr>
                <w:lang w:val="bg-BG"/>
              </w:rPr>
              <w:t>-</w:t>
            </w:r>
          </w:p>
        </w:tc>
        <w:tc>
          <w:tcPr>
            <w:tcW w:w="720" w:type="dxa"/>
            <w:noWrap/>
            <w:vAlign w:val="center"/>
          </w:tcPr>
          <w:p w14:paraId="2380FF75" w14:textId="77777777" w:rsidR="00CF09B3" w:rsidRPr="007375EB" w:rsidRDefault="00CF09B3" w:rsidP="00CF09B3">
            <w:pPr>
              <w:rPr>
                <w:lang w:val="bg-BG"/>
              </w:rPr>
            </w:pPr>
            <w:r w:rsidRPr="007375EB">
              <w:rPr>
                <w:lang w:val="bg-BG"/>
              </w:rPr>
              <w:t>-</w:t>
            </w:r>
          </w:p>
        </w:tc>
        <w:tc>
          <w:tcPr>
            <w:tcW w:w="540" w:type="dxa"/>
            <w:noWrap/>
            <w:vAlign w:val="center"/>
          </w:tcPr>
          <w:p w14:paraId="26D4F47C" w14:textId="77777777" w:rsidR="00CF09B3" w:rsidRPr="007375EB" w:rsidRDefault="00CF09B3" w:rsidP="00CF09B3">
            <w:pPr>
              <w:rPr>
                <w:lang w:val="bg-BG"/>
              </w:rPr>
            </w:pPr>
            <w:r w:rsidRPr="007375EB">
              <w:rPr>
                <w:lang w:val="bg-BG"/>
              </w:rPr>
              <w:t>-</w:t>
            </w:r>
          </w:p>
        </w:tc>
        <w:tc>
          <w:tcPr>
            <w:tcW w:w="990" w:type="dxa"/>
            <w:noWrap/>
            <w:vAlign w:val="center"/>
          </w:tcPr>
          <w:p w14:paraId="52B40FBD" w14:textId="77777777" w:rsidR="00CF09B3" w:rsidRPr="007375EB" w:rsidRDefault="00CF09B3" w:rsidP="00CF09B3">
            <w:pPr>
              <w:rPr>
                <w:lang w:val="bg-BG"/>
              </w:rPr>
            </w:pPr>
            <w:r w:rsidRPr="007375EB">
              <w:rPr>
                <w:lang w:val="bg-BG"/>
              </w:rPr>
              <w:t>-</w:t>
            </w:r>
          </w:p>
        </w:tc>
        <w:tc>
          <w:tcPr>
            <w:tcW w:w="499" w:type="dxa"/>
            <w:noWrap/>
            <w:vAlign w:val="center"/>
          </w:tcPr>
          <w:p w14:paraId="60CCA591" w14:textId="77777777" w:rsidR="00CF09B3" w:rsidRPr="007375EB" w:rsidRDefault="00CF09B3" w:rsidP="00CF09B3">
            <w:pPr>
              <w:rPr>
                <w:lang w:val="bg-BG"/>
              </w:rPr>
            </w:pPr>
            <w:r w:rsidRPr="007375EB">
              <w:rPr>
                <w:lang w:val="bg-BG"/>
              </w:rPr>
              <w:t>-</w:t>
            </w:r>
          </w:p>
        </w:tc>
        <w:tc>
          <w:tcPr>
            <w:tcW w:w="507" w:type="dxa"/>
            <w:noWrap/>
            <w:vAlign w:val="center"/>
          </w:tcPr>
          <w:p w14:paraId="25F898B3" w14:textId="77777777" w:rsidR="00CF09B3" w:rsidRPr="007375EB" w:rsidRDefault="00CF09B3" w:rsidP="00CF09B3">
            <w:pPr>
              <w:rPr>
                <w:lang w:val="bg-BG"/>
              </w:rPr>
            </w:pPr>
            <w:r w:rsidRPr="007375EB">
              <w:rPr>
                <w:lang w:val="bg-BG"/>
              </w:rPr>
              <w:t>-</w:t>
            </w:r>
          </w:p>
        </w:tc>
        <w:tc>
          <w:tcPr>
            <w:tcW w:w="524" w:type="dxa"/>
            <w:noWrap/>
            <w:vAlign w:val="center"/>
          </w:tcPr>
          <w:p w14:paraId="4D06C984" w14:textId="77777777" w:rsidR="00CF09B3" w:rsidRPr="007375EB" w:rsidRDefault="00CF09B3" w:rsidP="00CF09B3">
            <w:pPr>
              <w:rPr>
                <w:lang w:val="bg-BG"/>
              </w:rPr>
            </w:pPr>
            <w:r w:rsidRPr="007375EB">
              <w:rPr>
                <w:lang w:val="bg-BG"/>
              </w:rPr>
              <w:t>-</w:t>
            </w:r>
          </w:p>
        </w:tc>
        <w:tc>
          <w:tcPr>
            <w:tcW w:w="616" w:type="dxa"/>
            <w:noWrap/>
            <w:vAlign w:val="center"/>
          </w:tcPr>
          <w:p w14:paraId="186DB987" w14:textId="77777777" w:rsidR="00CF09B3" w:rsidRPr="007375EB" w:rsidRDefault="00CF09B3" w:rsidP="00CF09B3">
            <w:pPr>
              <w:rPr>
                <w:lang w:val="bg-BG"/>
              </w:rPr>
            </w:pPr>
            <w:r w:rsidRPr="007375EB">
              <w:rPr>
                <w:lang w:val="bg-BG"/>
              </w:rPr>
              <w:t>-</w:t>
            </w:r>
          </w:p>
        </w:tc>
        <w:tc>
          <w:tcPr>
            <w:tcW w:w="612" w:type="dxa"/>
            <w:noWrap/>
            <w:vAlign w:val="center"/>
          </w:tcPr>
          <w:p w14:paraId="44732B16" w14:textId="77777777" w:rsidR="00CF09B3" w:rsidRPr="007375EB" w:rsidRDefault="00CF09B3" w:rsidP="00CF09B3">
            <w:pPr>
              <w:rPr>
                <w:lang w:val="bg-BG"/>
              </w:rPr>
            </w:pPr>
            <w:r w:rsidRPr="007375EB">
              <w:rPr>
                <w:lang w:val="bg-BG"/>
              </w:rPr>
              <w:t>-</w:t>
            </w:r>
          </w:p>
        </w:tc>
      </w:tr>
      <w:tr w:rsidR="00CF09B3" w:rsidRPr="007375EB" w14:paraId="03AA2C14" w14:textId="77777777" w:rsidTr="006C1B17">
        <w:trPr>
          <w:trHeight w:val="210"/>
        </w:trPr>
        <w:tc>
          <w:tcPr>
            <w:tcW w:w="621" w:type="dxa"/>
            <w:noWrap/>
          </w:tcPr>
          <w:p w14:paraId="30776842" w14:textId="77777777" w:rsidR="00CF09B3" w:rsidRPr="007375EB" w:rsidRDefault="00CF09B3" w:rsidP="00CF09B3">
            <w:pPr>
              <w:rPr>
                <w:lang w:val="bg-BG"/>
              </w:rPr>
            </w:pPr>
            <w:r w:rsidRPr="007375EB">
              <w:rPr>
                <w:lang w:val="bg-BG"/>
              </w:rPr>
              <w:t>14</w:t>
            </w:r>
          </w:p>
        </w:tc>
        <w:tc>
          <w:tcPr>
            <w:tcW w:w="3189" w:type="dxa"/>
            <w:noWrap/>
          </w:tcPr>
          <w:p w14:paraId="6FE779AD" w14:textId="157C0D67" w:rsidR="00CF09B3" w:rsidRPr="007375EB" w:rsidRDefault="00CF09B3" w:rsidP="00CF09B3">
            <w:pPr>
              <w:jc w:val="both"/>
              <w:rPr>
                <w:lang w:val="bg-BG"/>
              </w:rPr>
            </w:pPr>
            <w:r w:rsidRPr="007375EB">
              <w:rPr>
                <w:lang w:val="bg-BG"/>
              </w:rPr>
              <w:t>Изграждане на мостове, водостоци и прокарване на дъждовна канализация в Крединца, община Кирногени (предложено)</w:t>
            </w:r>
          </w:p>
        </w:tc>
        <w:tc>
          <w:tcPr>
            <w:tcW w:w="2125" w:type="dxa"/>
            <w:noWrap/>
            <w:vAlign w:val="center"/>
          </w:tcPr>
          <w:p w14:paraId="1E33C98D" w14:textId="77777777" w:rsidR="00CF09B3" w:rsidRPr="007375EB" w:rsidRDefault="00CF09B3" w:rsidP="00CF09B3">
            <w:pPr>
              <w:rPr>
                <w:lang w:val="bg-BG"/>
              </w:rPr>
            </w:pPr>
            <w:r w:rsidRPr="007375EB">
              <w:rPr>
                <w:lang w:val="bg-BG"/>
              </w:rPr>
              <w:t>21,96 км</w:t>
            </w:r>
          </w:p>
        </w:tc>
        <w:tc>
          <w:tcPr>
            <w:tcW w:w="482" w:type="dxa"/>
            <w:noWrap/>
            <w:vAlign w:val="center"/>
          </w:tcPr>
          <w:p w14:paraId="43C7E8AF" w14:textId="77777777" w:rsidR="00CF09B3" w:rsidRPr="007375EB" w:rsidRDefault="00CF09B3" w:rsidP="00CF09B3">
            <w:pPr>
              <w:rPr>
                <w:lang w:val="bg-BG"/>
              </w:rPr>
            </w:pPr>
            <w:r w:rsidRPr="007375EB">
              <w:rPr>
                <w:lang w:val="bg-BG"/>
              </w:rPr>
              <w:t>-</w:t>
            </w:r>
          </w:p>
        </w:tc>
        <w:tc>
          <w:tcPr>
            <w:tcW w:w="916" w:type="dxa"/>
            <w:noWrap/>
            <w:vAlign w:val="center"/>
          </w:tcPr>
          <w:p w14:paraId="67365FD5" w14:textId="77777777" w:rsidR="00CF09B3" w:rsidRPr="007375EB" w:rsidRDefault="00CF09B3" w:rsidP="00CF09B3">
            <w:pPr>
              <w:rPr>
                <w:lang w:val="bg-BG"/>
              </w:rPr>
            </w:pPr>
            <w:r w:rsidRPr="007375EB">
              <w:rPr>
                <w:lang w:val="bg-BG"/>
              </w:rPr>
              <w:t>-</w:t>
            </w:r>
          </w:p>
        </w:tc>
        <w:tc>
          <w:tcPr>
            <w:tcW w:w="916" w:type="dxa"/>
            <w:noWrap/>
            <w:vAlign w:val="center"/>
          </w:tcPr>
          <w:p w14:paraId="2C075B8D" w14:textId="77777777" w:rsidR="00CF09B3" w:rsidRPr="007375EB" w:rsidRDefault="00CF09B3" w:rsidP="00CF09B3">
            <w:pPr>
              <w:rPr>
                <w:lang w:val="bg-BG"/>
              </w:rPr>
            </w:pPr>
            <w:r w:rsidRPr="007375EB">
              <w:rPr>
                <w:lang w:val="bg-BG"/>
              </w:rPr>
              <w:t>-</w:t>
            </w:r>
          </w:p>
        </w:tc>
        <w:tc>
          <w:tcPr>
            <w:tcW w:w="810" w:type="dxa"/>
            <w:noWrap/>
            <w:vAlign w:val="center"/>
          </w:tcPr>
          <w:p w14:paraId="314FFCA7" w14:textId="77777777" w:rsidR="00CF09B3" w:rsidRPr="007375EB" w:rsidRDefault="00CF09B3" w:rsidP="00CF09B3">
            <w:pPr>
              <w:rPr>
                <w:lang w:val="bg-BG"/>
              </w:rPr>
            </w:pPr>
            <w:r w:rsidRPr="007375EB">
              <w:rPr>
                <w:lang w:val="bg-BG"/>
              </w:rPr>
              <w:t>-</w:t>
            </w:r>
          </w:p>
        </w:tc>
        <w:tc>
          <w:tcPr>
            <w:tcW w:w="630" w:type="dxa"/>
            <w:noWrap/>
            <w:vAlign w:val="center"/>
          </w:tcPr>
          <w:p w14:paraId="649C50A2" w14:textId="77777777" w:rsidR="00CF09B3" w:rsidRPr="007375EB" w:rsidRDefault="00CF09B3" w:rsidP="00CF09B3">
            <w:pPr>
              <w:rPr>
                <w:lang w:val="bg-BG"/>
              </w:rPr>
            </w:pPr>
            <w:r w:rsidRPr="007375EB">
              <w:rPr>
                <w:lang w:val="bg-BG"/>
              </w:rPr>
              <w:t>-</w:t>
            </w:r>
          </w:p>
        </w:tc>
        <w:tc>
          <w:tcPr>
            <w:tcW w:w="720" w:type="dxa"/>
            <w:noWrap/>
            <w:vAlign w:val="center"/>
          </w:tcPr>
          <w:p w14:paraId="5BCE3902" w14:textId="77777777" w:rsidR="00CF09B3" w:rsidRPr="007375EB" w:rsidRDefault="00CF09B3" w:rsidP="00CF09B3">
            <w:pPr>
              <w:rPr>
                <w:lang w:val="bg-BG"/>
              </w:rPr>
            </w:pPr>
            <w:r w:rsidRPr="007375EB">
              <w:rPr>
                <w:lang w:val="bg-BG"/>
              </w:rPr>
              <w:t>-</w:t>
            </w:r>
          </w:p>
        </w:tc>
        <w:tc>
          <w:tcPr>
            <w:tcW w:w="720" w:type="dxa"/>
            <w:noWrap/>
            <w:vAlign w:val="center"/>
          </w:tcPr>
          <w:p w14:paraId="116DD99F" w14:textId="77777777" w:rsidR="00CF09B3" w:rsidRPr="007375EB" w:rsidRDefault="00CF09B3" w:rsidP="00CF09B3">
            <w:pPr>
              <w:rPr>
                <w:lang w:val="bg-BG"/>
              </w:rPr>
            </w:pPr>
            <w:r w:rsidRPr="007375EB">
              <w:rPr>
                <w:lang w:val="bg-BG"/>
              </w:rPr>
              <w:t>-</w:t>
            </w:r>
          </w:p>
        </w:tc>
        <w:tc>
          <w:tcPr>
            <w:tcW w:w="540" w:type="dxa"/>
            <w:noWrap/>
            <w:vAlign w:val="center"/>
          </w:tcPr>
          <w:p w14:paraId="3E425EB6" w14:textId="77777777" w:rsidR="00CF09B3" w:rsidRPr="007375EB" w:rsidRDefault="00CF09B3" w:rsidP="00CF09B3">
            <w:pPr>
              <w:rPr>
                <w:lang w:val="bg-BG"/>
              </w:rPr>
            </w:pPr>
            <w:r w:rsidRPr="007375EB">
              <w:rPr>
                <w:lang w:val="bg-BG"/>
              </w:rPr>
              <w:t>-</w:t>
            </w:r>
          </w:p>
        </w:tc>
        <w:tc>
          <w:tcPr>
            <w:tcW w:w="990" w:type="dxa"/>
            <w:noWrap/>
            <w:vAlign w:val="center"/>
          </w:tcPr>
          <w:p w14:paraId="13383D91" w14:textId="77777777" w:rsidR="00CF09B3" w:rsidRPr="007375EB" w:rsidRDefault="00CF09B3" w:rsidP="00CF09B3">
            <w:pPr>
              <w:rPr>
                <w:lang w:val="bg-BG"/>
              </w:rPr>
            </w:pPr>
            <w:r w:rsidRPr="007375EB">
              <w:rPr>
                <w:lang w:val="bg-BG"/>
              </w:rPr>
              <w:t>-</w:t>
            </w:r>
          </w:p>
        </w:tc>
        <w:tc>
          <w:tcPr>
            <w:tcW w:w="499" w:type="dxa"/>
            <w:noWrap/>
            <w:vAlign w:val="center"/>
          </w:tcPr>
          <w:p w14:paraId="6F9EA828" w14:textId="77777777" w:rsidR="00CF09B3" w:rsidRPr="007375EB" w:rsidRDefault="00CF09B3" w:rsidP="00CF09B3">
            <w:pPr>
              <w:rPr>
                <w:lang w:val="bg-BG"/>
              </w:rPr>
            </w:pPr>
            <w:r w:rsidRPr="007375EB">
              <w:rPr>
                <w:lang w:val="bg-BG"/>
              </w:rPr>
              <w:t>-</w:t>
            </w:r>
          </w:p>
        </w:tc>
        <w:tc>
          <w:tcPr>
            <w:tcW w:w="507" w:type="dxa"/>
            <w:noWrap/>
            <w:vAlign w:val="center"/>
          </w:tcPr>
          <w:p w14:paraId="34A6077C" w14:textId="77777777" w:rsidR="00CF09B3" w:rsidRPr="007375EB" w:rsidRDefault="00CF09B3" w:rsidP="00CF09B3">
            <w:pPr>
              <w:rPr>
                <w:lang w:val="bg-BG"/>
              </w:rPr>
            </w:pPr>
            <w:r w:rsidRPr="007375EB">
              <w:rPr>
                <w:lang w:val="bg-BG"/>
              </w:rPr>
              <w:t>-</w:t>
            </w:r>
          </w:p>
        </w:tc>
        <w:tc>
          <w:tcPr>
            <w:tcW w:w="524" w:type="dxa"/>
            <w:noWrap/>
            <w:vAlign w:val="center"/>
          </w:tcPr>
          <w:p w14:paraId="6079EAC0" w14:textId="77777777" w:rsidR="00CF09B3" w:rsidRPr="007375EB" w:rsidRDefault="00CF09B3" w:rsidP="00CF09B3">
            <w:pPr>
              <w:rPr>
                <w:lang w:val="bg-BG"/>
              </w:rPr>
            </w:pPr>
            <w:r w:rsidRPr="007375EB">
              <w:rPr>
                <w:lang w:val="bg-BG"/>
              </w:rPr>
              <w:t>-</w:t>
            </w:r>
          </w:p>
        </w:tc>
        <w:tc>
          <w:tcPr>
            <w:tcW w:w="616" w:type="dxa"/>
            <w:noWrap/>
            <w:vAlign w:val="center"/>
          </w:tcPr>
          <w:p w14:paraId="402FA543" w14:textId="77777777" w:rsidR="00CF09B3" w:rsidRPr="007375EB" w:rsidRDefault="00CF09B3" w:rsidP="00CF09B3">
            <w:pPr>
              <w:rPr>
                <w:lang w:val="bg-BG"/>
              </w:rPr>
            </w:pPr>
            <w:r w:rsidRPr="007375EB">
              <w:rPr>
                <w:lang w:val="bg-BG"/>
              </w:rPr>
              <w:t>-</w:t>
            </w:r>
          </w:p>
        </w:tc>
        <w:tc>
          <w:tcPr>
            <w:tcW w:w="612" w:type="dxa"/>
            <w:noWrap/>
            <w:vAlign w:val="center"/>
          </w:tcPr>
          <w:p w14:paraId="7EE3C930" w14:textId="77777777" w:rsidR="00CF09B3" w:rsidRPr="007375EB" w:rsidRDefault="00CF09B3" w:rsidP="00CF09B3">
            <w:pPr>
              <w:rPr>
                <w:lang w:val="bg-BG"/>
              </w:rPr>
            </w:pPr>
            <w:r w:rsidRPr="007375EB">
              <w:rPr>
                <w:lang w:val="bg-BG"/>
              </w:rPr>
              <w:t>-</w:t>
            </w:r>
          </w:p>
        </w:tc>
      </w:tr>
      <w:tr w:rsidR="00CF09B3" w:rsidRPr="007375EB" w14:paraId="7D185DC0" w14:textId="77777777" w:rsidTr="006C1B17">
        <w:trPr>
          <w:trHeight w:val="210"/>
        </w:trPr>
        <w:tc>
          <w:tcPr>
            <w:tcW w:w="621" w:type="dxa"/>
            <w:noWrap/>
          </w:tcPr>
          <w:p w14:paraId="3269B5A3" w14:textId="77777777" w:rsidR="00CF09B3" w:rsidRPr="007375EB" w:rsidRDefault="00CF09B3" w:rsidP="00CF09B3">
            <w:pPr>
              <w:rPr>
                <w:lang w:val="bg-BG"/>
              </w:rPr>
            </w:pPr>
            <w:r w:rsidRPr="007375EB">
              <w:rPr>
                <w:lang w:val="bg-BG"/>
              </w:rPr>
              <w:t>15</w:t>
            </w:r>
          </w:p>
        </w:tc>
        <w:tc>
          <w:tcPr>
            <w:tcW w:w="3189" w:type="dxa"/>
            <w:noWrap/>
          </w:tcPr>
          <w:p w14:paraId="1C69F4CD" w14:textId="49A36428" w:rsidR="00CF09B3" w:rsidRPr="007375EB" w:rsidRDefault="00CF09B3" w:rsidP="00CF09B3">
            <w:pPr>
              <w:jc w:val="both"/>
              <w:rPr>
                <w:lang w:val="bg-BG"/>
              </w:rPr>
            </w:pPr>
            <w:r w:rsidRPr="007375EB">
              <w:rPr>
                <w:lang w:val="bg-BG"/>
              </w:rPr>
              <w:t>Модернизация и реконструкция на улици в община Кирногени, окръг Констанца (предложена)</w:t>
            </w:r>
          </w:p>
        </w:tc>
        <w:tc>
          <w:tcPr>
            <w:tcW w:w="2125" w:type="dxa"/>
            <w:noWrap/>
            <w:vAlign w:val="center"/>
          </w:tcPr>
          <w:p w14:paraId="27E113FF" w14:textId="77777777" w:rsidR="00CF09B3" w:rsidRPr="007375EB" w:rsidRDefault="00CF09B3" w:rsidP="00CF09B3">
            <w:pPr>
              <w:rPr>
                <w:lang w:val="bg-BG"/>
              </w:rPr>
            </w:pPr>
            <w:r w:rsidRPr="007375EB">
              <w:rPr>
                <w:lang w:val="bg-BG"/>
              </w:rPr>
              <w:t>13,62 км</w:t>
            </w:r>
          </w:p>
        </w:tc>
        <w:tc>
          <w:tcPr>
            <w:tcW w:w="482" w:type="dxa"/>
            <w:noWrap/>
            <w:vAlign w:val="center"/>
          </w:tcPr>
          <w:p w14:paraId="00C8E7F8" w14:textId="77777777" w:rsidR="00CF09B3" w:rsidRPr="007375EB" w:rsidRDefault="00CF09B3" w:rsidP="00CF09B3">
            <w:pPr>
              <w:rPr>
                <w:lang w:val="bg-BG"/>
              </w:rPr>
            </w:pPr>
            <w:r w:rsidRPr="007375EB">
              <w:rPr>
                <w:lang w:val="bg-BG"/>
              </w:rPr>
              <w:t>-</w:t>
            </w:r>
          </w:p>
        </w:tc>
        <w:tc>
          <w:tcPr>
            <w:tcW w:w="916" w:type="dxa"/>
            <w:noWrap/>
            <w:vAlign w:val="center"/>
          </w:tcPr>
          <w:p w14:paraId="3677CFC3" w14:textId="77777777" w:rsidR="00CF09B3" w:rsidRPr="007375EB" w:rsidRDefault="00CF09B3" w:rsidP="00CF09B3">
            <w:pPr>
              <w:rPr>
                <w:lang w:val="bg-BG"/>
              </w:rPr>
            </w:pPr>
            <w:r w:rsidRPr="007375EB">
              <w:rPr>
                <w:lang w:val="bg-BG"/>
              </w:rPr>
              <w:t>-</w:t>
            </w:r>
          </w:p>
        </w:tc>
        <w:tc>
          <w:tcPr>
            <w:tcW w:w="916" w:type="dxa"/>
            <w:noWrap/>
            <w:vAlign w:val="center"/>
          </w:tcPr>
          <w:p w14:paraId="2D6A4E4C" w14:textId="77777777" w:rsidR="00CF09B3" w:rsidRPr="007375EB" w:rsidRDefault="00CF09B3" w:rsidP="00CF09B3">
            <w:pPr>
              <w:rPr>
                <w:lang w:val="bg-BG"/>
              </w:rPr>
            </w:pPr>
            <w:r w:rsidRPr="007375EB">
              <w:rPr>
                <w:lang w:val="bg-BG"/>
              </w:rPr>
              <w:t>-</w:t>
            </w:r>
          </w:p>
        </w:tc>
        <w:tc>
          <w:tcPr>
            <w:tcW w:w="810" w:type="dxa"/>
            <w:noWrap/>
            <w:vAlign w:val="center"/>
          </w:tcPr>
          <w:p w14:paraId="624A9279" w14:textId="77777777" w:rsidR="00CF09B3" w:rsidRPr="007375EB" w:rsidRDefault="00CF09B3" w:rsidP="00CF09B3">
            <w:pPr>
              <w:rPr>
                <w:lang w:val="bg-BG"/>
              </w:rPr>
            </w:pPr>
            <w:r w:rsidRPr="007375EB">
              <w:rPr>
                <w:lang w:val="bg-BG"/>
              </w:rPr>
              <w:t>-</w:t>
            </w:r>
          </w:p>
        </w:tc>
        <w:tc>
          <w:tcPr>
            <w:tcW w:w="630" w:type="dxa"/>
            <w:noWrap/>
            <w:vAlign w:val="center"/>
          </w:tcPr>
          <w:p w14:paraId="61E21621" w14:textId="77777777" w:rsidR="00CF09B3" w:rsidRPr="007375EB" w:rsidRDefault="00CF09B3" w:rsidP="00CF09B3">
            <w:pPr>
              <w:rPr>
                <w:lang w:val="bg-BG"/>
              </w:rPr>
            </w:pPr>
            <w:r w:rsidRPr="007375EB">
              <w:rPr>
                <w:lang w:val="bg-BG"/>
              </w:rPr>
              <w:t>-</w:t>
            </w:r>
          </w:p>
        </w:tc>
        <w:tc>
          <w:tcPr>
            <w:tcW w:w="720" w:type="dxa"/>
            <w:noWrap/>
            <w:vAlign w:val="center"/>
          </w:tcPr>
          <w:p w14:paraId="3977D897" w14:textId="77777777" w:rsidR="00CF09B3" w:rsidRPr="007375EB" w:rsidRDefault="00CF09B3" w:rsidP="00CF09B3">
            <w:pPr>
              <w:rPr>
                <w:lang w:val="bg-BG"/>
              </w:rPr>
            </w:pPr>
            <w:r w:rsidRPr="007375EB">
              <w:rPr>
                <w:lang w:val="bg-BG"/>
              </w:rPr>
              <w:t>-</w:t>
            </w:r>
          </w:p>
        </w:tc>
        <w:tc>
          <w:tcPr>
            <w:tcW w:w="720" w:type="dxa"/>
            <w:noWrap/>
            <w:vAlign w:val="center"/>
          </w:tcPr>
          <w:p w14:paraId="45BCE236" w14:textId="77777777" w:rsidR="00CF09B3" w:rsidRPr="007375EB" w:rsidRDefault="00CF09B3" w:rsidP="00CF09B3">
            <w:pPr>
              <w:rPr>
                <w:lang w:val="bg-BG"/>
              </w:rPr>
            </w:pPr>
            <w:r w:rsidRPr="007375EB">
              <w:rPr>
                <w:lang w:val="bg-BG"/>
              </w:rPr>
              <w:t>-</w:t>
            </w:r>
          </w:p>
        </w:tc>
        <w:tc>
          <w:tcPr>
            <w:tcW w:w="540" w:type="dxa"/>
            <w:noWrap/>
            <w:vAlign w:val="center"/>
          </w:tcPr>
          <w:p w14:paraId="7A3F04C9" w14:textId="77777777" w:rsidR="00CF09B3" w:rsidRPr="007375EB" w:rsidRDefault="00CF09B3" w:rsidP="00CF09B3">
            <w:pPr>
              <w:rPr>
                <w:lang w:val="bg-BG"/>
              </w:rPr>
            </w:pPr>
            <w:r w:rsidRPr="007375EB">
              <w:rPr>
                <w:lang w:val="bg-BG"/>
              </w:rPr>
              <w:t>-</w:t>
            </w:r>
          </w:p>
        </w:tc>
        <w:tc>
          <w:tcPr>
            <w:tcW w:w="990" w:type="dxa"/>
            <w:noWrap/>
            <w:vAlign w:val="center"/>
          </w:tcPr>
          <w:p w14:paraId="5EA784AF" w14:textId="77777777" w:rsidR="00CF09B3" w:rsidRPr="007375EB" w:rsidRDefault="00CF09B3" w:rsidP="00CF09B3">
            <w:pPr>
              <w:rPr>
                <w:lang w:val="bg-BG"/>
              </w:rPr>
            </w:pPr>
            <w:r w:rsidRPr="007375EB">
              <w:rPr>
                <w:lang w:val="bg-BG"/>
              </w:rPr>
              <w:t>-</w:t>
            </w:r>
          </w:p>
        </w:tc>
        <w:tc>
          <w:tcPr>
            <w:tcW w:w="499" w:type="dxa"/>
            <w:noWrap/>
            <w:vAlign w:val="center"/>
          </w:tcPr>
          <w:p w14:paraId="5B9A1C8B" w14:textId="77777777" w:rsidR="00CF09B3" w:rsidRPr="007375EB" w:rsidRDefault="00CF09B3" w:rsidP="00CF09B3">
            <w:pPr>
              <w:rPr>
                <w:lang w:val="bg-BG"/>
              </w:rPr>
            </w:pPr>
            <w:r w:rsidRPr="007375EB">
              <w:rPr>
                <w:lang w:val="bg-BG"/>
              </w:rPr>
              <w:t>-</w:t>
            </w:r>
          </w:p>
        </w:tc>
        <w:tc>
          <w:tcPr>
            <w:tcW w:w="507" w:type="dxa"/>
            <w:noWrap/>
            <w:vAlign w:val="center"/>
          </w:tcPr>
          <w:p w14:paraId="4245DAB6" w14:textId="77777777" w:rsidR="00CF09B3" w:rsidRPr="007375EB" w:rsidRDefault="00CF09B3" w:rsidP="00CF09B3">
            <w:pPr>
              <w:rPr>
                <w:lang w:val="bg-BG"/>
              </w:rPr>
            </w:pPr>
            <w:r w:rsidRPr="007375EB">
              <w:rPr>
                <w:lang w:val="bg-BG"/>
              </w:rPr>
              <w:t>-</w:t>
            </w:r>
          </w:p>
        </w:tc>
        <w:tc>
          <w:tcPr>
            <w:tcW w:w="524" w:type="dxa"/>
            <w:noWrap/>
            <w:vAlign w:val="center"/>
          </w:tcPr>
          <w:p w14:paraId="0CE44645" w14:textId="77777777" w:rsidR="00CF09B3" w:rsidRPr="007375EB" w:rsidRDefault="00CF09B3" w:rsidP="00CF09B3">
            <w:pPr>
              <w:rPr>
                <w:lang w:val="bg-BG"/>
              </w:rPr>
            </w:pPr>
            <w:r w:rsidRPr="007375EB">
              <w:rPr>
                <w:lang w:val="bg-BG"/>
              </w:rPr>
              <w:t>-</w:t>
            </w:r>
          </w:p>
        </w:tc>
        <w:tc>
          <w:tcPr>
            <w:tcW w:w="616" w:type="dxa"/>
            <w:noWrap/>
            <w:vAlign w:val="center"/>
          </w:tcPr>
          <w:p w14:paraId="2C6889DA" w14:textId="77777777" w:rsidR="00CF09B3" w:rsidRPr="007375EB" w:rsidRDefault="00CF09B3" w:rsidP="00CF09B3">
            <w:pPr>
              <w:rPr>
                <w:lang w:val="bg-BG"/>
              </w:rPr>
            </w:pPr>
            <w:r w:rsidRPr="007375EB">
              <w:rPr>
                <w:lang w:val="bg-BG"/>
              </w:rPr>
              <w:t>-</w:t>
            </w:r>
          </w:p>
        </w:tc>
        <w:tc>
          <w:tcPr>
            <w:tcW w:w="612" w:type="dxa"/>
            <w:noWrap/>
            <w:vAlign w:val="center"/>
          </w:tcPr>
          <w:p w14:paraId="417D404B" w14:textId="77777777" w:rsidR="00CF09B3" w:rsidRPr="007375EB" w:rsidRDefault="00CF09B3" w:rsidP="00CF09B3">
            <w:pPr>
              <w:rPr>
                <w:lang w:val="bg-BG"/>
              </w:rPr>
            </w:pPr>
            <w:r w:rsidRPr="007375EB">
              <w:rPr>
                <w:lang w:val="bg-BG"/>
              </w:rPr>
              <w:t>-</w:t>
            </w:r>
          </w:p>
        </w:tc>
      </w:tr>
      <w:tr w:rsidR="006C1B17" w:rsidRPr="007375EB" w14:paraId="4420FB7E" w14:textId="77777777" w:rsidTr="006C1B17">
        <w:trPr>
          <w:trHeight w:val="210"/>
        </w:trPr>
        <w:tc>
          <w:tcPr>
            <w:tcW w:w="15417" w:type="dxa"/>
            <w:gridSpan w:val="17"/>
            <w:shd w:val="clear" w:color="auto" w:fill="F2F2F2" w:themeFill="background1" w:themeFillShade="F2"/>
            <w:noWrap/>
            <w:hideMark/>
          </w:tcPr>
          <w:p w14:paraId="2AD18D28" w14:textId="77777777" w:rsidR="006C1B17" w:rsidRPr="007375EB" w:rsidRDefault="006C1B17" w:rsidP="006C1B17">
            <w:pPr>
              <w:rPr>
                <w:b/>
                <w:bCs/>
                <w:lang w:val="bg-BG"/>
              </w:rPr>
            </w:pPr>
            <w:r w:rsidRPr="007375EB">
              <w:rPr>
                <w:b/>
                <w:bCs/>
                <w:lang w:val="bg-BG"/>
              </w:rPr>
              <w:t>BG0000570 Изворово - Краище</w:t>
            </w:r>
          </w:p>
        </w:tc>
      </w:tr>
      <w:tr w:rsidR="00CF09B3" w:rsidRPr="007375EB" w14:paraId="73CDFE74" w14:textId="77777777" w:rsidTr="006C1B17">
        <w:trPr>
          <w:trHeight w:val="1050"/>
        </w:trPr>
        <w:tc>
          <w:tcPr>
            <w:tcW w:w="621" w:type="dxa"/>
            <w:noWrap/>
            <w:hideMark/>
          </w:tcPr>
          <w:p w14:paraId="405CE0F2" w14:textId="77777777" w:rsidR="00CF09B3" w:rsidRPr="007375EB" w:rsidRDefault="00CF09B3" w:rsidP="00CF09B3">
            <w:pPr>
              <w:rPr>
                <w:lang w:val="bg-BG"/>
              </w:rPr>
            </w:pPr>
            <w:r w:rsidRPr="007375EB">
              <w:rPr>
                <w:lang w:val="bg-BG"/>
              </w:rPr>
              <w:t>1</w:t>
            </w:r>
          </w:p>
        </w:tc>
        <w:tc>
          <w:tcPr>
            <w:tcW w:w="3189" w:type="dxa"/>
            <w:hideMark/>
          </w:tcPr>
          <w:p w14:paraId="462E8B64" w14:textId="1F8C6E04" w:rsidR="00CF09B3" w:rsidRPr="007375EB" w:rsidRDefault="00CF09B3" w:rsidP="00CF09B3">
            <w:pPr>
              <w:jc w:val="both"/>
              <w:rPr>
                <w:lang w:val="bg-BG"/>
              </w:rPr>
            </w:pPr>
            <w:r w:rsidRPr="007375EB">
              <w:rPr>
                <w:lang w:val="bg-BG"/>
              </w:rPr>
              <w:t xml:space="preserve">Парк за вятърна енергия 14 CE-92,4 МВт,  трансформаторна станция, електрически свързващи мрежи, изграждане </w:t>
            </w:r>
            <w:r w:rsidRPr="007375EB">
              <w:rPr>
                <w:lang w:val="bg-BG"/>
              </w:rPr>
              <w:lastRenderedPageBreak/>
              <w:t>и модернизиране на комуникации и пътища за достъп - извън село Фънтъна Маре, общ. Индепенденца, окръг Констанца (предложен)</w:t>
            </w:r>
          </w:p>
        </w:tc>
        <w:tc>
          <w:tcPr>
            <w:tcW w:w="2125" w:type="dxa"/>
            <w:noWrap/>
            <w:vAlign w:val="center"/>
            <w:hideMark/>
          </w:tcPr>
          <w:p w14:paraId="02A64F40" w14:textId="77777777" w:rsidR="00CF09B3" w:rsidRPr="007375EB" w:rsidRDefault="00CF09B3" w:rsidP="00CF09B3">
            <w:pPr>
              <w:rPr>
                <w:lang w:val="bg-BG"/>
              </w:rPr>
            </w:pPr>
            <w:r w:rsidRPr="007375EB">
              <w:rPr>
                <w:lang w:val="bg-BG"/>
              </w:rPr>
              <w:lastRenderedPageBreak/>
              <w:t>8,51 км</w:t>
            </w:r>
          </w:p>
        </w:tc>
        <w:tc>
          <w:tcPr>
            <w:tcW w:w="482" w:type="dxa"/>
            <w:noWrap/>
            <w:vAlign w:val="center"/>
            <w:hideMark/>
          </w:tcPr>
          <w:p w14:paraId="413B0E83" w14:textId="77777777" w:rsidR="00CF09B3" w:rsidRPr="007375EB" w:rsidRDefault="00CF09B3" w:rsidP="00CF09B3">
            <w:pPr>
              <w:rPr>
                <w:lang w:val="bg-BG"/>
              </w:rPr>
            </w:pPr>
            <w:r w:rsidRPr="007375EB">
              <w:rPr>
                <w:lang w:val="bg-BG"/>
              </w:rPr>
              <w:t>-</w:t>
            </w:r>
          </w:p>
        </w:tc>
        <w:tc>
          <w:tcPr>
            <w:tcW w:w="916" w:type="dxa"/>
            <w:noWrap/>
            <w:vAlign w:val="center"/>
            <w:hideMark/>
          </w:tcPr>
          <w:p w14:paraId="11A87D47" w14:textId="77777777" w:rsidR="00CF09B3" w:rsidRPr="007375EB" w:rsidRDefault="00CF09B3" w:rsidP="00CF09B3">
            <w:pPr>
              <w:rPr>
                <w:lang w:val="bg-BG"/>
              </w:rPr>
            </w:pPr>
            <w:r w:rsidRPr="007375EB">
              <w:rPr>
                <w:lang w:val="bg-BG"/>
              </w:rPr>
              <w:t>-</w:t>
            </w:r>
          </w:p>
        </w:tc>
        <w:tc>
          <w:tcPr>
            <w:tcW w:w="916" w:type="dxa"/>
            <w:noWrap/>
            <w:vAlign w:val="center"/>
            <w:hideMark/>
          </w:tcPr>
          <w:p w14:paraId="07DAD46E" w14:textId="77777777" w:rsidR="00CF09B3" w:rsidRPr="007375EB" w:rsidRDefault="00CF09B3" w:rsidP="00CF09B3">
            <w:pPr>
              <w:rPr>
                <w:lang w:val="bg-BG"/>
              </w:rPr>
            </w:pPr>
            <w:r w:rsidRPr="007375EB">
              <w:rPr>
                <w:lang w:val="bg-BG"/>
              </w:rPr>
              <w:t>-</w:t>
            </w:r>
          </w:p>
        </w:tc>
        <w:tc>
          <w:tcPr>
            <w:tcW w:w="810" w:type="dxa"/>
            <w:noWrap/>
            <w:vAlign w:val="center"/>
            <w:hideMark/>
          </w:tcPr>
          <w:p w14:paraId="711425F2" w14:textId="77777777" w:rsidR="00CF09B3" w:rsidRPr="007375EB" w:rsidRDefault="00CF09B3" w:rsidP="00CF09B3">
            <w:pPr>
              <w:rPr>
                <w:lang w:val="bg-BG"/>
              </w:rPr>
            </w:pPr>
            <w:r w:rsidRPr="007375EB">
              <w:rPr>
                <w:lang w:val="bg-BG"/>
              </w:rPr>
              <w:t>-</w:t>
            </w:r>
          </w:p>
        </w:tc>
        <w:tc>
          <w:tcPr>
            <w:tcW w:w="630" w:type="dxa"/>
            <w:noWrap/>
            <w:vAlign w:val="center"/>
            <w:hideMark/>
          </w:tcPr>
          <w:p w14:paraId="2D00B8A4" w14:textId="77777777" w:rsidR="00CF09B3" w:rsidRPr="007375EB" w:rsidRDefault="00CF09B3" w:rsidP="00CF09B3">
            <w:pPr>
              <w:rPr>
                <w:lang w:val="bg-BG"/>
              </w:rPr>
            </w:pPr>
            <w:r w:rsidRPr="007375EB">
              <w:rPr>
                <w:lang w:val="bg-BG"/>
              </w:rPr>
              <w:t>-</w:t>
            </w:r>
          </w:p>
        </w:tc>
        <w:tc>
          <w:tcPr>
            <w:tcW w:w="720" w:type="dxa"/>
            <w:noWrap/>
            <w:vAlign w:val="center"/>
            <w:hideMark/>
          </w:tcPr>
          <w:p w14:paraId="0FB82BA5" w14:textId="77777777" w:rsidR="00CF09B3" w:rsidRPr="007375EB" w:rsidRDefault="00CF09B3" w:rsidP="00CF09B3">
            <w:pPr>
              <w:rPr>
                <w:lang w:val="bg-BG"/>
              </w:rPr>
            </w:pPr>
            <w:r w:rsidRPr="007375EB">
              <w:rPr>
                <w:lang w:val="bg-BG"/>
              </w:rPr>
              <w:t>-</w:t>
            </w:r>
          </w:p>
        </w:tc>
        <w:tc>
          <w:tcPr>
            <w:tcW w:w="720" w:type="dxa"/>
            <w:noWrap/>
            <w:vAlign w:val="center"/>
            <w:hideMark/>
          </w:tcPr>
          <w:p w14:paraId="276F1808" w14:textId="77777777" w:rsidR="00CF09B3" w:rsidRPr="007375EB" w:rsidRDefault="00CF09B3" w:rsidP="00CF09B3">
            <w:pPr>
              <w:rPr>
                <w:lang w:val="bg-BG"/>
              </w:rPr>
            </w:pPr>
            <w:r w:rsidRPr="007375EB">
              <w:rPr>
                <w:lang w:val="bg-BG"/>
              </w:rPr>
              <w:t>-</w:t>
            </w:r>
          </w:p>
        </w:tc>
        <w:tc>
          <w:tcPr>
            <w:tcW w:w="540" w:type="dxa"/>
            <w:noWrap/>
            <w:vAlign w:val="center"/>
            <w:hideMark/>
          </w:tcPr>
          <w:p w14:paraId="6BF9C27F" w14:textId="77777777" w:rsidR="00CF09B3" w:rsidRPr="007375EB" w:rsidRDefault="00CF09B3" w:rsidP="00CF09B3">
            <w:pPr>
              <w:rPr>
                <w:lang w:val="bg-BG"/>
              </w:rPr>
            </w:pPr>
            <w:r w:rsidRPr="007375EB">
              <w:rPr>
                <w:lang w:val="bg-BG"/>
              </w:rPr>
              <w:t>X</w:t>
            </w:r>
          </w:p>
        </w:tc>
        <w:tc>
          <w:tcPr>
            <w:tcW w:w="990" w:type="dxa"/>
            <w:noWrap/>
            <w:vAlign w:val="center"/>
            <w:hideMark/>
          </w:tcPr>
          <w:p w14:paraId="67A768F0" w14:textId="77777777" w:rsidR="00CF09B3" w:rsidRPr="007375EB" w:rsidRDefault="00CF09B3" w:rsidP="00CF09B3">
            <w:pPr>
              <w:rPr>
                <w:lang w:val="bg-BG"/>
              </w:rPr>
            </w:pPr>
            <w:r w:rsidRPr="007375EB">
              <w:rPr>
                <w:lang w:val="bg-BG"/>
              </w:rPr>
              <w:t>X</w:t>
            </w:r>
          </w:p>
        </w:tc>
        <w:tc>
          <w:tcPr>
            <w:tcW w:w="499" w:type="dxa"/>
            <w:noWrap/>
            <w:vAlign w:val="center"/>
            <w:hideMark/>
          </w:tcPr>
          <w:p w14:paraId="1C71A11F" w14:textId="77777777" w:rsidR="00CF09B3" w:rsidRPr="007375EB" w:rsidRDefault="00CF09B3" w:rsidP="00CF09B3">
            <w:pPr>
              <w:rPr>
                <w:lang w:val="bg-BG"/>
              </w:rPr>
            </w:pPr>
            <w:r w:rsidRPr="007375EB">
              <w:rPr>
                <w:lang w:val="bg-BG"/>
              </w:rPr>
              <w:t>-</w:t>
            </w:r>
          </w:p>
        </w:tc>
        <w:tc>
          <w:tcPr>
            <w:tcW w:w="507" w:type="dxa"/>
            <w:noWrap/>
            <w:vAlign w:val="center"/>
            <w:hideMark/>
          </w:tcPr>
          <w:p w14:paraId="4E3EE53F" w14:textId="77777777" w:rsidR="00CF09B3" w:rsidRPr="007375EB" w:rsidRDefault="00CF09B3" w:rsidP="00CF09B3">
            <w:pPr>
              <w:rPr>
                <w:lang w:val="bg-BG"/>
              </w:rPr>
            </w:pPr>
            <w:r w:rsidRPr="007375EB">
              <w:rPr>
                <w:lang w:val="bg-BG"/>
              </w:rPr>
              <w:t>X</w:t>
            </w:r>
          </w:p>
        </w:tc>
        <w:tc>
          <w:tcPr>
            <w:tcW w:w="524" w:type="dxa"/>
            <w:noWrap/>
            <w:vAlign w:val="center"/>
            <w:hideMark/>
          </w:tcPr>
          <w:p w14:paraId="5DED8A8F" w14:textId="77777777" w:rsidR="00CF09B3" w:rsidRPr="007375EB" w:rsidRDefault="00CF09B3" w:rsidP="00CF09B3">
            <w:pPr>
              <w:rPr>
                <w:lang w:val="bg-BG"/>
              </w:rPr>
            </w:pPr>
            <w:r w:rsidRPr="007375EB">
              <w:rPr>
                <w:lang w:val="bg-BG"/>
              </w:rPr>
              <w:t>X</w:t>
            </w:r>
          </w:p>
        </w:tc>
        <w:tc>
          <w:tcPr>
            <w:tcW w:w="616" w:type="dxa"/>
            <w:noWrap/>
            <w:vAlign w:val="center"/>
            <w:hideMark/>
          </w:tcPr>
          <w:p w14:paraId="7CE986A2" w14:textId="77777777" w:rsidR="00CF09B3" w:rsidRPr="007375EB" w:rsidRDefault="00CF09B3" w:rsidP="00CF09B3">
            <w:pPr>
              <w:rPr>
                <w:lang w:val="bg-BG"/>
              </w:rPr>
            </w:pPr>
            <w:r w:rsidRPr="007375EB">
              <w:rPr>
                <w:lang w:val="bg-BG"/>
              </w:rPr>
              <w:t>X</w:t>
            </w:r>
          </w:p>
        </w:tc>
        <w:tc>
          <w:tcPr>
            <w:tcW w:w="612" w:type="dxa"/>
            <w:noWrap/>
            <w:vAlign w:val="center"/>
            <w:hideMark/>
          </w:tcPr>
          <w:p w14:paraId="25DEEA44" w14:textId="77777777" w:rsidR="00CF09B3" w:rsidRPr="007375EB" w:rsidRDefault="00CF09B3" w:rsidP="00CF09B3">
            <w:pPr>
              <w:rPr>
                <w:lang w:val="bg-BG"/>
              </w:rPr>
            </w:pPr>
            <w:r w:rsidRPr="007375EB">
              <w:rPr>
                <w:lang w:val="bg-BG"/>
              </w:rPr>
              <w:t>X</w:t>
            </w:r>
          </w:p>
        </w:tc>
      </w:tr>
      <w:tr w:rsidR="00CF09B3" w:rsidRPr="007375EB" w14:paraId="3C256DE8" w14:textId="77777777" w:rsidTr="006C1B17">
        <w:trPr>
          <w:trHeight w:val="1050"/>
        </w:trPr>
        <w:tc>
          <w:tcPr>
            <w:tcW w:w="621" w:type="dxa"/>
            <w:noWrap/>
            <w:hideMark/>
          </w:tcPr>
          <w:p w14:paraId="40A79A7B" w14:textId="77777777" w:rsidR="00CF09B3" w:rsidRPr="007375EB" w:rsidRDefault="00CF09B3" w:rsidP="00CF09B3">
            <w:pPr>
              <w:rPr>
                <w:lang w:val="bg-BG"/>
              </w:rPr>
            </w:pPr>
            <w:r w:rsidRPr="007375EB">
              <w:rPr>
                <w:lang w:val="bg-BG"/>
              </w:rPr>
              <w:t>2</w:t>
            </w:r>
          </w:p>
        </w:tc>
        <w:tc>
          <w:tcPr>
            <w:tcW w:w="3189" w:type="dxa"/>
            <w:hideMark/>
          </w:tcPr>
          <w:p w14:paraId="78DE41B6" w14:textId="6F9CB569" w:rsidR="00CF09B3" w:rsidRPr="007375EB" w:rsidRDefault="00CF09B3" w:rsidP="00CF09B3">
            <w:pPr>
              <w:jc w:val="both"/>
              <w:rPr>
                <w:lang w:val="bg-BG"/>
              </w:rPr>
            </w:pPr>
            <w:r w:rsidRPr="007375EB">
              <w:rPr>
                <w:lang w:val="bg-BG"/>
              </w:rPr>
              <w:t>Парк за вятърна енергия 17 CE-112,2 МВт, трансформаторна станция, електрически свързващи мрежи, изграждане и модернизация на комуникации и пътища за достъп -  извън общината Индепенденца и общината Черкезу окръг Констанца (предложен)</w:t>
            </w:r>
          </w:p>
        </w:tc>
        <w:tc>
          <w:tcPr>
            <w:tcW w:w="2125" w:type="dxa"/>
            <w:noWrap/>
            <w:vAlign w:val="center"/>
            <w:hideMark/>
          </w:tcPr>
          <w:p w14:paraId="018BEBF1" w14:textId="77777777" w:rsidR="00CF09B3" w:rsidRPr="007375EB" w:rsidRDefault="00CF09B3" w:rsidP="00CF09B3">
            <w:pPr>
              <w:rPr>
                <w:lang w:val="bg-BG"/>
              </w:rPr>
            </w:pPr>
            <w:r w:rsidRPr="007375EB">
              <w:rPr>
                <w:lang w:val="bg-BG"/>
              </w:rPr>
              <w:t>1,63 км</w:t>
            </w:r>
          </w:p>
        </w:tc>
        <w:tc>
          <w:tcPr>
            <w:tcW w:w="482" w:type="dxa"/>
            <w:noWrap/>
            <w:vAlign w:val="center"/>
            <w:hideMark/>
          </w:tcPr>
          <w:p w14:paraId="6FE723BC" w14:textId="77777777" w:rsidR="00CF09B3" w:rsidRPr="007375EB" w:rsidRDefault="00CF09B3" w:rsidP="00CF09B3">
            <w:pPr>
              <w:rPr>
                <w:lang w:val="bg-BG"/>
              </w:rPr>
            </w:pPr>
            <w:r w:rsidRPr="007375EB">
              <w:rPr>
                <w:lang w:val="bg-BG"/>
              </w:rPr>
              <w:t>-</w:t>
            </w:r>
          </w:p>
        </w:tc>
        <w:tc>
          <w:tcPr>
            <w:tcW w:w="916" w:type="dxa"/>
            <w:noWrap/>
            <w:vAlign w:val="center"/>
            <w:hideMark/>
          </w:tcPr>
          <w:p w14:paraId="1152E36E" w14:textId="77777777" w:rsidR="00CF09B3" w:rsidRPr="007375EB" w:rsidRDefault="00CF09B3" w:rsidP="00CF09B3">
            <w:pPr>
              <w:rPr>
                <w:lang w:val="bg-BG"/>
              </w:rPr>
            </w:pPr>
            <w:r w:rsidRPr="007375EB">
              <w:rPr>
                <w:lang w:val="bg-BG"/>
              </w:rPr>
              <w:t>-</w:t>
            </w:r>
          </w:p>
        </w:tc>
        <w:tc>
          <w:tcPr>
            <w:tcW w:w="916" w:type="dxa"/>
            <w:noWrap/>
            <w:vAlign w:val="center"/>
            <w:hideMark/>
          </w:tcPr>
          <w:p w14:paraId="33EBA2D7" w14:textId="77777777" w:rsidR="00CF09B3" w:rsidRPr="007375EB" w:rsidRDefault="00CF09B3" w:rsidP="00CF09B3">
            <w:pPr>
              <w:rPr>
                <w:lang w:val="bg-BG"/>
              </w:rPr>
            </w:pPr>
            <w:r w:rsidRPr="007375EB">
              <w:rPr>
                <w:lang w:val="bg-BG"/>
              </w:rPr>
              <w:t>-</w:t>
            </w:r>
          </w:p>
        </w:tc>
        <w:tc>
          <w:tcPr>
            <w:tcW w:w="810" w:type="dxa"/>
            <w:noWrap/>
            <w:vAlign w:val="center"/>
            <w:hideMark/>
          </w:tcPr>
          <w:p w14:paraId="71D2EE90" w14:textId="77777777" w:rsidR="00CF09B3" w:rsidRPr="007375EB" w:rsidRDefault="00CF09B3" w:rsidP="00CF09B3">
            <w:pPr>
              <w:rPr>
                <w:lang w:val="bg-BG"/>
              </w:rPr>
            </w:pPr>
            <w:r w:rsidRPr="007375EB">
              <w:rPr>
                <w:lang w:val="bg-BG"/>
              </w:rPr>
              <w:t>-</w:t>
            </w:r>
          </w:p>
        </w:tc>
        <w:tc>
          <w:tcPr>
            <w:tcW w:w="630" w:type="dxa"/>
            <w:noWrap/>
            <w:vAlign w:val="center"/>
            <w:hideMark/>
          </w:tcPr>
          <w:p w14:paraId="4417100F" w14:textId="77777777" w:rsidR="00CF09B3" w:rsidRPr="007375EB" w:rsidRDefault="00CF09B3" w:rsidP="00CF09B3">
            <w:pPr>
              <w:rPr>
                <w:lang w:val="bg-BG"/>
              </w:rPr>
            </w:pPr>
            <w:r w:rsidRPr="007375EB">
              <w:rPr>
                <w:lang w:val="bg-BG"/>
              </w:rPr>
              <w:t>-</w:t>
            </w:r>
          </w:p>
        </w:tc>
        <w:tc>
          <w:tcPr>
            <w:tcW w:w="720" w:type="dxa"/>
            <w:noWrap/>
            <w:vAlign w:val="center"/>
            <w:hideMark/>
          </w:tcPr>
          <w:p w14:paraId="43CFF221" w14:textId="77777777" w:rsidR="00CF09B3" w:rsidRPr="007375EB" w:rsidRDefault="00CF09B3" w:rsidP="00CF09B3">
            <w:pPr>
              <w:rPr>
                <w:lang w:val="bg-BG"/>
              </w:rPr>
            </w:pPr>
            <w:r w:rsidRPr="007375EB">
              <w:rPr>
                <w:lang w:val="bg-BG"/>
              </w:rPr>
              <w:t>-</w:t>
            </w:r>
          </w:p>
        </w:tc>
        <w:tc>
          <w:tcPr>
            <w:tcW w:w="720" w:type="dxa"/>
            <w:noWrap/>
            <w:vAlign w:val="center"/>
            <w:hideMark/>
          </w:tcPr>
          <w:p w14:paraId="1B88BE4C" w14:textId="77777777" w:rsidR="00CF09B3" w:rsidRPr="007375EB" w:rsidRDefault="00CF09B3" w:rsidP="00CF09B3">
            <w:pPr>
              <w:rPr>
                <w:lang w:val="bg-BG"/>
              </w:rPr>
            </w:pPr>
            <w:r w:rsidRPr="007375EB">
              <w:rPr>
                <w:lang w:val="bg-BG"/>
              </w:rPr>
              <w:t>-</w:t>
            </w:r>
          </w:p>
        </w:tc>
        <w:tc>
          <w:tcPr>
            <w:tcW w:w="540" w:type="dxa"/>
            <w:noWrap/>
            <w:vAlign w:val="center"/>
            <w:hideMark/>
          </w:tcPr>
          <w:p w14:paraId="67F92912" w14:textId="77777777" w:rsidR="00CF09B3" w:rsidRPr="007375EB" w:rsidRDefault="00CF09B3" w:rsidP="00CF09B3">
            <w:pPr>
              <w:rPr>
                <w:lang w:val="bg-BG"/>
              </w:rPr>
            </w:pPr>
            <w:r w:rsidRPr="007375EB">
              <w:rPr>
                <w:lang w:val="bg-BG"/>
              </w:rPr>
              <w:t>X</w:t>
            </w:r>
          </w:p>
        </w:tc>
        <w:tc>
          <w:tcPr>
            <w:tcW w:w="990" w:type="dxa"/>
            <w:noWrap/>
            <w:vAlign w:val="center"/>
            <w:hideMark/>
          </w:tcPr>
          <w:p w14:paraId="5CA991F8" w14:textId="77777777" w:rsidR="00CF09B3" w:rsidRPr="007375EB" w:rsidRDefault="00CF09B3" w:rsidP="00CF09B3">
            <w:pPr>
              <w:rPr>
                <w:lang w:val="bg-BG"/>
              </w:rPr>
            </w:pPr>
            <w:r w:rsidRPr="007375EB">
              <w:rPr>
                <w:lang w:val="bg-BG"/>
              </w:rPr>
              <w:t>X</w:t>
            </w:r>
          </w:p>
        </w:tc>
        <w:tc>
          <w:tcPr>
            <w:tcW w:w="499" w:type="dxa"/>
            <w:noWrap/>
            <w:vAlign w:val="center"/>
            <w:hideMark/>
          </w:tcPr>
          <w:p w14:paraId="7051CFA7" w14:textId="77777777" w:rsidR="00CF09B3" w:rsidRPr="007375EB" w:rsidRDefault="00CF09B3" w:rsidP="00CF09B3">
            <w:pPr>
              <w:rPr>
                <w:lang w:val="bg-BG"/>
              </w:rPr>
            </w:pPr>
            <w:r w:rsidRPr="007375EB">
              <w:rPr>
                <w:lang w:val="bg-BG"/>
              </w:rPr>
              <w:t>-</w:t>
            </w:r>
          </w:p>
        </w:tc>
        <w:tc>
          <w:tcPr>
            <w:tcW w:w="507" w:type="dxa"/>
            <w:noWrap/>
            <w:vAlign w:val="center"/>
            <w:hideMark/>
          </w:tcPr>
          <w:p w14:paraId="0D981D7A" w14:textId="77777777" w:rsidR="00CF09B3" w:rsidRPr="007375EB" w:rsidRDefault="00CF09B3" w:rsidP="00CF09B3">
            <w:pPr>
              <w:rPr>
                <w:lang w:val="bg-BG"/>
              </w:rPr>
            </w:pPr>
            <w:r w:rsidRPr="007375EB">
              <w:rPr>
                <w:lang w:val="bg-BG"/>
              </w:rPr>
              <w:t>X</w:t>
            </w:r>
          </w:p>
        </w:tc>
        <w:tc>
          <w:tcPr>
            <w:tcW w:w="524" w:type="dxa"/>
            <w:noWrap/>
            <w:vAlign w:val="center"/>
            <w:hideMark/>
          </w:tcPr>
          <w:p w14:paraId="1FAF82B3" w14:textId="77777777" w:rsidR="00CF09B3" w:rsidRPr="007375EB" w:rsidRDefault="00CF09B3" w:rsidP="00CF09B3">
            <w:pPr>
              <w:rPr>
                <w:lang w:val="bg-BG"/>
              </w:rPr>
            </w:pPr>
            <w:r w:rsidRPr="007375EB">
              <w:rPr>
                <w:lang w:val="bg-BG"/>
              </w:rPr>
              <w:t>X</w:t>
            </w:r>
          </w:p>
        </w:tc>
        <w:tc>
          <w:tcPr>
            <w:tcW w:w="616" w:type="dxa"/>
            <w:noWrap/>
            <w:vAlign w:val="center"/>
            <w:hideMark/>
          </w:tcPr>
          <w:p w14:paraId="2B35DB67" w14:textId="77777777" w:rsidR="00CF09B3" w:rsidRPr="007375EB" w:rsidRDefault="00CF09B3" w:rsidP="00CF09B3">
            <w:pPr>
              <w:rPr>
                <w:lang w:val="bg-BG"/>
              </w:rPr>
            </w:pPr>
            <w:r w:rsidRPr="007375EB">
              <w:rPr>
                <w:lang w:val="bg-BG"/>
              </w:rPr>
              <w:t>X</w:t>
            </w:r>
          </w:p>
        </w:tc>
        <w:tc>
          <w:tcPr>
            <w:tcW w:w="612" w:type="dxa"/>
            <w:noWrap/>
            <w:vAlign w:val="center"/>
            <w:hideMark/>
          </w:tcPr>
          <w:p w14:paraId="4C2ED81B" w14:textId="77777777" w:rsidR="00CF09B3" w:rsidRPr="007375EB" w:rsidRDefault="00CF09B3" w:rsidP="00CF09B3">
            <w:pPr>
              <w:rPr>
                <w:lang w:val="bg-BG"/>
              </w:rPr>
            </w:pPr>
            <w:r w:rsidRPr="007375EB">
              <w:rPr>
                <w:lang w:val="bg-BG"/>
              </w:rPr>
              <w:t>X</w:t>
            </w:r>
          </w:p>
        </w:tc>
      </w:tr>
      <w:tr w:rsidR="00CF09B3" w:rsidRPr="007375EB" w14:paraId="61B69C67" w14:textId="77777777" w:rsidTr="006C1B17">
        <w:trPr>
          <w:trHeight w:val="420"/>
        </w:trPr>
        <w:tc>
          <w:tcPr>
            <w:tcW w:w="621" w:type="dxa"/>
            <w:noWrap/>
            <w:hideMark/>
          </w:tcPr>
          <w:p w14:paraId="02F63EEB" w14:textId="77777777" w:rsidR="00CF09B3" w:rsidRPr="007375EB" w:rsidRDefault="00CF09B3" w:rsidP="00CF09B3">
            <w:pPr>
              <w:rPr>
                <w:lang w:val="bg-BG"/>
              </w:rPr>
            </w:pPr>
            <w:r w:rsidRPr="007375EB">
              <w:rPr>
                <w:lang w:val="bg-BG"/>
              </w:rPr>
              <w:t>3</w:t>
            </w:r>
          </w:p>
        </w:tc>
        <w:tc>
          <w:tcPr>
            <w:tcW w:w="3189" w:type="dxa"/>
            <w:hideMark/>
          </w:tcPr>
          <w:p w14:paraId="3BD8647C" w14:textId="1606BDB4" w:rsidR="00CF09B3" w:rsidRPr="007375EB" w:rsidRDefault="00CF09B3" w:rsidP="00CF09B3">
            <w:pPr>
              <w:jc w:val="both"/>
              <w:rPr>
                <w:lang w:val="bg-BG"/>
              </w:rPr>
            </w:pPr>
            <w:r w:rsidRPr="007375EB">
              <w:rPr>
                <w:lang w:val="bg-BG"/>
              </w:rPr>
              <w:t>Вятърен парк Комана - Печинеага - трасе за подземен електрически кабел МТ и оптична мрежа (предложена)</w:t>
            </w:r>
          </w:p>
        </w:tc>
        <w:tc>
          <w:tcPr>
            <w:tcW w:w="2125" w:type="dxa"/>
            <w:noWrap/>
            <w:vAlign w:val="center"/>
            <w:hideMark/>
          </w:tcPr>
          <w:p w14:paraId="7793BBD8" w14:textId="77777777" w:rsidR="00CF09B3" w:rsidRPr="007375EB" w:rsidRDefault="00CF09B3" w:rsidP="00CF09B3">
            <w:pPr>
              <w:rPr>
                <w:lang w:val="bg-BG"/>
              </w:rPr>
            </w:pPr>
            <w:r w:rsidRPr="007375EB">
              <w:rPr>
                <w:lang w:val="bg-BG"/>
              </w:rPr>
              <w:t>14,77 км</w:t>
            </w:r>
          </w:p>
        </w:tc>
        <w:tc>
          <w:tcPr>
            <w:tcW w:w="482" w:type="dxa"/>
            <w:noWrap/>
            <w:vAlign w:val="center"/>
            <w:hideMark/>
          </w:tcPr>
          <w:p w14:paraId="799A334B" w14:textId="77777777" w:rsidR="00CF09B3" w:rsidRPr="007375EB" w:rsidRDefault="00CF09B3" w:rsidP="00CF09B3">
            <w:pPr>
              <w:rPr>
                <w:lang w:val="bg-BG"/>
              </w:rPr>
            </w:pPr>
            <w:r w:rsidRPr="007375EB">
              <w:rPr>
                <w:lang w:val="bg-BG"/>
              </w:rPr>
              <w:t>-</w:t>
            </w:r>
          </w:p>
        </w:tc>
        <w:tc>
          <w:tcPr>
            <w:tcW w:w="916" w:type="dxa"/>
            <w:noWrap/>
            <w:vAlign w:val="center"/>
            <w:hideMark/>
          </w:tcPr>
          <w:p w14:paraId="2BAEBEC1" w14:textId="77777777" w:rsidR="00CF09B3" w:rsidRPr="007375EB" w:rsidRDefault="00CF09B3" w:rsidP="00CF09B3">
            <w:pPr>
              <w:rPr>
                <w:lang w:val="bg-BG"/>
              </w:rPr>
            </w:pPr>
            <w:r w:rsidRPr="007375EB">
              <w:rPr>
                <w:lang w:val="bg-BG"/>
              </w:rPr>
              <w:t>-</w:t>
            </w:r>
          </w:p>
        </w:tc>
        <w:tc>
          <w:tcPr>
            <w:tcW w:w="916" w:type="dxa"/>
            <w:noWrap/>
            <w:vAlign w:val="center"/>
            <w:hideMark/>
          </w:tcPr>
          <w:p w14:paraId="69D8CB5A" w14:textId="77777777" w:rsidR="00CF09B3" w:rsidRPr="007375EB" w:rsidRDefault="00CF09B3" w:rsidP="00CF09B3">
            <w:pPr>
              <w:rPr>
                <w:lang w:val="bg-BG"/>
              </w:rPr>
            </w:pPr>
            <w:r w:rsidRPr="007375EB">
              <w:rPr>
                <w:lang w:val="bg-BG"/>
              </w:rPr>
              <w:t>-</w:t>
            </w:r>
          </w:p>
        </w:tc>
        <w:tc>
          <w:tcPr>
            <w:tcW w:w="810" w:type="dxa"/>
            <w:noWrap/>
            <w:vAlign w:val="center"/>
            <w:hideMark/>
          </w:tcPr>
          <w:p w14:paraId="3CFE2259" w14:textId="77777777" w:rsidR="00CF09B3" w:rsidRPr="007375EB" w:rsidRDefault="00CF09B3" w:rsidP="00CF09B3">
            <w:pPr>
              <w:rPr>
                <w:lang w:val="bg-BG"/>
              </w:rPr>
            </w:pPr>
            <w:r w:rsidRPr="007375EB">
              <w:rPr>
                <w:lang w:val="bg-BG"/>
              </w:rPr>
              <w:t>-</w:t>
            </w:r>
          </w:p>
        </w:tc>
        <w:tc>
          <w:tcPr>
            <w:tcW w:w="630" w:type="dxa"/>
            <w:noWrap/>
            <w:vAlign w:val="center"/>
            <w:hideMark/>
          </w:tcPr>
          <w:p w14:paraId="7C788453" w14:textId="77777777" w:rsidR="00CF09B3" w:rsidRPr="007375EB" w:rsidRDefault="00CF09B3" w:rsidP="00CF09B3">
            <w:pPr>
              <w:rPr>
                <w:lang w:val="bg-BG"/>
              </w:rPr>
            </w:pPr>
            <w:r w:rsidRPr="007375EB">
              <w:rPr>
                <w:lang w:val="bg-BG"/>
              </w:rPr>
              <w:t>-</w:t>
            </w:r>
          </w:p>
        </w:tc>
        <w:tc>
          <w:tcPr>
            <w:tcW w:w="720" w:type="dxa"/>
            <w:noWrap/>
            <w:vAlign w:val="center"/>
            <w:hideMark/>
          </w:tcPr>
          <w:p w14:paraId="367955BF" w14:textId="77777777" w:rsidR="00CF09B3" w:rsidRPr="007375EB" w:rsidRDefault="00CF09B3" w:rsidP="00CF09B3">
            <w:pPr>
              <w:rPr>
                <w:lang w:val="bg-BG"/>
              </w:rPr>
            </w:pPr>
            <w:r w:rsidRPr="007375EB">
              <w:rPr>
                <w:lang w:val="bg-BG"/>
              </w:rPr>
              <w:t>-</w:t>
            </w:r>
          </w:p>
        </w:tc>
        <w:tc>
          <w:tcPr>
            <w:tcW w:w="720" w:type="dxa"/>
            <w:noWrap/>
            <w:vAlign w:val="center"/>
            <w:hideMark/>
          </w:tcPr>
          <w:p w14:paraId="67DB41F2" w14:textId="77777777" w:rsidR="00CF09B3" w:rsidRPr="007375EB" w:rsidRDefault="00CF09B3" w:rsidP="00CF09B3">
            <w:pPr>
              <w:rPr>
                <w:lang w:val="bg-BG"/>
              </w:rPr>
            </w:pPr>
            <w:r w:rsidRPr="007375EB">
              <w:rPr>
                <w:lang w:val="bg-BG"/>
              </w:rPr>
              <w:t>-</w:t>
            </w:r>
          </w:p>
        </w:tc>
        <w:tc>
          <w:tcPr>
            <w:tcW w:w="540" w:type="dxa"/>
            <w:noWrap/>
            <w:vAlign w:val="center"/>
            <w:hideMark/>
          </w:tcPr>
          <w:p w14:paraId="617DDEA4" w14:textId="77777777" w:rsidR="00CF09B3" w:rsidRPr="007375EB" w:rsidRDefault="00CF09B3" w:rsidP="00CF09B3">
            <w:pPr>
              <w:rPr>
                <w:lang w:val="bg-BG"/>
              </w:rPr>
            </w:pPr>
            <w:r w:rsidRPr="007375EB">
              <w:rPr>
                <w:lang w:val="bg-BG"/>
              </w:rPr>
              <w:t>X</w:t>
            </w:r>
          </w:p>
        </w:tc>
        <w:tc>
          <w:tcPr>
            <w:tcW w:w="990" w:type="dxa"/>
            <w:noWrap/>
            <w:vAlign w:val="center"/>
            <w:hideMark/>
          </w:tcPr>
          <w:p w14:paraId="34D331D7" w14:textId="77777777" w:rsidR="00CF09B3" w:rsidRPr="007375EB" w:rsidRDefault="00CF09B3" w:rsidP="00CF09B3">
            <w:pPr>
              <w:rPr>
                <w:lang w:val="bg-BG"/>
              </w:rPr>
            </w:pPr>
            <w:r w:rsidRPr="007375EB">
              <w:rPr>
                <w:lang w:val="bg-BG"/>
              </w:rPr>
              <w:t>X</w:t>
            </w:r>
          </w:p>
        </w:tc>
        <w:tc>
          <w:tcPr>
            <w:tcW w:w="499" w:type="dxa"/>
            <w:noWrap/>
            <w:vAlign w:val="center"/>
            <w:hideMark/>
          </w:tcPr>
          <w:p w14:paraId="252BCD0A" w14:textId="77777777" w:rsidR="00CF09B3" w:rsidRPr="007375EB" w:rsidRDefault="00CF09B3" w:rsidP="00CF09B3">
            <w:pPr>
              <w:rPr>
                <w:lang w:val="bg-BG"/>
              </w:rPr>
            </w:pPr>
            <w:r w:rsidRPr="007375EB">
              <w:rPr>
                <w:lang w:val="bg-BG"/>
              </w:rPr>
              <w:t>-</w:t>
            </w:r>
          </w:p>
        </w:tc>
        <w:tc>
          <w:tcPr>
            <w:tcW w:w="507" w:type="dxa"/>
            <w:noWrap/>
            <w:vAlign w:val="center"/>
            <w:hideMark/>
          </w:tcPr>
          <w:p w14:paraId="1C65BA7F" w14:textId="77777777" w:rsidR="00CF09B3" w:rsidRPr="007375EB" w:rsidRDefault="00CF09B3" w:rsidP="00CF09B3">
            <w:pPr>
              <w:rPr>
                <w:lang w:val="bg-BG"/>
              </w:rPr>
            </w:pPr>
            <w:r w:rsidRPr="007375EB">
              <w:rPr>
                <w:lang w:val="bg-BG"/>
              </w:rPr>
              <w:t>X</w:t>
            </w:r>
          </w:p>
        </w:tc>
        <w:tc>
          <w:tcPr>
            <w:tcW w:w="524" w:type="dxa"/>
            <w:noWrap/>
            <w:vAlign w:val="center"/>
            <w:hideMark/>
          </w:tcPr>
          <w:p w14:paraId="05B06704" w14:textId="77777777" w:rsidR="00CF09B3" w:rsidRPr="007375EB" w:rsidRDefault="00CF09B3" w:rsidP="00CF09B3">
            <w:pPr>
              <w:rPr>
                <w:lang w:val="bg-BG"/>
              </w:rPr>
            </w:pPr>
            <w:r w:rsidRPr="007375EB">
              <w:rPr>
                <w:lang w:val="bg-BG"/>
              </w:rPr>
              <w:t>X</w:t>
            </w:r>
          </w:p>
        </w:tc>
        <w:tc>
          <w:tcPr>
            <w:tcW w:w="616" w:type="dxa"/>
            <w:noWrap/>
            <w:vAlign w:val="center"/>
            <w:hideMark/>
          </w:tcPr>
          <w:p w14:paraId="5B6CC5DD" w14:textId="77777777" w:rsidR="00CF09B3" w:rsidRPr="007375EB" w:rsidRDefault="00CF09B3" w:rsidP="00CF09B3">
            <w:pPr>
              <w:rPr>
                <w:lang w:val="bg-BG"/>
              </w:rPr>
            </w:pPr>
            <w:r w:rsidRPr="007375EB">
              <w:rPr>
                <w:lang w:val="bg-BG"/>
              </w:rPr>
              <w:t>X</w:t>
            </w:r>
          </w:p>
        </w:tc>
        <w:tc>
          <w:tcPr>
            <w:tcW w:w="612" w:type="dxa"/>
            <w:noWrap/>
            <w:vAlign w:val="center"/>
            <w:hideMark/>
          </w:tcPr>
          <w:p w14:paraId="76EF9F13" w14:textId="77777777" w:rsidR="00CF09B3" w:rsidRPr="007375EB" w:rsidRDefault="00CF09B3" w:rsidP="00CF09B3">
            <w:pPr>
              <w:rPr>
                <w:lang w:val="bg-BG"/>
              </w:rPr>
            </w:pPr>
            <w:r w:rsidRPr="007375EB">
              <w:rPr>
                <w:lang w:val="bg-BG"/>
              </w:rPr>
              <w:t>X</w:t>
            </w:r>
          </w:p>
        </w:tc>
      </w:tr>
      <w:tr w:rsidR="00CF09B3" w:rsidRPr="007375EB" w14:paraId="2E65A848" w14:textId="77777777" w:rsidTr="006C1B17">
        <w:trPr>
          <w:trHeight w:val="420"/>
        </w:trPr>
        <w:tc>
          <w:tcPr>
            <w:tcW w:w="621" w:type="dxa"/>
            <w:noWrap/>
            <w:hideMark/>
          </w:tcPr>
          <w:p w14:paraId="359B090A" w14:textId="77777777" w:rsidR="00CF09B3" w:rsidRPr="007375EB" w:rsidRDefault="00CF09B3" w:rsidP="00CF09B3">
            <w:pPr>
              <w:rPr>
                <w:lang w:val="bg-BG"/>
              </w:rPr>
            </w:pPr>
            <w:r w:rsidRPr="007375EB">
              <w:rPr>
                <w:lang w:val="bg-BG"/>
              </w:rPr>
              <w:t>4</w:t>
            </w:r>
          </w:p>
        </w:tc>
        <w:tc>
          <w:tcPr>
            <w:tcW w:w="3189" w:type="dxa"/>
            <w:hideMark/>
          </w:tcPr>
          <w:p w14:paraId="17B69482" w14:textId="22A2A674" w:rsidR="00CF09B3" w:rsidRPr="007375EB" w:rsidRDefault="00CF09B3" w:rsidP="00CF09B3">
            <w:pPr>
              <w:jc w:val="both"/>
              <w:rPr>
                <w:lang w:val="bg-BG"/>
              </w:rPr>
            </w:pPr>
            <w:r w:rsidRPr="007375EB">
              <w:rPr>
                <w:lang w:val="bg-BG"/>
              </w:rPr>
              <w:t xml:space="preserve">Изграждане на вятърна електроцентрала, включваща: </w:t>
            </w:r>
            <w:r w:rsidRPr="007375EB">
              <w:rPr>
                <w:lang w:val="bg-BG"/>
              </w:rPr>
              <w:lastRenderedPageBreak/>
              <w:t>вятърни турбини, пътища за достъп и платформи за монтаж/поддръжка, електрическа трансформаторна станция (собствена), електрическа мрежа средно и високо напрежение, телекомуникационна мрежа, ком. Индепенденца, окръг Констанца (предложен)</w:t>
            </w:r>
          </w:p>
        </w:tc>
        <w:tc>
          <w:tcPr>
            <w:tcW w:w="2125" w:type="dxa"/>
            <w:noWrap/>
            <w:vAlign w:val="center"/>
            <w:hideMark/>
          </w:tcPr>
          <w:p w14:paraId="526C0AD4" w14:textId="77777777" w:rsidR="00CF09B3" w:rsidRPr="007375EB" w:rsidRDefault="00CF09B3" w:rsidP="00CF09B3">
            <w:pPr>
              <w:rPr>
                <w:lang w:val="bg-BG"/>
              </w:rPr>
            </w:pPr>
            <w:r w:rsidRPr="007375EB">
              <w:rPr>
                <w:lang w:val="bg-BG"/>
              </w:rPr>
              <w:lastRenderedPageBreak/>
              <w:t>10,55 км</w:t>
            </w:r>
          </w:p>
        </w:tc>
        <w:tc>
          <w:tcPr>
            <w:tcW w:w="482" w:type="dxa"/>
            <w:noWrap/>
            <w:vAlign w:val="center"/>
            <w:hideMark/>
          </w:tcPr>
          <w:p w14:paraId="15E84B6C" w14:textId="77777777" w:rsidR="00CF09B3" w:rsidRPr="007375EB" w:rsidRDefault="00CF09B3" w:rsidP="00CF09B3">
            <w:pPr>
              <w:rPr>
                <w:lang w:val="bg-BG"/>
              </w:rPr>
            </w:pPr>
            <w:r w:rsidRPr="007375EB">
              <w:rPr>
                <w:lang w:val="bg-BG"/>
              </w:rPr>
              <w:t>-</w:t>
            </w:r>
          </w:p>
        </w:tc>
        <w:tc>
          <w:tcPr>
            <w:tcW w:w="916" w:type="dxa"/>
            <w:noWrap/>
            <w:vAlign w:val="center"/>
            <w:hideMark/>
          </w:tcPr>
          <w:p w14:paraId="0BA23100" w14:textId="77777777" w:rsidR="00CF09B3" w:rsidRPr="007375EB" w:rsidRDefault="00CF09B3" w:rsidP="00CF09B3">
            <w:pPr>
              <w:rPr>
                <w:lang w:val="bg-BG"/>
              </w:rPr>
            </w:pPr>
            <w:r w:rsidRPr="007375EB">
              <w:rPr>
                <w:lang w:val="bg-BG"/>
              </w:rPr>
              <w:t>-</w:t>
            </w:r>
          </w:p>
        </w:tc>
        <w:tc>
          <w:tcPr>
            <w:tcW w:w="916" w:type="dxa"/>
            <w:noWrap/>
            <w:vAlign w:val="center"/>
            <w:hideMark/>
          </w:tcPr>
          <w:p w14:paraId="683E7A68" w14:textId="77777777" w:rsidR="00CF09B3" w:rsidRPr="007375EB" w:rsidRDefault="00CF09B3" w:rsidP="00CF09B3">
            <w:pPr>
              <w:rPr>
                <w:lang w:val="bg-BG"/>
              </w:rPr>
            </w:pPr>
            <w:r w:rsidRPr="007375EB">
              <w:rPr>
                <w:lang w:val="bg-BG"/>
              </w:rPr>
              <w:t>-</w:t>
            </w:r>
          </w:p>
        </w:tc>
        <w:tc>
          <w:tcPr>
            <w:tcW w:w="810" w:type="dxa"/>
            <w:noWrap/>
            <w:vAlign w:val="center"/>
            <w:hideMark/>
          </w:tcPr>
          <w:p w14:paraId="3FEAC478" w14:textId="77777777" w:rsidR="00CF09B3" w:rsidRPr="007375EB" w:rsidRDefault="00CF09B3" w:rsidP="00CF09B3">
            <w:pPr>
              <w:rPr>
                <w:lang w:val="bg-BG"/>
              </w:rPr>
            </w:pPr>
            <w:r w:rsidRPr="007375EB">
              <w:rPr>
                <w:lang w:val="bg-BG"/>
              </w:rPr>
              <w:t>-</w:t>
            </w:r>
          </w:p>
        </w:tc>
        <w:tc>
          <w:tcPr>
            <w:tcW w:w="630" w:type="dxa"/>
            <w:noWrap/>
            <w:vAlign w:val="center"/>
            <w:hideMark/>
          </w:tcPr>
          <w:p w14:paraId="2C7FFD85" w14:textId="77777777" w:rsidR="00CF09B3" w:rsidRPr="007375EB" w:rsidRDefault="00CF09B3" w:rsidP="00CF09B3">
            <w:pPr>
              <w:rPr>
                <w:lang w:val="bg-BG"/>
              </w:rPr>
            </w:pPr>
            <w:r w:rsidRPr="007375EB">
              <w:rPr>
                <w:lang w:val="bg-BG"/>
              </w:rPr>
              <w:t>-</w:t>
            </w:r>
          </w:p>
        </w:tc>
        <w:tc>
          <w:tcPr>
            <w:tcW w:w="720" w:type="dxa"/>
            <w:noWrap/>
            <w:vAlign w:val="center"/>
            <w:hideMark/>
          </w:tcPr>
          <w:p w14:paraId="452DAD8F" w14:textId="77777777" w:rsidR="00CF09B3" w:rsidRPr="007375EB" w:rsidRDefault="00CF09B3" w:rsidP="00CF09B3">
            <w:pPr>
              <w:rPr>
                <w:lang w:val="bg-BG"/>
              </w:rPr>
            </w:pPr>
            <w:r w:rsidRPr="007375EB">
              <w:rPr>
                <w:lang w:val="bg-BG"/>
              </w:rPr>
              <w:t>-</w:t>
            </w:r>
          </w:p>
        </w:tc>
        <w:tc>
          <w:tcPr>
            <w:tcW w:w="720" w:type="dxa"/>
            <w:noWrap/>
            <w:vAlign w:val="center"/>
            <w:hideMark/>
          </w:tcPr>
          <w:p w14:paraId="0468236A" w14:textId="77777777" w:rsidR="00CF09B3" w:rsidRPr="007375EB" w:rsidRDefault="00CF09B3" w:rsidP="00CF09B3">
            <w:pPr>
              <w:rPr>
                <w:lang w:val="bg-BG"/>
              </w:rPr>
            </w:pPr>
            <w:r w:rsidRPr="007375EB">
              <w:rPr>
                <w:lang w:val="bg-BG"/>
              </w:rPr>
              <w:t>-</w:t>
            </w:r>
          </w:p>
        </w:tc>
        <w:tc>
          <w:tcPr>
            <w:tcW w:w="540" w:type="dxa"/>
            <w:noWrap/>
            <w:vAlign w:val="center"/>
            <w:hideMark/>
          </w:tcPr>
          <w:p w14:paraId="2A235288" w14:textId="77777777" w:rsidR="00CF09B3" w:rsidRPr="007375EB" w:rsidRDefault="00CF09B3" w:rsidP="00CF09B3">
            <w:pPr>
              <w:rPr>
                <w:lang w:val="bg-BG"/>
              </w:rPr>
            </w:pPr>
            <w:r w:rsidRPr="007375EB">
              <w:rPr>
                <w:lang w:val="bg-BG"/>
              </w:rPr>
              <w:t>X</w:t>
            </w:r>
          </w:p>
        </w:tc>
        <w:tc>
          <w:tcPr>
            <w:tcW w:w="990" w:type="dxa"/>
            <w:noWrap/>
            <w:vAlign w:val="center"/>
            <w:hideMark/>
          </w:tcPr>
          <w:p w14:paraId="2821E7A6" w14:textId="77777777" w:rsidR="00CF09B3" w:rsidRPr="007375EB" w:rsidRDefault="00CF09B3" w:rsidP="00CF09B3">
            <w:pPr>
              <w:rPr>
                <w:lang w:val="bg-BG"/>
              </w:rPr>
            </w:pPr>
            <w:r w:rsidRPr="007375EB">
              <w:rPr>
                <w:lang w:val="bg-BG"/>
              </w:rPr>
              <w:t>X</w:t>
            </w:r>
          </w:p>
        </w:tc>
        <w:tc>
          <w:tcPr>
            <w:tcW w:w="499" w:type="dxa"/>
            <w:noWrap/>
            <w:vAlign w:val="center"/>
            <w:hideMark/>
          </w:tcPr>
          <w:p w14:paraId="37C0A6A5" w14:textId="77777777" w:rsidR="00CF09B3" w:rsidRPr="007375EB" w:rsidRDefault="00CF09B3" w:rsidP="00CF09B3">
            <w:pPr>
              <w:rPr>
                <w:lang w:val="bg-BG"/>
              </w:rPr>
            </w:pPr>
            <w:r w:rsidRPr="007375EB">
              <w:rPr>
                <w:lang w:val="bg-BG"/>
              </w:rPr>
              <w:t>-</w:t>
            </w:r>
          </w:p>
        </w:tc>
        <w:tc>
          <w:tcPr>
            <w:tcW w:w="507" w:type="dxa"/>
            <w:noWrap/>
            <w:vAlign w:val="center"/>
            <w:hideMark/>
          </w:tcPr>
          <w:p w14:paraId="74C5CB86" w14:textId="77777777" w:rsidR="00CF09B3" w:rsidRPr="007375EB" w:rsidRDefault="00CF09B3" w:rsidP="00CF09B3">
            <w:pPr>
              <w:rPr>
                <w:lang w:val="bg-BG"/>
              </w:rPr>
            </w:pPr>
            <w:r w:rsidRPr="007375EB">
              <w:rPr>
                <w:lang w:val="bg-BG"/>
              </w:rPr>
              <w:t>X</w:t>
            </w:r>
          </w:p>
        </w:tc>
        <w:tc>
          <w:tcPr>
            <w:tcW w:w="524" w:type="dxa"/>
            <w:noWrap/>
            <w:vAlign w:val="center"/>
            <w:hideMark/>
          </w:tcPr>
          <w:p w14:paraId="631DCDBC" w14:textId="77777777" w:rsidR="00CF09B3" w:rsidRPr="007375EB" w:rsidRDefault="00CF09B3" w:rsidP="00CF09B3">
            <w:pPr>
              <w:rPr>
                <w:lang w:val="bg-BG"/>
              </w:rPr>
            </w:pPr>
            <w:r w:rsidRPr="007375EB">
              <w:rPr>
                <w:lang w:val="bg-BG"/>
              </w:rPr>
              <w:t>X</w:t>
            </w:r>
          </w:p>
        </w:tc>
        <w:tc>
          <w:tcPr>
            <w:tcW w:w="616" w:type="dxa"/>
            <w:noWrap/>
            <w:vAlign w:val="center"/>
            <w:hideMark/>
          </w:tcPr>
          <w:p w14:paraId="096AA175" w14:textId="77777777" w:rsidR="00CF09B3" w:rsidRPr="007375EB" w:rsidRDefault="00CF09B3" w:rsidP="00CF09B3">
            <w:pPr>
              <w:rPr>
                <w:lang w:val="bg-BG"/>
              </w:rPr>
            </w:pPr>
            <w:r w:rsidRPr="007375EB">
              <w:rPr>
                <w:lang w:val="bg-BG"/>
              </w:rPr>
              <w:t>X</w:t>
            </w:r>
          </w:p>
        </w:tc>
        <w:tc>
          <w:tcPr>
            <w:tcW w:w="612" w:type="dxa"/>
            <w:noWrap/>
            <w:vAlign w:val="center"/>
            <w:hideMark/>
          </w:tcPr>
          <w:p w14:paraId="5AC0B827" w14:textId="77777777" w:rsidR="00CF09B3" w:rsidRPr="007375EB" w:rsidRDefault="00CF09B3" w:rsidP="00CF09B3">
            <w:pPr>
              <w:rPr>
                <w:lang w:val="bg-BG"/>
              </w:rPr>
            </w:pPr>
            <w:r w:rsidRPr="007375EB">
              <w:rPr>
                <w:lang w:val="bg-BG"/>
              </w:rPr>
              <w:t>X</w:t>
            </w:r>
          </w:p>
        </w:tc>
      </w:tr>
      <w:tr w:rsidR="00CF09B3" w:rsidRPr="007375EB" w14:paraId="1D0B8B90" w14:textId="77777777" w:rsidTr="006C1B17">
        <w:trPr>
          <w:trHeight w:val="210"/>
        </w:trPr>
        <w:tc>
          <w:tcPr>
            <w:tcW w:w="621" w:type="dxa"/>
            <w:noWrap/>
            <w:hideMark/>
          </w:tcPr>
          <w:p w14:paraId="0CF58C27" w14:textId="77777777" w:rsidR="00CF09B3" w:rsidRPr="007375EB" w:rsidRDefault="00CF09B3" w:rsidP="00CF09B3">
            <w:pPr>
              <w:rPr>
                <w:lang w:val="bg-BG"/>
              </w:rPr>
            </w:pPr>
            <w:r w:rsidRPr="007375EB">
              <w:rPr>
                <w:lang w:val="bg-BG"/>
              </w:rPr>
              <w:t>5</w:t>
            </w:r>
          </w:p>
        </w:tc>
        <w:tc>
          <w:tcPr>
            <w:tcW w:w="3189" w:type="dxa"/>
            <w:noWrap/>
            <w:hideMark/>
          </w:tcPr>
          <w:p w14:paraId="430E7E46" w14:textId="0FA5B137" w:rsidR="00CF09B3" w:rsidRPr="007375EB" w:rsidRDefault="00CF09B3" w:rsidP="00CF09B3">
            <w:pPr>
              <w:jc w:val="both"/>
              <w:rPr>
                <w:lang w:val="bg-BG"/>
              </w:rPr>
            </w:pPr>
            <w:r w:rsidRPr="007375EB">
              <w:rPr>
                <w:lang w:val="bg-BG"/>
              </w:rPr>
              <w:t xml:space="preserve">Събаряне на съществуващи сгради и изграждане на фотоволтаична електроцентрала с мощност 3,212 МВт, свързване към SEN, инсталиране на PC и PTAB, вътрешен път и достъп, ограждане на терена и организация на строителната </w:t>
            </w:r>
            <w:r w:rsidRPr="007375EB">
              <w:rPr>
                <w:lang w:val="bg-BG"/>
              </w:rPr>
              <w:lastRenderedPageBreak/>
              <w:t>площадка в Индепенденца (предложена)</w:t>
            </w:r>
          </w:p>
        </w:tc>
        <w:tc>
          <w:tcPr>
            <w:tcW w:w="2125" w:type="dxa"/>
            <w:noWrap/>
            <w:vAlign w:val="center"/>
            <w:hideMark/>
          </w:tcPr>
          <w:p w14:paraId="1E0F0F8F" w14:textId="77777777" w:rsidR="00CF09B3" w:rsidRPr="007375EB" w:rsidRDefault="00CF09B3" w:rsidP="00CF09B3">
            <w:pPr>
              <w:rPr>
                <w:lang w:val="bg-BG"/>
              </w:rPr>
            </w:pPr>
            <w:r w:rsidRPr="007375EB">
              <w:rPr>
                <w:lang w:val="bg-BG"/>
              </w:rPr>
              <w:lastRenderedPageBreak/>
              <w:t>10,73 км</w:t>
            </w:r>
          </w:p>
        </w:tc>
        <w:tc>
          <w:tcPr>
            <w:tcW w:w="482" w:type="dxa"/>
            <w:noWrap/>
            <w:vAlign w:val="center"/>
            <w:hideMark/>
          </w:tcPr>
          <w:p w14:paraId="42D4A968" w14:textId="77777777" w:rsidR="00CF09B3" w:rsidRPr="007375EB" w:rsidRDefault="00CF09B3" w:rsidP="00CF09B3">
            <w:pPr>
              <w:rPr>
                <w:lang w:val="bg-BG"/>
              </w:rPr>
            </w:pPr>
            <w:r w:rsidRPr="007375EB">
              <w:rPr>
                <w:lang w:val="bg-BG"/>
              </w:rPr>
              <w:t>-</w:t>
            </w:r>
          </w:p>
        </w:tc>
        <w:tc>
          <w:tcPr>
            <w:tcW w:w="916" w:type="dxa"/>
            <w:noWrap/>
            <w:vAlign w:val="center"/>
            <w:hideMark/>
          </w:tcPr>
          <w:p w14:paraId="7373C70E" w14:textId="77777777" w:rsidR="00CF09B3" w:rsidRPr="007375EB" w:rsidRDefault="00CF09B3" w:rsidP="00CF09B3">
            <w:pPr>
              <w:rPr>
                <w:lang w:val="bg-BG"/>
              </w:rPr>
            </w:pPr>
            <w:r w:rsidRPr="007375EB">
              <w:rPr>
                <w:lang w:val="bg-BG"/>
              </w:rPr>
              <w:t>-</w:t>
            </w:r>
          </w:p>
        </w:tc>
        <w:tc>
          <w:tcPr>
            <w:tcW w:w="916" w:type="dxa"/>
            <w:noWrap/>
            <w:vAlign w:val="center"/>
            <w:hideMark/>
          </w:tcPr>
          <w:p w14:paraId="3BA860D8" w14:textId="77777777" w:rsidR="00CF09B3" w:rsidRPr="007375EB" w:rsidRDefault="00CF09B3" w:rsidP="00CF09B3">
            <w:pPr>
              <w:rPr>
                <w:lang w:val="bg-BG"/>
              </w:rPr>
            </w:pPr>
            <w:r w:rsidRPr="007375EB">
              <w:rPr>
                <w:lang w:val="bg-BG"/>
              </w:rPr>
              <w:t>-</w:t>
            </w:r>
          </w:p>
        </w:tc>
        <w:tc>
          <w:tcPr>
            <w:tcW w:w="810" w:type="dxa"/>
            <w:noWrap/>
            <w:vAlign w:val="center"/>
            <w:hideMark/>
          </w:tcPr>
          <w:p w14:paraId="45980294" w14:textId="77777777" w:rsidR="00CF09B3" w:rsidRPr="007375EB" w:rsidRDefault="00CF09B3" w:rsidP="00CF09B3">
            <w:pPr>
              <w:rPr>
                <w:lang w:val="bg-BG"/>
              </w:rPr>
            </w:pPr>
            <w:r w:rsidRPr="007375EB">
              <w:rPr>
                <w:lang w:val="bg-BG"/>
              </w:rPr>
              <w:t>-</w:t>
            </w:r>
          </w:p>
        </w:tc>
        <w:tc>
          <w:tcPr>
            <w:tcW w:w="630" w:type="dxa"/>
            <w:noWrap/>
            <w:vAlign w:val="center"/>
            <w:hideMark/>
          </w:tcPr>
          <w:p w14:paraId="73A7C5DF" w14:textId="77777777" w:rsidR="00CF09B3" w:rsidRPr="007375EB" w:rsidRDefault="00CF09B3" w:rsidP="00CF09B3">
            <w:pPr>
              <w:rPr>
                <w:lang w:val="bg-BG"/>
              </w:rPr>
            </w:pPr>
            <w:r w:rsidRPr="007375EB">
              <w:rPr>
                <w:lang w:val="bg-BG"/>
              </w:rPr>
              <w:t>-</w:t>
            </w:r>
          </w:p>
        </w:tc>
        <w:tc>
          <w:tcPr>
            <w:tcW w:w="720" w:type="dxa"/>
            <w:noWrap/>
            <w:vAlign w:val="center"/>
            <w:hideMark/>
          </w:tcPr>
          <w:p w14:paraId="065F019D" w14:textId="77777777" w:rsidR="00CF09B3" w:rsidRPr="007375EB" w:rsidRDefault="00CF09B3" w:rsidP="00CF09B3">
            <w:pPr>
              <w:rPr>
                <w:lang w:val="bg-BG"/>
              </w:rPr>
            </w:pPr>
            <w:r w:rsidRPr="007375EB">
              <w:rPr>
                <w:lang w:val="bg-BG"/>
              </w:rPr>
              <w:t>-</w:t>
            </w:r>
          </w:p>
        </w:tc>
        <w:tc>
          <w:tcPr>
            <w:tcW w:w="720" w:type="dxa"/>
            <w:noWrap/>
            <w:vAlign w:val="center"/>
            <w:hideMark/>
          </w:tcPr>
          <w:p w14:paraId="05CD926B" w14:textId="77777777" w:rsidR="00CF09B3" w:rsidRPr="007375EB" w:rsidRDefault="00CF09B3" w:rsidP="00CF09B3">
            <w:pPr>
              <w:rPr>
                <w:lang w:val="bg-BG"/>
              </w:rPr>
            </w:pPr>
            <w:r w:rsidRPr="007375EB">
              <w:rPr>
                <w:lang w:val="bg-BG"/>
              </w:rPr>
              <w:t>-</w:t>
            </w:r>
          </w:p>
        </w:tc>
        <w:tc>
          <w:tcPr>
            <w:tcW w:w="540" w:type="dxa"/>
            <w:noWrap/>
            <w:vAlign w:val="center"/>
            <w:hideMark/>
          </w:tcPr>
          <w:p w14:paraId="3A76D70E" w14:textId="77777777" w:rsidR="00CF09B3" w:rsidRPr="007375EB" w:rsidRDefault="00CF09B3" w:rsidP="00CF09B3">
            <w:pPr>
              <w:rPr>
                <w:lang w:val="bg-BG"/>
              </w:rPr>
            </w:pPr>
            <w:r w:rsidRPr="007375EB">
              <w:rPr>
                <w:lang w:val="bg-BG"/>
              </w:rPr>
              <w:t>-</w:t>
            </w:r>
          </w:p>
        </w:tc>
        <w:tc>
          <w:tcPr>
            <w:tcW w:w="990" w:type="dxa"/>
            <w:noWrap/>
            <w:vAlign w:val="center"/>
            <w:hideMark/>
          </w:tcPr>
          <w:p w14:paraId="7C251929" w14:textId="77777777" w:rsidR="00CF09B3" w:rsidRPr="007375EB" w:rsidRDefault="00CF09B3" w:rsidP="00CF09B3">
            <w:pPr>
              <w:rPr>
                <w:lang w:val="bg-BG"/>
              </w:rPr>
            </w:pPr>
            <w:r w:rsidRPr="007375EB">
              <w:rPr>
                <w:lang w:val="bg-BG"/>
              </w:rPr>
              <w:t>-</w:t>
            </w:r>
          </w:p>
        </w:tc>
        <w:tc>
          <w:tcPr>
            <w:tcW w:w="499" w:type="dxa"/>
            <w:noWrap/>
            <w:vAlign w:val="center"/>
            <w:hideMark/>
          </w:tcPr>
          <w:p w14:paraId="36433B5F" w14:textId="77777777" w:rsidR="00CF09B3" w:rsidRPr="007375EB" w:rsidRDefault="00CF09B3" w:rsidP="00CF09B3">
            <w:pPr>
              <w:rPr>
                <w:lang w:val="bg-BG"/>
              </w:rPr>
            </w:pPr>
            <w:r w:rsidRPr="007375EB">
              <w:rPr>
                <w:lang w:val="bg-BG"/>
              </w:rPr>
              <w:t>-</w:t>
            </w:r>
          </w:p>
        </w:tc>
        <w:tc>
          <w:tcPr>
            <w:tcW w:w="507" w:type="dxa"/>
            <w:noWrap/>
            <w:vAlign w:val="center"/>
            <w:hideMark/>
          </w:tcPr>
          <w:p w14:paraId="4C49808E" w14:textId="77777777" w:rsidR="00CF09B3" w:rsidRPr="007375EB" w:rsidRDefault="00CF09B3" w:rsidP="00CF09B3">
            <w:pPr>
              <w:rPr>
                <w:lang w:val="bg-BG"/>
              </w:rPr>
            </w:pPr>
            <w:r w:rsidRPr="007375EB">
              <w:rPr>
                <w:lang w:val="bg-BG"/>
              </w:rPr>
              <w:t>-</w:t>
            </w:r>
          </w:p>
        </w:tc>
        <w:tc>
          <w:tcPr>
            <w:tcW w:w="524" w:type="dxa"/>
            <w:noWrap/>
            <w:vAlign w:val="center"/>
            <w:hideMark/>
          </w:tcPr>
          <w:p w14:paraId="3AD5A7A5" w14:textId="77777777" w:rsidR="00CF09B3" w:rsidRPr="007375EB" w:rsidRDefault="00CF09B3" w:rsidP="00CF09B3">
            <w:pPr>
              <w:rPr>
                <w:lang w:val="bg-BG"/>
              </w:rPr>
            </w:pPr>
            <w:r w:rsidRPr="007375EB">
              <w:rPr>
                <w:lang w:val="bg-BG"/>
              </w:rPr>
              <w:t>-</w:t>
            </w:r>
          </w:p>
        </w:tc>
        <w:tc>
          <w:tcPr>
            <w:tcW w:w="616" w:type="dxa"/>
            <w:noWrap/>
            <w:vAlign w:val="center"/>
            <w:hideMark/>
          </w:tcPr>
          <w:p w14:paraId="318D3989" w14:textId="77777777" w:rsidR="00CF09B3" w:rsidRPr="007375EB" w:rsidRDefault="00CF09B3" w:rsidP="00CF09B3">
            <w:pPr>
              <w:rPr>
                <w:lang w:val="bg-BG"/>
              </w:rPr>
            </w:pPr>
            <w:r w:rsidRPr="007375EB">
              <w:rPr>
                <w:lang w:val="bg-BG"/>
              </w:rPr>
              <w:t>-</w:t>
            </w:r>
          </w:p>
        </w:tc>
        <w:tc>
          <w:tcPr>
            <w:tcW w:w="612" w:type="dxa"/>
            <w:noWrap/>
            <w:vAlign w:val="center"/>
            <w:hideMark/>
          </w:tcPr>
          <w:p w14:paraId="11E51962" w14:textId="77777777" w:rsidR="00CF09B3" w:rsidRPr="007375EB" w:rsidRDefault="00CF09B3" w:rsidP="00CF09B3">
            <w:pPr>
              <w:rPr>
                <w:lang w:val="bg-BG"/>
              </w:rPr>
            </w:pPr>
            <w:r w:rsidRPr="007375EB">
              <w:rPr>
                <w:lang w:val="bg-BG"/>
              </w:rPr>
              <w:t>-</w:t>
            </w:r>
          </w:p>
        </w:tc>
      </w:tr>
      <w:tr w:rsidR="00CF09B3" w:rsidRPr="007375EB" w14:paraId="425F1F24" w14:textId="77777777" w:rsidTr="006C1B17">
        <w:trPr>
          <w:trHeight w:val="210"/>
        </w:trPr>
        <w:tc>
          <w:tcPr>
            <w:tcW w:w="621" w:type="dxa"/>
            <w:noWrap/>
          </w:tcPr>
          <w:p w14:paraId="5EF5C750" w14:textId="77777777" w:rsidR="00CF09B3" w:rsidRPr="007375EB" w:rsidRDefault="00CF09B3" w:rsidP="00CF09B3">
            <w:pPr>
              <w:rPr>
                <w:lang w:val="bg-BG"/>
              </w:rPr>
            </w:pPr>
            <w:r w:rsidRPr="007375EB">
              <w:rPr>
                <w:lang w:val="bg-BG"/>
              </w:rPr>
              <w:t>6</w:t>
            </w:r>
          </w:p>
        </w:tc>
        <w:tc>
          <w:tcPr>
            <w:tcW w:w="3189" w:type="dxa"/>
            <w:noWrap/>
          </w:tcPr>
          <w:p w14:paraId="15EC2427" w14:textId="3B69E77A" w:rsidR="00CF09B3" w:rsidRPr="007375EB" w:rsidRDefault="00CF09B3" w:rsidP="00CF09B3">
            <w:pPr>
              <w:jc w:val="both"/>
              <w:rPr>
                <w:lang w:val="bg-BG"/>
              </w:rPr>
            </w:pPr>
            <w:r w:rsidRPr="007375EB">
              <w:rPr>
                <w:lang w:val="bg-BG"/>
              </w:rPr>
              <w:t>Изграждане на подземна оптична мрежа за електронни съобщителни услуги в окръг Констанца, Индепенденца, Думбръвени (предложена)</w:t>
            </w:r>
          </w:p>
        </w:tc>
        <w:tc>
          <w:tcPr>
            <w:tcW w:w="2125" w:type="dxa"/>
            <w:noWrap/>
            <w:vAlign w:val="center"/>
          </w:tcPr>
          <w:p w14:paraId="1F33A8B6" w14:textId="77777777" w:rsidR="00CF09B3" w:rsidRPr="007375EB" w:rsidRDefault="00CF09B3" w:rsidP="00CF09B3">
            <w:pPr>
              <w:rPr>
                <w:lang w:val="bg-BG"/>
              </w:rPr>
            </w:pPr>
            <w:r w:rsidRPr="007375EB">
              <w:rPr>
                <w:lang w:val="bg-BG"/>
              </w:rPr>
              <w:t>6,78 км</w:t>
            </w:r>
          </w:p>
        </w:tc>
        <w:tc>
          <w:tcPr>
            <w:tcW w:w="482" w:type="dxa"/>
            <w:noWrap/>
            <w:vAlign w:val="center"/>
          </w:tcPr>
          <w:p w14:paraId="1BDC1EF8" w14:textId="77777777" w:rsidR="00CF09B3" w:rsidRPr="007375EB" w:rsidRDefault="00CF09B3" w:rsidP="00CF09B3">
            <w:pPr>
              <w:rPr>
                <w:lang w:val="bg-BG"/>
              </w:rPr>
            </w:pPr>
            <w:r w:rsidRPr="007375EB">
              <w:rPr>
                <w:lang w:val="bg-BG"/>
              </w:rPr>
              <w:t>-</w:t>
            </w:r>
          </w:p>
        </w:tc>
        <w:tc>
          <w:tcPr>
            <w:tcW w:w="916" w:type="dxa"/>
            <w:noWrap/>
            <w:vAlign w:val="center"/>
          </w:tcPr>
          <w:p w14:paraId="669CC331" w14:textId="77777777" w:rsidR="00CF09B3" w:rsidRPr="007375EB" w:rsidRDefault="00CF09B3" w:rsidP="00CF09B3">
            <w:pPr>
              <w:rPr>
                <w:lang w:val="bg-BG"/>
              </w:rPr>
            </w:pPr>
            <w:r w:rsidRPr="007375EB">
              <w:rPr>
                <w:lang w:val="bg-BG"/>
              </w:rPr>
              <w:t>-</w:t>
            </w:r>
          </w:p>
        </w:tc>
        <w:tc>
          <w:tcPr>
            <w:tcW w:w="916" w:type="dxa"/>
            <w:noWrap/>
            <w:vAlign w:val="center"/>
          </w:tcPr>
          <w:p w14:paraId="26F92A5C" w14:textId="77777777" w:rsidR="00CF09B3" w:rsidRPr="007375EB" w:rsidRDefault="00CF09B3" w:rsidP="00CF09B3">
            <w:pPr>
              <w:rPr>
                <w:lang w:val="bg-BG"/>
              </w:rPr>
            </w:pPr>
            <w:r w:rsidRPr="007375EB">
              <w:rPr>
                <w:lang w:val="bg-BG"/>
              </w:rPr>
              <w:t>-</w:t>
            </w:r>
          </w:p>
        </w:tc>
        <w:tc>
          <w:tcPr>
            <w:tcW w:w="810" w:type="dxa"/>
            <w:noWrap/>
            <w:vAlign w:val="center"/>
          </w:tcPr>
          <w:p w14:paraId="3FDAD30E" w14:textId="77777777" w:rsidR="00CF09B3" w:rsidRPr="007375EB" w:rsidRDefault="00CF09B3" w:rsidP="00CF09B3">
            <w:pPr>
              <w:rPr>
                <w:lang w:val="bg-BG"/>
              </w:rPr>
            </w:pPr>
            <w:r w:rsidRPr="007375EB">
              <w:rPr>
                <w:lang w:val="bg-BG"/>
              </w:rPr>
              <w:t>-</w:t>
            </w:r>
          </w:p>
        </w:tc>
        <w:tc>
          <w:tcPr>
            <w:tcW w:w="630" w:type="dxa"/>
            <w:noWrap/>
            <w:vAlign w:val="center"/>
          </w:tcPr>
          <w:p w14:paraId="48DF8C70" w14:textId="77777777" w:rsidR="00CF09B3" w:rsidRPr="007375EB" w:rsidRDefault="00CF09B3" w:rsidP="00CF09B3">
            <w:pPr>
              <w:rPr>
                <w:lang w:val="bg-BG"/>
              </w:rPr>
            </w:pPr>
            <w:r w:rsidRPr="007375EB">
              <w:rPr>
                <w:lang w:val="bg-BG"/>
              </w:rPr>
              <w:t>-</w:t>
            </w:r>
          </w:p>
        </w:tc>
        <w:tc>
          <w:tcPr>
            <w:tcW w:w="720" w:type="dxa"/>
            <w:noWrap/>
            <w:vAlign w:val="center"/>
          </w:tcPr>
          <w:p w14:paraId="431B820C" w14:textId="77777777" w:rsidR="00CF09B3" w:rsidRPr="007375EB" w:rsidRDefault="00CF09B3" w:rsidP="00CF09B3">
            <w:pPr>
              <w:rPr>
                <w:lang w:val="bg-BG"/>
              </w:rPr>
            </w:pPr>
            <w:r w:rsidRPr="007375EB">
              <w:rPr>
                <w:lang w:val="bg-BG"/>
              </w:rPr>
              <w:t>-</w:t>
            </w:r>
          </w:p>
        </w:tc>
        <w:tc>
          <w:tcPr>
            <w:tcW w:w="720" w:type="dxa"/>
            <w:noWrap/>
            <w:vAlign w:val="center"/>
          </w:tcPr>
          <w:p w14:paraId="1158ECA4" w14:textId="77777777" w:rsidR="00CF09B3" w:rsidRPr="007375EB" w:rsidRDefault="00CF09B3" w:rsidP="00CF09B3">
            <w:pPr>
              <w:rPr>
                <w:lang w:val="bg-BG"/>
              </w:rPr>
            </w:pPr>
            <w:r w:rsidRPr="007375EB">
              <w:rPr>
                <w:lang w:val="bg-BG"/>
              </w:rPr>
              <w:t>-</w:t>
            </w:r>
          </w:p>
        </w:tc>
        <w:tc>
          <w:tcPr>
            <w:tcW w:w="540" w:type="dxa"/>
            <w:noWrap/>
            <w:vAlign w:val="center"/>
          </w:tcPr>
          <w:p w14:paraId="1B7B00BC" w14:textId="77777777" w:rsidR="00CF09B3" w:rsidRPr="007375EB" w:rsidRDefault="00CF09B3" w:rsidP="00CF09B3">
            <w:pPr>
              <w:rPr>
                <w:lang w:val="bg-BG"/>
              </w:rPr>
            </w:pPr>
            <w:r w:rsidRPr="007375EB">
              <w:rPr>
                <w:lang w:val="bg-BG"/>
              </w:rPr>
              <w:t>-</w:t>
            </w:r>
          </w:p>
        </w:tc>
        <w:tc>
          <w:tcPr>
            <w:tcW w:w="990" w:type="dxa"/>
            <w:noWrap/>
            <w:vAlign w:val="center"/>
          </w:tcPr>
          <w:p w14:paraId="58D7E5C4" w14:textId="77777777" w:rsidR="00CF09B3" w:rsidRPr="007375EB" w:rsidRDefault="00CF09B3" w:rsidP="00CF09B3">
            <w:pPr>
              <w:rPr>
                <w:lang w:val="bg-BG"/>
              </w:rPr>
            </w:pPr>
            <w:r w:rsidRPr="007375EB">
              <w:rPr>
                <w:lang w:val="bg-BG"/>
              </w:rPr>
              <w:t>-</w:t>
            </w:r>
          </w:p>
        </w:tc>
        <w:tc>
          <w:tcPr>
            <w:tcW w:w="499" w:type="dxa"/>
            <w:noWrap/>
            <w:vAlign w:val="center"/>
          </w:tcPr>
          <w:p w14:paraId="6D967641" w14:textId="77777777" w:rsidR="00CF09B3" w:rsidRPr="007375EB" w:rsidRDefault="00CF09B3" w:rsidP="00CF09B3">
            <w:pPr>
              <w:rPr>
                <w:lang w:val="bg-BG"/>
              </w:rPr>
            </w:pPr>
            <w:r w:rsidRPr="007375EB">
              <w:rPr>
                <w:lang w:val="bg-BG"/>
              </w:rPr>
              <w:t>-</w:t>
            </w:r>
          </w:p>
        </w:tc>
        <w:tc>
          <w:tcPr>
            <w:tcW w:w="507" w:type="dxa"/>
            <w:noWrap/>
            <w:vAlign w:val="center"/>
          </w:tcPr>
          <w:p w14:paraId="40438497" w14:textId="77777777" w:rsidR="00CF09B3" w:rsidRPr="007375EB" w:rsidRDefault="00CF09B3" w:rsidP="00CF09B3">
            <w:pPr>
              <w:rPr>
                <w:lang w:val="bg-BG"/>
              </w:rPr>
            </w:pPr>
            <w:r w:rsidRPr="007375EB">
              <w:rPr>
                <w:lang w:val="bg-BG"/>
              </w:rPr>
              <w:t>-</w:t>
            </w:r>
          </w:p>
        </w:tc>
        <w:tc>
          <w:tcPr>
            <w:tcW w:w="524" w:type="dxa"/>
            <w:noWrap/>
            <w:vAlign w:val="center"/>
          </w:tcPr>
          <w:p w14:paraId="79425AC3" w14:textId="77777777" w:rsidR="00CF09B3" w:rsidRPr="007375EB" w:rsidRDefault="00CF09B3" w:rsidP="00CF09B3">
            <w:pPr>
              <w:rPr>
                <w:lang w:val="bg-BG"/>
              </w:rPr>
            </w:pPr>
            <w:r w:rsidRPr="007375EB">
              <w:rPr>
                <w:lang w:val="bg-BG"/>
              </w:rPr>
              <w:t>-</w:t>
            </w:r>
          </w:p>
        </w:tc>
        <w:tc>
          <w:tcPr>
            <w:tcW w:w="616" w:type="dxa"/>
            <w:noWrap/>
            <w:vAlign w:val="center"/>
          </w:tcPr>
          <w:p w14:paraId="01A0D6BE" w14:textId="77777777" w:rsidR="00CF09B3" w:rsidRPr="007375EB" w:rsidRDefault="00CF09B3" w:rsidP="00CF09B3">
            <w:pPr>
              <w:rPr>
                <w:lang w:val="bg-BG"/>
              </w:rPr>
            </w:pPr>
            <w:r w:rsidRPr="007375EB">
              <w:rPr>
                <w:lang w:val="bg-BG"/>
              </w:rPr>
              <w:t>-</w:t>
            </w:r>
          </w:p>
        </w:tc>
        <w:tc>
          <w:tcPr>
            <w:tcW w:w="612" w:type="dxa"/>
            <w:noWrap/>
            <w:vAlign w:val="center"/>
          </w:tcPr>
          <w:p w14:paraId="125AD9B8" w14:textId="77777777" w:rsidR="00CF09B3" w:rsidRPr="007375EB" w:rsidRDefault="00CF09B3" w:rsidP="00CF09B3">
            <w:pPr>
              <w:rPr>
                <w:lang w:val="bg-BG"/>
              </w:rPr>
            </w:pPr>
            <w:r w:rsidRPr="007375EB">
              <w:rPr>
                <w:lang w:val="bg-BG"/>
              </w:rPr>
              <w:t>-</w:t>
            </w:r>
          </w:p>
        </w:tc>
      </w:tr>
      <w:tr w:rsidR="00CF09B3" w:rsidRPr="007375EB" w14:paraId="7A39C550" w14:textId="77777777" w:rsidTr="006C1B17">
        <w:trPr>
          <w:trHeight w:val="210"/>
        </w:trPr>
        <w:tc>
          <w:tcPr>
            <w:tcW w:w="621" w:type="dxa"/>
            <w:noWrap/>
          </w:tcPr>
          <w:p w14:paraId="563A8F5E" w14:textId="77777777" w:rsidR="00CF09B3" w:rsidRPr="007375EB" w:rsidRDefault="00CF09B3" w:rsidP="00CF09B3">
            <w:pPr>
              <w:rPr>
                <w:lang w:val="bg-BG"/>
              </w:rPr>
            </w:pPr>
            <w:r w:rsidRPr="007375EB">
              <w:rPr>
                <w:lang w:val="bg-BG"/>
              </w:rPr>
              <w:t>7</w:t>
            </w:r>
          </w:p>
        </w:tc>
        <w:tc>
          <w:tcPr>
            <w:tcW w:w="3189" w:type="dxa"/>
            <w:noWrap/>
          </w:tcPr>
          <w:p w14:paraId="1F9ADEDE" w14:textId="4014B29D" w:rsidR="00CF09B3" w:rsidRPr="007375EB" w:rsidRDefault="00CF09B3" w:rsidP="00CF09B3">
            <w:pPr>
              <w:jc w:val="both"/>
              <w:rPr>
                <w:lang w:val="bg-BG"/>
              </w:rPr>
            </w:pPr>
            <w:r w:rsidRPr="007375EB">
              <w:rPr>
                <w:lang w:val="bg-BG"/>
              </w:rPr>
              <w:t>Изграждане на подземна оптична мрежа за електронни съобщителни услуги, Негру Вода (предложено)</w:t>
            </w:r>
          </w:p>
        </w:tc>
        <w:tc>
          <w:tcPr>
            <w:tcW w:w="2125" w:type="dxa"/>
            <w:noWrap/>
            <w:vAlign w:val="center"/>
          </w:tcPr>
          <w:p w14:paraId="1364BCB3" w14:textId="77777777" w:rsidR="00CF09B3" w:rsidRPr="007375EB" w:rsidRDefault="00CF09B3" w:rsidP="00CF09B3">
            <w:pPr>
              <w:rPr>
                <w:lang w:val="bg-BG"/>
              </w:rPr>
            </w:pPr>
            <w:r w:rsidRPr="007375EB">
              <w:rPr>
                <w:lang w:val="bg-BG"/>
              </w:rPr>
              <w:t>15,39 км</w:t>
            </w:r>
          </w:p>
        </w:tc>
        <w:tc>
          <w:tcPr>
            <w:tcW w:w="482" w:type="dxa"/>
            <w:noWrap/>
            <w:vAlign w:val="center"/>
          </w:tcPr>
          <w:p w14:paraId="1AA7CE89" w14:textId="77777777" w:rsidR="00CF09B3" w:rsidRPr="007375EB" w:rsidRDefault="00CF09B3" w:rsidP="00CF09B3">
            <w:pPr>
              <w:rPr>
                <w:lang w:val="bg-BG"/>
              </w:rPr>
            </w:pPr>
            <w:r w:rsidRPr="007375EB">
              <w:rPr>
                <w:lang w:val="bg-BG"/>
              </w:rPr>
              <w:t>-</w:t>
            </w:r>
          </w:p>
        </w:tc>
        <w:tc>
          <w:tcPr>
            <w:tcW w:w="916" w:type="dxa"/>
            <w:noWrap/>
            <w:vAlign w:val="center"/>
          </w:tcPr>
          <w:p w14:paraId="32AB1764" w14:textId="77777777" w:rsidR="00CF09B3" w:rsidRPr="007375EB" w:rsidRDefault="00CF09B3" w:rsidP="00CF09B3">
            <w:pPr>
              <w:rPr>
                <w:lang w:val="bg-BG"/>
              </w:rPr>
            </w:pPr>
            <w:r w:rsidRPr="007375EB">
              <w:rPr>
                <w:lang w:val="bg-BG"/>
              </w:rPr>
              <w:t>-</w:t>
            </w:r>
          </w:p>
        </w:tc>
        <w:tc>
          <w:tcPr>
            <w:tcW w:w="916" w:type="dxa"/>
            <w:noWrap/>
            <w:vAlign w:val="center"/>
          </w:tcPr>
          <w:p w14:paraId="68AD24F4" w14:textId="77777777" w:rsidR="00CF09B3" w:rsidRPr="007375EB" w:rsidRDefault="00CF09B3" w:rsidP="00CF09B3">
            <w:pPr>
              <w:rPr>
                <w:lang w:val="bg-BG"/>
              </w:rPr>
            </w:pPr>
            <w:r w:rsidRPr="007375EB">
              <w:rPr>
                <w:lang w:val="bg-BG"/>
              </w:rPr>
              <w:t>-</w:t>
            </w:r>
          </w:p>
        </w:tc>
        <w:tc>
          <w:tcPr>
            <w:tcW w:w="810" w:type="dxa"/>
            <w:noWrap/>
            <w:vAlign w:val="center"/>
          </w:tcPr>
          <w:p w14:paraId="556F855F" w14:textId="77777777" w:rsidR="00CF09B3" w:rsidRPr="007375EB" w:rsidRDefault="00CF09B3" w:rsidP="00CF09B3">
            <w:pPr>
              <w:rPr>
                <w:lang w:val="bg-BG"/>
              </w:rPr>
            </w:pPr>
            <w:r w:rsidRPr="007375EB">
              <w:rPr>
                <w:lang w:val="bg-BG"/>
              </w:rPr>
              <w:t>-</w:t>
            </w:r>
          </w:p>
        </w:tc>
        <w:tc>
          <w:tcPr>
            <w:tcW w:w="630" w:type="dxa"/>
            <w:noWrap/>
            <w:vAlign w:val="center"/>
          </w:tcPr>
          <w:p w14:paraId="325C7A75" w14:textId="77777777" w:rsidR="00CF09B3" w:rsidRPr="007375EB" w:rsidRDefault="00CF09B3" w:rsidP="00CF09B3">
            <w:pPr>
              <w:rPr>
                <w:lang w:val="bg-BG"/>
              </w:rPr>
            </w:pPr>
            <w:r w:rsidRPr="007375EB">
              <w:rPr>
                <w:lang w:val="bg-BG"/>
              </w:rPr>
              <w:t>-</w:t>
            </w:r>
          </w:p>
        </w:tc>
        <w:tc>
          <w:tcPr>
            <w:tcW w:w="720" w:type="dxa"/>
            <w:noWrap/>
            <w:vAlign w:val="center"/>
          </w:tcPr>
          <w:p w14:paraId="20D2B864" w14:textId="77777777" w:rsidR="00CF09B3" w:rsidRPr="007375EB" w:rsidRDefault="00CF09B3" w:rsidP="00CF09B3">
            <w:pPr>
              <w:rPr>
                <w:lang w:val="bg-BG"/>
              </w:rPr>
            </w:pPr>
            <w:r w:rsidRPr="007375EB">
              <w:rPr>
                <w:lang w:val="bg-BG"/>
              </w:rPr>
              <w:t>-</w:t>
            </w:r>
          </w:p>
        </w:tc>
        <w:tc>
          <w:tcPr>
            <w:tcW w:w="720" w:type="dxa"/>
            <w:noWrap/>
            <w:vAlign w:val="center"/>
          </w:tcPr>
          <w:p w14:paraId="4EF89EA8" w14:textId="77777777" w:rsidR="00CF09B3" w:rsidRPr="007375EB" w:rsidRDefault="00CF09B3" w:rsidP="00CF09B3">
            <w:pPr>
              <w:rPr>
                <w:lang w:val="bg-BG"/>
              </w:rPr>
            </w:pPr>
            <w:r w:rsidRPr="007375EB">
              <w:rPr>
                <w:lang w:val="bg-BG"/>
              </w:rPr>
              <w:t>-</w:t>
            </w:r>
          </w:p>
        </w:tc>
        <w:tc>
          <w:tcPr>
            <w:tcW w:w="540" w:type="dxa"/>
            <w:noWrap/>
            <w:vAlign w:val="center"/>
          </w:tcPr>
          <w:p w14:paraId="32EB7411" w14:textId="77777777" w:rsidR="00CF09B3" w:rsidRPr="007375EB" w:rsidRDefault="00CF09B3" w:rsidP="00CF09B3">
            <w:pPr>
              <w:rPr>
                <w:lang w:val="bg-BG"/>
              </w:rPr>
            </w:pPr>
            <w:r w:rsidRPr="007375EB">
              <w:rPr>
                <w:lang w:val="bg-BG"/>
              </w:rPr>
              <w:t>-</w:t>
            </w:r>
          </w:p>
        </w:tc>
        <w:tc>
          <w:tcPr>
            <w:tcW w:w="990" w:type="dxa"/>
            <w:noWrap/>
            <w:vAlign w:val="center"/>
          </w:tcPr>
          <w:p w14:paraId="0DD06C46" w14:textId="77777777" w:rsidR="00CF09B3" w:rsidRPr="007375EB" w:rsidRDefault="00CF09B3" w:rsidP="00CF09B3">
            <w:pPr>
              <w:rPr>
                <w:lang w:val="bg-BG"/>
              </w:rPr>
            </w:pPr>
            <w:r w:rsidRPr="007375EB">
              <w:rPr>
                <w:lang w:val="bg-BG"/>
              </w:rPr>
              <w:t>-</w:t>
            </w:r>
          </w:p>
        </w:tc>
        <w:tc>
          <w:tcPr>
            <w:tcW w:w="499" w:type="dxa"/>
            <w:noWrap/>
            <w:vAlign w:val="center"/>
          </w:tcPr>
          <w:p w14:paraId="0FD66078" w14:textId="77777777" w:rsidR="00CF09B3" w:rsidRPr="007375EB" w:rsidRDefault="00CF09B3" w:rsidP="00CF09B3">
            <w:pPr>
              <w:rPr>
                <w:lang w:val="bg-BG"/>
              </w:rPr>
            </w:pPr>
            <w:r w:rsidRPr="007375EB">
              <w:rPr>
                <w:lang w:val="bg-BG"/>
              </w:rPr>
              <w:t>-</w:t>
            </w:r>
          </w:p>
        </w:tc>
        <w:tc>
          <w:tcPr>
            <w:tcW w:w="507" w:type="dxa"/>
            <w:noWrap/>
            <w:vAlign w:val="center"/>
          </w:tcPr>
          <w:p w14:paraId="2E3FA76C" w14:textId="77777777" w:rsidR="00CF09B3" w:rsidRPr="007375EB" w:rsidRDefault="00CF09B3" w:rsidP="00CF09B3">
            <w:pPr>
              <w:rPr>
                <w:lang w:val="bg-BG"/>
              </w:rPr>
            </w:pPr>
            <w:r w:rsidRPr="007375EB">
              <w:rPr>
                <w:lang w:val="bg-BG"/>
              </w:rPr>
              <w:t>-</w:t>
            </w:r>
          </w:p>
        </w:tc>
        <w:tc>
          <w:tcPr>
            <w:tcW w:w="524" w:type="dxa"/>
            <w:noWrap/>
            <w:vAlign w:val="center"/>
          </w:tcPr>
          <w:p w14:paraId="5B06AD2E" w14:textId="77777777" w:rsidR="00CF09B3" w:rsidRPr="007375EB" w:rsidRDefault="00CF09B3" w:rsidP="00CF09B3">
            <w:pPr>
              <w:rPr>
                <w:lang w:val="bg-BG"/>
              </w:rPr>
            </w:pPr>
            <w:r w:rsidRPr="007375EB">
              <w:rPr>
                <w:lang w:val="bg-BG"/>
              </w:rPr>
              <w:t>-</w:t>
            </w:r>
          </w:p>
        </w:tc>
        <w:tc>
          <w:tcPr>
            <w:tcW w:w="616" w:type="dxa"/>
            <w:noWrap/>
            <w:vAlign w:val="center"/>
          </w:tcPr>
          <w:p w14:paraId="2A2E9A79" w14:textId="77777777" w:rsidR="00CF09B3" w:rsidRPr="007375EB" w:rsidRDefault="00CF09B3" w:rsidP="00CF09B3">
            <w:pPr>
              <w:rPr>
                <w:lang w:val="bg-BG"/>
              </w:rPr>
            </w:pPr>
            <w:r w:rsidRPr="007375EB">
              <w:rPr>
                <w:lang w:val="bg-BG"/>
              </w:rPr>
              <w:t>-</w:t>
            </w:r>
          </w:p>
        </w:tc>
        <w:tc>
          <w:tcPr>
            <w:tcW w:w="612" w:type="dxa"/>
            <w:noWrap/>
            <w:vAlign w:val="center"/>
          </w:tcPr>
          <w:p w14:paraId="58E8E8D9" w14:textId="77777777" w:rsidR="00CF09B3" w:rsidRPr="007375EB" w:rsidRDefault="00CF09B3" w:rsidP="00CF09B3">
            <w:pPr>
              <w:rPr>
                <w:lang w:val="bg-BG"/>
              </w:rPr>
            </w:pPr>
            <w:r w:rsidRPr="007375EB">
              <w:rPr>
                <w:lang w:val="bg-BG"/>
              </w:rPr>
              <w:t>-</w:t>
            </w:r>
          </w:p>
        </w:tc>
      </w:tr>
      <w:tr w:rsidR="00CF09B3" w:rsidRPr="007375EB" w14:paraId="3C0944AE" w14:textId="77777777" w:rsidTr="006C1B17">
        <w:trPr>
          <w:trHeight w:val="210"/>
        </w:trPr>
        <w:tc>
          <w:tcPr>
            <w:tcW w:w="621" w:type="dxa"/>
            <w:noWrap/>
          </w:tcPr>
          <w:p w14:paraId="15539144" w14:textId="77777777" w:rsidR="00CF09B3" w:rsidRPr="007375EB" w:rsidRDefault="00CF09B3" w:rsidP="00CF09B3">
            <w:pPr>
              <w:rPr>
                <w:lang w:val="bg-BG"/>
              </w:rPr>
            </w:pPr>
            <w:r w:rsidRPr="007375EB">
              <w:rPr>
                <w:lang w:val="bg-BG"/>
              </w:rPr>
              <w:t>8</w:t>
            </w:r>
          </w:p>
        </w:tc>
        <w:tc>
          <w:tcPr>
            <w:tcW w:w="3189" w:type="dxa"/>
            <w:noWrap/>
          </w:tcPr>
          <w:p w14:paraId="41F89347" w14:textId="43E19E74" w:rsidR="00CF09B3" w:rsidRPr="007375EB" w:rsidRDefault="00CF09B3" w:rsidP="00CF09B3">
            <w:pPr>
              <w:jc w:val="both"/>
              <w:rPr>
                <w:lang w:val="bg-BG"/>
              </w:rPr>
            </w:pPr>
            <w:r w:rsidRPr="007375EB">
              <w:rPr>
                <w:lang w:val="bg-BG"/>
              </w:rPr>
              <w:t>Електроснабдяване на домакинство с вода, с. Фурника, община Думбръвени, окръг Констанца (предложено)</w:t>
            </w:r>
          </w:p>
        </w:tc>
        <w:tc>
          <w:tcPr>
            <w:tcW w:w="2125" w:type="dxa"/>
            <w:noWrap/>
            <w:vAlign w:val="center"/>
          </w:tcPr>
          <w:p w14:paraId="7836DFC2" w14:textId="77777777" w:rsidR="00CF09B3" w:rsidRPr="007375EB" w:rsidRDefault="00CF09B3" w:rsidP="00CF09B3">
            <w:pPr>
              <w:rPr>
                <w:lang w:val="bg-BG"/>
              </w:rPr>
            </w:pPr>
            <w:r w:rsidRPr="007375EB">
              <w:rPr>
                <w:lang w:val="bg-BG"/>
              </w:rPr>
              <w:t>8,97 км</w:t>
            </w:r>
          </w:p>
        </w:tc>
        <w:tc>
          <w:tcPr>
            <w:tcW w:w="482" w:type="dxa"/>
            <w:noWrap/>
            <w:vAlign w:val="center"/>
          </w:tcPr>
          <w:p w14:paraId="6C3314ED" w14:textId="77777777" w:rsidR="00CF09B3" w:rsidRPr="007375EB" w:rsidRDefault="00CF09B3" w:rsidP="00CF09B3">
            <w:pPr>
              <w:rPr>
                <w:lang w:val="bg-BG"/>
              </w:rPr>
            </w:pPr>
            <w:r w:rsidRPr="007375EB">
              <w:rPr>
                <w:lang w:val="bg-BG"/>
              </w:rPr>
              <w:t>-</w:t>
            </w:r>
          </w:p>
        </w:tc>
        <w:tc>
          <w:tcPr>
            <w:tcW w:w="916" w:type="dxa"/>
            <w:noWrap/>
            <w:vAlign w:val="center"/>
          </w:tcPr>
          <w:p w14:paraId="7EB6C73F" w14:textId="77777777" w:rsidR="00CF09B3" w:rsidRPr="007375EB" w:rsidRDefault="00CF09B3" w:rsidP="00CF09B3">
            <w:pPr>
              <w:rPr>
                <w:lang w:val="bg-BG"/>
              </w:rPr>
            </w:pPr>
            <w:r w:rsidRPr="007375EB">
              <w:rPr>
                <w:lang w:val="bg-BG"/>
              </w:rPr>
              <w:t>-</w:t>
            </w:r>
          </w:p>
        </w:tc>
        <w:tc>
          <w:tcPr>
            <w:tcW w:w="916" w:type="dxa"/>
            <w:noWrap/>
            <w:vAlign w:val="center"/>
          </w:tcPr>
          <w:p w14:paraId="4506C588" w14:textId="77777777" w:rsidR="00CF09B3" w:rsidRPr="007375EB" w:rsidRDefault="00CF09B3" w:rsidP="00CF09B3">
            <w:pPr>
              <w:rPr>
                <w:lang w:val="bg-BG"/>
              </w:rPr>
            </w:pPr>
            <w:r w:rsidRPr="007375EB">
              <w:rPr>
                <w:lang w:val="bg-BG"/>
              </w:rPr>
              <w:t>-</w:t>
            </w:r>
          </w:p>
        </w:tc>
        <w:tc>
          <w:tcPr>
            <w:tcW w:w="810" w:type="dxa"/>
            <w:noWrap/>
            <w:vAlign w:val="center"/>
          </w:tcPr>
          <w:p w14:paraId="2FD4BFCF" w14:textId="77777777" w:rsidR="00CF09B3" w:rsidRPr="007375EB" w:rsidRDefault="00CF09B3" w:rsidP="00CF09B3">
            <w:pPr>
              <w:rPr>
                <w:lang w:val="bg-BG"/>
              </w:rPr>
            </w:pPr>
            <w:r w:rsidRPr="007375EB">
              <w:rPr>
                <w:lang w:val="bg-BG"/>
              </w:rPr>
              <w:t>-</w:t>
            </w:r>
          </w:p>
        </w:tc>
        <w:tc>
          <w:tcPr>
            <w:tcW w:w="630" w:type="dxa"/>
            <w:noWrap/>
            <w:vAlign w:val="center"/>
          </w:tcPr>
          <w:p w14:paraId="0FCF3408" w14:textId="77777777" w:rsidR="00CF09B3" w:rsidRPr="007375EB" w:rsidRDefault="00CF09B3" w:rsidP="00CF09B3">
            <w:pPr>
              <w:rPr>
                <w:lang w:val="bg-BG"/>
              </w:rPr>
            </w:pPr>
            <w:r w:rsidRPr="007375EB">
              <w:rPr>
                <w:lang w:val="bg-BG"/>
              </w:rPr>
              <w:t>-</w:t>
            </w:r>
          </w:p>
        </w:tc>
        <w:tc>
          <w:tcPr>
            <w:tcW w:w="720" w:type="dxa"/>
            <w:noWrap/>
            <w:vAlign w:val="center"/>
          </w:tcPr>
          <w:p w14:paraId="1B0BC37E" w14:textId="77777777" w:rsidR="00CF09B3" w:rsidRPr="007375EB" w:rsidRDefault="00CF09B3" w:rsidP="00CF09B3">
            <w:pPr>
              <w:rPr>
                <w:lang w:val="bg-BG"/>
              </w:rPr>
            </w:pPr>
            <w:r w:rsidRPr="007375EB">
              <w:rPr>
                <w:lang w:val="bg-BG"/>
              </w:rPr>
              <w:t>-</w:t>
            </w:r>
          </w:p>
        </w:tc>
        <w:tc>
          <w:tcPr>
            <w:tcW w:w="720" w:type="dxa"/>
            <w:noWrap/>
            <w:vAlign w:val="center"/>
          </w:tcPr>
          <w:p w14:paraId="2D576F2C" w14:textId="77777777" w:rsidR="00CF09B3" w:rsidRPr="007375EB" w:rsidRDefault="00CF09B3" w:rsidP="00CF09B3">
            <w:pPr>
              <w:rPr>
                <w:lang w:val="bg-BG"/>
              </w:rPr>
            </w:pPr>
            <w:r w:rsidRPr="007375EB">
              <w:rPr>
                <w:lang w:val="bg-BG"/>
              </w:rPr>
              <w:t>-</w:t>
            </w:r>
          </w:p>
        </w:tc>
        <w:tc>
          <w:tcPr>
            <w:tcW w:w="540" w:type="dxa"/>
            <w:noWrap/>
            <w:vAlign w:val="center"/>
          </w:tcPr>
          <w:p w14:paraId="0E50BFE2" w14:textId="77777777" w:rsidR="00CF09B3" w:rsidRPr="007375EB" w:rsidRDefault="00CF09B3" w:rsidP="00CF09B3">
            <w:pPr>
              <w:rPr>
                <w:lang w:val="bg-BG"/>
              </w:rPr>
            </w:pPr>
            <w:r w:rsidRPr="007375EB">
              <w:rPr>
                <w:lang w:val="bg-BG"/>
              </w:rPr>
              <w:t>-</w:t>
            </w:r>
          </w:p>
        </w:tc>
        <w:tc>
          <w:tcPr>
            <w:tcW w:w="990" w:type="dxa"/>
            <w:noWrap/>
            <w:vAlign w:val="center"/>
          </w:tcPr>
          <w:p w14:paraId="4ADDECDC" w14:textId="77777777" w:rsidR="00CF09B3" w:rsidRPr="007375EB" w:rsidRDefault="00CF09B3" w:rsidP="00CF09B3">
            <w:pPr>
              <w:rPr>
                <w:lang w:val="bg-BG"/>
              </w:rPr>
            </w:pPr>
            <w:r w:rsidRPr="007375EB">
              <w:rPr>
                <w:lang w:val="bg-BG"/>
              </w:rPr>
              <w:t>-</w:t>
            </w:r>
          </w:p>
        </w:tc>
        <w:tc>
          <w:tcPr>
            <w:tcW w:w="499" w:type="dxa"/>
            <w:noWrap/>
            <w:vAlign w:val="center"/>
          </w:tcPr>
          <w:p w14:paraId="3ED490C2" w14:textId="77777777" w:rsidR="00CF09B3" w:rsidRPr="007375EB" w:rsidRDefault="00CF09B3" w:rsidP="00CF09B3">
            <w:pPr>
              <w:rPr>
                <w:lang w:val="bg-BG"/>
              </w:rPr>
            </w:pPr>
            <w:r w:rsidRPr="007375EB">
              <w:rPr>
                <w:lang w:val="bg-BG"/>
              </w:rPr>
              <w:t>-</w:t>
            </w:r>
          </w:p>
        </w:tc>
        <w:tc>
          <w:tcPr>
            <w:tcW w:w="507" w:type="dxa"/>
            <w:noWrap/>
            <w:vAlign w:val="center"/>
          </w:tcPr>
          <w:p w14:paraId="7BC23E56" w14:textId="77777777" w:rsidR="00CF09B3" w:rsidRPr="007375EB" w:rsidRDefault="00CF09B3" w:rsidP="00CF09B3">
            <w:pPr>
              <w:rPr>
                <w:lang w:val="bg-BG"/>
              </w:rPr>
            </w:pPr>
            <w:r w:rsidRPr="007375EB">
              <w:rPr>
                <w:lang w:val="bg-BG"/>
              </w:rPr>
              <w:t>-</w:t>
            </w:r>
          </w:p>
        </w:tc>
        <w:tc>
          <w:tcPr>
            <w:tcW w:w="524" w:type="dxa"/>
            <w:noWrap/>
            <w:vAlign w:val="center"/>
          </w:tcPr>
          <w:p w14:paraId="65DE5D9B" w14:textId="77777777" w:rsidR="00CF09B3" w:rsidRPr="007375EB" w:rsidRDefault="00CF09B3" w:rsidP="00CF09B3">
            <w:pPr>
              <w:rPr>
                <w:lang w:val="bg-BG"/>
              </w:rPr>
            </w:pPr>
            <w:r w:rsidRPr="007375EB">
              <w:rPr>
                <w:lang w:val="bg-BG"/>
              </w:rPr>
              <w:t>-</w:t>
            </w:r>
          </w:p>
        </w:tc>
        <w:tc>
          <w:tcPr>
            <w:tcW w:w="616" w:type="dxa"/>
            <w:noWrap/>
            <w:vAlign w:val="center"/>
          </w:tcPr>
          <w:p w14:paraId="1EB9E099" w14:textId="77777777" w:rsidR="00CF09B3" w:rsidRPr="007375EB" w:rsidRDefault="00CF09B3" w:rsidP="00CF09B3">
            <w:pPr>
              <w:rPr>
                <w:lang w:val="bg-BG"/>
              </w:rPr>
            </w:pPr>
            <w:r w:rsidRPr="007375EB">
              <w:rPr>
                <w:lang w:val="bg-BG"/>
              </w:rPr>
              <w:t>-</w:t>
            </w:r>
          </w:p>
        </w:tc>
        <w:tc>
          <w:tcPr>
            <w:tcW w:w="612" w:type="dxa"/>
            <w:noWrap/>
            <w:vAlign w:val="center"/>
          </w:tcPr>
          <w:p w14:paraId="5BEA0687" w14:textId="77777777" w:rsidR="00CF09B3" w:rsidRPr="007375EB" w:rsidRDefault="00CF09B3" w:rsidP="00CF09B3">
            <w:pPr>
              <w:rPr>
                <w:lang w:val="bg-BG"/>
              </w:rPr>
            </w:pPr>
            <w:r w:rsidRPr="007375EB">
              <w:rPr>
                <w:lang w:val="bg-BG"/>
              </w:rPr>
              <w:t>-</w:t>
            </w:r>
          </w:p>
        </w:tc>
      </w:tr>
      <w:tr w:rsidR="00CF09B3" w:rsidRPr="007375EB" w14:paraId="4C26D18B" w14:textId="77777777" w:rsidTr="006C1B17">
        <w:trPr>
          <w:trHeight w:val="210"/>
        </w:trPr>
        <w:tc>
          <w:tcPr>
            <w:tcW w:w="621" w:type="dxa"/>
            <w:noWrap/>
          </w:tcPr>
          <w:p w14:paraId="4A9CA6AB" w14:textId="77777777" w:rsidR="00CF09B3" w:rsidRPr="007375EB" w:rsidRDefault="00CF09B3" w:rsidP="00CF09B3">
            <w:pPr>
              <w:rPr>
                <w:lang w:val="bg-BG"/>
              </w:rPr>
            </w:pPr>
            <w:r w:rsidRPr="007375EB">
              <w:rPr>
                <w:lang w:val="bg-BG"/>
              </w:rPr>
              <w:t>9</w:t>
            </w:r>
          </w:p>
        </w:tc>
        <w:tc>
          <w:tcPr>
            <w:tcW w:w="3189" w:type="dxa"/>
            <w:noWrap/>
          </w:tcPr>
          <w:p w14:paraId="76B2D7B1" w14:textId="2EEC4C30" w:rsidR="00CF09B3" w:rsidRPr="007375EB" w:rsidRDefault="00CF09B3" w:rsidP="00CF09B3">
            <w:pPr>
              <w:jc w:val="both"/>
              <w:rPr>
                <w:lang w:val="bg-BG"/>
              </w:rPr>
            </w:pPr>
            <w:r w:rsidRPr="007375EB">
              <w:rPr>
                <w:lang w:val="bg-BG"/>
              </w:rPr>
              <w:t xml:space="preserve">Преместване на международния транспортен тръбопровод за природен газ dn 1000T1 Исакча – Негру Вода, в района на кариерата </w:t>
            </w:r>
            <w:r w:rsidRPr="007375EB">
              <w:rPr>
                <w:lang w:val="bg-BG"/>
              </w:rPr>
              <w:lastRenderedPageBreak/>
              <w:t>ROMCIM, PL Меджидиа (предложено)</w:t>
            </w:r>
          </w:p>
        </w:tc>
        <w:tc>
          <w:tcPr>
            <w:tcW w:w="2125" w:type="dxa"/>
            <w:noWrap/>
            <w:vAlign w:val="center"/>
          </w:tcPr>
          <w:p w14:paraId="46099EE1" w14:textId="77777777" w:rsidR="00CF09B3" w:rsidRPr="007375EB" w:rsidRDefault="00CF09B3" w:rsidP="00CF09B3">
            <w:pPr>
              <w:rPr>
                <w:lang w:val="bg-BG"/>
              </w:rPr>
            </w:pPr>
            <w:r w:rsidRPr="007375EB">
              <w:rPr>
                <w:lang w:val="bg-BG"/>
              </w:rPr>
              <w:lastRenderedPageBreak/>
              <w:t>47,32 км</w:t>
            </w:r>
          </w:p>
        </w:tc>
        <w:tc>
          <w:tcPr>
            <w:tcW w:w="482" w:type="dxa"/>
            <w:noWrap/>
            <w:vAlign w:val="center"/>
          </w:tcPr>
          <w:p w14:paraId="7A21080F" w14:textId="77777777" w:rsidR="00CF09B3" w:rsidRPr="007375EB" w:rsidRDefault="00CF09B3" w:rsidP="00CF09B3">
            <w:pPr>
              <w:rPr>
                <w:lang w:val="bg-BG"/>
              </w:rPr>
            </w:pPr>
            <w:r w:rsidRPr="007375EB">
              <w:rPr>
                <w:lang w:val="bg-BG"/>
              </w:rPr>
              <w:t>-</w:t>
            </w:r>
          </w:p>
        </w:tc>
        <w:tc>
          <w:tcPr>
            <w:tcW w:w="916" w:type="dxa"/>
            <w:noWrap/>
            <w:vAlign w:val="center"/>
          </w:tcPr>
          <w:p w14:paraId="603F1DFC" w14:textId="77777777" w:rsidR="00CF09B3" w:rsidRPr="007375EB" w:rsidRDefault="00CF09B3" w:rsidP="00CF09B3">
            <w:pPr>
              <w:rPr>
                <w:lang w:val="bg-BG"/>
              </w:rPr>
            </w:pPr>
            <w:r w:rsidRPr="007375EB">
              <w:rPr>
                <w:lang w:val="bg-BG"/>
              </w:rPr>
              <w:t>-</w:t>
            </w:r>
          </w:p>
        </w:tc>
        <w:tc>
          <w:tcPr>
            <w:tcW w:w="916" w:type="dxa"/>
            <w:noWrap/>
            <w:vAlign w:val="center"/>
          </w:tcPr>
          <w:p w14:paraId="706E342C" w14:textId="77777777" w:rsidR="00CF09B3" w:rsidRPr="007375EB" w:rsidRDefault="00CF09B3" w:rsidP="00CF09B3">
            <w:pPr>
              <w:rPr>
                <w:lang w:val="bg-BG"/>
              </w:rPr>
            </w:pPr>
            <w:r w:rsidRPr="007375EB">
              <w:rPr>
                <w:lang w:val="bg-BG"/>
              </w:rPr>
              <w:t>-</w:t>
            </w:r>
          </w:p>
        </w:tc>
        <w:tc>
          <w:tcPr>
            <w:tcW w:w="810" w:type="dxa"/>
            <w:noWrap/>
            <w:vAlign w:val="center"/>
          </w:tcPr>
          <w:p w14:paraId="4ED45DD7" w14:textId="77777777" w:rsidR="00CF09B3" w:rsidRPr="007375EB" w:rsidRDefault="00CF09B3" w:rsidP="00CF09B3">
            <w:pPr>
              <w:rPr>
                <w:lang w:val="bg-BG"/>
              </w:rPr>
            </w:pPr>
            <w:r w:rsidRPr="007375EB">
              <w:rPr>
                <w:lang w:val="bg-BG"/>
              </w:rPr>
              <w:t>-</w:t>
            </w:r>
          </w:p>
        </w:tc>
        <w:tc>
          <w:tcPr>
            <w:tcW w:w="630" w:type="dxa"/>
            <w:noWrap/>
            <w:vAlign w:val="center"/>
          </w:tcPr>
          <w:p w14:paraId="4420E3A3" w14:textId="77777777" w:rsidR="00CF09B3" w:rsidRPr="007375EB" w:rsidRDefault="00CF09B3" w:rsidP="00CF09B3">
            <w:pPr>
              <w:rPr>
                <w:lang w:val="bg-BG"/>
              </w:rPr>
            </w:pPr>
            <w:r w:rsidRPr="007375EB">
              <w:rPr>
                <w:lang w:val="bg-BG"/>
              </w:rPr>
              <w:t>-</w:t>
            </w:r>
          </w:p>
        </w:tc>
        <w:tc>
          <w:tcPr>
            <w:tcW w:w="720" w:type="dxa"/>
            <w:noWrap/>
            <w:vAlign w:val="center"/>
          </w:tcPr>
          <w:p w14:paraId="3CC9B896" w14:textId="77777777" w:rsidR="00CF09B3" w:rsidRPr="007375EB" w:rsidRDefault="00CF09B3" w:rsidP="00CF09B3">
            <w:pPr>
              <w:rPr>
                <w:lang w:val="bg-BG"/>
              </w:rPr>
            </w:pPr>
            <w:r w:rsidRPr="007375EB">
              <w:rPr>
                <w:lang w:val="bg-BG"/>
              </w:rPr>
              <w:t>-</w:t>
            </w:r>
          </w:p>
        </w:tc>
        <w:tc>
          <w:tcPr>
            <w:tcW w:w="720" w:type="dxa"/>
            <w:noWrap/>
            <w:vAlign w:val="center"/>
          </w:tcPr>
          <w:p w14:paraId="21BB1A33" w14:textId="77777777" w:rsidR="00CF09B3" w:rsidRPr="007375EB" w:rsidRDefault="00CF09B3" w:rsidP="00CF09B3">
            <w:pPr>
              <w:rPr>
                <w:lang w:val="bg-BG"/>
              </w:rPr>
            </w:pPr>
            <w:r w:rsidRPr="007375EB">
              <w:rPr>
                <w:lang w:val="bg-BG"/>
              </w:rPr>
              <w:t>-</w:t>
            </w:r>
          </w:p>
        </w:tc>
        <w:tc>
          <w:tcPr>
            <w:tcW w:w="540" w:type="dxa"/>
            <w:noWrap/>
            <w:vAlign w:val="center"/>
          </w:tcPr>
          <w:p w14:paraId="21E8E9DA" w14:textId="77777777" w:rsidR="00CF09B3" w:rsidRPr="007375EB" w:rsidRDefault="00CF09B3" w:rsidP="00CF09B3">
            <w:pPr>
              <w:rPr>
                <w:lang w:val="bg-BG"/>
              </w:rPr>
            </w:pPr>
            <w:r w:rsidRPr="007375EB">
              <w:rPr>
                <w:lang w:val="bg-BG"/>
              </w:rPr>
              <w:t>-</w:t>
            </w:r>
          </w:p>
        </w:tc>
        <w:tc>
          <w:tcPr>
            <w:tcW w:w="990" w:type="dxa"/>
            <w:noWrap/>
            <w:vAlign w:val="center"/>
          </w:tcPr>
          <w:p w14:paraId="7F600311" w14:textId="77777777" w:rsidR="00CF09B3" w:rsidRPr="007375EB" w:rsidRDefault="00CF09B3" w:rsidP="00CF09B3">
            <w:pPr>
              <w:rPr>
                <w:lang w:val="bg-BG"/>
              </w:rPr>
            </w:pPr>
            <w:r w:rsidRPr="007375EB">
              <w:rPr>
                <w:lang w:val="bg-BG"/>
              </w:rPr>
              <w:t>-</w:t>
            </w:r>
          </w:p>
        </w:tc>
        <w:tc>
          <w:tcPr>
            <w:tcW w:w="499" w:type="dxa"/>
            <w:noWrap/>
            <w:vAlign w:val="center"/>
          </w:tcPr>
          <w:p w14:paraId="2162B031" w14:textId="77777777" w:rsidR="00CF09B3" w:rsidRPr="007375EB" w:rsidRDefault="00CF09B3" w:rsidP="00CF09B3">
            <w:pPr>
              <w:rPr>
                <w:lang w:val="bg-BG"/>
              </w:rPr>
            </w:pPr>
            <w:r w:rsidRPr="007375EB">
              <w:rPr>
                <w:lang w:val="bg-BG"/>
              </w:rPr>
              <w:t>-</w:t>
            </w:r>
          </w:p>
        </w:tc>
        <w:tc>
          <w:tcPr>
            <w:tcW w:w="507" w:type="dxa"/>
            <w:noWrap/>
            <w:vAlign w:val="center"/>
          </w:tcPr>
          <w:p w14:paraId="620E1BF2" w14:textId="77777777" w:rsidR="00CF09B3" w:rsidRPr="007375EB" w:rsidRDefault="00CF09B3" w:rsidP="00CF09B3">
            <w:pPr>
              <w:rPr>
                <w:lang w:val="bg-BG"/>
              </w:rPr>
            </w:pPr>
            <w:r w:rsidRPr="007375EB">
              <w:rPr>
                <w:lang w:val="bg-BG"/>
              </w:rPr>
              <w:t>-</w:t>
            </w:r>
          </w:p>
        </w:tc>
        <w:tc>
          <w:tcPr>
            <w:tcW w:w="524" w:type="dxa"/>
            <w:noWrap/>
            <w:vAlign w:val="center"/>
          </w:tcPr>
          <w:p w14:paraId="5252EC14" w14:textId="77777777" w:rsidR="00CF09B3" w:rsidRPr="007375EB" w:rsidRDefault="00CF09B3" w:rsidP="00CF09B3">
            <w:pPr>
              <w:rPr>
                <w:lang w:val="bg-BG"/>
              </w:rPr>
            </w:pPr>
            <w:r w:rsidRPr="007375EB">
              <w:rPr>
                <w:lang w:val="bg-BG"/>
              </w:rPr>
              <w:t>-</w:t>
            </w:r>
          </w:p>
        </w:tc>
        <w:tc>
          <w:tcPr>
            <w:tcW w:w="616" w:type="dxa"/>
            <w:noWrap/>
            <w:vAlign w:val="center"/>
          </w:tcPr>
          <w:p w14:paraId="52379AF3" w14:textId="77777777" w:rsidR="00CF09B3" w:rsidRPr="007375EB" w:rsidRDefault="00CF09B3" w:rsidP="00CF09B3">
            <w:pPr>
              <w:rPr>
                <w:lang w:val="bg-BG"/>
              </w:rPr>
            </w:pPr>
            <w:r w:rsidRPr="007375EB">
              <w:rPr>
                <w:lang w:val="bg-BG"/>
              </w:rPr>
              <w:t>-</w:t>
            </w:r>
          </w:p>
        </w:tc>
        <w:tc>
          <w:tcPr>
            <w:tcW w:w="612" w:type="dxa"/>
            <w:noWrap/>
            <w:vAlign w:val="center"/>
          </w:tcPr>
          <w:p w14:paraId="3A403465" w14:textId="77777777" w:rsidR="00CF09B3" w:rsidRPr="007375EB" w:rsidRDefault="00CF09B3" w:rsidP="00CF09B3">
            <w:pPr>
              <w:rPr>
                <w:lang w:val="bg-BG"/>
              </w:rPr>
            </w:pPr>
            <w:r w:rsidRPr="007375EB">
              <w:rPr>
                <w:lang w:val="bg-BG"/>
              </w:rPr>
              <w:t>-</w:t>
            </w:r>
          </w:p>
        </w:tc>
      </w:tr>
      <w:tr w:rsidR="00CF09B3" w:rsidRPr="007375EB" w14:paraId="1EC84029" w14:textId="77777777" w:rsidTr="006C1B17">
        <w:trPr>
          <w:trHeight w:val="210"/>
        </w:trPr>
        <w:tc>
          <w:tcPr>
            <w:tcW w:w="621" w:type="dxa"/>
            <w:noWrap/>
          </w:tcPr>
          <w:p w14:paraId="0841ACF2" w14:textId="77777777" w:rsidR="00CF09B3" w:rsidRPr="007375EB" w:rsidRDefault="00CF09B3" w:rsidP="00CF09B3">
            <w:pPr>
              <w:rPr>
                <w:lang w:val="bg-BG"/>
              </w:rPr>
            </w:pPr>
            <w:r w:rsidRPr="007375EB">
              <w:rPr>
                <w:lang w:val="bg-BG"/>
              </w:rPr>
              <w:t>10</w:t>
            </w:r>
          </w:p>
        </w:tc>
        <w:tc>
          <w:tcPr>
            <w:tcW w:w="3189" w:type="dxa"/>
            <w:noWrap/>
          </w:tcPr>
          <w:p w14:paraId="5A948585" w14:textId="69BF2ACF" w:rsidR="00CF09B3" w:rsidRPr="007375EB" w:rsidRDefault="00CF09B3" w:rsidP="00CF09B3">
            <w:pPr>
              <w:jc w:val="both"/>
              <w:rPr>
                <w:lang w:val="bg-BG"/>
              </w:rPr>
            </w:pPr>
            <w:r w:rsidRPr="007375EB">
              <w:rPr>
                <w:lang w:val="bg-BG"/>
              </w:rPr>
              <w:t>Общ градоустройствен план на община  Индепенденца (предложен)</w:t>
            </w:r>
          </w:p>
        </w:tc>
        <w:tc>
          <w:tcPr>
            <w:tcW w:w="2125" w:type="dxa"/>
            <w:noWrap/>
            <w:vAlign w:val="center"/>
          </w:tcPr>
          <w:p w14:paraId="0ED335B5" w14:textId="77777777" w:rsidR="00CF09B3" w:rsidRPr="007375EB" w:rsidRDefault="00CF09B3" w:rsidP="00CF09B3">
            <w:pPr>
              <w:rPr>
                <w:lang w:val="bg-BG"/>
              </w:rPr>
            </w:pPr>
            <w:r w:rsidRPr="007375EB">
              <w:rPr>
                <w:lang w:val="bg-BG"/>
              </w:rPr>
              <w:t>0,75 км</w:t>
            </w:r>
          </w:p>
        </w:tc>
        <w:tc>
          <w:tcPr>
            <w:tcW w:w="482" w:type="dxa"/>
            <w:noWrap/>
            <w:vAlign w:val="center"/>
          </w:tcPr>
          <w:p w14:paraId="57C013EE" w14:textId="77777777" w:rsidR="00CF09B3" w:rsidRPr="007375EB" w:rsidRDefault="00CF09B3" w:rsidP="00CF09B3">
            <w:pPr>
              <w:rPr>
                <w:lang w:val="bg-BG"/>
              </w:rPr>
            </w:pPr>
            <w:r w:rsidRPr="007375EB">
              <w:rPr>
                <w:lang w:val="bg-BG"/>
              </w:rPr>
              <w:t>-</w:t>
            </w:r>
          </w:p>
        </w:tc>
        <w:tc>
          <w:tcPr>
            <w:tcW w:w="916" w:type="dxa"/>
            <w:noWrap/>
            <w:vAlign w:val="center"/>
          </w:tcPr>
          <w:p w14:paraId="7EC96D9F" w14:textId="77777777" w:rsidR="00CF09B3" w:rsidRPr="007375EB" w:rsidRDefault="00CF09B3" w:rsidP="00CF09B3">
            <w:pPr>
              <w:rPr>
                <w:lang w:val="bg-BG"/>
              </w:rPr>
            </w:pPr>
            <w:r w:rsidRPr="007375EB">
              <w:rPr>
                <w:lang w:val="bg-BG"/>
              </w:rPr>
              <w:t>-</w:t>
            </w:r>
          </w:p>
        </w:tc>
        <w:tc>
          <w:tcPr>
            <w:tcW w:w="916" w:type="dxa"/>
            <w:noWrap/>
            <w:vAlign w:val="center"/>
          </w:tcPr>
          <w:p w14:paraId="107F56A3" w14:textId="77777777" w:rsidR="00CF09B3" w:rsidRPr="007375EB" w:rsidRDefault="00CF09B3" w:rsidP="00CF09B3">
            <w:pPr>
              <w:rPr>
                <w:lang w:val="bg-BG"/>
              </w:rPr>
            </w:pPr>
            <w:r w:rsidRPr="007375EB">
              <w:rPr>
                <w:lang w:val="bg-BG"/>
              </w:rPr>
              <w:t>-</w:t>
            </w:r>
          </w:p>
        </w:tc>
        <w:tc>
          <w:tcPr>
            <w:tcW w:w="810" w:type="dxa"/>
            <w:noWrap/>
            <w:vAlign w:val="center"/>
          </w:tcPr>
          <w:p w14:paraId="002B7805" w14:textId="77777777" w:rsidR="00CF09B3" w:rsidRPr="007375EB" w:rsidRDefault="00CF09B3" w:rsidP="00CF09B3">
            <w:pPr>
              <w:rPr>
                <w:lang w:val="bg-BG"/>
              </w:rPr>
            </w:pPr>
            <w:r w:rsidRPr="007375EB">
              <w:rPr>
                <w:lang w:val="bg-BG"/>
              </w:rPr>
              <w:t>-</w:t>
            </w:r>
          </w:p>
        </w:tc>
        <w:tc>
          <w:tcPr>
            <w:tcW w:w="630" w:type="dxa"/>
            <w:noWrap/>
            <w:vAlign w:val="center"/>
          </w:tcPr>
          <w:p w14:paraId="1EA81243" w14:textId="77777777" w:rsidR="00CF09B3" w:rsidRPr="007375EB" w:rsidRDefault="00CF09B3" w:rsidP="00CF09B3">
            <w:pPr>
              <w:rPr>
                <w:lang w:val="bg-BG"/>
              </w:rPr>
            </w:pPr>
            <w:r w:rsidRPr="007375EB">
              <w:rPr>
                <w:lang w:val="bg-BG"/>
              </w:rPr>
              <w:t>-</w:t>
            </w:r>
          </w:p>
        </w:tc>
        <w:tc>
          <w:tcPr>
            <w:tcW w:w="720" w:type="dxa"/>
            <w:noWrap/>
            <w:vAlign w:val="center"/>
          </w:tcPr>
          <w:p w14:paraId="30D161E5" w14:textId="77777777" w:rsidR="00CF09B3" w:rsidRPr="007375EB" w:rsidRDefault="00CF09B3" w:rsidP="00CF09B3">
            <w:pPr>
              <w:rPr>
                <w:lang w:val="bg-BG"/>
              </w:rPr>
            </w:pPr>
            <w:r w:rsidRPr="007375EB">
              <w:rPr>
                <w:lang w:val="bg-BG"/>
              </w:rPr>
              <w:t>-</w:t>
            </w:r>
          </w:p>
        </w:tc>
        <w:tc>
          <w:tcPr>
            <w:tcW w:w="720" w:type="dxa"/>
            <w:noWrap/>
            <w:vAlign w:val="center"/>
          </w:tcPr>
          <w:p w14:paraId="6BA54FFA" w14:textId="77777777" w:rsidR="00CF09B3" w:rsidRPr="007375EB" w:rsidRDefault="00CF09B3" w:rsidP="00CF09B3">
            <w:pPr>
              <w:rPr>
                <w:lang w:val="bg-BG"/>
              </w:rPr>
            </w:pPr>
            <w:r w:rsidRPr="007375EB">
              <w:rPr>
                <w:lang w:val="bg-BG"/>
              </w:rPr>
              <w:t>-</w:t>
            </w:r>
          </w:p>
        </w:tc>
        <w:tc>
          <w:tcPr>
            <w:tcW w:w="540" w:type="dxa"/>
            <w:noWrap/>
            <w:vAlign w:val="center"/>
          </w:tcPr>
          <w:p w14:paraId="3FFA1618" w14:textId="77777777" w:rsidR="00CF09B3" w:rsidRPr="007375EB" w:rsidRDefault="00CF09B3" w:rsidP="00CF09B3">
            <w:pPr>
              <w:rPr>
                <w:lang w:val="bg-BG"/>
              </w:rPr>
            </w:pPr>
            <w:r w:rsidRPr="007375EB">
              <w:rPr>
                <w:lang w:val="bg-BG"/>
              </w:rPr>
              <w:t>-</w:t>
            </w:r>
          </w:p>
        </w:tc>
        <w:tc>
          <w:tcPr>
            <w:tcW w:w="990" w:type="dxa"/>
            <w:noWrap/>
            <w:vAlign w:val="center"/>
          </w:tcPr>
          <w:p w14:paraId="782E5C53" w14:textId="77777777" w:rsidR="00CF09B3" w:rsidRPr="007375EB" w:rsidRDefault="00CF09B3" w:rsidP="00CF09B3">
            <w:pPr>
              <w:rPr>
                <w:lang w:val="bg-BG"/>
              </w:rPr>
            </w:pPr>
            <w:r w:rsidRPr="007375EB">
              <w:rPr>
                <w:lang w:val="bg-BG"/>
              </w:rPr>
              <w:t>-</w:t>
            </w:r>
          </w:p>
        </w:tc>
        <w:tc>
          <w:tcPr>
            <w:tcW w:w="499" w:type="dxa"/>
            <w:noWrap/>
            <w:vAlign w:val="center"/>
          </w:tcPr>
          <w:p w14:paraId="2598D28A" w14:textId="77777777" w:rsidR="00CF09B3" w:rsidRPr="007375EB" w:rsidRDefault="00CF09B3" w:rsidP="00CF09B3">
            <w:pPr>
              <w:rPr>
                <w:lang w:val="bg-BG"/>
              </w:rPr>
            </w:pPr>
            <w:r w:rsidRPr="007375EB">
              <w:rPr>
                <w:lang w:val="bg-BG"/>
              </w:rPr>
              <w:t>-</w:t>
            </w:r>
          </w:p>
        </w:tc>
        <w:tc>
          <w:tcPr>
            <w:tcW w:w="507" w:type="dxa"/>
            <w:noWrap/>
            <w:vAlign w:val="center"/>
          </w:tcPr>
          <w:p w14:paraId="72D1D1AB" w14:textId="77777777" w:rsidR="00CF09B3" w:rsidRPr="007375EB" w:rsidRDefault="00CF09B3" w:rsidP="00CF09B3">
            <w:pPr>
              <w:rPr>
                <w:lang w:val="bg-BG"/>
              </w:rPr>
            </w:pPr>
            <w:r w:rsidRPr="007375EB">
              <w:rPr>
                <w:lang w:val="bg-BG"/>
              </w:rPr>
              <w:t>-</w:t>
            </w:r>
          </w:p>
        </w:tc>
        <w:tc>
          <w:tcPr>
            <w:tcW w:w="524" w:type="dxa"/>
            <w:noWrap/>
            <w:vAlign w:val="center"/>
          </w:tcPr>
          <w:p w14:paraId="76658FA5" w14:textId="77777777" w:rsidR="00CF09B3" w:rsidRPr="007375EB" w:rsidRDefault="00CF09B3" w:rsidP="00CF09B3">
            <w:pPr>
              <w:rPr>
                <w:lang w:val="bg-BG"/>
              </w:rPr>
            </w:pPr>
            <w:r w:rsidRPr="007375EB">
              <w:rPr>
                <w:lang w:val="bg-BG"/>
              </w:rPr>
              <w:t>-</w:t>
            </w:r>
          </w:p>
        </w:tc>
        <w:tc>
          <w:tcPr>
            <w:tcW w:w="616" w:type="dxa"/>
            <w:noWrap/>
            <w:vAlign w:val="center"/>
          </w:tcPr>
          <w:p w14:paraId="314496F7" w14:textId="77777777" w:rsidR="00CF09B3" w:rsidRPr="007375EB" w:rsidRDefault="00CF09B3" w:rsidP="00CF09B3">
            <w:pPr>
              <w:rPr>
                <w:lang w:val="bg-BG"/>
              </w:rPr>
            </w:pPr>
            <w:r w:rsidRPr="007375EB">
              <w:rPr>
                <w:lang w:val="bg-BG"/>
              </w:rPr>
              <w:t>-</w:t>
            </w:r>
          </w:p>
        </w:tc>
        <w:tc>
          <w:tcPr>
            <w:tcW w:w="612" w:type="dxa"/>
            <w:noWrap/>
            <w:vAlign w:val="center"/>
          </w:tcPr>
          <w:p w14:paraId="2F605C78" w14:textId="77777777" w:rsidR="00CF09B3" w:rsidRPr="007375EB" w:rsidRDefault="00CF09B3" w:rsidP="00CF09B3">
            <w:pPr>
              <w:rPr>
                <w:lang w:val="bg-BG"/>
              </w:rPr>
            </w:pPr>
            <w:r w:rsidRPr="007375EB">
              <w:rPr>
                <w:lang w:val="bg-BG"/>
              </w:rPr>
              <w:t>-</w:t>
            </w:r>
          </w:p>
        </w:tc>
      </w:tr>
      <w:tr w:rsidR="00CF09B3" w:rsidRPr="007375EB" w14:paraId="012DF7B1" w14:textId="77777777" w:rsidTr="006C1B17">
        <w:trPr>
          <w:trHeight w:val="210"/>
        </w:trPr>
        <w:tc>
          <w:tcPr>
            <w:tcW w:w="621" w:type="dxa"/>
            <w:noWrap/>
          </w:tcPr>
          <w:p w14:paraId="03523333" w14:textId="77777777" w:rsidR="00CF09B3" w:rsidRPr="007375EB" w:rsidRDefault="00CF09B3" w:rsidP="00CF09B3">
            <w:pPr>
              <w:rPr>
                <w:lang w:val="bg-BG"/>
              </w:rPr>
            </w:pPr>
            <w:r w:rsidRPr="007375EB">
              <w:rPr>
                <w:lang w:val="bg-BG"/>
              </w:rPr>
              <w:t>11</w:t>
            </w:r>
          </w:p>
        </w:tc>
        <w:tc>
          <w:tcPr>
            <w:tcW w:w="3189" w:type="dxa"/>
            <w:noWrap/>
          </w:tcPr>
          <w:p w14:paraId="0382D7E4" w14:textId="7F8AE7C3" w:rsidR="00CF09B3" w:rsidRPr="007375EB" w:rsidRDefault="00CF09B3" w:rsidP="00CF09B3">
            <w:pPr>
              <w:jc w:val="both"/>
              <w:rPr>
                <w:lang w:val="bg-BG"/>
              </w:rPr>
            </w:pPr>
            <w:r w:rsidRPr="007375EB">
              <w:rPr>
                <w:lang w:val="bg-BG"/>
              </w:rPr>
              <w:t>Изграждане на интелигентна мрежа за разпределение на природен газ в община Индепенденца, окръг Констанца (предложена)</w:t>
            </w:r>
          </w:p>
        </w:tc>
        <w:tc>
          <w:tcPr>
            <w:tcW w:w="2125" w:type="dxa"/>
            <w:noWrap/>
            <w:vAlign w:val="center"/>
          </w:tcPr>
          <w:p w14:paraId="4DA0E753" w14:textId="77777777" w:rsidR="00CF09B3" w:rsidRPr="007375EB" w:rsidRDefault="00CF09B3" w:rsidP="00CF09B3">
            <w:pPr>
              <w:rPr>
                <w:lang w:val="bg-BG"/>
              </w:rPr>
            </w:pPr>
            <w:r w:rsidRPr="007375EB">
              <w:rPr>
                <w:lang w:val="bg-BG"/>
              </w:rPr>
              <w:t>10,83 км</w:t>
            </w:r>
          </w:p>
        </w:tc>
        <w:tc>
          <w:tcPr>
            <w:tcW w:w="482" w:type="dxa"/>
            <w:noWrap/>
            <w:vAlign w:val="center"/>
          </w:tcPr>
          <w:p w14:paraId="30D72D0A" w14:textId="77777777" w:rsidR="00CF09B3" w:rsidRPr="007375EB" w:rsidRDefault="00CF09B3" w:rsidP="00CF09B3">
            <w:pPr>
              <w:rPr>
                <w:lang w:val="bg-BG"/>
              </w:rPr>
            </w:pPr>
            <w:r w:rsidRPr="007375EB">
              <w:rPr>
                <w:lang w:val="bg-BG"/>
              </w:rPr>
              <w:t>-</w:t>
            </w:r>
          </w:p>
        </w:tc>
        <w:tc>
          <w:tcPr>
            <w:tcW w:w="916" w:type="dxa"/>
            <w:noWrap/>
            <w:vAlign w:val="center"/>
          </w:tcPr>
          <w:p w14:paraId="49E7B7A4" w14:textId="77777777" w:rsidR="00CF09B3" w:rsidRPr="007375EB" w:rsidRDefault="00CF09B3" w:rsidP="00CF09B3">
            <w:pPr>
              <w:rPr>
                <w:lang w:val="bg-BG"/>
              </w:rPr>
            </w:pPr>
            <w:r w:rsidRPr="007375EB">
              <w:rPr>
                <w:lang w:val="bg-BG"/>
              </w:rPr>
              <w:t>-</w:t>
            </w:r>
          </w:p>
        </w:tc>
        <w:tc>
          <w:tcPr>
            <w:tcW w:w="916" w:type="dxa"/>
            <w:noWrap/>
            <w:vAlign w:val="center"/>
          </w:tcPr>
          <w:p w14:paraId="597CF4B4" w14:textId="77777777" w:rsidR="00CF09B3" w:rsidRPr="007375EB" w:rsidRDefault="00CF09B3" w:rsidP="00CF09B3">
            <w:pPr>
              <w:rPr>
                <w:lang w:val="bg-BG"/>
              </w:rPr>
            </w:pPr>
            <w:r w:rsidRPr="007375EB">
              <w:rPr>
                <w:lang w:val="bg-BG"/>
              </w:rPr>
              <w:t>-</w:t>
            </w:r>
          </w:p>
        </w:tc>
        <w:tc>
          <w:tcPr>
            <w:tcW w:w="810" w:type="dxa"/>
            <w:noWrap/>
            <w:vAlign w:val="center"/>
          </w:tcPr>
          <w:p w14:paraId="29C48D56" w14:textId="77777777" w:rsidR="00CF09B3" w:rsidRPr="007375EB" w:rsidRDefault="00CF09B3" w:rsidP="00CF09B3">
            <w:pPr>
              <w:rPr>
                <w:lang w:val="bg-BG"/>
              </w:rPr>
            </w:pPr>
            <w:r w:rsidRPr="007375EB">
              <w:rPr>
                <w:lang w:val="bg-BG"/>
              </w:rPr>
              <w:t>-</w:t>
            </w:r>
          </w:p>
        </w:tc>
        <w:tc>
          <w:tcPr>
            <w:tcW w:w="630" w:type="dxa"/>
            <w:noWrap/>
            <w:vAlign w:val="center"/>
          </w:tcPr>
          <w:p w14:paraId="746EDDF4" w14:textId="77777777" w:rsidR="00CF09B3" w:rsidRPr="007375EB" w:rsidRDefault="00CF09B3" w:rsidP="00CF09B3">
            <w:pPr>
              <w:rPr>
                <w:lang w:val="bg-BG"/>
              </w:rPr>
            </w:pPr>
            <w:r w:rsidRPr="007375EB">
              <w:rPr>
                <w:lang w:val="bg-BG"/>
              </w:rPr>
              <w:t>-</w:t>
            </w:r>
          </w:p>
        </w:tc>
        <w:tc>
          <w:tcPr>
            <w:tcW w:w="720" w:type="dxa"/>
            <w:noWrap/>
            <w:vAlign w:val="center"/>
          </w:tcPr>
          <w:p w14:paraId="5C45BEF1" w14:textId="77777777" w:rsidR="00CF09B3" w:rsidRPr="007375EB" w:rsidRDefault="00CF09B3" w:rsidP="00CF09B3">
            <w:pPr>
              <w:rPr>
                <w:lang w:val="bg-BG"/>
              </w:rPr>
            </w:pPr>
            <w:r w:rsidRPr="007375EB">
              <w:rPr>
                <w:lang w:val="bg-BG"/>
              </w:rPr>
              <w:t>-</w:t>
            </w:r>
          </w:p>
        </w:tc>
        <w:tc>
          <w:tcPr>
            <w:tcW w:w="720" w:type="dxa"/>
            <w:noWrap/>
            <w:vAlign w:val="center"/>
          </w:tcPr>
          <w:p w14:paraId="7ABB1391" w14:textId="77777777" w:rsidR="00CF09B3" w:rsidRPr="007375EB" w:rsidRDefault="00CF09B3" w:rsidP="00CF09B3">
            <w:pPr>
              <w:rPr>
                <w:lang w:val="bg-BG"/>
              </w:rPr>
            </w:pPr>
            <w:r w:rsidRPr="007375EB">
              <w:rPr>
                <w:lang w:val="bg-BG"/>
              </w:rPr>
              <w:t>-</w:t>
            </w:r>
          </w:p>
        </w:tc>
        <w:tc>
          <w:tcPr>
            <w:tcW w:w="540" w:type="dxa"/>
            <w:noWrap/>
            <w:vAlign w:val="center"/>
          </w:tcPr>
          <w:p w14:paraId="75EA90B7" w14:textId="77777777" w:rsidR="00CF09B3" w:rsidRPr="007375EB" w:rsidRDefault="00CF09B3" w:rsidP="00CF09B3">
            <w:pPr>
              <w:rPr>
                <w:lang w:val="bg-BG"/>
              </w:rPr>
            </w:pPr>
            <w:r w:rsidRPr="007375EB">
              <w:rPr>
                <w:lang w:val="bg-BG"/>
              </w:rPr>
              <w:t>-</w:t>
            </w:r>
          </w:p>
        </w:tc>
        <w:tc>
          <w:tcPr>
            <w:tcW w:w="990" w:type="dxa"/>
            <w:noWrap/>
            <w:vAlign w:val="center"/>
          </w:tcPr>
          <w:p w14:paraId="42BEC42D" w14:textId="77777777" w:rsidR="00CF09B3" w:rsidRPr="007375EB" w:rsidRDefault="00CF09B3" w:rsidP="00CF09B3">
            <w:pPr>
              <w:rPr>
                <w:lang w:val="bg-BG"/>
              </w:rPr>
            </w:pPr>
            <w:r w:rsidRPr="007375EB">
              <w:rPr>
                <w:lang w:val="bg-BG"/>
              </w:rPr>
              <w:t>-</w:t>
            </w:r>
          </w:p>
        </w:tc>
        <w:tc>
          <w:tcPr>
            <w:tcW w:w="499" w:type="dxa"/>
            <w:noWrap/>
            <w:vAlign w:val="center"/>
          </w:tcPr>
          <w:p w14:paraId="2B78CA64" w14:textId="77777777" w:rsidR="00CF09B3" w:rsidRPr="007375EB" w:rsidRDefault="00CF09B3" w:rsidP="00CF09B3">
            <w:pPr>
              <w:rPr>
                <w:lang w:val="bg-BG"/>
              </w:rPr>
            </w:pPr>
            <w:r w:rsidRPr="007375EB">
              <w:rPr>
                <w:lang w:val="bg-BG"/>
              </w:rPr>
              <w:t>-</w:t>
            </w:r>
          </w:p>
        </w:tc>
        <w:tc>
          <w:tcPr>
            <w:tcW w:w="507" w:type="dxa"/>
            <w:noWrap/>
            <w:vAlign w:val="center"/>
          </w:tcPr>
          <w:p w14:paraId="53F92236" w14:textId="77777777" w:rsidR="00CF09B3" w:rsidRPr="007375EB" w:rsidRDefault="00CF09B3" w:rsidP="00CF09B3">
            <w:pPr>
              <w:rPr>
                <w:lang w:val="bg-BG"/>
              </w:rPr>
            </w:pPr>
            <w:r w:rsidRPr="007375EB">
              <w:rPr>
                <w:lang w:val="bg-BG"/>
              </w:rPr>
              <w:t>-</w:t>
            </w:r>
          </w:p>
        </w:tc>
        <w:tc>
          <w:tcPr>
            <w:tcW w:w="524" w:type="dxa"/>
            <w:noWrap/>
            <w:vAlign w:val="center"/>
          </w:tcPr>
          <w:p w14:paraId="17A26130" w14:textId="77777777" w:rsidR="00CF09B3" w:rsidRPr="007375EB" w:rsidRDefault="00CF09B3" w:rsidP="00CF09B3">
            <w:pPr>
              <w:rPr>
                <w:lang w:val="bg-BG"/>
              </w:rPr>
            </w:pPr>
            <w:r w:rsidRPr="007375EB">
              <w:rPr>
                <w:lang w:val="bg-BG"/>
              </w:rPr>
              <w:t>-</w:t>
            </w:r>
          </w:p>
        </w:tc>
        <w:tc>
          <w:tcPr>
            <w:tcW w:w="616" w:type="dxa"/>
            <w:noWrap/>
            <w:vAlign w:val="center"/>
          </w:tcPr>
          <w:p w14:paraId="4B7733AC" w14:textId="77777777" w:rsidR="00CF09B3" w:rsidRPr="007375EB" w:rsidRDefault="00CF09B3" w:rsidP="00CF09B3">
            <w:pPr>
              <w:rPr>
                <w:lang w:val="bg-BG"/>
              </w:rPr>
            </w:pPr>
            <w:r w:rsidRPr="007375EB">
              <w:rPr>
                <w:lang w:val="bg-BG"/>
              </w:rPr>
              <w:t>-</w:t>
            </w:r>
          </w:p>
        </w:tc>
        <w:tc>
          <w:tcPr>
            <w:tcW w:w="612" w:type="dxa"/>
            <w:noWrap/>
            <w:vAlign w:val="center"/>
          </w:tcPr>
          <w:p w14:paraId="37062108" w14:textId="77777777" w:rsidR="00CF09B3" w:rsidRPr="007375EB" w:rsidRDefault="00CF09B3" w:rsidP="00CF09B3">
            <w:pPr>
              <w:rPr>
                <w:lang w:val="bg-BG"/>
              </w:rPr>
            </w:pPr>
            <w:r w:rsidRPr="007375EB">
              <w:rPr>
                <w:lang w:val="bg-BG"/>
              </w:rPr>
              <w:t>-</w:t>
            </w:r>
          </w:p>
        </w:tc>
      </w:tr>
      <w:tr w:rsidR="00CF09B3" w:rsidRPr="007375EB" w14:paraId="77B99F1C" w14:textId="77777777" w:rsidTr="006C1B17">
        <w:trPr>
          <w:trHeight w:val="210"/>
        </w:trPr>
        <w:tc>
          <w:tcPr>
            <w:tcW w:w="621" w:type="dxa"/>
            <w:noWrap/>
          </w:tcPr>
          <w:p w14:paraId="5B83F53A" w14:textId="77777777" w:rsidR="00CF09B3" w:rsidRPr="007375EB" w:rsidRDefault="00CF09B3" w:rsidP="00CF09B3">
            <w:pPr>
              <w:rPr>
                <w:lang w:val="bg-BG"/>
              </w:rPr>
            </w:pPr>
            <w:r w:rsidRPr="007375EB">
              <w:rPr>
                <w:lang w:val="bg-BG"/>
              </w:rPr>
              <w:t>12</w:t>
            </w:r>
          </w:p>
        </w:tc>
        <w:tc>
          <w:tcPr>
            <w:tcW w:w="3189" w:type="dxa"/>
            <w:noWrap/>
          </w:tcPr>
          <w:p w14:paraId="70638730" w14:textId="47530D4B" w:rsidR="00CF09B3" w:rsidRPr="007375EB" w:rsidRDefault="00CF09B3" w:rsidP="00CF09B3">
            <w:pPr>
              <w:jc w:val="both"/>
              <w:rPr>
                <w:lang w:val="bg-BG"/>
              </w:rPr>
            </w:pPr>
            <w:r w:rsidRPr="007375EB">
              <w:rPr>
                <w:lang w:val="bg-BG"/>
              </w:rPr>
              <w:t>Изграждане на мост в Мовила Верде, улица „Бисеричи“, Мовила Верде, община Индепенденца, окръг Констанца (предложен)</w:t>
            </w:r>
          </w:p>
        </w:tc>
        <w:tc>
          <w:tcPr>
            <w:tcW w:w="2125" w:type="dxa"/>
            <w:noWrap/>
            <w:vAlign w:val="center"/>
          </w:tcPr>
          <w:p w14:paraId="35462EEE" w14:textId="77777777" w:rsidR="00CF09B3" w:rsidRPr="007375EB" w:rsidRDefault="00CF09B3" w:rsidP="00CF09B3">
            <w:pPr>
              <w:rPr>
                <w:lang w:val="bg-BG"/>
              </w:rPr>
            </w:pPr>
            <w:r w:rsidRPr="007375EB">
              <w:rPr>
                <w:lang w:val="bg-BG"/>
              </w:rPr>
              <w:t>15,7 км</w:t>
            </w:r>
          </w:p>
        </w:tc>
        <w:tc>
          <w:tcPr>
            <w:tcW w:w="482" w:type="dxa"/>
            <w:noWrap/>
            <w:vAlign w:val="center"/>
          </w:tcPr>
          <w:p w14:paraId="608328EA" w14:textId="77777777" w:rsidR="00CF09B3" w:rsidRPr="007375EB" w:rsidRDefault="00CF09B3" w:rsidP="00CF09B3">
            <w:pPr>
              <w:rPr>
                <w:lang w:val="bg-BG"/>
              </w:rPr>
            </w:pPr>
            <w:r w:rsidRPr="007375EB">
              <w:rPr>
                <w:lang w:val="bg-BG"/>
              </w:rPr>
              <w:t>-</w:t>
            </w:r>
          </w:p>
        </w:tc>
        <w:tc>
          <w:tcPr>
            <w:tcW w:w="916" w:type="dxa"/>
            <w:noWrap/>
            <w:vAlign w:val="center"/>
          </w:tcPr>
          <w:p w14:paraId="22C58BA6" w14:textId="77777777" w:rsidR="00CF09B3" w:rsidRPr="007375EB" w:rsidRDefault="00CF09B3" w:rsidP="00CF09B3">
            <w:pPr>
              <w:rPr>
                <w:lang w:val="bg-BG"/>
              </w:rPr>
            </w:pPr>
            <w:r w:rsidRPr="007375EB">
              <w:rPr>
                <w:lang w:val="bg-BG"/>
              </w:rPr>
              <w:t>-</w:t>
            </w:r>
          </w:p>
        </w:tc>
        <w:tc>
          <w:tcPr>
            <w:tcW w:w="916" w:type="dxa"/>
            <w:noWrap/>
            <w:vAlign w:val="center"/>
          </w:tcPr>
          <w:p w14:paraId="0F8B35B3" w14:textId="77777777" w:rsidR="00CF09B3" w:rsidRPr="007375EB" w:rsidRDefault="00CF09B3" w:rsidP="00CF09B3">
            <w:pPr>
              <w:rPr>
                <w:lang w:val="bg-BG"/>
              </w:rPr>
            </w:pPr>
            <w:r w:rsidRPr="007375EB">
              <w:rPr>
                <w:lang w:val="bg-BG"/>
              </w:rPr>
              <w:t>-</w:t>
            </w:r>
          </w:p>
        </w:tc>
        <w:tc>
          <w:tcPr>
            <w:tcW w:w="810" w:type="dxa"/>
            <w:noWrap/>
            <w:vAlign w:val="center"/>
          </w:tcPr>
          <w:p w14:paraId="6A97D80F" w14:textId="77777777" w:rsidR="00CF09B3" w:rsidRPr="007375EB" w:rsidRDefault="00CF09B3" w:rsidP="00CF09B3">
            <w:pPr>
              <w:rPr>
                <w:lang w:val="bg-BG"/>
              </w:rPr>
            </w:pPr>
            <w:r w:rsidRPr="007375EB">
              <w:rPr>
                <w:lang w:val="bg-BG"/>
              </w:rPr>
              <w:t>-</w:t>
            </w:r>
          </w:p>
        </w:tc>
        <w:tc>
          <w:tcPr>
            <w:tcW w:w="630" w:type="dxa"/>
            <w:noWrap/>
            <w:vAlign w:val="center"/>
          </w:tcPr>
          <w:p w14:paraId="5E48B4F4" w14:textId="77777777" w:rsidR="00CF09B3" w:rsidRPr="007375EB" w:rsidRDefault="00CF09B3" w:rsidP="00CF09B3">
            <w:pPr>
              <w:rPr>
                <w:lang w:val="bg-BG"/>
              </w:rPr>
            </w:pPr>
            <w:r w:rsidRPr="007375EB">
              <w:rPr>
                <w:lang w:val="bg-BG"/>
              </w:rPr>
              <w:t>-</w:t>
            </w:r>
          </w:p>
        </w:tc>
        <w:tc>
          <w:tcPr>
            <w:tcW w:w="720" w:type="dxa"/>
            <w:noWrap/>
            <w:vAlign w:val="center"/>
          </w:tcPr>
          <w:p w14:paraId="2652D7FF" w14:textId="77777777" w:rsidR="00CF09B3" w:rsidRPr="007375EB" w:rsidRDefault="00CF09B3" w:rsidP="00CF09B3">
            <w:pPr>
              <w:rPr>
                <w:lang w:val="bg-BG"/>
              </w:rPr>
            </w:pPr>
            <w:r w:rsidRPr="007375EB">
              <w:rPr>
                <w:lang w:val="bg-BG"/>
              </w:rPr>
              <w:t>-</w:t>
            </w:r>
          </w:p>
        </w:tc>
        <w:tc>
          <w:tcPr>
            <w:tcW w:w="720" w:type="dxa"/>
            <w:noWrap/>
            <w:vAlign w:val="center"/>
          </w:tcPr>
          <w:p w14:paraId="533525EE" w14:textId="77777777" w:rsidR="00CF09B3" w:rsidRPr="007375EB" w:rsidRDefault="00CF09B3" w:rsidP="00CF09B3">
            <w:pPr>
              <w:rPr>
                <w:lang w:val="bg-BG"/>
              </w:rPr>
            </w:pPr>
            <w:r w:rsidRPr="007375EB">
              <w:rPr>
                <w:lang w:val="bg-BG"/>
              </w:rPr>
              <w:t>-</w:t>
            </w:r>
          </w:p>
        </w:tc>
        <w:tc>
          <w:tcPr>
            <w:tcW w:w="540" w:type="dxa"/>
            <w:noWrap/>
            <w:vAlign w:val="center"/>
          </w:tcPr>
          <w:p w14:paraId="38FD0290" w14:textId="77777777" w:rsidR="00CF09B3" w:rsidRPr="007375EB" w:rsidRDefault="00CF09B3" w:rsidP="00CF09B3">
            <w:pPr>
              <w:rPr>
                <w:lang w:val="bg-BG"/>
              </w:rPr>
            </w:pPr>
            <w:r w:rsidRPr="007375EB">
              <w:rPr>
                <w:lang w:val="bg-BG"/>
              </w:rPr>
              <w:t>-</w:t>
            </w:r>
          </w:p>
        </w:tc>
        <w:tc>
          <w:tcPr>
            <w:tcW w:w="990" w:type="dxa"/>
            <w:noWrap/>
            <w:vAlign w:val="center"/>
          </w:tcPr>
          <w:p w14:paraId="5D5825C1" w14:textId="77777777" w:rsidR="00CF09B3" w:rsidRPr="007375EB" w:rsidRDefault="00CF09B3" w:rsidP="00CF09B3">
            <w:pPr>
              <w:rPr>
                <w:lang w:val="bg-BG"/>
              </w:rPr>
            </w:pPr>
            <w:r w:rsidRPr="007375EB">
              <w:rPr>
                <w:lang w:val="bg-BG"/>
              </w:rPr>
              <w:t>-</w:t>
            </w:r>
          </w:p>
        </w:tc>
        <w:tc>
          <w:tcPr>
            <w:tcW w:w="499" w:type="dxa"/>
            <w:noWrap/>
            <w:vAlign w:val="center"/>
          </w:tcPr>
          <w:p w14:paraId="19AD35FB" w14:textId="77777777" w:rsidR="00CF09B3" w:rsidRPr="007375EB" w:rsidRDefault="00CF09B3" w:rsidP="00CF09B3">
            <w:pPr>
              <w:rPr>
                <w:lang w:val="bg-BG"/>
              </w:rPr>
            </w:pPr>
            <w:r w:rsidRPr="007375EB">
              <w:rPr>
                <w:lang w:val="bg-BG"/>
              </w:rPr>
              <w:t>-</w:t>
            </w:r>
          </w:p>
        </w:tc>
        <w:tc>
          <w:tcPr>
            <w:tcW w:w="507" w:type="dxa"/>
            <w:noWrap/>
            <w:vAlign w:val="center"/>
          </w:tcPr>
          <w:p w14:paraId="24FCA1FF" w14:textId="77777777" w:rsidR="00CF09B3" w:rsidRPr="007375EB" w:rsidRDefault="00CF09B3" w:rsidP="00CF09B3">
            <w:pPr>
              <w:rPr>
                <w:lang w:val="bg-BG"/>
              </w:rPr>
            </w:pPr>
            <w:r w:rsidRPr="007375EB">
              <w:rPr>
                <w:lang w:val="bg-BG"/>
              </w:rPr>
              <w:t>-</w:t>
            </w:r>
          </w:p>
        </w:tc>
        <w:tc>
          <w:tcPr>
            <w:tcW w:w="524" w:type="dxa"/>
            <w:noWrap/>
            <w:vAlign w:val="center"/>
          </w:tcPr>
          <w:p w14:paraId="0ADF75E0" w14:textId="77777777" w:rsidR="00CF09B3" w:rsidRPr="007375EB" w:rsidRDefault="00CF09B3" w:rsidP="00CF09B3">
            <w:pPr>
              <w:rPr>
                <w:lang w:val="bg-BG"/>
              </w:rPr>
            </w:pPr>
            <w:r w:rsidRPr="007375EB">
              <w:rPr>
                <w:lang w:val="bg-BG"/>
              </w:rPr>
              <w:t>-</w:t>
            </w:r>
          </w:p>
        </w:tc>
        <w:tc>
          <w:tcPr>
            <w:tcW w:w="616" w:type="dxa"/>
            <w:noWrap/>
            <w:vAlign w:val="center"/>
          </w:tcPr>
          <w:p w14:paraId="39B9DBBB" w14:textId="77777777" w:rsidR="00CF09B3" w:rsidRPr="007375EB" w:rsidRDefault="00CF09B3" w:rsidP="00CF09B3">
            <w:pPr>
              <w:rPr>
                <w:lang w:val="bg-BG"/>
              </w:rPr>
            </w:pPr>
            <w:r w:rsidRPr="007375EB">
              <w:rPr>
                <w:lang w:val="bg-BG"/>
              </w:rPr>
              <w:t>-</w:t>
            </w:r>
          </w:p>
        </w:tc>
        <w:tc>
          <w:tcPr>
            <w:tcW w:w="612" w:type="dxa"/>
            <w:noWrap/>
            <w:vAlign w:val="center"/>
          </w:tcPr>
          <w:p w14:paraId="2A2F681B" w14:textId="77777777" w:rsidR="00CF09B3" w:rsidRPr="007375EB" w:rsidRDefault="00CF09B3" w:rsidP="00CF09B3">
            <w:pPr>
              <w:rPr>
                <w:lang w:val="bg-BG"/>
              </w:rPr>
            </w:pPr>
            <w:r w:rsidRPr="007375EB">
              <w:rPr>
                <w:lang w:val="bg-BG"/>
              </w:rPr>
              <w:t>-</w:t>
            </w:r>
          </w:p>
        </w:tc>
      </w:tr>
      <w:tr w:rsidR="00CF09B3" w:rsidRPr="007375EB" w14:paraId="0E1A8EC0" w14:textId="77777777" w:rsidTr="006C1B17">
        <w:trPr>
          <w:trHeight w:val="210"/>
        </w:trPr>
        <w:tc>
          <w:tcPr>
            <w:tcW w:w="621" w:type="dxa"/>
            <w:noWrap/>
          </w:tcPr>
          <w:p w14:paraId="2719E411" w14:textId="77777777" w:rsidR="00CF09B3" w:rsidRPr="007375EB" w:rsidRDefault="00CF09B3" w:rsidP="00CF09B3">
            <w:pPr>
              <w:rPr>
                <w:lang w:val="bg-BG"/>
              </w:rPr>
            </w:pPr>
            <w:r w:rsidRPr="007375EB">
              <w:rPr>
                <w:lang w:val="bg-BG"/>
              </w:rPr>
              <w:t>13</w:t>
            </w:r>
          </w:p>
        </w:tc>
        <w:tc>
          <w:tcPr>
            <w:tcW w:w="3189" w:type="dxa"/>
            <w:noWrap/>
          </w:tcPr>
          <w:p w14:paraId="274F336C" w14:textId="0CAC2F47" w:rsidR="00CF09B3" w:rsidRPr="007375EB" w:rsidRDefault="00CF09B3" w:rsidP="00CF09B3">
            <w:pPr>
              <w:jc w:val="both"/>
              <w:rPr>
                <w:lang w:val="bg-BG"/>
              </w:rPr>
            </w:pPr>
            <w:r w:rsidRPr="007375EB">
              <w:rPr>
                <w:lang w:val="bg-BG"/>
              </w:rPr>
              <w:t>Асфалтиране на улици Комана, Тътару и Пелину, етап I, община Комана, окръг Констанца (предложено)</w:t>
            </w:r>
          </w:p>
        </w:tc>
        <w:tc>
          <w:tcPr>
            <w:tcW w:w="2125" w:type="dxa"/>
            <w:noWrap/>
            <w:vAlign w:val="center"/>
          </w:tcPr>
          <w:p w14:paraId="24748882" w14:textId="77777777" w:rsidR="00CF09B3" w:rsidRPr="007375EB" w:rsidRDefault="00CF09B3" w:rsidP="00CF09B3">
            <w:pPr>
              <w:rPr>
                <w:lang w:val="bg-BG"/>
              </w:rPr>
            </w:pPr>
            <w:r w:rsidRPr="007375EB">
              <w:rPr>
                <w:lang w:val="bg-BG"/>
              </w:rPr>
              <w:t>27,11 км</w:t>
            </w:r>
          </w:p>
        </w:tc>
        <w:tc>
          <w:tcPr>
            <w:tcW w:w="482" w:type="dxa"/>
            <w:noWrap/>
            <w:vAlign w:val="center"/>
          </w:tcPr>
          <w:p w14:paraId="25A5A7A3" w14:textId="77777777" w:rsidR="00CF09B3" w:rsidRPr="007375EB" w:rsidRDefault="00CF09B3" w:rsidP="00CF09B3">
            <w:pPr>
              <w:rPr>
                <w:lang w:val="bg-BG"/>
              </w:rPr>
            </w:pPr>
            <w:r w:rsidRPr="007375EB">
              <w:rPr>
                <w:lang w:val="bg-BG"/>
              </w:rPr>
              <w:t>-</w:t>
            </w:r>
          </w:p>
        </w:tc>
        <w:tc>
          <w:tcPr>
            <w:tcW w:w="916" w:type="dxa"/>
            <w:noWrap/>
            <w:vAlign w:val="center"/>
          </w:tcPr>
          <w:p w14:paraId="5F1CEBD5" w14:textId="77777777" w:rsidR="00CF09B3" w:rsidRPr="007375EB" w:rsidRDefault="00CF09B3" w:rsidP="00CF09B3">
            <w:pPr>
              <w:rPr>
                <w:lang w:val="bg-BG"/>
              </w:rPr>
            </w:pPr>
            <w:r w:rsidRPr="007375EB">
              <w:rPr>
                <w:lang w:val="bg-BG"/>
              </w:rPr>
              <w:t>-</w:t>
            </w:r>
          </w:p>
        </w:tc>
        <w:tc>
          <w:tcPr>
            <w:tcW w:w="916" w:type="dxa"/>
            <w:noWrap/>
            <w:vAlign w:val="center"/>
          </w:tcPr>
          <w:p w14:paraId="73903F7D" w14:textId="77777777" w:rsidR="00CF09B3" w:rsidRPr="007375EB" w:rsidRDefault="00CF09B3" w:rsidP="00CF09B3">
            <w:pPr>
              <w:rPr>
                <w:lang w:val="bg-BG"/>
              </w:rPr>
            </w:pPr>
            <w:r w:rsidRPr="007375EB">
              <w:rPr>
                <w:lang w:val="bg-BG"/>
              </w:rPr>
              <w:t>-</w:t>
            </w:r>
          </w:p>
        </w:tc>
        <w:tc>
          <w:tcPr>
            <w:tcW w:w="810" w:type="dxa"/>
            <w:noWrap/>
            <w:vAlign w:val="center"/>
          </w:tcPr>
          <w:p w14:paraId="7FE09AF0" w14:textId="77777777" w:rsidR="00CF09B3" w:rsidRPr="007375EB" w:rsidRDefault="00CF09B3" w:rsidP="00CF09B3">
            <w:pPr>
              <w:rPr>
                <w:lang w:val="bg-BG"/>
              </w:rPr>
            </w:pPr>
            <w:r w:rsidRPr="007375EB">
              <w:rPr>
                <w:lang w:val="bg-BG"/>
              </w:rPr>
              <w:t>-</w:t>
            </w:r>
          </w:p>
        </w:tc>
        <w:tc>
          <w:tcPr>
            <w:tcW w:w="630" w:type="dxa"/>
            <w:noWrap/>
            <w:vAlign w:val="center"/>
          </w:tcPr>
          <w:p w14:paraId="66A4E531" w14:textId="77777777" w:rsidR="00CF09B3" w:rsidRPr="007375EB" w:rsidRDefault="00CF09B3" w:rsidP="00CF09B3">
            <w:pPr>
              <w:rPr>
                <w:lang w:val="bg-BG"/>
              </w:rPr>
            </w:pPr>
            <w:r w:rsidRPr="007375EB">
              <w:rPr>
                <w:lang w:val="bg-BG"/>
              </w:rPr>
              <w:t>-</w:t>
            </w:r>
          </w:p>
        </w:tc>
        <w:tc>
          <w:tcPr>
            <w:tcW w:w="720" w:type="dxa"/>
            <w:noWrap/>
            <w:vAlign w:val="center"/>
          </w:tcPr>
          <w:p w14:paraId="5EF97A51" w14:textId="77777777" w:rsidR="00CF09B3" w:rsidRPr="007375EB" w:rsidRDefault="00CF09B3" w:rsidP="00CF09B3">
            <w:pPr>
              <w:rPr>
                <w:lang w:val="bg-BG"/>
              </w:rPr>
            </w:pPr>
            <w:r w:rsidRPr="007375EB">
              <w:rPr>
                <w:lang w:val="bg-BG"/>
              </w:rPr>
              <w:t>-</w:t>
            </w:r>
          </w:p>
        </w:tc>
        <w:tc>
          <w:tcPr>
            <w:tcW w:w="720" w:type="dxa"/>
            <w:noWrap/>
            <w:vAlign w:val="center"/>
          </w:tcPr>
          <w:p w14:paraId="23D65663" w14:textId="77777777" w:rsidR="00CF09B3" w:rsidRPr="007375EB" w:rsidRDefault="00CF09B3" w:rsidP="00CF09B3">
            <w:pPr>
              <w:rPr>
                <w:lang w:val="bg-BG"/>
              </w:rPr>
            </w:pPr>
            <w:r w:rsidRPr="007375EB">
              <w:rPr>
                <w:lang w:val="bg-BG"/>
              </w:rPr>
              <w:t>-</w:t>
            </w:r>
          </w:p>
        </w:tc>
        <w:tc>
          <w:tcPr>
            <w:tcW w:w="540" w:type="dxa"/>
            <w:noWrap/>
            <w:vAlign w:val="center"/>
          </w:tcPr>
          <w:p w14:paraId="70BCC916" w14:textId="77777777" w:rsidR="00CF09B3" w:rsidRPr="007375EB" w:rsidRDefault="00CF09B3" w:rsidP="00CF09B3">
            <w:pPr>
              <w:rPr>
                <w:lang w:val="bg-BG"/>
              </w:rPr>
            </w:pPr>
            <w:r w:rsidRPr="007375EB">
              <w:rPr>
                <w:lang w:val="bg-BG"/>
              </w:rPr>
              <w:t>-</w:t>
            </w:r>
          </w:p>
        </w:tc>
        <w:tc>
          <w:tcPr>
            <w:tcW w:w="990" w:type="dxa"/>
            <w:noWrap/>
            <w:vAlign w:val="center"/>
          </w:tcPr>
          <w:p w14:paraId="157B48E1" w14:textId="77777777" w:rsidR="00CF09B3" w:rsidRPr="007375EB" w:rsidRDefault="00CF09B3" w:rsidP="00CF09B3">
            <w:pPr>
              <w:rPr>
                <w:lang w:val="bg-BG"/>
              </w:rPr>
            </w:pPr>
            <w:r w:rsidRPr="007375EB">
              <w:rPr>
                <w:lang w:val="bg-BG"/>
              </w:rPr>
              <w:t>-</w:t>
            </w:r>
          </w:p>
        </w:tc>
        <w:tc>
          <w:tcPr>
            <w:tcW w:w="499" w:type="dxa"/>
            <w:noWrap/>
            <w:vAlign w:val="center"/>
          </w:tcPr>
          <w:p w14:paraId="35A7AB31" w14:textId="77777777" w:rsidR="00CF09B3" w:rsidRPr="007375EB" w:rsidRDefault="00CF09B3" w:rsidP="00CF09B3">
            <w:pPr>
              <w:rPr>
                <w:lang w:val="bg-BG"/>
              </w:rPr>
            </w:pPr>
            <w:r w:rsidRPr="007375EB">
              <w:rPr>
                <w:lang w:val="bg-BG"/>
              </w:rPr>
              <w:t>-</w:t>
            </w:r>
          </w:p>
        </w:tc>
        <w:tc>
          <w:tcPr>
            <w:tcW w:w="507" w:type="dxa"/>
            <w:noWrap/>
            <w:vAlign w:val="center"/>
          </w:tcPr>
          <w:p w14:paraId="7C5F4D44" w14:textId="77777777" w:rsidR="00CF09B3" w:rsidRPr="007375EB" w:rsidRDefault="00CF09B3" w:rsidP="00CF09B3">
            <w:pPr>
              <w:rPr>
                <w:lang w:val="bg-BG"/>
              </w:rPr>
            </w:pPr>
            <w:r w:rsidRPr="007375EB">
              <w:rPr>
                <w:lang w:val="bg-BG"/>
              </w:rPr>
              <w:t>-</w:t>
            </w:r>
          </w:p>
        </w:tc>
        <w:tc>
          <w:tcPr>
            <w:tcW w:w="524" w:type="dxa"/>
            <w:noWrap/>
            <w:vAlign w:val="center"/>
          </w:tcPr>
          <w:p w14:paraId="6F241B11" w14:textId="77777777" w:rsidR="00CF09B3" w:rsidRPr="007375EB" w:rsidRDefault="00CF09B3" w:rsidP="00CF09B3">
            <w:pPr>
              <w:rPr>
                <w:lang w:val="bg-BG"/>
              </w:rPr>
            </w:pPr>
            <w:r w:rsidRPr="007375EB">
              <w:rPr>
                <w:lang w:val="bg-BG"/>
              </w:rPr>
              <w:t>-</w:t>
            </w:r>
          </w:p>
        </w:tc>
        <w:tc>
          <w:tcPr>
            <w:tcW w:w="616" w:type="dxa"/>
            <w:noWrap/>
            <w:vAlign w:val="center"/>
          </w:tcPr>
          <w:p w14:paraId="572F54A2" w14:textId="77777777" w:rsidR="00CF09B3" w:rsidRPr="007375EB" w:rsidRDefault="00CF09B3" w:rsidP="00CF09B3">
            <w:pPr>
              <w:rPr>
                <w:lang w:val="bg-BG"/>
              </w:rPr>
            </w:pPr>
            <w:r w:rsidRPr="007375EB">
              <w:rPr>
                <w:lang w:val="bg-BG"/>
              </w:rPr>
              <w:t>-</w:t>
            </w:r>
          </w:p>
        </w:tc>
        <w:tc>
          <w:tcPr>
            <w:tcW w:w="612" w:type="dxa"/>
            <w:noWrap/>
            <w:vAlign w:val="center"/>
          </w:tcPr>
          <w:p w14:paraId="4DCEB5A0" w14:textId="77777777" w:rsidR="00CF09B3" w:rsidRPr="007375EB" w:rsidRDefault="00CF09B3" w:rsidP="00CF09B3">
            <w:pPr>
              <w:rPr>
                <w:lang w:val="bg-BG"/>
              </w:rPr>
            </w:pPr>
            <w:r w:rsidRPr="007375EB">
              <w:rPr>
                <w:lang w:val="bg-BG"/>
              </w:rPr>
              <w:t>-</w:t>
            </w:r>
          </w:p>
        </w:tc>
      </w:tr>
      <w:tr w:rsidR="00CF09B3" w:rsidRPr="007375EB" w14:paraId="7F29C30D" w14:textId="77777777" w:rsidTr="006C1B17">
        <w:trPr>
          <w:trHeight w:val="210"/>
        </w:trPr>
        <w:tc>
          <w:tcPr>
            <w:tcW w:w="621" w:type="dxa"/>
            <w:noWrap/>
          </w:tcPr>
          <w:p w14:paraId="2BE30423" w14:textId="77777777" w:rsidR="00CF09B3" w:rsidRPr="007375EB" w:rsidRDefault="00CF09B3" w:rsidP="00CF09B3">
            <w:pPr>
              <w:rPr>
                <w:lang w:val="bg-BG"/>
              </w:rPr>
            </w:pPr>
            <w:r w:rsidRPr="007375EB">
              <w:rPr>
                <w:lang w:val="bg-BG"/>
              </w:rPr>
              <w:t>14</w:t>
            </w:r>
          </w:p>
        </w:tc>
        <w:tc>
          <w:tcPr>
            <w:tcW w:w="3189" w:type="dxa"/>
            <w:noWrap/>
          </w:tcPr>
          <w:p w14:paraId="3F2288E2" w14:textId="0AE71BAF" w:rsidR="00CF09B3" w:rsidRPr="007375EB" w:rsidRDefault="00CF09B3" w:rsidP="00CF09B3">
            <w:pPr>
              <w:jc w:val="both"/>
              <w:rPr>
                <w:lang w:val="bg-BG"/>
              </w:rPr>
            </w:pPr>
            <w:r w:rsidRPr="007375EB">
              <w:rPr>
                <w:lang w:val="bg-BG"/>
              </w:rPr>
              <w:t xml:space="preserve">Изграждане на мостове, водостоци и прокарване на </w:t>
            </w:r>
            <w:r w:rsidRPr="007375EB">
              <w:rPr>
                <w:lang w:val="bg-BG"/>
              </w:rPr>
              <w:lastRenderedPageBreak/>
              <w:t>дъждовна канализация в Крединца, община Кирногени (предложено)</w:t>
            </w:r>
          </w:p>
        </w:tc>
        <w:tc>
          <w:tcPr>
            <w:tcW w:w="2125" w:type="dxa"/>
            <w:noWrap/>
            <w:vAlign w:val="center"/>
          </w:tcPr>
          <w:p w14:paraId="2AEA1B99" w14:textId="77777777" w:rsidR="00CF09B3" w:rsidRPr="007375EB" w:rsidRDefault="00CF09B3" w:rsidP="00CF09B3">
            <w:pPr>
              <w:rPr>
                <w:lang w:val="bg-BG"/>
              </w:rPr>
            </w:pPr>
            <w:r w:rsidRPr="007375EB">
              <w:rPr>
                <w:lang w:val="bg-BG"/>
              </w:rPr>
              <w:lastRenderedPageBreak/>
              <w:t>22,89</w:t>
            </w:r>
          </w:p>
        </w:tc>
        <w:tc>
          <w:tcPr>
            <w:tcW w:w="482" w:type="dxa"/>
            <w:noWrap/>
            <w:vAlign w:val="center"/>
          </w:tcPr>
          <w:p w14:paraId="723179B9" w14:textId="77777777" w:rsidR="00CF09B3" w:rsidRPr="007375EB" w:rsidRDefault="00CF09B3" w:rsidP="00CF09B3">
            <w:pPr>
              <w:rPr>
                <w:lang w:val="bg-BG"/>
              </w:rPr>
            </w:pPr>
            <w:r w:rsidRPr="007375EB">
              <w:rPr>
                <w:lang w:val="bg-BG"/>
              </w:rPr>
              <w:t>-</w:t>
            </w:r>
          </w:p>
        </w:tc>
        <w:tc>
          <w:tcPr>
            <w:tcW w:w="916" w:type="dxa"/>
            <w:noWrap/>
            <w:vAlign w:val="center"/>
          </w:tcPr>
          <w:p w14:paraId="6F17906F" w14:textId="77777777" w:rsidR="00CF09B3" w:rsidRPr="007375EB" w:rsidRDefault="00CF09B3" w:rsidP="00CF09B3">
            <w:pPr>
              <w:rPr>
                <w:lang w:val="bg-BG"/>
              </w:rPr>
            </w:pPr>
            <w:r w:rsidRPr="007375EB">
              <w:rPr>
                <w:lang w:val="bg-BG"/>
              </w:rPr>
              <w:t>-</w:t>
            </w:r>
          </w:p>
        </w:tc>
        <w:tc>
          <w:tcPr>
            <w:tcW w:w="916" w:type="dxa"/>
            <w:noWrap/>
            <w:vAlign w:val="center"/>
          </w:tcPr>
          <w:p w14:paraId="760CF79E" w14:textId="77777777" w:rsidR="00CF09B3" w:rsidRPr="007375EB" w:rsidRDefault="00CF09B3" w:rsidP="00CF09B3">
            <w:pPr>
              <w:rPr>
                <w:lang w:val="bg-BG"/>
              </w:rPr>
            </w:pPr>
            <w:r w:rsidRPr="007375EB">
              <w:rPr>
                <w:lang w:val="bg-BG"/>
              </w:rPr>
              <w:t>-</w:t>
            </w:r>
          </w:p>
        </w:tc>
        <w:tc>
          <w:tcPr>
            <w:tcW w:w="810" w:type="dxa"/>
            <w:noWrap/>
            <w:vAlign w:val="center"/>
          </w:tcPr>
          <w:p w14:paraId="6A846DFE" w14:textId="77777777" w:rsidR="00CF09B3" w:rsidRPr="007375EB" w:rsidRDefault="00CF09B3" w:rsidP="00CF09B3">
            <w:pPr>
              <w:rPr>
                <w:lang w:val="bg-BG"/>
              </w:rPr>
            </w:pPr>
            <w:r w:rsidRPr="007375EB">
              <w:rPr>
                <w:lang w:val="bg-BG"/>
              </w:rPr>
              <w:t>-</w:t>
            </w:r>
          </w:p>
        </w:tc>
        <w:tc>
          <w:tcPr>
            <w:tcW w:w="630" w:type="dxa"/>
            <w:noWrap/>
            <w:vAlign w:val="center"/>
          </w:tcPr>
          <w:p w14:paraId="757CA461" w14:textId="77777777" w:rsidR="00CF09B3" w:rsidRPr="007375EB" w:rsidRDefault="00CF09B3" w:rsidP="00CF09B3">
            <w:pPr>
              <w:rPr>
                <w:lang w:val="bg-BG"/>
              </w:rPr>
            </w:pPr>
            <w:r w:rsidRPr="007375EB">
              <w:rPr>
                <w:lang w:val="bg-BG"/>
              </w:rPr>
              <w:t>-</w:t>
            </w:r>
          </w:p>
        </w:tc>
        <w:tc>
          <w:tcPr>
            <w:tcW w:w="720" w:type="dxa"/>
            <w:noWrap/>
            <w:vAlign w:val="center"/>
          </w:tcPr>
          <w:p w14:paraId="49BB07C9" w14:textId="77777777" w:rsidR="00CF09B3" w:rsidRPr="007375EB" w:rsidRDefault="00CF09B3" w:rsidP="00CF09B3">
            <w:pPr>
              <w:rPr>
                <w:lang w:val="bg-BG"/>
              </w:rPr>
            </w:pPr>
            <w:r w:rsidRPr="007375EB">
              <w:rPr>
                <w:lang w:val="bg-BG"/>
              </w:rPr>
              <w:t>-</w:t>
            </w:r>
          </w:p>
        </w:tc>
        <w:tc>
          <w:tcPr>
            <w:tcW w:w="720" w:type="dxa"/>
            <w:noWrap/>
            <w:vAlign w:val="center"/>
          </w:tcPr>
          <w:p w14:paraId="27268F40" w14:textId="77777777" w:rsidR="00CF09B3" w:rsidRPr="007375EB" w:rsidRDefault="00CF09B3" w:rsidP="00CF09B3">
            <w:pPr>
              <w:rPr>
                <w:lang w:val="bg-BG"/>
              </w:rPr>
            </w:pPr>
            <w:r w:rsidRPr="007375EB">
              <w:rPr>
                <w:lang w:val="bg-BG"/>
              </w:rPr>
              <w:t>-</w:t>
            </w:r>
          </w:p>
        </w:tc>
        <w:tc>
          <w:tcPr>
            <w:tcW w:w="540" w:type="dxa"/>
            <w:noWrap/>
            <w:vAlign w:val="center"/>
          </w:tcPr>
          <w:p w14:paraId="0D524CF1" w14:textId="77777777" w:rsidR="00CF09B3" w:rsidRPr="007375EB" w:rsidRDefault="00CF09B3" w:rsidP="00CF09B3">
            <w:pPr>
              <w:rPr>
                <w:lang w:val="bg-BG"/>
              </w:rPr>
            </w:pPr>
            <w:r w:rsidRPr="007375EB">
              <w:rPr>
                <w:lang w:val="bg-BG"/>
              </w:rPr>
              <w:t>-</w:t>
            </w:r>
          </w:p>
        </w:tc>
        <w:tc>
          <w:tcPr>
            <w:tcW w:w="990" w:type="dxa"/>
            <w:noWrap/>
            <w:vAlign w:val="center"/>
          </w:tcPr>
          <w:p w14:paraId="295E5FFE" w14:textId="77777777" w:rsidR="00CF09B3" w:rsidRPr="007375EB" w:rsidRDefault="00CF09B3" w:rsidP="00CF09B3">
            <w:pPr>
              <w:rPr>
                <w:lang w:val="bg-BG"/>
              </w:rPr>
            </w:pPr>
            <w:r w:rsidRPr="007375EB">
              <w:rPr>
                <w:lang w:val="bg-BG"/>
              </w:rPr>
              <w:t>-</w:t>
            </w:r>
          </w:p>
        </w:tc>
        <w:tc>
          <w:tcPr>
            <w:tcW w:w="499" w:type="dxa"/>
            <w:noWrap/>
            <w:vAlign w:val="center"/>
          </w:tcPr>
          <w:p w14:paraId="24954DB8" w14:textId="77777777" w:rsidR="00CF09B3" w:rsidRPr="007375EB" w:rsidRDefault="00CF09B3" w:rsidP="00CF09B3">
            <w:pPr>
              <w:rPr>
                <w:lang w:val="bg-BG"/>
              </w:rPr>
            </w:pPr>
            <w:r w:rsidRPr="007375EB">
              <w:rPr>
                <w:lang w:val="bg-BG"/>
              </w:rPr>
              <w:t>-</w:t>
            </w:r>
          </w:p>
        </w:tc>
        <w:tc>
          <w:tcPr>
            <w:tcW w:w="507" w:type="dxa"/>
            <w:noWrap/>
            <w:vAlign w:val="center"/>
          </w:tcPr>
          <w:p w14:paraId="0ED35966" w14:textId="77777777" w:rsidR="00CF09B3" w:rsidRPr="007375EB" w:rsidRDefault="00CF09B3" w:rsidP="00CF09B3">
            <w:pPr>
              <w:rPr>
                <w:lang w:val="bg-BG"/>
              </w:rPr>
            </w:pPr>
            <w:r w:rsidRPr="007375EB">
              <w:rPr>
                <w:lang w:val="bg-BG"/>
              </w:rPr>
              <w:t>-</w:t>
            </w:r>
          </w:p>
        </w:tc>
        <w:tc>
          <w:tcPr>
            <w:tcW w:w="524" w:type="dxa"/>
            <w:noWrap/>
            <w:vAlign w:val="center"/>
          </w:tcPr>
          <w:p w14:paraId="5D195174" w14:textId="77777777" w:rsidR="00CF09B3" w:rsidRPr="007375EB" w:rsidRDefault="00CF09B3" w:rsidP="00CF09B3">
            <w:pPr>
              <w:rPr>
                <w:lang w:val="bg-BG"/>
              </w:rPr>
            </w:pPr>
            <w:r w:rsidRPr="007375EB">
              <w:rPr>
                <w:lang w:val="bg-BG"/>
              </w:rPr>
              <w:t>-</w:t>
            </w:r>
          </w:p>
        </w:tc>
        <w:tc>
          <w:tcPr>
            <w:tcW w:w="616" w:type="dxa"/>
            <w:noWrap/>
            <w:vAlign w:val="center"/>
          </w:tcPr>
          <w:p w14:paraId="2F56C035" w14:textId="77777777" w:rsidR="00CF09B3" w:rsidRPr="007375EB" w:rsidRDefault="00CF09B3" w:rsidP="00CF09B3">
            <w:pPr>
              <w:rPr>
                <w:lang w:val="bg-BG"/>
              </w:rPr>
            </w:pPr>
            <w:r w:rsidRPr="007375EB">
              <w:rPr>
                <w:lang w:val="bg-BG"/>
              </w:rPr>
              <w:t>-</w:t>
            </w:r>
          </w:p>
        </w:tc>
        <w:tc>
          <w:tcPr>
            <w:tcW w:w="612" w:type="dxa"/>
            <w:noWrap/>
            <w:vAlign w:val="center"/>
          </w:tcPr>
          <w:p w14:paraId="2E188EC4" w14:textId="77777777" w:rsidR="00CF09B3" w:rsidRPr="007375EB" w:rsidRDefault="00CF09B3" w:rsidP="00CF09B3">
            <w:pPr>
              <w:rPr>
                <w:lang w:val="bg-BG"/>
              </w:rPr>
            </w:pPr>
            <w:r w:rsidRPr="007375EB">
              <w:rPr>
                <w:lang w:val="bg-BG"/>
              </w:rPr>
              <w:t>-</w:t>
            </w:r>
          </w:p>
        </w:tc>
      </w:tr>
      <w:tr w:rsidR="00CF09B3" w:rsidRPr="007375EB" w14:paraId="3C2B6582" w14:textId="77777777" w:rsidTr="006C1B17">
        <w:trPr>
          <w:trHeight w:val="210"/>
        </w:trPr>
        <w:tc>
          <w:tcPr>
            <w:tcW w:w="621" w:type="dxa"/>
            <w:noWrap/>
          </w:tcPr>
          <w:p w14:paraId="002CBF5D" w14:textId="77777777" w:rsidR="00CF09B3" w:rsidRPr="007375EB" w:rsidRDefault="00CF09B3" w:rsidP="00CF09B3">
            <w:pPr>
              <w:rPr>
                <w:lang w:val="bg-BG"/>
              </w:rPr>
            </w:pPr>
            <w:r w:rsidRPr="007375EB">
              <w:rPr>
                <w:lang w:val="bg-BG"/>
              </w:rPr>
              <w:t>15</w:t>
            </w:r>
          </w:p>
        </w:tc>
        <w:tc>
          <w:tcPr>
            <w:tcW w:w="3189" w:type="dxa"/>
            <w:noWrap/>
          </w:tcPr>
          <w:p w14:paraId="4FB60D27" w14:textId="131D2C63" w:rsidR="00CF09B3" w:rsidRPr="007375EB" w:rsidRDefault="00CF09B3" w:rsidP="00CF09B3">
            <w:pPr>
              <w:jc w:val="both"/>
              <w:rPr>
                <w:lang w:val="bg-BG"/>
              </w:rPr>
            </w:pPr>
            <w:r w:rsidRPr="007375EB">
              <w:rPr>
                <w:lang w:val="bg-BG"/>
              </w:rPr>
              <w:t>Модернизация и реконструкция на улици в община Кирногени, окръг Констанца (предложена)</w:t>
            </w:r>
          </w:p>
        </w:tc>
        <w:tc>
          <w:tcPr>
            <w:tcW w:w="2125" w:type="dxa"/>
            <w:noWrap/>
            <w:vAlign w:val="center"/>
          </w:tcPr>
          <w:p w14:paraId="16237E1E" w14:textId="77777777" w:rsidR="00CF09B3" w:rsidRPr="007375EB" w:rsidRDefault="00CF09B3" w:rsidP="00CF09B3">
            <w:pPr>
              <w:rPr>
                <w:lang w:val="bg-BG"/>
              </w:rPr>
            </w:pPr>
            <w:r w:rsidRPr="007375EB">
              <w:rPr>
                <w:lang w:val="bg-BG"/>
              </w:rPr>
              <w:t>18,92 км</w:t>
            </w:r>
          </w:p>
        </w:tc>
        <w:tc>
          <w:tcPr>
            <w:tcW w:w="482" w:type="dxa"/>
            <w:noWrap/>
            <w:vAlign w:val="center"/>
          </w:tcPr>
          <w:p w14:paraId="6AAA0ACE" w14:textId="77777777" w:rsidR="00CF09B3" w:rsidRPr="007375EB" w:rsidRDefault="00CF09B3" w:rsidP="00CF09B3">
            <w:pPr>
              <w:rPr>
                <w:lang w:val="bg-BG"/>
              </w:rPr>
            </w:pPr>
            <w:r w:rsidRPr="007375EB">
              <w:rPr>
                <w:lang w:val="bg-BG"/>
              </w:rPr>
              <w:t>-</w:t>
            </w:r>
          </w:p>
        </w:tc>
        <w:tc>
          <w:tcPr>
            <w:tcW w:w="916" w:type="dxa"/>
            <w:noWrap/>
            <w:vAlign w:val="center"/>
          </w:tcPr>
          <w:p w14:paraId="186D6CBC" w14:textId="77777777" w:rsidR="00CF09B3" w:rsidRPr="007375EB" w:rsidRDefault="00CF09B3" w:rsidP="00CF09B3">
            <w:pPr>
              <w:rPr>
                <w:lang w:val="bg-BG"/>
              </w:rPr>
            </w:pPr>
            <w:r w:rsidRPr="007375EB">
              <w:rPr>
                <w:lang w:val="bg-BG"/>
              </w:rPr>
              <w:t>-</w:t>
            </w:r>
          </w:p>
        </w:tc>
        <w:tc>
          <w:tcPr>
            <w:tcW w:w="916" w:type="dxa"/>
            <w:noWrap/>
            <w:vAlign w:val="center"/>
          </w:tcPr>
          <w:p w14:paraId="38F1315A" w14:textId="77777777" w:rsidR="00CF09B3" w:rsidRPr="007375EB" w:rsidRDefault="00CF09B3" w:rsidP="00CF09B3">
            <w:pPr>
              <w:rPr>
                <w:lang w:val="bg-BG"/>
              </w:rPr>
            </w:pPr>
            <w:r w:rsidRPr="007375EB">
              <w:rPr>
                <w:lang w:val="bg-BG"/>
              </w:rPr>
              <w:t>-</w:t>
            </w:r>
          </w:p>
        </w:tc>
        <w:tc>
          <w:tcPr>
            <w:tcW w:w="810" w:type="dxa"/>
            <w:noWrap/>
            <w:vAlign w:val="center"/>
          </w:tcPr>
          <w:p w14:paraId="17FF275C" w14:textId="77777777" w:rsidR="00CF09B3" w:rsidRPr="007375EB" w:rsidRDefault="00CF09B3" w:rsidP="00CF09B3">
            <w:pPr>
              <w:rPr>
                <w:lang w:val="bg-BG"/>
              </w:rPr>
            </w:pPr>
            <w:r w:rsidRPr="007375EB">
              <w:rPr>
                <w:lang w:val="bg-BG"/>
              </w:rPr>
              <w:t>-</w:t>
            </w:r>
          </w:p>
        </w:tc>
        <w:tc>
          <w:tcPr>
            <w:tcW w:w="630" w:type="dxa"/>
            <w:noWrap/>
            <w:vAlign w:val="center"/>
          </w:tcPr>
          <w:p w14:paraId="3295A9D9" w14:textId="77777777" w:rsidR="00CF09B3" w:rsidRPr="007375EB" w:rsidRDefault="00CF09B3" w:rsidP="00CF09B3">
            <w:pPr>
              <w:rPr>
                <w:lang w:val="bg-BG"/>
              </w:rPr>
            </w:pPr>
            <w:r w:rsidRPr="007375EB">
              <w:rPr>
                <w:lang w:val="bg-BG"/>
              </w:rPr>
              <w:t>-</w:t>
            </w:r>
          </w:p>
        </w:tc>
        <w:tc>
          <w:tcPr>
            <w:tcW w:w="720" w:type="dxa"/>
            <w:noWrap/>
            <w:vAlign w:val="center"/>
          </w:tcPr>
          <w:p w14:paraId="32A1B0DD" w14:textId="77777777" w:rsidR="00CF09B3" w:rsidRPr="007375EB" w:rsidRDefault="00CF09B3" w:rsidP="00CF09B3">
            <w:pPr>
              <w:rPr>
                <w:lang w:val="bg-BG"/>
              </w:rPr>
            </w:pPr>
            <w:r w:rsidRPr="007375EB">
              <w:rPr>
                <w:lang w:val="bg-BG"/>
              </w:rPr>
              <w:t>-</w:t>
            </w:r>
          </w:p>
        </w:tc>
        <w:tc>
          <w:tcPr>
            <w:tcW w:w="720" w:type="dxa"/>
            <w:noWrap/>
            <w:vAlign w:val="center"/>
          </w:tcPr>
          <w:p w14:paraId="000AEF9F" w14:textId="77777777" w:rsidR="00CF09B3" w:rsidRPr="007375EB" w:rsidRDefault="00CF09B3" w:rsidP="00CF09B3">
            <w:pPr>
              <w:rPr>
                <w:lang w:val="bg-BG"/>
              </w:rPr>
            </w:pPr>
            <w:r w:rsidRPr="007375EB">
              <w:rPr>
                <w:lang w:val="bg-BG"/>
              </w:rPr>
              <w:t>-</w:t>
            </w:r>
          </w:p>
        </w:tc>
        <w:tc>
          <w:tcPr>
            <w:tcW w:w="540" w:type="dxa"/>
            <w:noWrap/>
            <w:vAlign w:val="center"/>
          </w:tcPr>
          <w:p w14:paraId="3E97585D" w14:textId="77777777" w:rsidR="00CF09B3" w:rsidRPr="007375EB" w:rsidRDefault="00CF09B3" w:rsidP="00CF09B3">
            <w:pPr>
              <w:rPr>
                <w:lang w:val="bg-BG"/>
              </w:rPr>
            </w:pPr>
            <w:r w:rsidRPr="007375EB">
              <w:rPr>
                <w:lang w:val="bg-BG"/>
              </w:rPr>
              <w:t>-</w:t>
            </w:r>
          </w:p>
        </w:tc>
        <w:tc>
          <w:tcPr>
            <w:tcW w:w="990" w:type="dxa"/>
            <w:noWrap/>
            <w:vAlign w:val="center"/>
          </w:tcPr>
          <w:p w14:paraId="4F25CB11" w14:textId="77777777" w:rsidR="00CF09B3" w:rsidRPr="007375EB" w:rsidRDefault="00CF09B3" w:rsidP="00CF09B3">
            <w:pPr>
              <w:rPr>
                <w:lang w:val="bg-BG"/>
              </w:rPr>
            </w:pPr>
            <w:r w:rsidRPr="007375EB">
              <w:rPr>
                <w:lang w:val="bg-BG"/>
              </w:rPr>
              <w:t>-</w:t>
            </w:r>
          </w:p>
        </w:tc>
        <w:tc>
          <w:tcPr>
            <w:tcW w:w="499" w:type="dxa"/>
            <w:noWrap/>
            <w:vAlign w:val="center"/>
          </w:tcPr>
          <w:p w14:paraId="77EC2623" w14:textId="77777777" w:rsidR="00CF09B3" w:rsidRPr="007375EB" w:rsidRDefault="00CF09B3" w:rsidP="00CF09B3">
            <w:pPr>
              <w:rPr>
                <w:lang w:val="bg-BG"/>
              </w:rPr>
            </w:pPr>
            <w:r w:rsidRPr="007375EB">
              <w:rPr>
                <w:lang w:val="bg-BG"/>
              </w:rPr>
              <w:t>-</w:t>
            </w:r>
          </w:p>
        </w:tc>
        <w:tc>
          <w:tcPr>
            <w:tcW w:w="507" w:type="dxa"/>
            <w:noWrap/>
            <w:vAlign w:val="center"/>
          </w:tcPr>
          <w:p w14:paraId="397FFA30" w14:textId="77777777" w:rsidR="00CF09B3" w:rsidRPr="007375EB" w:rsidRDefault="00CF09B3" w:rsidP="00CF09B3">
            <w:pPr>
              <w:rPr>
                <w:lang w:val="bg-BG"/>
              </w:rPr>
            </w:pPr>
            <w:r w:rsidRPr="007375EB">
              <w:rPr>
                <w:lang w:val="bg-BG"/>
              </w:rPr>
              <w:t>-</w:t>
            </w:r>
          </w:p>
        </w:tc>
        <w:tc>
          <w:tcPr>
            <w:tcW w:w="524" w:type="dxa"/>
            <w:noWrap/>
            <w:vAlign w:val="center"/>
          </w:tcPr>
          <w:p w14:paraId="7DADC572" w14:textId="77777777" w:rsidR="00CF09B3" w:rsidRPr="007375EB" w:rsidRDefault="00CF09B3" w:rsidP="00CF09B3">
            <w:pPr>
              <w:rPr>
                <w:lang w:val="bg-BG"/>
              </w:rPr>
            </w:pPr>
            <w:r w:rsidRPr="007375EB">
              <w:rPr>
                <w:lang w:val="bg-BG"/>
              </w:rPr>
              <w:t>-</w:t>
            </w:r>
          </w:p>
        </w:tc>
        <w:tc>
          <w:tcPr>
            <w:tcW w:w="616" w:type="dxa"/>
            <w:noWrap/>
            <w:vAlign w:val="center"/>
          </w:tcPr>
          <w:p w14:paraId="0E7CA798" w14:textId="77777777" w:rsidR="00CF09B3" w:rsidRPr="007375EB" w:rsidRDefault="00CF09B3" w:rsidP="00CF09B3">
            <w:pPr>
              <w:rPr>
                <w:lang w:val="bg-BG"/>
              </w:rPr>
            </w:pPr>
            <w:r w:rsidRPr="007375EB">
              <w:rPr>
                <w:lang w:val="bg-BG"/>
              </w:rPr>
              <w:t>-</w:t>
            </w:r>
          </w:p>
        </w:tc>
        <w:tc>
          <w:tcPr>
            <w:tcW w:w="612" w:type="dxa"/>
            <w:noWrap/>
            <w:vAlign w:val="center"/>
          </w:tcPr>
          <w:p w14:paraId="5F362B63" w14:textId="77777777" w:rsidR="00CF09B3" w:rsidRPr="007375EB" w:rsidRDefault="00CF09B3" w:rsidP="00CF09B3">
            <w:pPr>
              <w:rPr>
                <w:lang w:val="bg-BG"/>
              </w:rPr>
            </w:pPr>
            <w:r w:rsidRPr="007375EB">
              <w:rPr>
                <w:lang w:val="bg-BG"/>
              </w:rPr>
              <w:t>-</w:t>
            </w:r>
          </w:p>
        </w:tc>
      </w:tr>
    </w:tbl>
    <w:p w14:paraId="4BB90F33" w14:textId="67E1FF52" w:rsidR="007257E3" w:rsidRPr="007375EB" w:rsidRDefault="006C1B17" w:rsidP="007257E3">
      <w:pPr>
        <w:pStyle w:val="Caption"/>
        <w:jc w:val="both"/>
        <w:rPr>
          <w:sz w:val="16"/>
          <w:szCs w:val="16"/>
          <w:lang w:val="bg-BG"/>
        </w:rPr>
      </w:pPr>
      <w:r w:rsidRPr="007375EB">
        <w:rPr>
          <w:sz w:val="16"/>
          <w:szCs w:val="16"/>
          <w:lang w:val="bg-BG"/>
        </w:rPr>
        <w:t xml:space="preserve"> Таблица</w:t>
      </w:r>
      <w:r w:rsidR="007257E3" w:rsidRPr="007375EB">
        <w:rPr>
          <w:sz w:val="16"/>
          <w:szCs w:val="16"/>
          <w:lang w:val="bg-BG"/>
        </w:rPr>
        <w:t xml:space="preserve">  </w:t>
      </w:r>
      <w:r w:rsidR="007257E3" w:rsidRPr="007375EB">
        <w:rPr>
          <w:sz w:val="16"/>
          <w:szCs w:val="16"/>
          <w:lang w:val="bg-BG"/>
        </w:rPr>
        <w:fldChar w:fldCharType="begin"/>
      </w:r>
      <w:r w:rsidR="007257E3" w:rsidRPr="007375EB">
        <w:rPr>
          <w:sz w:val="16"/>
          <w:szCs w:val="16"/>
          <w:lang w:val="bg-BG"/>
        </w:rPr>
        <w:instrText xml:space="preserve"> STYLEREF 1 \s </w:instrText>
      </w:r>
      <w:r w:rsidR="007257E3" w:rsidRPr="007375EB">
        <w:rPr>
          <w:sz w:val="16"/>
          <w:szCs w:val="16"/>
          <w:lang w:val="bg-BG"/>
        </w:rPr>
        <w:fldChar w:fldCharType="separate"/>
      </w:r>
      <w:r w:rsidR="007257E3" w:rsidRPr="007375EB">
        <w:rPr>
          <w:sz w:val="16"/>
          <w:szCs w:val="16"/>
          <w:lang w:val="bg-BG"/>
        </w:rPr>
        <w:t>6</w:t>
      </w:r>
      <w:r w:rsidR="007257E3" w:rsidRPr="007375EB">
        <w:rPr>
          <w:sz w:val="16"/>
          <w:szCs w:val="16"/>
          <w:lang w:val="bg-BG"/>
        </w:rPr>
        <w:fldChar w:fldCharType="end"/>
      </w:r>
      <w:r w:rsidR="007257E3" w:rsidRPr="007375EB">
        <w:rPr>
          <w:sz w:val="16"/>
          <w:szCs w:val="16"/>
          <w:lang w:val="bg-BG"/>
        </w:rPr>
        <w:noBreakHyphen/>
      </w:r>
      <w:r w:rsidR="007257E3" w:rsidRPr="007375EB">
        <w:rPr>
          <w:sz w:val="16"/>
          <w:szCs w:val="16"/>
          <w:lang w:val="bg-BG"/>
        </w:rPr>
        <w:fldChar w:fldCharType="begin"/>
      </w:r>
      <w:r w:rsidR="007257E3" w:rsidRPr="007375EB">
        <w:rPr>
          <w:sz w:val="16"/>
          <w:szCs w:val="16"/>
          <w:lang w:val="bg-BG"/>
        </w:rPr>
        <w:instrText xml:space="preserve"> SEQ Tabel_ \* ARABIC \s 1 </w:instrText>
      </w:r>
      <w:r w:rsidR="007257E3" w:rsidRPr="007375EB">
        <w:rPr>
          <w:sz w:val="16"/>
          <w:szCs w:val="16"/>
          <w:lang w:val="bg-BG"/>
        </w:rPr>
        <w:fldChar w:fldCharType="separate"/>
      </w:r>
      <w:r w:rsidR="007257E3" w:rsidRPr="007375EB">
        <w:rPr>
          <w:sz w:val="16"/>
          <w:szCs w:val="16"/>
          <w:lang w:val="bg-BG"/>
        </w:rPr>
        <w:t>10</w:t>
      </w:r>
      <w:r w:rsidR="007257E3" w:rsidRPr="007375EB">
        <w:rPr>
          <w:sz w:val="16"/>
          <w:szCs w:val="16"/>
          <w:lang w:val="bg-BG"/>
        </w:rPr>
        <w:fldChar w:fldCharType="end"/>
      </w:r>
      <w:r w:rsidR="007257E3" w:rsidRPr="007375EB">
        <w:rPr>
          <w:sz w:val="16"/>
          <w:szCs w:val="16"/>
          <w:lang w:val="bg-BG"/>
        </w:rPr>
        <w:t xml:space="preserve"> </w:t>
      </w:r>
      <w:r w:rsidRPr="007375EB">
        <w:rPr>
          <w:sz w:val="16"/>
          <w:szCs w:val="16"/>
          <w:lang w:val="bg-BG"/>
        </w:rPr>
        <w:t>Характеристики на други ПП (в процес на изпълнение, одобрени или в процес на оценка), които могат да имат кумулативно въздействие върху ANPIC заедно с оценявания ПП</w:t>
      </w:r>
    </w:p>
    <w:p w14:paraId="05026002" w14:textId="77777777" w:rsidR="005C5EA2" w:rsidRPr="007375EB" w:rsidRDefault="005C5EA2" w:rsidP="006D503A">
      <w:pPr>
        <w:rPr>
          <w:lang w:val="bg-BG"/>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2"/>
        <w:gridCol w:w="960"/>
        <w:gridCol w:w="3560"/>
      </w:tblGrid>
      <w:tr w:rsidR="00CF09B3" w:rsidRPr="007375EB" w14:paraId="3C583ADE" w14:textId="77777777" w:rsidTr="00CF09B3">
        <w:trPr>
          <w:trHeight w:val="210"/>
        </w:trPr>
        <w:tc>
          <w:tcPr>
            <w:tcW w:w="976" w:type="dxa"/>
            <w:shd w:val="clear" w:color="auto" w:fill="00B0F0"/>
            <w:noWrap/>
            <w:hideMark/>
          </w:tcPr>
          <w:p w14:paraId="03391EB3" w14:textId="73FD95D3" w:rsidR="00CF09B3" w:rsidRPr="007375EB" w:rsidRDefault="00CF09B3" w:rsidP="00CF09B3">
            <w:pPr>
              <w:rPr>
                <w:b/>
                <w:bCs/>
                <w:sz w:val="16"/>
                <w:szCs w:val="16"/>
                <w:lang w:val="bg-BG"/>
              </w:rPr>
            </w:pPr>
            <w:r w:rsidRPr="007375EB">
              <w:rPr>
                <w:b/>
                <w:bCs/>
                <w:sz w:val="16"/>
                <w:szCs w:val="16"/>
                <w:lang w:val="bg-BG"/>
              </w:rPr>
              <w:t>Легенда</w:t>
            </w:r>
          </w:p>
        </w:tc>
        <w:tc>
          <w:tcPr>
            <w:tcW w:w="960" w:type="dxa"/>
            <w:noWrap/>
            <w:hideMark/>
          </w:tcPr>
          <w:p w14:paraId="415B72DF" w14:textId="77777777" w:rsidR="00CF09B3" w:rsidRPr="007375EB" w:rsidRDefault="00CF09B3" w:rsidP="00CF09B3">
            <w:pPr>
              <w:rPr>
                <w:sz w:val="16"/>
                <w:szCs w:val="16"/>
                <w:lang w:val="bg-BG"/>
              </w:rPr>
            </w:pPr>
            <w:r w:rsidRPr="007375EB">
              <w:rPr>
                <w:sz w:val="16"/>
                <w:szCs w:val="16"/>
                <w:lang w:val="bg-BG"/>
              </w:rPr>
              <w:t>PH</w:t>
            </w:r>
          </w:p>
        </w:tc>
        <w:tc>
          <w:tcPr>
            <w:tcW w:w="3560" w:type="dxa"/>
          </w:tcPr>
          <w:p w14:paraId="6CFAF93B" w14:textId="3FEC3CB1" w:rsidR="00CF09B3" w:rsidRPr="007375EB" w:rsidRDefault="00CF09B3" w:rsidP="00CF09B3">
            <w:pPr>
              <w:rPr>
                <w:sz w:val="16"/>
                <w:szCs w:val="16"/>
                <w:lang w:val="bg-BG"/>
              </w:rPr>
            </w:pPr>
            <w:r w:rsidRPr="007375EB">
              <w:rPr>
                <w:lang w:val="bg-BG" w:eastAsia="ro-RO"/>
              </w:rPr>
              <w:t>загуба на местообитания</w:t>
            </w:r>
          </w:p>
        </w:tc>
      </w:tr>
      <w:tr w:rsidR="00CF09B3" w:rsidRPr="007375EB" w14:paraId="5500D475" w14:textId="77777777" w:rsidTr="00CF09B3">
        <w:trPr>
          <w:trHeight w:val="210"/>
        </w:trPr>
        <w:tc>
          <w:tcPr>
            <w:tcW w:w="976" w:type="dxa"/>
            <w:noWrap/>
            <w:hideMark/>
          </w:tcPr>
          <w:p w14:paraId="1FD73BBB" w14:textId="77777777" w:rsidR="00CF09B3" w:rsidRPr="007375EB" w:rsidRDefault="00CF09B3" w:rsidP="00CF09B3">
            <w:pPr>
              <w:rPr>
                <w:sz w:val="16"/>
                <w:szCs w:val="16"/>
                <w:lang w:val="bg-BG"/>
              </w:rPr>
            </w:pPr>
          </w:p>
        </w:tc>
        <w:tc>
          <w:tcPr>
            <w:tcW w:w="960" w:type="dxa"/>
            <w:noWrap/>
            <w:hideMark/>
          </w:tcPr>
          <w:p w14:paraId="1F1B29AF" w14:textId="77777777" w:rsidR="00CF09B3" w:rsidRPr="007375EB" w:rsidRDefault="00CF09B3" w:rsidP="00CF09B3">
            <w:pPr>
              <w:rPr>
                <w:sz w:val="16"/>
                <w:szCs w:val="16"/>
                <w:lang w:val="bg-BG"/>
              </w:rPr>
            </w:pPr>
            <w:r w:rsidRPr="007375EB">
              <w:rPr>
                <w:sz w:val="16"/>
                <w:szCs w:val="16"/>
                <w:lang w:val="bg-BG"/>
              </w:rPr>
              <w:t>AH</w:t>
            </w:r>
          </w:p>
        </w:tc>
        <w:tc>
          <w:tcPr>
            <w:tcW w:w="3560" w:type="dxa"/>
          </w:tcPr>
          <w:p w14:paraId="51F7D9ED" w14:textId="64E12FCF" w:rsidR="00CF09B3" w:rsidRPr="007375EB" w:rsidRDefault="00CF09B3" w:rsidP="00CF09B3">
            <w:pPr>
              <w:rPr>
                <w:sz w:val="16"/>
                <w:szCs w:val="16"/>
                <w:lang w:val="bg-BG"/>
              </w:rPr>
            </w:pPr>
            <w:r w:rsidRPr="007375EB">
              <w:rPr>
                <w:lang w:val="bg-BG" w:eastAsia="ro-RO"/>
              </w:rPr>
              <w:t>променени условия на местообитанията</w:t>
            </w:r>
          </w:p>
        </w:tc>
      </w:tr>
      <w:tr w:rsidR="00CF09B3" w:rsidRPr="007375EB" w14:paraId="23D5AD9C" w14:textId="77777777" w:rsidTr="00CF09B3">
        <w:trPr>
          <w:trHeight w:val="70"/>
        </w:trPr>
        <w:tc>
          <w:tcPr>
            <w:tcW w:w="976" w:type="dxa"/>
            <w:noWrap/>
            <w:hideMark/>
          </w:tcPr>
          <w:p w14:paraId="1BE36140" w14:textId="77777777" w:rsidR="00CF09B3" w:rsidRPr="007375EB" w:rsidRDefault="00CF09B3" w:rsidP="00CF09B3">
            <w:pPr>
              <w:rPr>
                <w:sz w:val="16"/>
                <w:szCs w:val="16"/>
                <w:lang w:val="bg-BG"/>
              </w:rPr>
            </w:pPr>
          </w:p>
        </w:tc>
        <w:tc>
          <w:tcPr>
            <w:tcW w:w="960" w:type="dxa"/>
            <w:noWrap/>
            <w:hideMark/>
          </w:tcPr>
          <w:p w14:paraId="7D16986E" w14:textId="77777777" w:rsidR="00CF09B3" w:rsidRPr="007375EB" w:rsidRDefault="00CF09B3" w:rsidP="00CF09B3">
            <w:pPr>
              <w:rPr>
                <w:sz w:val="16"/>
                <w:szCs w:val="16"/>
                <w:lang w:val="bg-BG"/>
              </w:rPr>
            </w:pPr>
            <w:r w:rsidRPr="007375EB">
              <w:rPr>
                <w:sz w:val="16"/>
                <w:szCs w:val="16"/>
                <w:lang w:val="bg-BG"/>
              </w:rPr>
              <w:t>FH</w:t>
            </w:r>
          </w:p>
        </w:tc>
        <w:tc>
          <w:tcPr>
            <w:tcW w:w="3560" w:type="dxa"/>
          </w:tcPr>
          <w:p w14:paraId="692ADE2A" w14:textId="2DF40C6A" w:rsidR="00CF09B3" w:rsidRPr="007375EB" w:rsidRDefault="00CF09B3" w:rsidP="00CF09B3">
            <w:pPr>
              <w:rPr>
                <w:sz w:val="16"/>
                <w:szCs w:val="16"/>
                <w:lang w:val="bg-BG"/>
              </w:rPr>
            </w:pPr>
            <w:r w:rsidRPr="007375EB">
              <w:rPr>
                <w:lang w:val="bg-BG" w:eastAsia="ro-RO"/>
              </w:rPr>
              <w:t>фрагментация на местообитанията</w:t>
            </w:r>
          </w:p>
        </w:tc>
      </w:tr>
      <w:tr w:rsidR="00CF09B3" w:rsidRPr="007375EB" w14:paraId="2AA3A339" w14:textId="77777777" w:rsidTr="00CF09B3">
        <w:trPr>
          <w:trHeight w:val="70"/>
        </w:trPr>
        <w:tc>
          <w:tcPr>
            <w:tcW w:w="976" w:type="dxa"/>
            <w:noWrap/>
            <w:hideMark/>
          </w:tcPr>
          <w:p w14:paraId="5771EF52" w14:textId="77777777" w:rsidR="00CF09B3" w:rsidRPr="007375EB" w:rsidRDefault="00CF09B3" w:rsidP="00CF09B3">
            <w:pPr>
              <w:rPr>
                <w:sz w:val="16"/>
                <w:szCs w:val="16"/>
                <w:lang w:val="bg-BG"/>
              </w:rPr>
            </w:pPr>
          </w:p>
        </w:tc>
        <w:tc>
          <w:tcPr>
            <w:tcW w:w="960" w:type="dxa"/>
            <w:noWrap/>
            <w:hideMark/>
          </w:tcPr>
          <w:p w14:paraId="48F6F8BA" w14:textId="77777777" w:rsidR="00CF09B3" w:rsidRPr="007375EB" w:rsidRDefault="00CF09B3" w:rsidP="00CF09B3">
            <w:pPr>
              <w:rPr>
                <w:sz w:val="16"/>
                <w:szCs w:val="16"/>
                <w:lang w:val="bg-BG"/>
              </w:rPr>
            </w:pPr>
            <w:r w:rsidRPr="007375EB">
              <w:rPr>
                <w:sz w:val="16"/>
                <w:szCs w:val="16"/>
                <w:lang w:val="bg-BG"/>
              </w:rPr>
              <w:t>PAS</w:t>
            </w:r>
          </w:p>
        </w:tc>
        <w:tc>
          <w:tcPr>
            <w:tcW w:w="3560" w:type="dxa"/>
          </w:tcPr>
          <w:p w14:paraId="27ABDABB" w14:textId="068D0DC9" w:rsidR="00CF09B3" w:rsidRPr="007375EB" w:rsidRDefault="00CF09B3" w:rsidP="00CF09B3">
            <w:pPr>
              <w:rPr>
                <w:sz w:val="16"/>
                <w:szCs w:val="16"/>
                <w:lang w:val="bg-BG"/>
              </w:rPr>
            </w:pPr>
            <w:r w:rsidRPr="007375EB">
              <w:rPr>
                <w:lang w:val="bg-BG" w:eastAsia="ro-RO"/>
              </w:rPr>
              <w:t>нарушаване на активността на видовете</w:t>
            </w:r>
          </w:p>
        </w:tc>
      </w:tr>
      <w:tr w:rsidR="00CF09B3" w:rsidRPr="007375EB" w14:paraId="583DF24B" w14:textId="77777777" w:rsidTr="00CF09B3">
        <w:trPr>
          <w:trHeight w:val="420"/>
        </w:trPr>
        <w:tc>
          <w:tcPr>
            <w:tcW w:w="976" w:type="dxa"/>
            <w:noWrap/>
            <w:hideMark/>
          </w:tcPr>
          <w:p w14:paraId="62B99A6C" w14:textId="77777777" w:rsidR="00CF09B3" w:rsidRPr="007375EB" w:rsidRDefault="00CF09B3" w:rsidP="00CF09B3">
            <w:pPr>
              <w:rPr>
                <w:sz w:val="16"/>
                <w:szCs w:val="16"/>
                <w:lang w:val="bg-BG"/>
              </w:rPr>
            </w:pPr>
          </w:p>
        </w:tc>
        <w:tc>
          <w:tcPr>
            <w:tcW w:w="960" w:type="dxa"/>
            <w:noWrap/>
            <w:hideMark/>
          </w:tcPr>
          <w:p w14:paraId="0565FD7A" w14:textId="77777777" w:rsidR="00CF09B3" w:rsidRPr="007375EB" w:rsidRDefault="00CF09B3" w:rsidP="00CF09B3">
            <w:pPr>
              <w:rPr>
                <w:sz w:val="16"/>
                <w:szCs w:val="16"/>
                <w:lang w:val="bg-BG"/>
              </w:rPr>
            </w:pPr>
            <w:r w:rsidRPr="007375EB">
              <w:rPr>
                <w:sz w:val="16"/>
                <w:szCs w:val="16"/>
                <w:lang w:val="bg-BG"/>
              </w:rPr>
              <w:t>REP</w:t>
            </w:r>
          </w:p>
        </w:tc>
        <w:tc>
          <w:tcPr>
            <w:tcW w:w="3560" w:type="dxa"/>
          </w:tcPr>
          <w:p w14:paraId="35AD2E39" w14:textId="6C56923D" w:rsidR="00CF09B3" w:rsidRPr="007375EB" w:rsidRDefault="00CF09B3" w:rsidP="00CF09B3">
            <w:pPr>
              <w:rPr>
                <w:sz w:val="16"/>
                <w:szCs w:val="16"/>
                <w:lang w:val="bg-BG"/>
              </w:rPr>
            </w:pPr>
            <w:r w:rsidRPr="007375EB">
              <w:rPr>
                <w:lang w:val="bg-BG" w:eastAsia="ro-RO"/>
              </w:rPr>
              <w:t>намаляване на размера на запасите</w:t>
            </w:r>
          </w:p>
        </w:tc>
      </w:tr>
    </w:tbl>
    <w:p w14:paraId="6A36A810" w14:textId="77777777" w:rsidR="007257E3" w:rsidRPr="007375EB" w:rsidRDefault="007257E3" w:rsidP="007257E3">
      <w:pPr>
        <w:spacing w:after="120" w:line="360" w:lineRule="auto"/>
        <w:jc w:val="both"/>
        <w:rPr>
          <w:lang w:val="bg-BG"/>
        </w:rPr>
        <w:sectPr w:rsidR="007257E3" w:rsidRPr="007375EB" w:rsidSect="007257E3">
          <w:pgSz w:w="16838" w:h="11906" w:orient="landscape" w:code="9"/>
          <w:pgMar w:top="1191" w:right="2013" w:bottom="1416" w:left="1418" w:header="839" w:footer="680" w:gutter="0"/>
          <w:cols w:space="708"/>
          <w:docGrid w:linePitch="360"/>
        </w:sectPr>
      </w:pPr>
    </w:p>
    <w:bookmarkEnd w:id="37"/>
    <w:bookmarkEnd w:id="38"/>
    <w:p w14:paraId="5FC94A6F" w14:textId="3671E741" w:rsidR="006B59ED" w:rsidRPr="007375EB" w:rsidRDefault="008B542F" w:rsidP="0041531F">
      <w:pPr>
        <w:pStyle w:val="Heading1"/>
        <w:numPr>
          <w:ilvl w:val="0"/>
          <w:numId w:val="77"/>
        </w:numPr>
        <w:suppressAutoHyphens w:val="0"/>
        <w:spacing w:before="0" w:after="240" w:line="360" w:lineRule="auto"/>
        <w:ind w:left="567" w:hanging="567"/>
        <w:contextualSpacing w:val="0"/>
        <w:jc w:val="both"/>
        <w:rPr>
          <w:b/>
          <w:bCs w:val="0"/>
          <w:sz w:val="20"/>
          <w:szCs w:val="20"/>
          <w:lang w:val="bg-BG" w:eastAsia="ro-RO"/>
        </w:rPr>
      </w:pPr>
      <w:r w:rsidRPr="007375EB">
        <w:rPr>
          <w:b/>
          <w:bCs w:val="0"/>
          <w:sz w:val="20"/>
          <w:szCs w:val="20"/>
          <w:lang w:val="bg-BG" w:eastAsia="ro-RO"/>
        </w:rPr>
        <w:lastRenderedPageBreak/>
        <w:t>Възможни значителни въздействия върху околната среда, включително върху здравето, в трансграничен контекст</w:t>
      </w:r>
    </w:p>
    <w:p w14:paraId="7365BC99" w14:textId="3216C12F" w:rsidR="00CF09B3" w:rsidRPr="007375EB" w:rsidRDefault="00CF09B3" w:rsidP="00CF09B3">
      <w:pPr>
        <w:spacing w:after="120" w:line="360" w:lineRule="auto"/>
        <w:jc w:val="both"/>
        <w:rPr>
          <w:lang w:val="bg-BG"/>
        </w:rPr>
      </w:pPr>
      <w:r w:rsidRPr="007375EB">
        <w:rPr>
          <w:lang w:val="bg-BG"/>
        </w:rPr>
        <w:t>В тази глава имаме за цел да анализираме възможните значителни въздействия, в трансграничен контекст, върху околната среда, включително върху здравето, от изграждането и експлоатацията на предложения енергиен комплекс в община Черкезу, в непосредствена близост до границата с България (PUZ е разположен на разстояние около 410 м от защитена зона BG 0000569 Кардам и на разстояние около 3,64 км от защитена зона BG0000570 Изворово - Краище).</w:t>
      </w:r>
    </w:p>
    <w:p w14:paraId="260436EF" w14:textId="21012136" w:rsidR="00DA779B" w:rsidRPr="007375EB" w:rsidRDefault="00CF09B3" w:rsidP="00CF09B3">
      <w:pPr>
        <w:spacing w:after="120" w:line="360" w:lineRule="auto"/>
        <w:jc w:val="both"/>
        <w:rPr>
          <w:lang w:val="bg-BG"/>
        </w:rPr>
      </w:pPr>
      <w:r w:rsidRPr="007375EB">
        <w:rPr>
          <w:lang w:val="bg-BG"/>
        </w:rPr>
        <w:t>За да направим цялостен анализ на потенциалните въздействия, ще разгледаме допълнително текущото състояние в България на екологичните фактори, представени в глава 2.1, като по този начин ще определим потенциалните рискове и въздействия, свързани с проекта</w:t>
      </w:r>
      <w:r w:rsidR="00BE5AFC" w:rsidRPr="007375EB">
        <w:rPr>
          <w:lang w:val="bg-BG"/>
        </w:rPr>
        <w:t>.</w:t>
      </w:r>
    </w:p>
    <w:p w14:paraId="5CD5FD44" w14:textId="73250ACB" w:rsidR="00C20CAD" w:rsidRPr="007375EB" w:rsidRDefault="00CF09B3" w:rsidP="00EC00F0">
      <w:pPr>
        <w:spacing w:after="120" w:line="360" w:lineRule="auto"/>
        <w:jc w:val="both"/>
        <w:rPr>
          <w:rFonts w:eastAsiaTheme="majorEastAsia" w:cstheme="majorBidi"/>
          <w:b/>
          <w:i/>
          <w:iCs/>
          <w:color w:val="009DF0" w:themeColor="text2"/>
          <w:lang w:val="bg-BG" w:eastAsia="ro-RO"/>
        </w:rPr>
      </w:pPr>
      <w:r w:rsidRPr="007375EB">
        <w:rPr>
          <w:rFonts w:eastAsiaTheme="majorEastAsia" w:cstheme="majorBidi"/>
          <w:b/>
          <w:i/>
          <w:iCs/>
          <w:color w:val="009DF0" w:themeColor="text2"/>
          <w:lang w:val="bg-BG" w:eastAsia="ro-RO"/>
        </w:rPr>
        <w:t>Вода</w:t>
      </w:r>
    </w:p>
    <w:p w14:paraId="2B942218" w14:textId="77777777" w:rsidR="00CC3D7C" w:rsidRPr="007375EB" w:rsidRDefault="00CC3D7C" w:rsidP="00CC3D7C">
      <w:pPr>
        <w:spacing w:after="120" w:line="360" w:lineRule="auto"/>
        <w:jc w:val="both"/>
        <w:rPr>
          <w:lang w:val="bg-BG"/>
        </w:rPr>
      </w:pPr>
      <w:r w:rsidRPr="007375EB">
        <w:rPr>
          <w:lang w:val="bg-BG"/>
        </w:rPr>
        <w:t>Най-близките повърхностни водни тела, идентифицирани в района на PUZ в България, се намират южно от границата на обекта: BG1DJ900R1015 на разстояние около 1 км, BG2DO700L017 на разстояние около 34 км, BG2BS000C001 на разстояние около 36 км, съответно югоизточно от границата на обекта.</w:t>
      </w:r>
    </w:p>
    <w:p w14:paraId="5F8423D6" w14:textId="243E6BEF" w:rsidR="004D18B5" w:rsidRPr="007375EB" w:rsidRDefault="00CC3D7C" w:rsidP="00CC3D7C">
      <w:pPr>
        <w:spacing w:after="120" w:line="360" w:lineRule="auto"/>
        <w:jc w:val="both"/>
        <w:rPr>
          <w:lang w:val="bg-BG"/>
        </w:rPr>
      </w:pPr>
      <w:r w:rsidRPr="007375EB">
        <w:rPr>
          <w:lang w:val="bg-BG"/>
        </w:rPr>
        <w:t xml:space="preserve">Районът на изследване на PUZ е в съседство с две подземни водни тела в България </w:t>
      </w:r>
      <w:r w:rsidR="00F86788" w:rsidRPr="007375EB">
        <w:rPr>
          <w:lang w:val="bg-BG"/>
        </w:rPr>
        <w:t xml:space="preserve">(BG1G000000N049 </w:t>
      </w:r>
      <w:r w:rsidRPr="007375EB">
        <w:rPr>
          <w:lang w:val="bg-BG"/>
        </w:rPr>
        <w:t>и</w:t>
      </w:r>
      <w:r w:rsidR="00F86788" w:rsidRPr="007375EB">
        <w:rPr>
          <w:lang w:val="bg-BG"/>
        </w:rPr>
        <w:t xml:space="preserve"> BG1G0000J3K051). </w:t>
      </w:r>
    </w:p>
    <w:p w14:paraId="69D7330C" w14:textId="77777777" w:rsidR="00CC3D7C" w:rsidRPr="007375EB" w:rsidRDefault="00CC3D7C" w:rsidP="00CC3D7C">
      <w:pPr>
        <w:spacing w:after="120" w:line="360" w:lineRule="auto"/>
        <w:jc w:val="both"/>
        <w:rPr>
          <w:lang w:val="bg-BG"/>
        </w:rPr>
      </w:pPr>
      <w:r w:rsidRPr="007375EB">
        <w:rPr>
          <w:lang w:val="bg-BG"/>
        </w:rPr>
        <w:t>В PUZ не се предвижда извличане на подземни или повърхностни води от района на обекта, така че няма да има въздействие върху хидрологията на района, нито пък ще бъдат засегнати вторично други дейности, зависещи от този ресурс.</w:t>
      </w:r>
    </w:p>
    <w:p w14:paraId="5600963B" w14:textId="7FCE31EA" w:rsidR="00E13F9C" w:rsidRPr="007375EB" w:rsidRDefault="00CC3D7C" w:rsidP="00CC3D7C">
      <w:pPr>
        <w:spacing w:after="120" w:line="360" w:lineRule="auto"/>
        <w:jc w:val="both"/>
        <w:rPr>
          <w:lang w:val="bg-BG"/>
        </w:rPr>
      </w:pPr>
      <w:r w:rsidRPr="007375EB">
        <w:rPr>
          <w:lang w:val="bg-BG"/>
        </w:rPr>
        <w:t xml:space="preserve">Изграждането на ветроенергийния парк в община Черкезу </w:t>
      </w:r>
      <w:r w:rsidRPr="007375EB">
        <w:rPr>
          <w:b/>
          <w:bCs/>
          <w:lang w:val="bg-BG"/>
        </w:rPr>
        <w:t>няма да окаже значително отрицателно въздействие върху качеството на повърхностните или подземните водни тела в България</w:t>
      </w:r>
      <w:r w:rsidR="00E13F9C" w:rsidRPr="007375EB">
        <w:rPr>
          <w:lang w:val="bg-BG"/>
        </w:rPr>
        <w:t>.</w:t>
      </w:r>
    </w:p>
    <w:p w14:paraId="78AD0640" w14:textId="0665EAD0" w:rsidR="00234D0E" w:rsidRPr="007375EB" w:rsidRDefault="00CC3D7C" w:rsidP="00234D0E">
      <w:pPr>
        <w:spacing w:after="120" w:line="360" w:lineRule="auto"/>
        <w:jc w:val="both"/>
        <w:rPr>
          <w:rFonts w:eastAsiaTheme="majorEastAsia" w:cstheme="majorBidi"/>
          <w:b/>
          <w:i/>
          <w:iCs/>
          <w:color w:val="009DF0" w:themeColor="text2"/>
          <w:lang w:val="bg-BG" w:eastAsia="ro-RO"/>
        </w:rPr>
      </w:pPr>
      <w:r w:rsidRPr="007375EB">
        <w:rPr>
          <w:rFonts w:eastAsiaTheme="majorEastAsia" w:cstheme="majorBidi"/>
          <w:b/>
          <w:i/>
          <w:iCs/>
          <w:color w:val="009DF0" w:themeColor="text2"/>
          <w:lang w:val="bg-BG" w:eastAsia="ro-RO"/>
        </w:rPr>
        <w:t xml:space="preserve">Въздух </w:t>
      </w:r>
    </w:p>
    <w:p w14:paraId="67DDA874" w14:textId="0E3468CB" w:rsidR="00142110" w:rsidRPr="007375EB" w:rsidRDefault="00CC3D7C" w:rsidP="00142110">
      <w:pPr>
        <w:spacing w:after="120" w:line="360" w:lineRule="auto"/>
        <w:jc w:val="both"/>
        <w:rPr>
          <w:lang w:val="bg-BG"/>
        </w:rPr>
      </w:pPr>
      <w:r w:rsidRPr="007375EB">
        <w:rPr>
          <w:lang w:val="bg-BG"/>
        </w:rPr>
        <w:t>В съответствие с изискванията на националното и европейското законодателство територията на България е разделена на шест района за оценка и управление на качеството на атмосферния въздух (ROCAV) - агломерация София, агломерация Пловдив, агломерация Варна, Северен/Дунавски, Югозападен и Югоизточен. Анализите на данните за качеството на атмосферния въздух (ECA) се извършват по региони, като се отчита спецификата на всяко населено място, в което се извършва мониторинг. През 2020 г. Националната система за мониторинг на качеството на атмосферния въздух (NMSCAV) експлоатира общо 48 стационарни пункта - 34 автоматични измервателни станции (АИС), 9 пункта с ръчно пробонабиране (RP) и последващи лабораторни анализи, 5 системи DOAS (на принципа на оптичната диференциална атомноабсорбционна спектрофотометрия), разположени в градовете Свищов, Никопол, Силистра, Бургас и Ст. Загора (с. Ръжена</w:t>
      </w:r>
      <w:r w:rsidR="00E3503D" w:rsidRPr="007375EB">
        <w:rPr>
          <w:lang w:val="bg-BG"/>
        </w:rPr>
        <w:t>)</w:t>
      </w:r>
      <w:r w:rsidR="001D1E8A" w:rsidRPr="007375EB">
        <w:rPr>
          <w:rStyle w:val="FootnoteReference"/>
          <w:lang w:val="bg-BG"/>
        </w:rPr>
        <w:footnoteReference w:id="28"/>
      </w:r>
      <w:r w:rsidR="00E3503D" w:rsidRPr="007375EB">
        <w:rPr>
          <w:lang w:val="bg-BG"/>
        </w:rPr>
        <w:t>.</w:t>
      </w:r>
    </w:p>
    <w:p w14:paraId="5200BD2B" w14:textId="77777777" w:rsidR="00AF427A" w:rsidRPr="007375EB" w:rsidRDefault="00AF427A" w:rsidP="00142110">
      <w:pPr>
        <w:spacing w:after="120" w:line="360" w:lineRule="auto"/>
        <w:jc w:val="both"/>
        <w:rPr>
          <w:lang w:val="bg-BG"/>
        </w:rPr>
      </w:pPr>
    </w:p>
    <w:p w14:paraId="4A9535F0" w14:textId="122C8BED" w:rsidR="00AF427A" w:rsidRPr="007375EB" w:rsidRDefault="00AF427A" w:rsidP="00142110">
      <w:pPr>
        <w:spacing w:after="120" w:line="360" w:lineRule="auto"/>
        <w:jc w:val="both"/>
        <w:rPr>
          <w:lang w:val="bg-BG"/>
        </w:rPr>
      </w:pPr>
      <w:r w:rsidRPr="007375EB">
        <w:rPr>
          <w:noProof/>
          <w:lang w:val="bg-BG"/>
        </w:rPr>
        <w:drawing>
          <wp:inline distT="0" distB="0" distL="0" distR="0" wp14:anchorId="66B533B4" wp14:editId="267F8DC1">
            <wp:extent cx="6017260" cy="4194175"/>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017260" cy="4194175"/>
                    </a:xfrm>
                    <a:prstGeom prst="rect">
                      <a:avLst/>
                    </a:prstGeom>
                    <a:noFill/>
                  </pic:spPr>
                </pic:pic>
              </a:graphicData>
            </a:graphic>
          </wp:inline>
        </w:drawing>
      </w:r>
    </w:p>
    <w:p w14:paraId="51F86DFC" w14:textId="554100D9" w:rsidR="00931D23" w:rsidRPr="007375EB" w:rsidRDefault="00B230C6" w:rsidP="0072050A">
      <w:pPr>
        <w:pStyle w:val="Caption"/>
        <w:spacing w:before="0" w:after="120" w:line="240" w:lineRule="auto"/>
        <w:jc w:val="center"/>
        <w:rPr>
          <w:sz w:val="16"/>
          <w:szCs w:val="16"/>
          <w:lang w:val="bg-BG"/>
        </w:rPr>
      </w:pPr>
      <w:r w:rsidRPr="007375EB">
        <w:rPr>
          <w:sz w:val="16"/>
          <w:szCs w:val="16"/>
          <w:lang w:val="bg-BG"/>
        </w:rPr>
        <w:t>Фигура</w:t>
      </w:r>
      <w:r w:rsidR="0063448A" w:rsidRPr="007375EB">
        <w:rPr>
          <w:sz w:val="16"/>
          <w:szCs w:val="16"/>
          <w:lang w:val="bg-BG"/>
        </w:rPr>
        <w:t xml:space="preserve"> 7. </w:t>
      </w:r>
      <w:r w:rsidR="0063448A" w:rsidRPr="007375EB">
        <w:rPr>
          <w:sz w:val="16"/>
          <w:szCs w:val="16"/>
          <w:lang w:val="bg-BG"/>
        </w:rPr>
        <w:fldChar w:fldCharType="begin"/>
      </w:r>
      <w:r w:rsidR="0063448A" w:rsidRPr="007375EB">
        <w:rPr>
          <w:sz w:val="16"/>
          <w:szCs w:val="16"/>
          <w:lang w:val="bg-BG"/>
        </w:rPr>
        <w:instrText xml:space="preserve"> SEQ Figura_7. \* ARABIC </w:instrText>
      </w:r>
      <w:r w:rsidR="0063448A" w:rsidRPr="007375EB">
        <w:rPr>
          <w:sz w:val="16"/>
          <w:szCs w:val="16"/>
          <w:lang w:val="bg-BG"/>
        </w:rPr>
        <w:fldChar w:fldCharType="separate"/>
      </w:r>
      <w:r w:rsidR="00D715BC" w:rsidRPr="007375EB">
        <w:rPr>
          <w:noProof/>
          <w:sz w:val="16"/>
          <w:szCs w:val="16"/>
          <w:lang w:val="bg-BG"/>
        </w:rPr>
        <w:t>1</w:t>
      </w:r>
      <w:r w:rsidR="0063448A" w:rsidRPr="007375EB">
        <w:rPr>
          <w:sz w:val="16"/>
          <w:szCs w:val="16"/>
          <w:lang w:val="bg-BG"/>
        </w:rPr>
        <w:fldChar w:fldCharType="end"/>
      </w:r>
      <w:r w:rsidR="0072050A" w:rsidRPr="007375EB">
        <w:rPr>
          <w:sz w:val="16"/>
          <w:szCs w:val="16"/>
          <w:lang w:val="bg-BG"/>
        </w:rPr>
        <w:t xml:space="preserve"> </w:t>
      </w:r>
      <w:r w:rsidR="008B542F" w:rsidRPr="007375EB">
        <w:rPr>
          <w:sz w:val="16"/>
          <w:szCs w:val="16"/>
          <w:lang w:val="bg-BG"/>
        </w:rPr>
        <w:t>Карта на зоните за оценка и управление на качеството на въздуха в България</w:t>
      </w:r>
    </w:p>
    <w:p w14:paraId="48105B27" w14:textId="77777777" w:rsidR="0072050A" w:rsidRPr="007375EB" w:rsidRDefault="0072050A" w:rsidP="00931D23">
      <w:pPr>
        <w:spacing w:after="120" w:line="360" w:lineRule="auto"/>
        <w:rPr>
          <w:lang w:val="bg-BG" w:eastAsia="ro-RO"/>
        </w:rPr>
      </w:pPr>
    </w:p>
    <w:p w14:paraId="2558F409" w14:textId="77777777" w:rsidR="008B542F" w:rsidRPr="007375EB" w:rsidRDefault="008B542F" w:rsidP="008B542F">
      <w:pPr>
        <w:pStyle w:val="BodyTextIndent"/>
        <w:spacing w:line="360" w:lineRule="auto"/>
        <w:ind w:left="0"/>
        <w:jc w:val="both"/>
        <w:rPr>
          <w:lang w:val="bg-BG" w:eastAsia="ro-RO"/>
        </w:rPr>
      </w:pPr>
      <w:r w:rsidRPr="007375EB">
        <w:rPr>
          <w:lang w:val="bg-BG" w:eastAsia="ro-RO"/>
        </w:rPr>
        <w:t>Според картата проектът граничи със северния район (сивата част на картата) по отношение на оценката и управлението на качеството на въздуха.</w:t>
      </w:r>
    </w:p>
    <w:p w14:paraId="6096B684" w14:textId="77777777" w:rsidR="008B542F" w:rsidRPr="007375EB" w:rsidRDefault="008B542F" w:rsidP="008B542F">
      <w:pPr>
        <w:pStyle w:val="BodyTextIndent"/>
        <w:spacing w:line="360" w:lineRule="auto"/>
        <w:ind w:left="0"/>
        <w:jc w:val="both"/>
        <w:rPr>
          <w:lang w:val="bg-BG" w:eastAsia="ro-RO"/>
        </w:rPr>
      </w:pPr>
      <w:r w:rsidRPr="007375EB">
        <w:rPr>
          <w:lang w:val="bg-BG" w:eastAsia="ro-RO"/>
        </w:rPr>
        <w:t xml:space="preserve">Основните източници на замърсяване на въздуха в България са сходни с тези в Румъния, като са представени от транспортни дейности, строителни/демонтажни дейности, дифузни горивни източници, селскостопански дейности, промишлени дейности. </w:t>
      </w:r>
    </w:p>
    <w:p w14:paraId="7FDE324E" w14:textId="10E4CE1B" w:rsidR="003F4D6D" w:rsidRPr="007375EB" w:rsidRDefault="008B542F" w:rsidP="008B542F">
      <w:pPr>
        <w:pStyle w:val="BodyTextIndent"/>
        <w:spacing w:line="360" w:lineRule="auto"/>
        <w:ind w:left="0"/>
        <w:jc w:val="both"/>
        <w:rPr>
          <w:lang w:val="bg-BG" w:eastAsia="ro-RO"/>
        </w:rPr>
      </w:pPr>
      <w:r w:rsidRPr="007375EB">
        <w:rPr>
          <w:lang w:val="bg-BG" w:eastAsia="ro-RO"/>
        </w:rPr>
        <w:t>Транспортните дейности включват само автомобилния трафик, в района няма железопътни линии</w:t>
      </w:r>
      <w:r w:rsidR="003F4D6D" w:rsidRPr="007375EB">
        <w:rPr>
          <w:lang w:val="bg-BG" w:eastAsia="ro-RO"/>
        </w:rPr>
        <w:t>.</w:t>
      </w:r>
    </w:p>
    <w:p w14:paraId="590F0F1B" w14:textId="26EB172B" w:rsidR="003F4D6D" w:rsidRPr="007375EB" w:rsidRDefault="008B542F" w:rsidP="003F4D6D">
      <w:pPr>
        <w:spacing w:after="120" w:line="360" w:lineRule="auto"/>
        <w:jc w:val="both"/>
        <w:rPr>
          <w:lang w:val="bg-BG" w:eastAsia="ro-RO"/>
        </w:rPr>
      </w:pPr>
      <w:r w:rsidRPr="007375EB">
        <w:rPr>
          <w:lang w:val="bg-BG" w:eastAsia="ro-RO"/>
        </w:rPr>
        <w:t xml:space="preserve">Основните специфични замърсители, дължащи се на автомобилния транспорт, са: </w:t>
      </w:r>
      <w:r w:rsidRPr="007375EB">
        <w:rPr>
          <w:b/>
          <w:bCs/>
          <w:lang w:val="bg-BG" w:eastAsia="ro-RO"/>
        </w:rPr>
        <w:t>азотни оксиди</w:t>
      </w:r>
      <w:r w:rsidRPr="007375EB">
        <w:rPr>
          <w:lang w:val="bg-BG" w:eastAsia="ro-RO"/>
        </w:rPr>
        <w:t xml:space="preserve"> </w:t>
      </w:r>
      <w:r w:rsidR="003F4D6D" w:rsidRPr="007375EB">
        <w:rPr>
          <w:b/>
          <w:bCs/>
          <w:lang w:val="bg-BG" w:eastAsia="ro-RO"/>
        </w:rPr>
        <w:t>(NO</w:t>
      </w:r>
      <w:r w:rsidR="003F4D6D" w:rsidRPr="007375EB">
        <w:rPr>
          <w:b/>
          <w:bCs/>
          <w:vertAlign w:val="subscript"/>
          <w:lang w:val="bg-BG" w:eastAsia="ro-RO"/>
        </w:rPr>
        <w:t>x</w:t>
      </w:r>
      <w:r w:rsidR="003F4D6D" w:rsidRPr="007375EB">
        <w:rPr>
          <w:b/>
          <w:bCs/>
          <w:lang w:val="bg-BG" w:eastAsia="ro-RO"/>
        </w:rPr>
        <w:t xml:space="preserve">), </w:t>
      </w:r>
      <w:r w:rsidRPr="007375EB">
        <w:rPr>
          <w:b/>
          <w:bCs/>
          <w:lang w:val="bg-BG" w:eastAsia="ro-RO"/>
        </w:rPr>
        <w:t xml:space="preserve">серен диоксид </w:t>
      </w:r>
      <w:r w:rsidR="003F4D6D" w:rsidRPr="007375EB">
        <w:rPr>
          <w:b/>
          <w:bCs/>
          <w:lang w:val="bg-BG" w:eastAsia="ro-RO"/>
        </w:rPr>
        <w:t>(SO</w:t>
      </w:r>
      <w:r w:rsidR="003F4D6D" w:rsidRPr="007375EB">
        <w:rPr>
          <w:b/>
          <w:bCs/>
          <w:vertAlign w:val="subscript"/>
          <w:lang w:val="bg-BG" w:eastAsia="ro-RO"/>
        </w:rPr>
        <w:t>2</w:t>
      </w:r>
      <w:r w:rsidR="003F4D6D" w:rsidRPr="007375EB">
        <w:rPr>
          <w:b/>
          <w:bCs/>
          <w:lang w:val="bg-BG" w:eastAsia="ro-RO"/>
        </w:rPr>
        <w:t>), oxizii de carbon (CO</w:t>
      </w:r>
      <w:r w:rsidR="003F4D6D" w:rsidRPr="007375EB">
        <w:rPr>
          <w:b/>
          <w:bCs/>
          <w:vertAlign w:val="subscript"/>
          <w:lang w:val="bg-BG" w:eastAsia="ro-RO"/>
        </w:rPr>
        <w:t>x</w:t>
      </w:r>
      <w:r w:rsidR="003F4D6D" w:rsidRPr="007375EB">
        <w:rPr>
          <w:b/>
          <w:bCs/>
          <w:lang w:val="bg-BG" w:eastAsia="ro-RO"/>
        </w:rPr>
        <w:t>), particule în suspensie (PM</w:t>
      </w:r>
      <w:r w:rsidR="003F4D6D" w:rsidRPr="007375EB">
        <w:rPr>
          <w:b/>
          <w:bCs/>
          <w:vertAlign w:val="subscript"/>
          <w:lang w:val="bg-BG" w:eastAsia="ro-RO"/>
        </w:rPr>
        <w:t>10</w:t>
      </w:r>
      <w:r w:rsidR="003F4D6D" w:rsidRPr="007375EB">
        <w:rPr>
          <w:b/>
          <w:bCs/>
          <w:lang w:val="bg-BG" w:eastAsia="ro-RO"/>
        </w:rPr>
        <w:t>, PM</w:t>
      </w:r>
      <w:r w:rsidR="003F4D6D" w:rsidRPr="007375EB">
        <w:rPr>
          <w:b/>
          <w:bCs/>
          <w:vertAlign w:val="subscript"/>
          <w:lang w:val="bg-BG" w:eastAsia="ro-RO"/>
        </w:rPr>
        <w:t>2,5</w:t>
      </w:r>
      <w:r w:rsidR="003F4D6D" w:rsidRPr="007375EB">
        <w:rPr>
          <w:b/>
          <w:bCs/>
          <w:lang w:val="bg-BG" w:eastAsia="ro-RO"/>
        </w:rPr>
        <w:t>), compuși organici volatili (COV)</w:t>
      </w:r>
      <w:r w:rsidR="003F4D6D" w:rsidRPr="007375EB">
        <w:rPr>
          <w:lang w:val="bg-BG" w:eastAsia="ro-RO"/>
        </w:rPr>
        <w:t>.</w:t>
      </w:r>
    </w:p>
    <w:p w14:paraId="24A9B8C9" w14:textId="2ED0B6C8" w:rsidR="00103048" w:rsidRPr="007375EB" w:rsidRDefault="008B542F" w:rsidP="00764C44">
      <w:pPr>
        <w:spacing w:after="120" w:line="360" w:lineRule="auto"/>
        <w:jc w:val="both"/>
        <w:rPr>
          <w:lang w:val="bg-BG"/>
        </w:rPr>
      </w:pPr>
      <w:r w:rsidRPr="007375EB">
        <w:rPr>
          <w:lang w:val="bg-BG"/>
        </w:rPr>
        <w:t>Според информацията, публикувана</w:t>
      </w:r>
      <w:r w:rsidRPr="007375EB">
        <w:rPr>
          <w:rStyle w:val="FootnoteReference"/>
          <w:lang w:val="bg-BG"/>
        </w:rPr>
        <w:footnoteReference w:id="29"/>
      </w:r>
      <w:r w:rsidRPr="007375EB">
        <w:rPr>
          <w:lang w:val="bg-BG"/>
        </w:rPr>
        <w:t xml:space="preserve"> за четвъртото тримесечие на 2022 г. - Северен регион, бяха подчертани следните аспекти</w:t>
      </w:r>
      <w:r w:rsidR="0088179C" w:rsidRPr="007375EB">
        <w:rPr>
          <w:lang w:val="bg-BG"/>
        </w:rPr>
        <w:t>:</w:t>
      </w:r>
    </w:p>
    <w:p w14:paraId="05AD6D10" w14:textId="5E1E6B64" w:rsidR="001E0AC6" w:rsidRPr="007375EB" w:rsidRDefault="008B542F" w:rsidP="00A83AD5">
      <w:pPr>
        <w:pStyle w:val="ListParagraph"/>
        <w:numPr>
          <w:ilvl w:val="0"/>
          <w:numId w:val="79"/>
        </w:numPr>
        <w:spacing w:after="120" w:line="360" w:lineRule="auto"/>
        <w:jc w:val="both"/>
        <w:rPr>
          <w:lang w:val="bg-BG"/>
        </w:rPr>
      </w:pPr>
      <w:r w:rsidRPr="007375EB">
        <w:rPr>
          <w:lang w:val="bg-BG"/>
        </w:rPr>
        <w:t>- Серен диоксид (SO</w:t>
      </w:r>
      <w:r w:rsidRPr="007375EB">
        <w:rPr>
          <w:vertAlign w:val="subscript"/>
          <w:lang w:val="bg-BG"/>
        </w:rPr>
        <w:t>2</w:t>
      </w:r>
      <w:r w:rsidRPr="007375EB">
        <w:rPr>
          <w:lang w:val="bg-BG"/>
        </w:rPr>
        <w:t>): Според докладите за четвъртото тримесечие на 2022 г. няма превишаване на</w:t>
      </w:r>
      <w:r w:rsidR="001E0AC6" w:rsidRPr="007375EB">
        <w:rPr>
          <w:lang w:val="bg-BG"/>
        </w:rPr>
        <w:t xml:space="preserve"> SO</w:t>
      </w:r>
      <w:r w:rsidR="001E0AC6" w:rsidRPr="007375EB">
        <w:rPr>
          <w:vertAlign w:val="subscript"/>
          <w:lang w:val="bg-BG"/>
        </w:rPr>
        <w:t>2</w:t>
      </w:r>
      <w:r w:rsidR="001E0AC6" w:rsidRPr="007375EB">
        <w:rPr>
          <w:lang w:val="bg-BG"/>
        </w:rPr>
        <w:t>.</w:t>
      </w:r>
    </w:p>
    <w:p w14:paraId="693DAB2B" w14:textId="74A36ADA" w:rsidR="001E0AC6" w:rsidRPr="007375EB" w:rsidRDefault="008B542F" w:rsidP="00A83AD5">
      <w:pPr>
        <w:pStyle w:val="ListParagraph"/>
        <w:numPr>
          <w:ilvl w:val="0"/>
          <w:numId w:val="79"/>
        </w:numPr>
        <w:spacing w:after="120" w:line="360" w:lineRule="auto"/>
        <w:jc w:val="both"/>
        <w:rPr>
          <w:lang w:val="bg-BG"/>
        </w:rPr>
      </w:pPr>
      <w:r w:rsidRPr="007375EB">
        <w:rPr>
          <w:lang w:val="bg-BG"/>
        </w:rPr>
        <w:lastRenderedPageBreak/>
        <w:t>- Азотен диоксид (NO</w:t>
      </w:r>
      <w:r w:rsidRPr="007375EB">
        <w:rPr>
          <w:vertAlign w:val="subscript"/>
          <w:lang w:val="bg-BG"/>
        </w:rPr>
        <w:t>2</w:t>
      </w:r>
      <w:r w:rsidRPr="007375EB">
        <w:rPr>
          <w:lang w:val="bg-BG"/>
        </w:rPr>
        <w:t>): нивата на NO</w:t>
      </w:r>
      <w:r w:rsidRPr="007375EB">
        <w:rPr>
          <w:vertAlign w:val="subscript"/>
          <w:lang w:val="bg-BG"/>
        </w:rPr>
        <w:t>2</w:t>
      </w:r>
      <w:r w:rsidRPr="007375EB">
        <w:rPr>
          <w:lang w:val="bg-BG"/>
        </w:rPr>
        <w:t xml:space="preserve"> са били в рамките на разрешените граници и не са показали значителни превишения.</w:t>
      </w:r>
    </w:p>
    <w:p w14:paraId="7DDC7ED6" w14:textId="194B380D" w:rsidR="001E0AC6" w:rsidRPr="007375EB" w:rsidRDefault="00CB1D9E" w:rsidP="00A83AD5">
      <w:pPr>
        <w:pStyle w:val="ListParagraph"/>
        <w:numPr>
          <w:ilvl w:val="0"/>
          <w:numId w:val="79"/>
        </w:numPr>
        <w:spacing w:after="120" w:line="360" w:lineRule="auto"/>
        <w:jc w:val="both"/>
        <w:rPr>
          <w:lang w:val="bg-BG"/>
        </w:rPr>
      </w:pPr>
      <w:r w:rsidRPr="007375EB">
        <w:rPr>
          <w:lang w:val="bg-BG"/>
        </w:rPr>
        <w:t xml:space="preserve">Фини частици </w:t>
      </w:r>
      <w:r w:rsidR="001E0AC6" w:rsidRPr="007375EB">
        <w:rPr>
          <w:lang w:val="bg-BG"/>
        </w:rPr>
        <w:t>(PM</w:t>
      </w:r>
      <w:r w:rsidR="001E0AC6" w:rsidRPr="007375EB">
        <w:rPr>
          <w:vertAlign w:val="subscript"/>
          <w:lang w:val="bg-BG"/>
        </w:rPr>
        <w:t>10</w:t>
      </w:r>
      <w:r w:rsidR="001E0AC6" w:rsidRPr="007375EB">
        <w:rPr>
          <w:lang w:val="bg-BG"/>
        </w:rPr>
        <w:t xml:space="preserve"> </w:t>
      </w:r>
      <w:r w:rsidRPr="007375EB">
        <w:rPr>
          <w:lang w:val="bg-BG"/>
        </w:rPr>
        <w:t>и</w:t>
      </w:r>
      <w:r w:rsidR="001E0AC6" w:rsidRPr="007375EB">
        <w:rPr>
          <w:lang w:val="bg-BG"/>
        </w:rPr>
        <w:t xml:space="preserve"> PM</w:t>
      </w:r>
      <w:r w:rsidR="001E0AC6" w:rsidRPr="007375EB">
        <w:rPr>
          <w:vertAlign w:val="subscript"/>
          <w:lang w:val="bg-BG"/>
        </w:rPr>
        <w:t>2.5</w:t>
      </w:r>
      <w:r w:rsidR="001E0AC6" w:rsidRPr="007375EB">
        <w:rPr>
          <w:lang w:val="bg-BG"/>
        </w:rPr>
        <w:t xml:space="preserve">): </w:t>
      </w:r>
      <w:r w:rsidRPr="007375EB">
        <w:rPr>
          <w:lang w:val="bg-BG"/>
        </w:rPr>
        <w:t>Проблемите със замърсяването с PM</w:t>
      </w:r>
      <w:r w:rsidRPr="007375EB">
        <w:rPr>
          <w:vertAlign w:val="subscript"/>
          <w:lang w:val="bg-BG"/>
        </w:rPr>
        <w:t>10</w:t>
      </w:r>
      <w:r w:rsidRPr="007375EB">
        <w:rPr>
          <w:lang w:val="bg-BG"/>
        </w:rPr>
        <w:t xml:space="preserve"> (ФПЧ10) продължават, като понякога се наблюдава превишаване на нормите, особено през студения сезон.</w:t>
      </w:r>
      <w:r w:rsidR="001E0AC6" w:rsidRPr="007375EB">
        <w:rPr>
          <w:lang w:val="bg-BG"/>
        </w:rPr>
        <w:t>.</w:t>
      </w:r>
    </w:p>
    <w:p w14:paraId="417EBF5C" w14:textId="77777777" w:rsidR="00CB1D9E" w:rsidRPr="007375EB" w:rsidRDefault="00CB1D9E" w:rsidP="00CB1D9E">
      <w:pPr>
        <w:spacing w:after="120" w:line="360" w:lineRule="auto"/>
        <w:jc w:val="both"/>
        <w:rPr>
          <w:lang w:val="bg-BG"/>
        </w:rPr>
      </w:pPr>
      <w:r w:rsidRPr="007375EB">
        <w:rPr>
          <w:lang w:val="bg-BG"/>
        </w:rPr>
        <w:t>Както се вижда от горното, в района на проекта не са наблюдавани значителни превишения на граничните стойности, определени от действащото българско законодателство.</w:t>
      </w:r>
    </w:p>
    <w:p w14:paraId="368012A0" w14:textId="77777777" w:rsidR="00CB1D9E" w:rsidRPr="007375EB" w:rsidRDefault="00CB1D9E" w:rsidP="00CB1D9E">
      <w:pPr>
        <w:spacing w:after="120" w:line="360" w:lineRule="auto"/>
        <w:jc w:val="both"/>
        <w:rPr>
          <w:lang w:val="bg-BG"/>
        </w:rPr>
      </w:pPr>
      <w:r w:rsidRPr="007375EB">
        <w:rPr>
          <w:lang w:val="bg-BG"/>
        </w:rPr>
        <w:t>Като се вземат предвид дейностите, които се извършват в момента, качеството на въздуха може да се счита като цяло за добро, тъй като става въпрос за открит селски район, незасегнат от градски постройки и без интензивни промишлени дейности.</w:t>
      </w:r>
    </w:p>
    <w:p w14:paraId="3F501390" w14:textId="4D27D5B4" w:rsidR="00A16646" w:rsidRPr="007375EB" w:rsidRDefault="00CB1D9E" w:rsidP="00CB1D9E">
      <w:pPr>
        <w:spacing w:after="120" w:line="360" w:lineRule="auto"/>
        <w:jc w:val="both"/>
        <w:rPr>
          <w:lang w:val="bg-BG"/>
        </w:rPr>
      </w:pPr>
      <w:r w:rsidRPr="007375EB">
        <w:rPr>
          <w:lang w:val="bg-BG"/>
        </w:rPr>
        <w:t xml:space="preserve">Изграждането на вятърния парк в община Черкезу </w:t>
      </w:r>
      <w:r w:rsidRPr="007375EB">
        <w:rPr>
          <w:b/>
          <w:bCs/>
          <w:lang w:val="bg-BG"/>
        </w:rPr>
        <w:t>няма да окаже значително отрицателно въздействие върху качеството на въздуха в България</w:t>
      </w:r>
      <w:r w:rsidRPr="007375EB">
        <w:rPr>
          <w:lang w:val="bg-BG"/>
        </w:rPr>
        <w:t>. По време на етапа на строителство основните източници на емисии са праховите емисии от изкопните работи, превозните средства и строителните материали, както и емисиите на замърсители, характерни за изгарянето на изкопаеми горива, свързани с машините и транспортните средства. Ерозията при изкопните работи също може да промени качеството на въздуха на местно ниво</w:t>
      </w:r>
      <w:r w:rsidR="00A16646" w:rsidRPr="007375EB">
        <w:rPr>
          <w:lang w:val="bg-BG"/>
        </w:rPr>
        <w:t>.</w:t>
      </w:r>
    </w:p>
    <w:p w14:paraId="7AEA56F0" w14:textId="77777777" w:rsidR="00CB1D9E" w:rsidRPr="007375EB" w:rsidRDefault="00CB1D9E" w:rsidP="00CB1D9E">
      <w:pPr>
        <w:spacing w:after="120" w:line="360" w:lineRule="auto"/>
        <w:jc w:val="both"/>
        <w:rPr>
          <w:lang w:val="bg-BG"/>
        </w:rPr>
      </w:pPr>
      <w:r w:rsidRPr="007375EB">
        <w:rPr>
          <w:lang w:val="bg-BG"/>
        </w:rPr>
        <w:t>Нивото на емисиите на прах и замърсители варира значително в зависимост от ежедневната дейност, спецификата на работите и метеорологичните условия и зависи от фазите на строителния процес (полагане на пътища, земни работи, основи, монтаж на турбини). Тези емисии обаче са временни и локални, като въздействието им се усеща само в периметъра на площадките и работните повърхности.</w:t>
      </w:r>
    </w:p>
    <w:p w14:paraId="7483C96A" w14:textId="0B161F84" w:rsidR="00A16646" w:rsidRPr="007375EB" w:rsidRDefault="00CB1D9E" w:rsidP="00CB1D9E">
      <w:pPr>
        <w:spacing w:after="120" w:line="360" w:lineRule="auto"/>
        <w:jc w:val="both"/>
        <w:rPr>
          <w:lang w:val="bg-BG"/>
        </w:rPr>
      </w:pPr>
      <w:r w:rsidRPr="007375EB">
        <w:rPr>
          <w:lang w:val="bg-BG"/>
        </w:rPr>
        <w:t>По време на експлоатацията си вятърните турбини допринасят за намаляване на емисиите на парникови газове (ПГ), като изместват електричеството, произвеждано от изкопаеми горива, като по този начин допринасят за смекчаване на последиците от изменението на климата и оказват значително положително въздействие върху качеството на въздуха</w:t>
      </w:r>
      <w:r w:rsidR="00A16646" w:rsidRPr="007375EB">
        <w:rPr>
          <w:lang w:val="bg-BG"/>
        </w:rPr>
        <w:t>.</w:t>
      </w:r>
    </w:p>
    <w:p w14:paraId="7ED2DEB7" w14:textId="72D9C1A6" w:rsidR="00A16646" w:rsidRPr="007375EB" w:rsidRDefault="00CB1D9E" w:rsidP="00A16646">
      <w:pPr>
        <w:spacing w:after="120" w:line="360" w:lineRule="auto"/>
        <w:jc w:val="both"/>
        <w:rPr>
          <w:rFonts w:eastAsiaTheme="majorEastAsia" w:cstheme="majorBidi"/>
          <w:b/>
          <w:i/>
          <w:iCs/>
          <w:color w:val="009DF0" w:themeColor="text2"/>
          <w:lang w:val="bg-BG" w:eastAsia="ro-RO"/>
        </w:rPr>
      </w:pPr>
      <w:r w:rsidRPr="007375EB">
        <w:rPr>
          <w:rFonts w:eastAsiaTheme="majorEastAsia" w:cstheme="majorBidi"/>
          <w:b/>
          <w:i/>
          <w:iCs/>
          <w:color w:val="009DF0" w:themeColor="text2"/>
          <w:lang w:val="bg-BG" w:eastAsia="ro-RO"/>
        </w:rPr>
        <w:t>Почва / Подпочва</w:t>
      </w:r>
    </w:p>
    <w:p w14:paraId="6E7DCE16" w14:textId="77777777" w:rsidR="00CB1D9E" w:rsidRPr="007375EB" w:rsidRDefault="00CB1D9E" w:rsidP="00CB1D9E">
      <w:pPr>
        <w:spacing w:after="120" w:line="360" w:lineRule="auto"/>
        <w:jc w:val="both"/>
        <w:rPr>
          <w:lang w:val="bg-BG"/>
        </w:rPr>
      </w:pPr>
      <w:r w:rsidRPr="007375EB">
        <w:rPr>
          <w:lang w:val="bg-BG"/>
        </w:rPr>
        <w:t>Северната част на България, част от Дунавската равнина, се характеризира с разнообразие от геоложки образувания. Това включва скорошни алувиални седименти, отложени от реките, вливащи се в Дунав, както и по-стари седиментни скални образувания от неогенския и палеогенския период. Дунавската равнина се характеризира с равнинни и леко вълнисти земи, идеални за земеделие.</w:t>
      </w:r>
    </w:p>
    <w:p w14:paraId="3AB41D66" w14:textId="68B00802" w:rsidR="00CB1D9E" w:rsidRPr="007375EB" w:rsidRDefault="00CB1D9E" w:rsidP="00CB1D9E">
      <w:pPr>
        <w:spacing w:after="120" w:line="360" w:lineRule="auto"/>
        <w:jc w:val="both"/>
        <w:rPr>
          <w:lang w:val="bg-BG"/>
        </w:rPr>
      </w:pPr>
      <w:r w:rsidRPr="007375EB">
        <w:rPr>
          <w:lang w:val="bg-BG"/>
        </w:rPr>
        <w:t>В България през периода 2011-2021 г. се наблюдава постоянна тенденция на увеличаване или запазване на площите, заети с обработваеми земи, и намаляване на необработваемите земи. Спрямо 2020 г. увеличението на обработваемата земя е незначително (с 0,27%)</w:t>
      </w:r>
      <w:r w:rsidRPr="007375EB">
        <w:rPr>
          <w:rStyle w:val="FootnoteReference"/>
          <w:lang w:val="bg-BG"/>
        </w:rPr>
        <w:footnoteReference w:id="30"/>
      </w:r>
      <w:r w:rsidRPr="007375EB">
        <w:rPr>
          <w:lang w:val="bg-BG"/>
        </w:rPr>
        <w:t>. През 2021 г. използваната земеделска площ е 5 046 597 ха и заема 45,5% от територията на страната</w:t>
      </w:r>
    </w:p>
    <w:p w14:paraId="4A098E2C" w14:textId="0BEF810D" w:rsidR="00586DC8" w:rsidRPr="007375EB" w:rsidRDefault="00CB1D9E" w:rsidP="00A16646">
      <w:pPr>
        <w:spacing w:after="120" w:line="360" w:lineRule="auto"/>
        <w:jc w:val="both"/>
        <w:rPr>
          <w:lang w:val="bg-BG"/>
        </w:rPr>
      </w:pPr>
      <w:r w:rsidRPr="007375EB">
        <w:rPr>
          <w:lang w:val="bg-BG"/>
        </w:rPr>
        <w:lastRenderedPageBreak/>
        <w:t>Съгласно Почвената карта в зоната на покритие на PUZ, представена в подточка 2.1.3. може да се види, че в южната част на предложения проект, на територията на България, преобладават кестенови почви (ксерофилни гори и саблеци) с черноземни прослойки</w:t>
      </w:r>
      <w:r w:rsidR="00E53644" w:rsidRPr="007375EB">
        <w:rPr>
          <w:lang w:val="bg-BG"/>
        </w:rPr>
        <w:t>.</w:t>
      </w:r>
    </w:p>
    <w:p w14:paraId="2FD3C375" w14:textId="77777777" w:rsidR="00756674" w:rsidRPr="007375EB" w:rsidRDefault="00756674" w:rsidP="00F03A8B">
      <w:pPr>
        <w:shd w:val="clear" w:color="auto" w:fill="FFFFFF"/>
        <w:spacing w:after="120" w:line="360" w:lineRule="auto"/>
        <w:jc w:val="both"/>
        <w:rPr>
          <w:lang w:val="bg-BG"/>
        </w:rPr>
      </w:pPr>
      <w:r w:rsidRPr="007375EB">
        <w:rPr>
          <w:lang w:val="bg-BG"/>
        </w:rPr>
        <w:t xml:space="preserve">Черноземните почви са много плодородни, богати на хумус, идеални за земеделие, докато сивите горски почви, макар и по-малко плодородни, също се използват в земеделието и горското стопанство. Този регион, част от Дунавската равнина, е предимно земеделски поради плодородните почви. </w:t>
      </w:r>
    </w:p>
    <w:p w14:paraId="4D918E5A" w14:textId="323D9926" w:rsidR="00E40FD7" w:rsidRPr="007375EB" w:rsidRDefault="00756674" w:rsidP="00F03A8B">
      <w:pPr>
        <w:shd w:val="clear" w:color="auto" w:fill="FFFFFF"/>
        <w:spacing w:after="120" w:line="360" w:lineRule="auto"/>
        <w:jc w:val="both"/>
        <w:rPr>
          <w:lang w:val="bg-BG"/>
        </w:rPr>
      </w:pPr>
      <w:r w:rsidRPr="007375EB">
        <w:rPr>
          <w:lang w:val="bg-BG"/>
        </w:rPr>
        <w:t>Що се отнася до разпределението на категориите земеползване (</w:t>
      </w:r>
      <w:r w:rsidRPr="007375EB">
        <w:rPr>
          <w:b/>
          <w:bCs/>
          <w:lang w:val="bg-BG"/>
        </w:rPr>
        <w:t>вж. Фигура 2.12</w:t>
      </w:r>
      <w:r w:rsidR="0078389B" w:rsidRPr="007375EB">
        <w:rPr>
          <w:lang w:val="bg-BG"/>
        </w:rPr>
        <w:t xml:space="preserve"> </w:t>
      </w:r>
      <w:r w:rsidRPr="007375EB">
        <w:rPr>
          <w:lang w:val="bg-BG"/>
        </w:rPr>
        <w:t>Разпределение на категориите земеползване в зоната на покритие на PUZ), българската територия в съседство с предложения проект представлява площ от (предимно) обработваеми земи, с малки прекъсвания на широколистни гори, предимно земеделски земи, смесени с естествена растителност, прекъснати градски пространства и промишлени или търговски обекти. В заключение, северната част на България, на границата с Румъния, е сравнително антропогенизирана и има предимно плодородни почви</w:t>
      </w:r>
      <w:r w:rsidR="005D27B5" w:rsidRPr="007375EB">
        <w:rPr>
          <w:lang w:val="bg-BG"/>
        </w:rPr>
        <w:t>.</w:t>
      </w:r>
    </w:p>
    <w:p w14:paraId="24C24CA7" w14:textId="724B4943" w:rsidR="005D27B5" w:rsidRPr="007375EB" w:rsidRDefault="00756674" w:rsidP="00F03A8B">
      <w:pPr>
        <w:shd w:val="clear" w:color="auto" w:fill="FFFFFF"/>
        <w:spacing w:after="120" w:line="360" w:lineRule="auto"/>
        <w:jc w:val="both"/>
        <w:rPr>
          <w:rFonts w:eastAsia="Times New Roman" w:cs="Calibri"/>
          <w:lang w:val="bg-BG" w:eastAsia="en-GB"/>
        </w:rPr>
      </w:pPr>
      <w:r w:rsidRPr="007375EB">
        <w:rPr>
          <w:lang w:val="bg-BG"/>
        </w:rPr>
        <w:t xml:space="preserve">Що се отнася до въздействието върху почвата и земните недра, </w:t>
      </w:r>
      <w:r w:rsidRPr="007375EB">
        <w:rPr>
          <w:b/>
          <w:bCs/>
          <w:lang w:val="bg-BG"/>
        </w:rPr>
        <w:t>няма значително въздействие върху почвата и земните недра в съседната територия на България</w:t>
      </w:r>
      <w:r w:rsidRPr="007375EB">
        <w:rPr>
          <w:lang w:val="bg-BG"/>
        </w:rPr>
        <w:t>. По време на етапа на изпълнение въздействието върху почвата е временно и обратимо, ограничено до периметъра на строителните работи. Промените в структурата на почвата и режима на инфилтрация на водата се управляват чрез мерки за екологично възстановяване. Възможните източници на замърсяване от дейността на превозните средства и машините се наблюдават и контролират, за да се предотврати замърсяване. Освен това вятърните турбини имат малък отпечатък върху земята в сравнение с други форми на енергия, което ограничава ерозията и уплътняването на почвата. По време на експлоатацията вятърният парк не генерира замърсители, които да влияят на качеството на почвата или земните недра, като по този начин се гарантира дългосрочна защита на околната среда</w:t>
      </w:r>
      <w:r w:rsidR="007353C3" w:rsidRPr="007375EB">
        <w:rPr>
          <w:lang w:val="bg-BG"/>
        </w:rPr>
        <w:t>.</w:t>
      </w:r>
    </w:p>
    <w:p w14:paraId="57BE3789" w14:textId="679B088B" w:rsidR="00A414ED" w:rsidRPr="007375EB" w:rsidRDefault="00756674" w:rsidP="00A414ED">
      <w:pPr>
        <w:spacing w:after="120" w:line="360" w:lineRule="auto"/>
        <w:jc w:val="both"/>
        <w:rPr>
          <w:rFonts w:eastAsiaTheme="majorEastAsia" w:cstheme="majorBidi"/>
          <w:b/>
          <w:i/>
          <w:iCs/>
          <w:color w:val="009DF0" w:themeColor="text2"/>
          <w:lang w:val="bg-BG" w:eastAsia="ro-RO"/>
        </w:rPr>
      </w:pPr>
      <w:r w:rsidRPr="007375EB">
        <w:rPr>
          <w:rFonts w:eastAsiaTheme="majorEastAsia" w:cstheme="majorBidi"/>
          <w:b/>
          <w:i/>
          <w:iCs/>
          <w:color w:val="009DF0" w:themeColor="text2"/>
          <w:lang w:val="bg-BG" w:eastAsia="ro-RO"/>
        </w:rPr>
        <w:t>Използване на природни ресурси</w:t>
      </w:r>
    </w:p>
    <w:p w14:paraId="7CA2B40F" w14:textId="75C9DD30" w:rsidR="00A414ED" w:rsidRPr="007375EB" w:rsidRDefault="0078389B" w:rsidP="0083172B">
      <w:pPr>
        <w:shd w:val="clear" w:color="auto" w:fill="FFFFFF"/>
        <w:spacing w:after="120" w:line="360" w:lineRule="auto"/>
        <w:jc w:val="both"/>
        <w:rPr>
          <w:lang w:val="bg-BG"/>
        </w:rPr>
      </w:pPr>
      <w:r w:rsidRPr="007375EB">
        <w:rPr>
          <w:lang w:val="bg-BG"/>
        </w:rPr>
        <w:t xml:space="preserve">В глава 2.1.4 беше описано, че изпълнението на проекта за вятърен парк в община Черкезу, Румъния, предлага възможност за оползотворяване на възобновяемите енергийни ресурси. За реализацията на вятърния парк ще бъдат използвани следните количества ресурси: горен почвен слой от разчистване (около 108600 m³), естествена почва от изкопни работи (24350 m³), трошен камък за запълване (114250 m³) и незначителни количества вода за различни дейности на обекта. Изграждането на ветроенергийния парк </w:t>
      </w:r>
      <w:r w:rsidRPr="007375EB">
        <w:rPr>
          <w:b/>
          <w:bCs/>
          <w:lang w:val="bg-BG"/>
        </w:rPr>
        <w:t>няма да използва никакви природни ресурси на територията на България, нито ще засегне природните ресурси на България</w:t>
      </w:r>
      <w:r w:rsidRPr="007375EB">
        <w:rPr>
          <w:lang w:val="bg-BG"/>
        </w:rPr>
        <w:t>. Всички ресурси, необходими за проекта, ще се добиват и управляват на румънска територия. По този начин българските почви и недра ще останат незасегнати от дейностите, свързани с изграждането и експлоатацията на вятърния парк в община Черкезу</w:t>
      </w:r>
      <w:r w:rsidR="00A01D9E" w:rsidRPr="007375EB">
        <w:rPr>
          <w:lang w:val="bg-BG"/>
        </w:rPr>
        <w:t>.</w:t>
      </w:r>
    </w:p>
    <w:p w14:paraId="788B4DDF" w14:textId="0805F0B4" w:rsidR="009F4ED0" w:rsidRPr="007375EB" w:rsidRDefault="0078389B" w:rsidP="00F03A8B">
      <w:pPr>
        <w:shd w:val="clear" w:color="auto" w:fill="FFFFFF"/>
        <w:spacing w:after="120" w:line="360" w:lineRule="auto"/>
        <w:jc w:val="both"/>
        <w:rPr>
          <w:rFonts w:eastAsiaTheme="majorEastAsia" w:cstheme="majorBidi"/>
          <w:b/>
          <w:i/>
          <w:iCs/>
          <w:color w:val="009DF0" w:themeColor="text2"/>
          <w:lang w:val="bg-BG" w:eastAsia="ro-RO"/>
        </w:rPr>
      </w:pPr>
      <w:r w:rsidRPr="007375EB">
        <w:rPr>
          <w:rFonts w:eastAsiaTheme="majorEastAsia" w:cstheme="majorBidi"/>
          <w:b/>
          <w:i/>
          <w:iCs/>
          <w:color w:val="009DF0" w:themeColor="text2"/>
          <w:lang w:val="bg-BG" w:eastAsia="ro-RO"/>
        </w:rPr>
        <w:t>Управление на отпадъците</w:t>
      </w:r>
    </w:p>
    <w:p w14:paraId="0BFE9D30" w14:textId="22093464" w:rsidR="001D377D" w:rsidRPr="007375EB" w:rsidRDefault="0078389B" w:rsidP="00F03A8B">
      <w:pPr>
        <w:shd w:val="clear" w:color="auto" w:fill="FFFFFF"/>
        <w:spacing w:after="120" w:line="360" w:lineRule="auto"/>
        <w:jc w:val="both"/>
        <w:rPr>
          <w:b/>
          <w:bCs/>
          <w:lang w:val="bg-BG"/>
        </w:rPr>
      </w:pPr>
      <w:r w:rsidRPr="007375EB">
        <w:rPr>
          <w:lang w:val="bg-BG"/>
        </w:rPr>
        <w:t xml:space="preserve">По време на изпълнението на проекта за вятърен парк в община Черкезу, Румъния, ще бъде осигурено адекватно управление на отпадъците чрез правилно събиране, съхранение и изхвърляне на отпадъците. Генерираните отпадъци ще включват строителни материали, </w:t>
      </w:r>
      <w:r w:rsidRPr="007375EB">
        <w:rPr>
          <w:lang w:val="bg-BG"/>
        </w:rPr>
        <w:lastRenderedPageBreak/>
        <w:t xml:space="preserve">опаковки и битови отпадъци, като всички те ще се управляват в съответствие с румънското законодателство. Никакви отпадъци няма да бъдат транспортирани или управлявани на българска територия, като по този начин се гарантира, че българските ресурси и околна среда </w:t>
      </w:r>
      <w:r w:rsidRPr="007375EB">
        <w:rPr>
          <w:b/>
          <w:bCs/>
          <w:lang w:val="bg-BG"/>
        </w:rPr>
        <w:t>няма да бъдат засегнати от дейностите, свързани с изграждането и експлоатацията на вятърния парк</w:t>
      </w:r>
      <w:r w:rsidR="00FC1569" w:rsidRPr="007375EB">
        <w:rPr>
          <w:b/>
          <w:bCs/>
          <w:lang w:val="bg-BG"/>
        </w:rPr>
        <w:t>.</w:t>
      </w:r>
    </w:p>
    <w:p w14:paraId="4D849B4C" w14:textId="77777777" w:rsidR="0090560E" w:rsidRPr="007375EB" w:rsidRDefault="0090560E" w:rsidP="00F03A8B">
      <w:pPr>
        <w:shd w:val="clear" w:color="auto" w:fill="FFFFFF"/>
        <w:spacing w:after="120" w:line="360" w:lineRule="auto"/>
        <w:jc w:val="both"/>
        <w:rPr>
          <w:lang w:val="bg-BG"/>
        </w:rPr>
      </w:pPr>
    </w:p>
    <w:p w14:paraId="3EC840F6" w14:textId="1B407712" w:rsidR="00A06A30" w:rsidRPr="007375EB" w:rsidRDefault="0078389B" w:rsidP="00A06A30">
      <w:pPr>
        <w:shd w:val="clear" w:color="auto" w:fill="FFFFFF"/>
        <w:spacing w:after="120" w:line="360" w:lineRule="auto"/>
        <w:jc w:val="both"/>
        <w:rPr>
          <w:rFonts w:eastAsiaTheme="majorEastAsia" w:cstheme="majorBidi"/>
          <w:b/>
          <w:i/>
          <w:iCs/>
          <w:color w:val="009DF0" w:themeColor="text2"/>
          <w:lang w:val="bg-BG" w:eastAsia="ro-RO"/>
        </w:rPr>
      </w:pPr>
      <w:r w:rsidRPr="007375EB">
        <w:rPr>
          <w:rFonts w:eastAsiaTheme="majorEastAsia" w:cstheme="majorBidi"/>
          <w:b/>
          <w:i/>
          <w:iCs/>
          <w:color w:val="009DF0" w:themeColor="text2"/>
          <w:lang w:val="bg-BG" w:eastAsia="ro-RO"/>
        </w:rPr>
        <w:t>Шум и вибрации</w:t>
      </w:r>
    </w:p>
    <w:p w14:paraId="49D8FC5E" w14:textId="77777777" w:rsidR="0078389B" w:rsidRPr="007375EB" w:rsidRDefault="0078389B" w:rsidP="00F03A8B">
      <w:pPr>
        <w:shd w:val="clear" w:color="auto" w:fill="FFFFFF"/>
        <w:spacing w:after="120" w:line="360" w:lineRule="auto"/>
        <w:jc w:val="both"/>
        <w:rPr>
          <w:lang w:val="bg-BG"/>
        </w:rPr>
      </w:pPr>
      <w:r w:rsidRPr="007375EB">
        <w:rPr>
          <w:lang w:val="bg-BG"/>
        </w:rPr>
        <w:t xml:space="preserve">По време на етапа на изпълнение използваните транспортни средства и машини, както и дейностите на работния фронт, ще генерират шум и вибрации. Въпреки това, като се има предвид, че районът се пресича от местни пътища и селскостопански пътища, въздействието ще бъде локално, временно и незначително, </w:t>
      </w:r>
      <w:r w:rsidRPr="007375EB">
        <w:rPr>
          <w:b/>
          <w:bCs/>
          <w:lang w:val="bg-BG"/>
        </w:rPr>
        <w:t>без въздействие върху територията на съседната държава България.</w:t>
      </w:r>
      <w:r w:rsidRPr="007375EB">
        <w:rPr>
          <w:lang w:val="bg-BG"/>
        </w:rPr>
        <w:t xml:space="preserve"> </w:t>
      </w:r>
    </w:p>
    <w:p w14:paraId="68CD2E34" w14:textId="77777777" w:rsidR="0078389B" w:rsidRPr="007375EB" w:rsidRDefault="0078389B" w:rsidP="00F03A8B">
      <w:pPr>
        <w:shd w:val="clear" w:color="auto" w:fill="FFFFFF"/>
        <w:spacing w:after="120" w:line="360" w:lineRule="auto"/>
        <w:jc w:val="both"/>
        <w:rPr>
          <w:lang w:val="bg-BG"/>
        </w:rPr>
      </w:pPr>
      <w:r w:rsidRPr="007375EB">
        <w:rPr>
          <w:lang w:val="bg-BG"/>
        </w:rPr>
        <w:t xml:space="preserve">В експлоатационната фаза шумът, произвеждан от вятърните турбини, ще се увеличава със скоростта на вятъра и скоростта на въртене на лопатките. Съвременният дизайн на турбините включва изолация на гондолите, за да се предотврати предаването на механичен шум и вибрации. Нивото на шума варира между 92 и 107,7 дБ, а моделирането на шума показва, че в приемните зони нивото ще бъде под 40 дБ. </w:t>
      </w:r>
    </w:p>
    <w:p w14:paraId="50118226" w14:textId="24DDB749" w:rsidR="00414D07" w:rsidRPr="007375EB" w:rsidRDefault="0078389B" w:rsidP="00F03A8B">
      <w:pPr>
        <w:shd w:val="clear" w:color="auto" w:fill="FFFFFF"/>
        <w:spacing w:after="120" w:line="360" w:lineRule="auto"/>
        <w:jc w:val="both"/>
        <w:rPr>
          <w:rFonts w:eastAsiaTheme="majorEastAsia" w:cstheme="majorBidi"/>
          <w:b/>
          <w:bCs/>
          <w:i/>
          <w:iCs/>
          <w:color w:val="009DF0" w:themeColor="text2"/>
          <w:lang w:val="bg-BG" w:eastAsia="ro-RO"/>
        </w:rPr>
      </w:pPr>
      <w:r w:rsidRPr="007375EB">
        <w:rPr>
          <w:lang w:val="bg-BG"/>
        </w:rPr>
        <w:t xml:space="preserve">Следователно строителството и експлоатацията на вятърния парк няма да генерират значителен шум и вибрации, които да засегнат територията на България. Смекчаващите мерки, като например стратегическото разположение на турбините и използването на съвременни технологии, ще сведат до минимум емисиите на шум и вибрации. В резултат на </w:t>
      </w:r>
      <w:r w:rsidRPr="007375EB">
        <w:rPr>
          <w:b/>
          <w:bCs/>
          <w:lang w:val="bg-BG"/>
        </w:rPr>
        <w:t>това общностите и околната среда в България няма да бъдат засегнати</w:t>
      </w:r>
      <w:r w:rsidR="0090560E" w:rsidRPr="007375EB">
        <w:rPr>
          <w:b/>
          <w:bCs/>
          <w:lang w:val="bg-BG"/>
        </w:rPr>
        <w:t>.</w:t>
      </w:r>
    </w:p>
    <w:p w14:paraId="6F30E390" w14:textId="77777777" w:rsidR="0078389B" w:rsidRPr="007375EB" w:rsidRDefault="0078389B" w:rsidP="009C35D6">
      <w:pPr>
        <w:shd w:val="clear" w:color="auto" w:fill="FFFFFF"/>
        <w:spacing w:after="120" w:line="360" w:lineRule="auto"/>
        <w:jc w:val="both"/>
        <w:rPr>
          <w:rFonts w:eastAsiaTheme="majorEastAsia" w:cstheme="majorBidi"/>
          <w:b/>
          <w:i/>
          <w:iCs/>
          <w:color w:val="009DF0" w:themeColor="text2"/>
          <w:lang w:val="bg-BG" w:eastAsia="ro-RO"/>
        </w:rPr>
      </w:pPr>
      <w:r w:rsidRPr="007375EB">
        <w:rPr>
          <w:rFonts w:eastAsiaTheme="majorEastAsia" w:cstheme="majorBidi"/>
          <w:b/>
          <w:i/>
          <w:iCs/>
          <w:color w:val="009DF0" w:themeColor="text2"/>
          <w:lang w:val="bg-BG" w:eastAsia="ro-RO"/>
        </w:rPr>
        <w:t xml:space="preserve">Биоразнообразие </w:t>
      </w:r>
    </w:p>
    <w:p w14:paraId="33042DAA" w14:textId="36B6267B" w:rsidR="005403D9" w:rsidRPr="007375EB" w:rsidRDefault="0078389B" w:rsidP="005403D9">
      <w:pPr>
        <w:spacing w:after="120" w:line="360" w:lineRule="auto"/>
        <w:jc w:val="both"/>
        <w:rPr>
          <w:lang w:val="bg-BG"/>
        </w:rPr>
      </w:pPr>
      <w:r w:rsidRPr="007375EB">
        <w:rPr>
          <w:rFonts w:eastAsia="Times New Roman" w:cs="Calibri"/>
          <w:lang w:val="bg-BG" w:eastAsia="en-GB"/>
        </w:rPr>
        <w:t xml:space="preserve">В съседство с PUZ, на разстояние по-малко от 5 км, са идентифицирани 2 природни зони от интерес за Общността в България: BG0000569 Кардам, разположена на разстояние около 410 м от границата на PUZ, и BG0000570 Изворово - Краище, разположена на разстояние около 3,64 км от границата на PUZ. За да се спазят изискванията на Решение за първоначална категоризация № 32/12.04.2024 г., издадено от АПМ Констанца, а именно ,, Екологичният доклад и проучването за адекватна оценка трябва да съдържат подробен анализ на потенциалното въздействие върху целите на опазване на природните зони на територията на българската страна.“ Така, за анализа на потенциалното въздействие върху целите на опазване на природните зони BG 0000569 Кардам и BG000000570 Изворово - Кръсте, е проведена кореспонденция с Министерството на околната среда и водите на България с цел установяване на всички необходими данни за подробната оценка на потенциалното въздействие, а именно писмо № 99-00-243-1 от 30.05.2024 г. и писмо № 99-00-243-3 от 13.06.2024 г. </w:t>
      </w:r>
      <w:r w:rsidR="005403D9" w:rsidRPr="007375EB">
        <w:rPr>
          <w:rFonts w:cs="Arial"/>
          <w:lang w:val="bg-BG"/>
        </w:rPr>
        <w:t>(</w:t>
      </w:r>
      <w:r w:rsidRPr="007375EB">
        <w:rPr>
          <w:rFonts w:cs="Arial"/>
          <w:lang w:val="bg-BG"/>
        </w:rPr>
        <w:t xml:space="preserve">виж </w:t>
      </w:r>
      <w:r w:rsidRPr="007375EB">
        <w:rPr>
          <w:rFonts w:cs="Arial"/>
          <w:b/>
          <w:bCs/>
          <w:color w:val="FE4B00" w:themeColor="accent5" w:themeShade="BF"/>
          <w:lang w:val="bg-BG"/>
        </w:rPr>
        <w:t>Приложение</w:t>
      </w:r>
      <w:r w:rsidR="005403D9" w:rsidRPr="007375EB">
        <w:rPr>
          <w:rFonts w:cs="Arial"/>
          <w:b/>
          <w:bCs/>
          <w:color w:val="FE4B00" w:themeColor="accent5" w:themeShade="BF"/>
          <w:lang w:val="bg-BG"/>
        </w:rPr>
        <w:t xml:space="preserve"> 3</w:t>
      </w:r>
      <w:r w:rsidR="005403D9" w:rsidRPr="007375EB">
        <w:rPr>
          <w:rFonts w:cs="Arial"/>
          <w:lang w:val="bg-BG"/>
        </w:rPr>
        <w:t>).</w:t>
      </w:r>
    </w:p>
    <w:p w14:paraId="3C23E885" w14:textId="4D483A9C" w:rsidR="00AF42A3" w:rsidRPr="007375EB" w:rsidRDefault="0078389B" w:rsidP="009C35D6">
      <w:pPr>
        <w:shd w:val="clear" w:color="auto" w:fill="FFFFFF"/>
        <w:spacing w:after="120" w:line="360" w:lineRule="auto"/>
        <w:jc w:val="both"/>
        <w:rPr>
          <w:rFonts w:eastAsia="Times New Roman" w:cs="Calibri"/>
          <w:b/>
          <w:bCs/>
          <w:lang w:val="bg-BG" w:eastAsia="en-GB"/>
        </w:rPr>
      </w:pPr>
      <w:r w:rsidRPr="007375EB">
        <w:rPr>
          <w:rFonts w:eastAsia="Times New Roman" w:cs="Calibri"/>
          <w:lang w:val="bg-BG" w:eastAsia="en-GB"/>
        </w:rPr>
        <w:t>Както е описано в проучването за адекватна оценка, очаква се полузначително отрицателно въздействие върху някои видове в защитените природни зони</w:t>
      </w:r>
      <w:r w:rsidR="002111E5" w:rsidRPr="007375EB">
        <w:rPr>
          <w:rFonts w:eastAsia="Times New Roman" w:cs="Calibri"/>
          <w:lang w:val="bg-BG" w:eastAsia="en-GB"/>
        </w:rPr>
        <w:t>:</w:t>
      </w:r>
      <w:r w:rsidR="00C0412E" w:rsidRPr="007375EB">
        <w:rPr>
          <w:rFonts w:eastAsia="Times New Roman" w:cs="Calibri"/>
          <w:lang w:val="bg-BG" w:eastAsia="en-GB"/>
        </w:rPr>
        <w:t xml:space="preserve"> </w:t>
      </w:r>
      <w:r w:rsidR="002111E5" w:rsidRPr="007375EB">
        <w:rPr>
          <w:rFonts w:eastAsia="Times New Roman" w:cs="Calibri"/>
          <w:lang w:val="bg-BG" w:eastAsia="en-GB"/>
        </w:rPr>
        <w:t xml:space="preserve">ROSCI0071/ROSAC0071 </w:t>
      </w:r>
      <w:r w:rsidR="00813962" w:rsidRPr="007375EB">
        <w:rPr>
          <w:rFonts w:eastAsia="Times New Roman" w:cs="Calibri"/>
          <w:lang w:val="bg-BG" w:eastAsia="en-GB"/>
        </w:rPr>
        <w:t xml:space="preserve">Думбръвени - долината Урлуя - езерото Ведероаса </w:t>
      </w:r>
      <w:r w:rsidR="002111E5" w:rsidRPr="007375EB">
        <w:rPr>
          <w:rFonts w:eastAsia="Times New Roman" w:cs="Calibri"/>
          <w:lang w:val="bg-BG" w:eastAsia="en-GB"/>
        </w:rPr>
        <w:t xml:space="preserve">, ROSCI0157/ROSAC157 </w:t>
      </w:r>
      <w:r w:rsidR="0034375E" w:rsidRPr="007375EB">
        <w:rPr>
          <w:rFonts w:eastAsia="Times New Roman" w:cs="Calibri"/>
          <w:lang w:val="bg-BG" w:eastAsia="en-GB"/>
        </w:rPr>
        <w:t xml:space="preserve">Гората Хаджиени – </w:t>
      </w:r>
      <w:r w:rsidR="0034375E" w:rsidRPr="007375EB">
        <w:rPr>
          <w:rFonts w:eastAsia="Times New Roman" w:cs="Calibri"/>
          <w:lang w:val="bg-BG" w:eastAsia="en-GB"/>
        </w:rPr>
        <w:lastRenderedPageBreak/>
        <w:t>Коту Въи</w:t>
      </w:r>
      <w:r w:rsidR="002111E5" w:rsidRPr="007375EB">
        <w:rPr>
          <w:rFonts w:eastAsia="Times New Roman" w:cs="Calibri"/>
          <w:lang w:val="bg-BG" w:eastAsia="en-GB"/>
        </w:rPr>
        <w:t xml:space="preserve">, ROSPA0036 </w:t>
      </w:r>
      <w:r w:rsidRPr="007375EB">
        <w:rPr>
          <w:rFonts w:eastAsia="Times New Roman" w:cs="Calibri"/>
          <w:lang w:val="bg-BG" w:eastAsia="en-GB"/>
        </w:rPr>
        <w:t>Думбръвени</w:t>
      </w:r>
      <w:r w:rsidR="002111E5" w:rsidRPr="007375EB">
        <w:rPr>
          <w:rFonts w:eastAsia="Times New Roman" w:cs="Calibri"/>
          <w:lang w:val="bg-BG" w:eastAsia="en-GB"/>
        </w:rPr>
        <w:t xml:space="preserve">, ROSPA0166 </w:t>
      </w:r>
      <w:r w:rsidR="00813962" w:rsidRPr="007375EB">
        <w:rPr>
          <w:rFonts w:eastAsia="Times New Roman" w:cs="Calibri"/>
          <w:lang w:val="bg-BG" w:eastAsia="en-GB"/>
        </w:rPr>
        <w:t>Плопени - Кирногени</w:t>
      </w:r>
      <w:r w:rsidR="002111E5" w:rsidRPr="007375EB">
        <w:rPr>
          <w:rFonts w:eastAsia="Times New Roman" w:cs="Calibri"/>
          <w:lang w:val="bg-BG" w:eastAsia="en-GB"/>
        </w:rPr>
        <w:t xml:space="preserve">, ROSPA0094 </w:t>
      </w:r>
      <w:r w:rsidR="00813962" w:rsidRPr="007375EB">
        <w:rPr>
          <w:rFonts w:eastAsia="Times New Roman" w:cs="Calibri"/>
          <w:lang w:val="bg-BG" w:eastAsia="en-GB"/>
        </w:rPr>
        <w:t>Гората Хаджиени – Коту Въи</w:t>
      </w:r>
      <w:r w:rsidR="002111E5" w:rsidRPr="007375EB">
        <w:rPr>
          <w:rFonts w:eastAsia="Times New Roman" w:cs="Calibri"/>
          <w:lang w:val="bg-BG" w:eastAsia="en-GB"/>
        </w:rPr>
        <w:t xml:space="preserve">, BG0000569 </w:t>
      </w:r>
      <w:r w:rsidRPr="007375EB">
        <w:rPr>
          <w:rFonts w:eastAsia="Times New Roman" w:cs="Calibri"/>
          <w:lang w:val="bg-BG" w:eastAsia="en-GB"/>
        </w:rPr>
        <w:t>Кардам</w:t>
      </w:r>
      <w:r w:rsidR="002111E5" w:rsidRPr="007375EB">
        <w:rPr>
          <w:rFonts w:eastAsia="Times New Roman" w:cs="Calibri"/>
          <w:lang w:val="bg-BG" w:eastAsia="en-GB"/>
        </w:rPr>
        <w:t xml:space="preserve">, BG0000570 </w:t>
      </w:r>
      <w:r w:rsidRPr="007375EB">
        <w:rPr>
          <w:rFonts w:eastAsia="Times New Roman" w:cs="Calibri"/>
          <w:lang w:val="bg-BG" w:eastAsia="en-GB"/>
        </w:rPr>
        <w:t>Изворово – Краище</w:t>
      </w:r>
      <w:r w:rsidR="002111E5" w:rsidRPr="007375EB">
        <w:rPr>
          <w:rFonts w:eastAsia="Times New Roman" w:cs="Calibri"/>
          <w:lang w:val="bg-BG" w:eastAsia="en-GB"/>
        </w:rPr>
        <w:t xml:space="preserve">. </w:t>
      </w:r>
      <w:r w:rsidRPr="007375EB">
        <w:rPr>
          <w:rFonts w:eastAsia="Times New Roman" w:cs="Calibri"/>
          <w:lang w:val="bg-BG" w:eastAsia="en-GB"/>
        </w:rPr>
        <w:t>Групите, потенциално значително засегнати от изпълнението и експлоатацията на проекта за вятърна енергия, ще бъдат сухоземни бозайници, рукокрили и орнитофауна. За тези групи са предложени поредица от общи и специфични мерки, които ще доведат до незначително остатъчно въздействие след прилагането им. Освен това, за да имате по-точна представа за изобилието и броя на видовете, които използват предложеното място като местообитание за размножаване/хранене/гнездене</w:t>
      </w:r>
      <w:r w:rsidR="001638EC" w:rsidRPr="007375EB">
        <w:rPr>
          <w:rFonts w:eastAsia="Times New Roman" w:cs="Calibri"/>
          <w:lang w:val="bg-BG" w:eastAsia="en-GB"/>
        </w:rPr>
        <w:t>.</w:t>
      </w:r>
    </w:p>
    <w:p w14:paraId="7F460120" w14:textId="77777777" w:rsidR="0078389B" w:rsidRPr="007375EB" w:rsidRDefault="0078389B" w:rsidP="006B1E1C">
      <w:pPr>
        <w:spacing w:after="120" w:line="360" w:lineRule="auto"/>
        <w:jc w:val="both"/>
        <w:rPr>
          <w:rFonts w:eastAsiaTheme="majorEastAsia" w:cstheme="majorBidi"/>
          <w:b/>
          <w:i/>
          <w:iCs/>
          <w:color w:val="009DF0" w:themeColor="text2"/>
          <w:lang w:val="bg-BG" w:eastAsia="ro-RO"/>
        </w:rPr>
      </w:pPr>
      <w:r w:rsidRPr="007375EB">
        <w:rPr>
          <w:rFonts w:eastAsiaTheme="majorEastAsia" w:cstheme="majorBidi"/>
          <w:b/>
          <w:i/>
          <w:iCs/>
          <w:color w:val="009DF0" w:themeColor="text2"/>
          <w:lang w:val="bg-BG" w:eastAsia="ro-RO"/>
        </w:rPr>
        <w:t>Население и здраве на хората</w:t>
      </w:r>
    </w:p>
    <w:p w14:paraId="0FA53E7F" w14:textId="53A4A24A" w:rsidR="001F132A" w:rsidRPr="007375EB" w:rsidRDefault="001F132A" w:rsidP="001F132A">
      <w:pPr>
        <w:spacing w:after="120" w:line="360" w:lineRule="auto"/>
        <w:jc w:val="both"/>
        <w:rPr>
          <w:lang w:val="bg-BG"/>
        </w:rPr>
      </w:pPr>
      <w:r w:rsidRPr="007375EB">
        <w:rPr>
          <w:lang w:val="bg-BG"/>
        </w:rPr>
        <w:t>Паркът се изгражда в АТЕ Черкезу, в района на Черкезу, като най-близките български населени места са Йовков, на 1,56 км от турбина Т3, и Краище, на 2,1 км от турбина Т47.</w:t>
      </w:r>
    </w:p>
    <w:p w14:paraId="515B37CC" w14:textId="77777777" w:rsidR="001F132A" w:rsidRPr="007375EB" w:rsidRDefault="001F132A" w:rsidP="001F132A">
      <w:pPr>
        <w:spacing w:after="120" w:line="360" w:lineRule="auto"/>
        <w:jc w:val="both"/>
        <w:rPr>
          <w:lang w:val="bg-BG"/>
        </w:rPr>
      </w:pPr>
      <w:r w:rsidRPr="007375EB">
        <w:rPr>
          <w:lang w:val="bg-BG"/>
        </w:rPr>
        <w:t xml:space="preserve">Йовково и Краище са две села в община Генерал-Тошево, окръг Добрич, Южна Добруджа, България. </w:t>
      </w:r>
    </w:p>
    <w:p w14:paraId="31873E29" w14:textId="52305C1E" w:rsidR="003F305E" w:rsidRPr="007375EB" w:rsidRDefault="001F132A" w:rsidP="001F132A">
      <w:pPr>
        <w:spacing w:after="120" w:line="360" w:lineRule="auto"/>
        <w:jc w:val="both"/>
        <w:rPr>
          <w:lang w:val="bg-BG"/>
        </w:rPr>
      </w:pPr>
      <w:r w:rsidRPr="007375EB">
        <w:rPr>
          <w:lang w:val="bg-BG"/>
        </w:rPr>
        <w:t xml:space="preserve">Общото население на община Генерал-Тошево към 31.12.2023 г. е 5429 души, от които мъжкото население е 2634 души, а женското - 2795 души. В сравнение с 2011 г. през 2023 г. женското население на община Генерал-Тошево е намаляло с около 21 %, а мъжкото население е намаляло с </w:t>
      </w:r>
      <w:r w:rsidR="00967E01" w:rsidRPr="007375EB">
        <w:rPr>
          <w:lang w:val="bg-BG"/>
        </w:rPr>
        <w:t>22</w:t>
      </w:r>
      <w:r w:rsidR="003F305E" w:rsidRPr="007375EB">
        <w:rPr>
          <w:lang w:val="bg-BG"/>
        </w:rPr>
        <w:t>%</w:t>
      </w:r>
      <w:r w:rsidR="00F31A40" w:rsidRPr="007375EB">
        <w:rPr>
          <w:rStyle w:val="FootnoteReference"/>
          <w:lang w:val="bg-BG"/>
        </w:rPr>
        <w:footnoteReference w:id="31"/>
      </w:r>
      <w:r w:rsidR="003F305E" w:rsidRPr="007375EB">
        <w:rPr>
          <w:lang w:val="bg-BG"/>
        </w:rPr>
        <w:t>.</w:t>
      </w:r>
    </w:p>
    <w:p w14:paraId="7C390691" w14:textId="67C79E74" w:rsidR="00DE52E8" w:rsidRPr="007375EB" w:rsidRDefault="001F132A" w:rsidP="00B071F3">
      <w:pPr>
        <w:spacing w:line="360" w:lineRule="auto"/>
        <w:jc w:val="both"/>
        <w:rPr>
          <w:lang w:val="bg-BG"/>
        </w:rPr>
      </w:pPr>
      <w:r w:rsidRPr="007375EB">
        <w:rPr>
          <w:lang w:val="bg-BG"/>
        </w:rPr>
        <w:t>Структурата на населението по възраст и пол към 31.12.2023 г. в област Добрич е представена в таблицата по-долу</w:t>
      </w:r>
      <w:r w:rsidR="00EF7AA0" w:rsidRPr="007375EB">
        <w:rPr>
          <w:lang w:val="bg-BG"/>
        </w:rPr>
        <w:t>:</w:t>
      </w:r>
    </w:p>
    <w:p w14:paraId="40BBB76F" w14:textId="2417BD90" w:rsidR="00D715BC" w:rsidRPr="007375EB" w:rsidRDefault="001F132A" w:rsidP="00DC5304">
      <w:pPr>
        <w:pStyle w:val="Caption"/>
        <w:spacing w:after="0"/>
        <w:rPr>
          <w:sz w:val="16"/>
          <w:szCs w:val="16"/>
          <w:lang w:val="bg-BG"/>
        </w:rPr>
      </w:pPr>
      <w:r w:rsidRPr="007375EB">
        <w:rPr>
          <w:sz w:val="16"/>
          <w:szCs w:val="16"/>
          <w:lang w:val="bg-BG"/>
        </w:rPr>
        <w:t>Таблица</w:t>
      </w:r>
      <w:r w:rsidR="00DC5304" w:rsidRPr="007375EB">
        <w:rPr>
          <w:sz w:val="16"/>
          <w:szCs w:val="16"/>
          <w:lang w:val="bg-BG"/>
        </w:rPr>
        <w:t xml:space="preserve"> 7 - </w:t>
      </w:r>
      <w:r w:rsidR="00DC5304" w:rsidRPr="007375EB">
        <w:rPr>
          <w:sz w:val="16"/>
          <w:szCs w:val="16"/>
          <w:lang w:val="bg-BG"/>
        </w:rPr>
        <w:fldChar w:fldCharType="begin"/>
      </w:r>
      <w:r w:rsidR="00DC5304" w:rsidRPr="007375EB">
        <w:rPr>
          <w:sz w:val="16"/>
          <w:szCs w:val="16"/>
          <w:lang w:val="bg-BG"/>
        </w:rPr>
        <w:instrText xml:space="preserve"> SEQ Tabel_7_-_ \* ARABIC </w:instrText>
      </w:r>
      <w:r w:rsidR="00DC5304" w:rsidRPr="007375EB">
        <w:rPr>
          <w:sz w:val="16"/>
          <w:szCs w:val="16"/>
          <w:lang w:val="bg-BG"/>
        </w:rPr>
        <w:fldChar w:fldCharType="separate"/>
      </w:r>
      <w:r w:rsidR="00DC5304" w:rsidRPr="007375EB">
        <w:rPr>
          <w:sz w:val="16"/>
          <w:szCs w:val="16"/>
          <w:lang w:val="bg-BG"/>
        </w:rPr>
        <w:t>1</w:t>
      </w:r>
      <w:r w:rsidR="00DC5304" w:rsidRPr="007375EB">
        <w:rPr>
          <w:sz w:val="16"/>
          <w:szCs w:val="16"/>
          <w:lang w:val="bg-BG"/>
        </w:rPr>
        <w:fldChar w:fldCharType="end"/>
      </w:r>
      <w:r w:rsidR="00DC5304" w:rsidRPr="007375EB">
        <w:rPr>
          <w:sz w:val="16"/>
          <w:szCs w:val="16"/>
          <w:lang w:val="bg-BG"/>
        </w:rPr>
        <w:t xml:space="preserve"> </w:t>
      </w:r>
      <w:r w:rsidRPr="007375EB">
        <w:rPr>
          <w:lang w:val="bg-BG"/>
        </w:rPr>
        <w:t>Структурата на населението по възраст и пол</w:t>
      </w:r>
    </w:p>
    <w:tbl>
      <w:tblPr>
        <w:tblW w:w="10569" w:type="dxa"/>
        <w:tblInd w:w="-28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903"/>
        <w:gridCol w:w="671"/>
        <w:gridCol w:w="510"/>
        <w:gridCol w:w="392"/>
        <w:gridCol w:w="560"/>
        <w:gridCol w:w="483"/>
        <w:gridCol w:w="483"/>
        <w:gridCol w:w="483"/>
        <w:gridCol w:w="532"/>
        <w:gridCol w:w="483"/>
        <w:gridCol w:w="505"/>
        <w:gridCol w:w="483"/>
        <w:gridCol w:w="505"/>
        <w:gridCol w:w="483"/>
        <w:gridCol w:w="505"/>
        <w:gridCol w:w="563"/>
        <w:gridCol w:w="483"/>
        <w:gridCol w:w="483"/>
        <w:gridCol w:w="483"/>
        <w:gridCol w:w="647"/>
      </w:tblGrid>
      <w:tr w:rsidR="00EF7AA0" w:rsidRPr="007375EB" w14:paraId="6E0D9BA4" w14:textId="77777777" w:rsidTr="00B071F3">
        <w:trPr>
          <w:trHeight w:val="196"/>
        </w:trPr>
        <w:tc>
          <w:tcPr>
            <w:tcW w:w="903" w:type="dxa"/>
            <w:shd w:val="clear" w:color="auto" w:fill="00B0F0"/>
            <w:noWrap/>
            <w:vAlign w:val="bottom"/>
            <w:hideMark/>
          </w:tcPr>
          <w:p w14:paraId="22062131" w14:textId="77777777" w:rsidR="00EF7AA0" w:rsidRPr="007375EB" w:rsidRDefault="00EF7AA0">
            <w:pPr>
              <w:spacing w:line="240" w:lineRule="auto"/>
              <w:jc w:val="center"/>
              <w:rPr>
                <w:rFonts w:eastAsia="Times New Roman" w:cs="Times New Roman"/>
                <w:color w:val="FFFFFF" w:themeColor="background1"/>
                <w:sz w:val="14"/>
                <w:szCs w:val="14"/>
                <w:lang w:val="bg-BG" w:eastAsia="ro-RO"/>
              </w:rPr>
            </w:pPr>
          </w:p>
        </w:tc>
        <w:tc>
          <w:tcPr>
            <w:tcW w:w="613" w:type="dxa"/>
            <w:shd w:val="clear" w:color="auto" w:fill="00B0F0"/>
            <w:noWrap/>
            <w:vAlign w:val="bottom"/>
          </w:tcPr>
          <w:p w14:paraId="60341756"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p>
        </w:tc>
        <w:tc>
          <w:tcPr>
            <w:tcW w:w="9053" w:type="dxa"/>
            <w:gridSpan w:val="18"/>
            <w:shd w:val="clear" w:color="auto" w:fill="00B0F0"/>
            <w:noWrap/>
            <w:vAlign w:val="bottom"/>
          </w:tcPr>
          <w:p w14:paraId="49702378" w14:textId="7FEDFE2D" w:rsidR="00EF7AA0" w:rsidRPr="007375EB" w:rsidRDefault="001F132A">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ВЪЗРАСТОВИ ГРУПИ</w:t>
            </w:r>
          </w:p>
        </w:tc>
      </w:tr>
      <w:tr w:rsidR="00A234B0" w:rsidRPr="007375EB" w14:paraId="1BFCCB97" w14:textId="77777777" w:rsidTr="00B071F3">
        <w:trPr>
          <w:trHeight w:val="333"/>
        </w:trPr>
        <w:tc>
          <w:tcPr>
            <w:tcW w:w="903" w:type="dxa"/>
            <w:shd w:val="clear" w:color="auto" w:fill="00B0F0"/>
            <w:noWrap/>
            <w:vAlign w:val="bottom"/>
          </w:tcPr>
          <w:p w14:paraId="1B18D5BF" w14:textId="77777777" w:rsidR="00EF7AA0" w:rsidRPr="007375EB" w:rsidRDefault="00EF7AA0">
            <w:pPr>
              <w:spacing w:line="240" w:lineRule="auto"/>
              <w:jc w:val="center"/>
              <w:rPr>
                <w:rFonts w:eastAsia="Times New Roman" w:cs="Times New Roman"/>
                <w:color w:val="FFFFFF" w:themeColor="background1"/>
                <w:sz w:val="14"/>
                <w:szCs w:val="14"/>
                <w:lang w:val="bg-BG" w:eastAsia="ro-RO"/>
              </w:rPr>
            </w:pPr>
          </w:p>
        </w:tc>
        <w:tc>
          <w:tcPr>
            <w:tcW w:w="613" w:type="dxa"/>
            <w:shd w:val="clear" w:color="auto" w:fill="00B0F0"/>
            <w:noWrap/>
            <w:vAlign w:val="bottom"/>
          </w:tcPr>
          <w:p w14:paraId="22CCBAE8" w14:textId="787FA3C1" w:rsidR="00EF7AA0" w:rsidRPr="007375EB" w:rsidRDefault="001F132A">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Общо</w:t>
            </w:r>
          </w:p>
        </w:tc>
        <w:tc>
          <w:tcPr>
            <w:tcW w:w="497" w:type="dxa"/>
            <w:shd w:val="clear" w:color="auto" w:fill="00B0F0"/>
            <w:noWrap/>
            <w:vAlign w:val="bottom"/>
          </w:tcPr>
          <w:p w14:paraId="232B2ACD" w14:textId="36A8ABA8" w:rsidR="00EF7AA0" w:rsidRPr="007375EB" w:rsidRDefault="001F132A">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под 5</w:t>
            </w:r>
          </w:p>
        </w:tc>
        <w:tc>
          <w:tcPr>
            <w:tcW w:w="392" w:type="dxa"/>
            <w:shd w:val="clear" w:color="auto" w:fill="00B0F0"/>
            <w:noWrap/>
            <w:vAlign w:val="bottom"/>
          </w:tcPr>
          <w:p w14:paraId="4A15D01E"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5-9.</w:t>
            </w:r>
          </w:p>
        </w:tc>
        <w:tc>
          <w:tcPr>
            <w:tcW w:w="560" w:type="dxa"/>
            <w:shd w:val="clear" w:color="auto" w:fill="00B0F0"/>
            <w:noWrap/>
            <w:vAlign w:val="bottom"/>
          </w:tcPr>
          <w:p w14:paraId="41DDD9FA"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10-14.</w:t>
            </w:r>
          </w:p>
        </w:tc>
        <w:tc>
          <w:tcPr>
            <w:tcW w:w="483" w:type="dxa"/>
            <w:shd w:val="clear" w:color="auto" w:fill="00B0F0"/>
            <w:noWrap/>
            <w:vAlign w:val="bottom"/>
          </w:tcPr>
          <w:p w14:paraId="770025CE"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15-19</w:t>
            </w:r>
          </w:p>
        </w:tc>
        <w:tc>
          <w:tcPr>
            <w:tcW w:w="483" w:type="dxa"/>
            <w:shd w:val="clear" w:color="auto" w:fill="00B0F0"/>
            <w:noWrap/>
            <w:vAlign w:val="bottom"/>
          </w:tcPr>
          <w:p w14:paraId="5BB755CE"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20-24</w:t>
            </w:r>
          </w:p>
        </w:tc>
        <w:tc>
          <w:tcPr>
            <w:tcW w:w="483" w:type="dxa"/>
            <w:shd w:val="clear" w:color="auto" w:fill="00B0F0"/>
            <w:noWrap/>
            <w:vAlign w:val="bottom"/>
          </w:tcPr>
          <w:p w14:paraId="2363B759"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25-29</w:t>
            </w:r>
          </w:p>
        </w:tc>
        <w:tc>
          <w:tcPr>
            <w:tcW w:w="532" w:type="dxa"/>
            <w:shd w:val="clear" w:color="auto" w:fill="00B0F0"/>
            <w:noWrap/>
            <w:vAlign w:val="bottom"/>
          </w:tcPr>
          <w:p w14:paraId="437DA04E"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30-34</w:t>
            </w:r>
          </w:p>
        </w:tc>
        <w:tc>
          <w:tcPr>
            <w:tcW w:w="483" w:type="dxa"/>
            <w:shd w:val="clear" w:color="auto" w:fill="00B0F0"/>
            <w:noWrap/>
            <w:vAlign w:val="bottom"/>
          </w:tcPr>
          <w:p w14:paraId="457BBB69"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35-39</w:t>
            </w:r>
          </w:p>
        </w:tc>
        <w:tc>
          <w:tcPr>
            <w:tcW w:w="505" w:type="dxa"/>
            <w:shd w:val="clear" w:color="auto" w:fill="00B0F0"/>
            <w:noWrap/>
            <w:vAlign w:val="bottom"/>
          </w:tcPr>
          <w:p w14:paraId="36D17447"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40-44</w:t>
            </w:r>
          </w:p>
        </w:tc>
        <w:tc>
          <w:tcPr>
            <w:tcW w:w="483" w:type="dxa"/>
            <w:shd w:val="clear" w:color="auto" w:fill="00B0F0"/>
            <w:noWrap/>
            <w:vAlign w:val="bottom"/>
          </w:tcPr>
          <w:p w14:paraId="1C668610"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45-49</w:t>
            </w:r>
          </w:p>
        </w:tc>
        <w:tc>
          <w:tcPr>
            <w:tcW w:w="505" w:type="dxa"/>
            <w:shd w:val="clear" w:color="auto" w:fill="00B0F0"/>
            <w:noWrap/>
            <w:vAlign w:val="bottom"/>
          </w:tcPr>
          <w:p w14:paraId="2431C51E"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50-54</w:t>
            </w:r>
          </w:p>
        </w:tc>
        <w:tc>
          <w:tcPr>
            <w:tcW w:w="483" w:type="dxa"/>
            <w:shd w:val="clear" w:color="auto" w:fill="00B0F0"/>
            <w:noWrap/>
            <w:vAlign w:val="bottom"/>
          </w:tcPr>
          <w:p w14:paraId="2463D74F"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55-59</w:t>
            </w:r>
          </w:p>
        </w:tc>
        <w:tc>
          <w:tcPr>
            <w:tcW w:w="505" w:type="dxa"/>
            <w:shd w:val="clear" w:color="auto" w:fill="00B0F0"/>
            <w:noWrap/>
            <w:vAlign w:val="bottom"/>
          </w:tcPr>
          <w:p w14:paraId="2547A926"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60-64</w:t>
            </w:r>
          </w:p>
        </w:tc>
        <w:tc>
          <w:tcPr>
            <w:tcW w:w="563" w:type="dxa"/>
            <w:shd w:val="clear" w:color="auto" w:fill="00B0F0"/>
            <w:noWrap/>
            <w:vAlign w:val="bottom"/>
          </w:tcPr>
          <w:p w14:paraId="4930DA2A"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65-69</w:t>
            </w:r>
          </w:p>
        </w:tc>
        <w:tc>
          <w:tcPr>
            <w:tcW w:w="483" w:type="dxa"/>
            <w:shd w:val="clear" w:color="auto" w:fill="00B0F0"/>
            <w:noWrap/>
            <w:vAlign w:val="bottom"/>
          </w:tcPr>
          <w:p w14:paraId="722E6269"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70-74</w:t>
            </w:r>
          </w:p>
        </w:tc>
        <w:tc>
          <w:tcPr>
            <w:tcW w:w="483" w:type="dxa"/>
            <w:shd w:val="clear" w:color="auto" w:fill="00B0F0"/>
            <w:noWrap/>
            <w:vAlign w:val="bottom"/>
          </w:tcPr>
          <w:p w14:paraId="78823839"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75-79</w:t>
            </w:r>
          </w:p>
        </w:tc>
        <w:tc>
          <w:tcPr>
            <w:tcW w:w="483" w:type="dxa"/>
            <w:shd w:val="clear" w:color="auto" w:fill="00B0F0"/>
            <w:noWrap/>
            <w:vAlign w:val="bottom"/>
          </w:tcPr>
          <w:p w14:paraId="36B3DA12" w14:textId="77777777" w:rsidR="00EF7AA0" w:rsidRPr="007375EB" w:rsidRDefault="00EF7AA0">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80-84</w:t>
            </w:r>
          </w:p>
        </w:tc>
        <w:tc>
          <w:tcPr>
            <w:tcW w:w="647" w:type="dxa"/>
            <w:shd w:val="clear" w:color="auto" w:fill="00B0F0"/>
            <w:noWrap/>
            <w:vAlign w:val="bottom"/>
          </w:tcPr>
          <w:p w14:paraId="2CC1A5A7" w14:textId="310D6232" w:rsidR="00EF7AA0" w:rsidRPr="007375EB" w:rsidRDefault="001F132A">
            <w:pPr>
              <w:spacing w:line="240" w:lineRule="auto"/>
              <w:jc w:val="center"/>
              <w:rPr>
                <w:rFonts w:eastAsia="Times New Roman" w:cs="Calibri"/>
                <w:b/>
                <w:bCs/>
                <w:color w:val="FFFFFF" w:themeColor="background1"/>
                <w:sz w:val="14"/>
                <w:szCs w:val="14"/>
                <w:lang w:val="bg-BG" w:eastAsia="ro-RO"/>
              </w:rPr>
            </w:pPr>
            <w:r w:rsidRPr="007375EB">
              <w:rPr>
                <w:rFonts w:eastAsia="Times New Roman" w:cs="Calibri"/>
                <w:b/>
                <w:bCs/>
                <w:color w:val="FFFFFF" w:themeColor="background1"/>
                <w:sz w:val="14"/>
                <w:szCs w:val="14"/>
                <w:lang w:val="bg-BG" w:eastAsia="ro-RO"/>
              </w:rPr>
              <w:t>над</w:t>
            </w:r>
            <w:r w:rsidR="00EF7AA0" w:rsidRPr="007375EB">
              <w:rPr>
                <w:rFonts w:eastAsia="Times New Roman" w:cs="Calibri"/>
                <w:b/>
                <w:bCs/>
                <w:color w:val="FFFFFF" w:themeColor="background1"/>
                <w:sz w:val="14"/>
                <w:szCs w:val="14"/>
                <w:lang w:val="bg-BG" w:eastAsia="ro-RO"/>
              </w:rPr>
              <w:t xml:space="preserve"> 85</w:t>
            </w:r>
          </w:p>
        </w:tc>
      </w:tr>
      <w:tr w:rsidR="001F132A" w:rsidRPr="007375EB" w14:paraId="6B368CB3" w14:textId="77777777" w:rsidTr="007028F3">
        <w:trPr>
          <w:trHeight w:val="174"/>
        </w:trPr>
        <w:tc>
          <w:tcPr>
            <w:tcW w:w="903" w:type="dxa"/>
            <w:shd w:val="clear" w:color="auto" w:fill="auto"/>
            <w:noWrap/>
            <w:hideMark/>
          </w:tcPr>
          <w:p w14:paraId="4C1B241D" w14:textId="124625B3" w:rsidR="001F132A" w:rsidRPr="007375EB" w:rsidRDefault="001F132A" w:rsidP="001F132A">
            <w:pPr>
              <w:spacing w:line="240" w:lineRule="auto"/>
              <w:rPr>
                <w:rFonts w:eastAsia="Times New Roman" w:cs="Calibri"/>
                <w:b/>
                <w:bCs/>
                <w:color w:val="000000"/>
                <w:sz w:val="14"/>
                <w:szCs w:val="14"/>
                <w:lang w:val="bg-BG" w:eastAsia="ro-RO"/>
              </w:rPr>
            </w:pPr>
            <w:r w:rsidRPr="007375EB">
              <w:rPr>
                <w:lang w:val="bg-BG"/>
              </w:rPr>
              <w:t>Общо</w:t>
            </w:r>
          </w:p>
        </w:tc>
        <w:tc>
          <w:tcPr>
            <w:tcW w:w="613" w:type="dxa"/>
            <w:shd w:val="clear" w:color="auto" w:fill="auto"/>
            <w:noWrap/>
            <w:vAlign w:val="bottom"/>
            <w:hideMark/>
          </w:tcPr>
          <w:p w14:paraId="48455895" w14:textId="363A5B77"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2714</w:t>
            </w:r>
          </w:p>
        </w:tc>
        <w:tc>
          <w:tcPr>
            <w:tcW w:w="497" w:type="dxa"/>
            <w:shd w:val="clear" w:color="auto" w:fill="auto"/>
            <w:vAlign w:val="bottom"/>
            <w:hideMark/>
          </w:tcPr>
          <w:p w14:paraId="2764231F" w14:textId="526DD207"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8</w:t>
            </w:r>
          </w:p>
        </w:tc>
        <w:tc>
          <w:tcPr>
            <w:tcW w:w="392" w:type="dxa"/>
            <w:tcBorders>
              <w:top w:val="single" w:sz="8" w:space="0" w:color="BFBFBF"/>
              <w:left w:val="single" w:sz="8" w:space="0" w:color="BFBFBF"/>
              <w:bottom w:val="single" w:sz="8" w:space="0" w:color="BFBFBF"/>
              <w:right w:val="single" w:sz="8" w:space="0" w:color="BFBFBF"/>
            </w:tcBorders>
            <w:shd w:val="clear" w:color="auto" w:fill="auto"/>
            <w:vAlign w:val="bottom"/>
            <w:hideMark/>
          </w:tcPr>
          <w:p w14:paraId="47A431AE" w14:textId="3D58DBF8"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w:t>
            </w:r>
          </w:p>
        </w:tc>
        <w:tc>
          <w:tcPr>
            <w:tcW w:w="560" w:type="dxa"/>
            <w:tcBorders>
              <w:top w:val="single" w:sz="8" w:space="0" w:color="BFBFBF"/>
              <w:left w:val="nil"/>
              <w:bottom w:val="single" w:sz="8" w:space="0" w:color="BFBFBF"/>
              <w:right w:val="single" w:sz="8" w:space="0" w:color="BFBFBF"/>
            </w:tcBorders>
            <w:shd w:val="clear" w:color="auto" w:fill="auto"/>
            <w:vAlign w:val="bottom"/>
            <w:hideMark/>
          </w:tcPr>
          <w:p w14:paraId="0112BCC0" w14:textId="128B6923"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1</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46DFD1BD" w14:textId="6E9EF78A"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3</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137E1E26" w14:textId="71FF4BE8"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4</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6857589E" w14:textId="0148F5E8"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1</w:t>
            </w:r>
          </w:p>
        </w:tc>
        <w:tc>
          <w:tcPr>
            <w:tcW w:w="532" w:type="dxa"/>
            <w:tcBorders>
              <w:top w:val="single" w:sz="8" w:space="0" w:color="BFBFBF"/>
              <w:left w:val="nil"/>
              <w:bottom w:val="single" w:sz="8" w:space="0" w:color="BFBFBF"/>
              <w:right w:val="single" w:sz="8" w:space="0" w:color="BFBFBF"/>
            </w:tcBorders>
            <w:shd w:val="clear" w:color="auto" w:fill="auto"/>
            <w:vAlign w:val="bottom"/>
            <w:hideMark/>
          </w:tcPr>
          <w:p w14:paraId="79EF83CE" w14:textId="31AB971B"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9</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74A070F1" w14:textId="4A0B2B83"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14</w:t>
            </w:r>
          </w:p>
        </w:tc>
        <w:tc>
          <w:tcPr>
            <w:tcW w:w="505" w:type="dxa"/>
            <w:tcBorders>
              <w:top w:val="single" w:sz="8" w:space="0" w:color="BFBFBF"/>
              <w:left w:val="nil"/>
              <w:bottom w:val="single" w:sz="8" w:space="0" w:color="BFBFBF"/>
              <w:right w:val="single" w:sz="8" w:space="0" w:color="BFBFBF"/>
            </w:tcBorders>
            <w:shd w:val="clear" w:color="auto" w:fill="auto"/>
            <w:vAlign w:val="bottom"/>
            <w:hideMark/>
          </w:tcPr>
          <w:p w14:paraId="4A19B82C" w14:textId="3C7C58FB"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33</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57BB5C1B" w14:textId="6CE54801"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54</w:t>
            </w:r>
          </w:p>
        </w:tc>
        <w:tc>
          <w:tcPr>
            <w:tcW w:w="505" w:type="dxa"/>
            <w:tcBorders>
              <w:top w:val="single" w:sz="8" w:space="0" w:color="BFBFBF"/>
              <w:left w:val="nil"/>
              <w:bottom w:val="single" w:sz="8" w:space="0" w:color="BFBFBF"/>
              <w:right w:val="single" w:sz="8" w:space="0" w:color="BFBFBF"/>
            </w:tcBorders>
            <w:shd w:val="clear" w:color="auto" w:fill="auto"/>
            <w:vAlign w:val="bottom"/>
            <w:hideMark/>
          </w:tcPr>
          <w:p w14:paraId="49C955C5" w14:textId="5E92FB40"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84</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4BEC37DD" w14:textId="55454F64"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137</w:t>
            </w:r>
          </w:p>
        </w:tc>
        <w:tc>
          <w:tcPr>
            <w:tcW w:w="505" w:type="dxa"/>
            <w:tcBorders>
              <w:top w:val="single" w:sz="8" w:space="0" w:color="BFBFBF"/>
              <w:left w:val="nil"/>
              <w:bottom w:val="single" w:sz="8" w:space="0" w:color="BFBFBF"/>
              <w:right w:val="single" w:sz="8" w:space="0" w:color="BFBFBF"/>
            </w:tcBorders>
            <w:shd w:val="clear" w:color="auto" w:fill="auto"/>
            <w:vAlign w:val="bottom"/>
            <w:hideMark/>
          </w:tcPr>
          <w:p w14:paraId="4027F632" w14:textId="273BD694"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224</w:t>
            </w:r>
          </w:p>
        </w:tc>
        <w:tc>
          <w:tcPr>
            <w:tcW w:w="563" w:type="dxa"/>
            <w:tcBorders>
              <w:top w:val="single" w:sz="8" w:space="0" w:color="BFBFBF"/>
              <w:left w:val="nil"/>
              <w:bottom w:val="single" w:sz="8" w:space="0" w:color="BFBFBF"/>
              <w:right w:val="single" w:sz="8" w:space="0" w:color="BFBFBF"/>
            </w:tcBorders>
            <w:shd w:val="clear" w:color="auto" w:fill="auto"/>
            <w:vAlign w:val="bottom"/>
            <w:hideMark/>
          </w:tcPr>
          <w:p w14:paraId="581CBEFE" w14:textId="4AB06D38"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297</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61D80684" w14:textId="515153FF"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417</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377ED38A" w14:textId="60751D44"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433</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178629F4" w14:textId="384F9402"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415</w:t>
            </w:r>
          </w:p>
        </w:tc>
        <w:tc>
          <w:tcPr>
            <w:tcW w:w="647" w:type="dxa"/>
            <w:tcBorders>
              <w:top w:val="single" w:sz="8" w:space="0" w:color="BFBFBF"/>
              <w:left w:val="nil"/>
              <w:bottom w:val="single" w:sz="8" w:space="0" w:color="BFBFBF"/>
              <w:right w:val="single" w:sz="8" w:space="0" w:color="BFBFBF"/>
            </w:tcBorders>
            <w:shd w:val="clear" w:color="auto" w:fill="auto"/>
            <w:vAlign w:val="bottom"/>
            <w:hideMark/>
          </w:tcPr>
          <w:p w14:paraId="110440CC" w14:textId="42782EF0"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580</w:t>
            </w:r>
          </w:p>
        </w:tc>
      </w:tr>
      <w:tr w:rsidR="001F132A" w:rsidRPr="007375EB" w14:paraId="1043962A" w14:textId="77777777" w:rsidTr="007028F3">
        <w:trPr>
          <w:trHeight w:val="160"/>
        </w:trPr>
        <w:tc>
          <w:tcPr>
            <w:tcW w:w="903" w:type="dxa"/>
            <w:shd w:val="clear" w:color="auto" w:fill="auto"/>
            <w:noWrap/>
            <w:hideMark/>
          </w:tcPr>
          <w:p w14:paraId="26C0B0E1" w14:textId="15CF0A00" w:rsidR="001F132A" w:rsidRPr="007375EB" w:rsidRDefault="001F132A" w:rsidP="001F132A">
            <w:pPr>
              <w:spacing w:line="240" w:lineRule="auto"/>
              <w:rPr>
                <w:rFonts w:eastAsia="Times New Roman" w:cs="Calibri"/>
                <w:b/>
                <w:bCs/>
                <w:color w:val="000000"/>
                <w:sz w:val="14"/>
                <w:szCs w:val="14"/>
                <w:lang w:val="bg-BG" w:eastAsia="ro-RO"/>
              </w:rPr>
            </w:pPr>
            <w:r w:rsidRPr="007375EB">
              <w:rPr>
                <w:lang w:val="bg-BG"/>
              </w:rPr>
              <w:t>Мъже</w:t>
            </w:r>
          </w:p>
        </w:tc>
        <w:tc>
          <w:tcPr>
            <w:tcW w:w="613" w:type="dxa"/>
            <w:shd w:val="clear" w:color="auto" w:fill="auto"/>
            <w:noWrap/>
            <w:vAlign w:val="bottom"/>
            <w:hideMark/>
          </w:tcPr>
          <w:p w14:paraId="494E7956" w14:textId="267B044F"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1433</w:t>
            </w:r>
          </w:p>
        </w:tc>
        <w:tc>
          <w:tcPr>
            <w:tcW w:w="497" w:type="dxa"/>
            <w:shd w:val="clear" w:color="auto" w:fill="auto"/>
            <w:vAlign w:val="bottom"/>
            <w:hideMark/>
          </w:tcPr>
          <w:p w14:paraId="6291AAA9" w14:textId="1F09133C"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3</w:t>
            </w:r>
          </w:p>
        </w:tc>
        <w:tc>
          <w:tcPr>
            <w:tcW w:w="392" w:type="dxa"/>
            <w:shd w:val="clear" w:color="auto" w:fill="auto"/>
            <w:vAlign w:val="bottom"/>
            <w:hideMark/>
          </w:tcPr>
          <w:p w14:paraId="094D0E1C" w14:textId="1DB89464"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w:t>
            </w:r>
          </w:p>
        </w:tc>
        <w:tc>
          <w:tcPr>
            <w:tcW w:w="560" w:type="dxa"/>
            <w:shd w:val="clear" w:color="auto" w:fill="auto"/>
            <w:vAlign w:val="bottom"/>
            <w:hideMark/>
          </w:tcPr>
          <w:p w14:paraId="6C22ED2F" w14:textId="1A2A7791"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w:t>
            </w:r>
          </w:p>
        </w:tc>
        <w:tc>
          <w:tcPr>
            <w:tcW w:w="483" w:type="dxa"/>
            <w:shd w:val="clear" w:color="auto" w:fill="auto"/>
            <w:vAlign w:val="bottom"/>
            <w:hideMark/>
          </w:tcPr>
          <w:p w14:paraId="12F219F1" w14:textId="43B8D0B5"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1</w:t>
            </w:r>
          </w:p>
        </w:tc>
        <w:tc>
          <w:tcPr>
            <w:tcW w:w="483" w:type="dxa"/>
            <w:shd w:val="clear" w:color="auto" w:fill="auto"/>
            <w:vAlign w:val="bottom"/>
            <w:hideMark/>
          </w:tcPr>
          <w:p w14:paraId="6CD9DB62" w14:textId="350E009C"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4</w:t>
            </w:r>
          </w:p>
        </w:tc>
        <w:tc>
          <w:tcPr>
            <w:tcW w:w="483" w:type="dxa"/>
            <w:shd w:val="clear" w:color="auto" w:fill="auto"/>
            <w:vAlign w:val="bottom"/>
            <w:hideMark/>
          </w:tcPr>
          <w:p w14:paraId="7CC23E93" w14:textId="518B174F"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1</w:t>
            </w:r>
          </w:p>
        </w:tc>
        <w:tc>
          <w:tcPr>
            <w:tcW w:w="532" w:type="dxa"/>
            <w:shd w:val="clear" w:color="auto" w:fill="auto"/>
            <w:vAlign w:val="bottom"/>
            <w:hideMark/>
          </w:tcPr>
          <w:p w14:paraId="42E796E5" w14:textId="7FA5598E"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7</w:t>
            </w:r>
          </w:p>
        </w:tc>
        <w:tc>
          <w:tcPr>
            <w:tcW w:w="483" w:type="dxa"/>
            <w:shd w:val="clear" w:color="auto" w:fill="auto"/>
            <w:vAlign w:val="bottom"/>
            <w:hideMark/>
          </w:tcPr>
          <w:p w14:paraId="4994B505" w14:textId="3FFB7FC4"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11</w:t>
            </w:r>
          </w:p>
        </w:tc>
        <w:tc>
          <w:tcPr>
            <w:tcW w:w="505" w:type="dxa"/>
            <w:shd w:val="clear" w:color="auto" w:fill="auto"/>
            <w:vAlign w:val="bottom"/>
            <w:hideMark/>
          </w:tcPr>
          <w:p w14:paraId="68F154E2" w14:textId="6A3FAAB5"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20</w:t>
            </w:r>
          </w:p>
        </w:tc>
        <w:tc>
          <w:tcPr>
            <w:tcW w:w="483" w:type="dxa"/>
            <w:shd w:val="clear" w:color="auto" w:fill="auto"/>
            <w:vAlign w:val="bottom"/>
            <w:hideMark/>
          </w:tcPr>
          <w:p w14:paraId="0D525AAA" w14:textId="2B9616F3"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42</w:t>
            </w:r>
          </w:p>
        </w:tc>
        <w:tc>
          <w:tcPr>
            <w:tcW w:w="505" w:type="dxa"/>
            <w:shd w:val="clear" w:color="auto" w:fill="auto"/>
            <w:vAlign w:val="bottom"/>
            <w:hideMark/>
          </w:tcPr>
          <w:p w14:paraId="2B6CE933" w14:textId="3CA8B022"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60</w:t>
            </w:r>
          </w:p>
        </w:tc>
        <w:tc>
          <w:tcPr>
            <w:tcW w:w="483" w:type="dxa"/>
            <w:shd w:val="clear" w:color="auto" w:fill="auto"/>
            <w:vAlign w:val="bottom"/>
            <w:hideMark/>
          </w:tcPr>
          <w:p w14:paraId="0C3B2146" w14:textId="12A57D78"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91</w:t>
            </w:r>
          </w:p>
        </w:tc>
        <w:tc>
          <w:tcPr>
            <w:tcW w:w="505" w:type="dxa"/>
            <w:shd w:val="clear" w:color="auto" w:fill="auto"/>
            <w:vAlign w:val="bottom"/>
            <w:hideMark/>
          </w:tcPr>
          <w:p w14:paraId="53782271" w14:textId="1ABCF5CE"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149</w:t>
            </w:r>
          </w:p>
        </w:tc>
        <w:tc>
          <w:tcPr>
            <w:tcW w:w="563" w:type="dxa"/>
            <w:shd w:val="clear" w:color="auto" w:fill="auto"/>
            <w:vAlign w:val="bottom"/>
            <w:hideMark/>
          </w:tcPr>
          <w:p w14:paraId="42CE22BD" w14:textId="3C54B00B"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205</w:t>
            </w:r>
          </w:p>
        </w:tc>
        <w:tc>
          <w:tcPr>
            <w:tcW w:w="483" w:type="dxa"/>
            <w:shd w:val="clear" w:color="auto" w:fill="auto"/>
            <w:vAlign w:val="bottom"/>
            <w:hideMark/>
          </w:tcPr>
          <w:p w14:paraId="791796C1" w14:textId="4C3A6515"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252</w:t>
            </w:r>
          </w:p>
        </w:tc>
        <w:tc>
          <w:tcPr>
            <w:tcW w:w="483" w:type="dxa"/>
            <w:shd w:val="clear" w:color="auto" w:fill="auto"/>
            <w:vAlign w:val="bottom"/>
            <w:hideMark/>
          </w:tcPr>
          <w:p w14:paraId="18FF721C" w14:textId="249C95F4"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210</w:t>
            </w:r>
          </w:p>
        </w:tc>
        <w:tc>
          <w:tcPr>
            <w:tcW w:w="483" w:type="dxa"/>
            <w:shd w:val="clear" w:color="auto" w:fill="auto"/>
            <w:vAlign w:val="bottom"/>
            <w:hideMark/>
          </w:tcPr>
          <w:p w14:paraId="1AC969BA" w14:textId="51EF6B53"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175</w:t>
            </w:r>
          </w:p>
        </w:tc>
        <w:tc>
          <w:tcPr>
            <w:tcW w:w="647" w:type="dxa"/>
            <w:shd w:val="clear" w:color="auto" w:fill="auto"/>
            <w:vAlign w:val="bottom"/>
            <w:hideMark/>
          </w:tcPr>
          <w:p w14:paraId="3BE9B7F9" w14:textId="23238810"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202</w:t>
            </w:r>
          </w:p>
        </w:tc>
      </w:tr>
      <w:tr w:rsidR="001F132A" w:rsidRPr="007375EB" w14:paraId="53AEBA17" w14:textId="77777777" w:rsidTr="007028F3">
        <w:trPr>
          <w:trHeight w:val="96"/>
        </w:trPr>
        <w:tc>
          <w:tcPr>
            <w:tcW w:w="903" w:type="dxa"/>
            <w:shd w:val="clear" w:color="auto" w:fill="auto"/>
            <w:noWrap/>
            <w:hideMark/>
          </w:tcPr>
          <w:p w14:paraId="0BE48069" w14:textId="43C2DE06" w:rsidR="001F132A" w:rsidRPr="007375EB" w:rsidRDefault="001F132A" w:rsidP="001F132A">
            <w:pPr>
              <w:spacing w:line="240" w:lineRule="auto"/>
              <w:rPr>
                <w:rFonts w:eastAsia="Times New Roman" w:cs="Calibri"/>
                <w:b/>
                <w:bCs/>
                <w:color w:val="000000"/>
                <w:sz w:val="14"/>
                <w:szCs w:val="14"/>
                <w:lang w:val="bg-BG" w:eastAsia="ro-RO"/>
              </w:rPr>
            </w:pPr>
            <w:r w:rsidRPr="007375EB">
              <w:rPr>
                <w:lang w:val="bg-BG"/>
              </w:rPr>
              <w:t>Жени</w:t>
            </w:r>
          </w:p>
        </w:tc>
        <w:tc>
          <w:tcPr>
            <w:tcW w:w="613" w:type="dxa"/>
            <w:shd w:val="clear" w:color="auto" w:fill="auto"/>
            <w:noWrap/>
            <w:vAlign w:val="bottom"/>
            <w:hideMark/>
          </w:tcPr>
          <w:p w14:paraId="581EE3A1" w14:textId="7C023A23"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1281</w:t>
            </w:r>
          </w:p>
        </w:tc>
        <w:tc>
          <w:tcPr>
            <w:tcW w:w="497" w:type="dxa"/>
            <w:shd w:val="clear" w:color="auto" w:fill="auto"/>
            <w:vAlign w:val="bottom"/>
            <w:hideMark/>
          </w:tcPr>
          <w:p w14:paraId="340F8D20" w14:textId="589A73E8"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eastAsia="Times New Roman" w:cs="Calibri"/>
                <w:color w:val="000000"/>
                <w:sz w:val="14"/>
                <w:szCs w:val="14"/>
                <w:lang w:val="bg-BG" w:eastAsia="ro-RO"/>
              </w:rPr>
              <w:t>5</w:t>
            </w:r>
          </w:p>
        </w:tc>
        <w:tc>
          <w:tcPr>
            <w:tcW w:w="392" w:type="dxa"/>
            <w:shd w:val="clear" w:color="auto" w:fill="auto"/>
            <w:vAlign w:val="bottom"/>
            <w:hideMark/>
          </w:tcPr>
          <w:p w14:paraId="53A5E535" w14:textId="4C0B1B88"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w:t>
            </w:r>
          </w:p>
        </w:tc>
        <w:tc>
          <w:tcPr>
            <w:tcW w:w="560" w:type="dxa"/>
            <w:shd w:val="clear" w:color="auto" w:fill="auto"/>
            <w:vAlign w:val="bottom"/>
            <w:hideMark/>
          </w:tcPr>
          <w:p w14:paraId="1E570144" w14:textId="723E5CCC"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1</w:t>
            </w:r>
          </w:p>
        </w:tc>
        <w:tc>
          <w:tcPr>
            <w:tcW w:w="483" w:type="dxa"/>
            <w:shd w:val="clear" w:color="auto" w:fill="auto"/>
            <w:vAlign w:val="bottom"/>
            <w:hideMark/>
          </w:tcPr>
          <w:p w14:paraId="0AD84D78" w14:textId="4FDA7312"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2</w:t>
            </w:r>
          </w:p>
        </w:tc>
        <w:tc>
          <w:tcPr>
            <w:tcW w:w="483" w:type="dxa"/>
            <w:shd w:val="clear" w:color="auto" w:fill="auto"/>
            <w:vAlign w:val="bottom"/>
            <w:hideMark/>
          </w:tcPr>
          <w:p w14:paraId="2720BE2D" w14:textId="06B7CD9C"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w:t>
            </w:r>
          </w:p>
        </w:tc>
        <w:tc>
          <w:tcPr>
            <w:tcW w:w="483" w:type="dxa"/>
            <w:shd w:val="clear" w:color="auto" w:fill="auto"/>
            <w:vAlign w:val="bottom"/>
            <w:hideMark/>
          </w:tcPr>
          <w:p w14:paraId="2E2C8610" w14:textId="3E83D454"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w:t>
            </w:r>
          </w:p>
        </w:tc>
        <w:tc>
          <w:tcPr>
            <w:tcW w:w="532" w:type="dxa"/>
            <w:shd w:val="clear" w:color="auto" w:fill="auto"/>
            <w:vAlign w:val="bottom"/>
            <w:hideMark/>
          </w:tcPr>
          <w:p w14:paraId="7D1FD2C0" w14:textId="50426A1E"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2</w:t>
            </w:r>
          </w:p>
        </w:tc>
        <w:tc>
          <w:tcPr>
            <w:tcW w:w="483" w:type="dxa"/>
            <w:shd w:val="clear" w:color="auto" w:fill="auto"/>
            <w:vAlign w:val="bottom"/>
            <w:hideMark/>
          </w:tcPr>
          <w:p w14:paraId="48E4FFC5" w14:textId="2510004B"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3</w:t>
            </w:r>
          </w:p>
        </w:tc>
        <w:tc>
          <w:tcPr>
            <w:tcW w:w="505" w:type="dxa"/>
            <w:shd w:val="clear" w:color="auto" w:fill="auto"/>
            <w:vAlign w:val="bottom"/>
            <w:hideMark/>
          </w:tcPr>
          <w:p w14:paraId="1434F153" w14:textId="6B8909AD"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13</w:t>
            </w:r>
          </w:p>
        </w:tc>
        <w:tc>
          <w:tcPr>
            <w:tcW w:w="483" w:type="dxa"/>
            <w:shd w:val="clear" w:color="auto" w:fill="auto"/>
            <w:vAlign w:val="bottom"/>
            <w:hideMark/>
          </w:tcPr>
          <w:p w14:paraId="4E1ABEF0" w14:textId="0EE90221"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12</w:t>
            </w:r>
          </w:p>
        </w:tc>
        <w:tc>
          <w:tcPr>
            <w:tcW w:w="505" w:type="dxa"/>
            <w:shd w:val="clear" w:color="auto" w:fill="auto"/>
            <w:vAlign w:val="bottom"/>
            <w:hideMark/>
          </w:tcPr>
          <w:p w14:paraId="731BE975" w14:textId="4B4F3FED"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24</w:t>
            </w:r>
          </w:p>
        </w:tc>
        <w:tc>
          <w:tcPr>
            <w:tcW w:w="483" w:type="dxa"/>
            <w:shd w:val="clear" w:color="auto" w:fill="auto"/>
            <w:vAlign w:val="bottom"/>
            <w:hideMark/>
          </w:tcPr>
          <w:p w14:paraId="10D81967" w14:textId="4F5CF110"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46</w:t>
            </w:r>
          </w:p>
        </w:tc>
        <w:tc>
          <w:tcPr>
            <w:tcW w:w="505" w:type="dxa"/>
            <w:shd w:val="clear" w:color="auto" w:fill="auto"/>
            <w:vAlign w:val="bottom"/>
            <w:hideMark/>
          </w:tcPr>
          <w:p w14:paraId="4D534D79" w14:textId="7137A598"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75</w:t>
            </w:r>
          </w:p>
        </w:tc>
        <w:tc>
          <w:tcPr>
            <w:tcW w:w="563" w:type="dxa"/>
            <w:shd w:val="clear" w:color="auto" w:fill="auto"/>
            <w:vAlign w:val="bottom"/>
            <w:hideMark/>
          </w:tcPr>
          <w:p w14:paraId="0FCFF89F" w14:textId="59AC6A0D"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92</w:t>
            </w:r>
          </w:p>
        </w:tc>
        <w:tc>
          <w:tcPr>
            <w:tcW w:w="483" w:type="dxa"/>
            <w:shd w:val="clear" w:color="auto" w:fill="auto"/>
            <w:vAlign w:val="bottom"/>
            <w:hideMark/>
          </w:tcPr>
          <w:p w14:paraId="3881A130" w14:textId="6C7124B4"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165</w:t>
            </w:r>
          </w:p>
        </w:tc>
        <w:tc>
          <w:tcPr>
            <w:tcW w:w="483" w:type="dxa"/>
            <w:shd w:val="clear" w:color="auto" w:fill="auto"/>
            <w:vAlign w:val="bottom"/>
            <w:hideMark/>
          </w:tcPr>
          <w:p w14:paraId="60117578" w14:textId="6E08A8FC"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223</w:t>
            </w:r>
          </w:p>
        </w:tc>
        <w:tc>
          <w:tcPr>
            <w:tcW w:w="483" w:type="dxa"/>
            <w:shd w:val="clear" w:color="auto" w:fill="auto"/>
            <w:vAlign w:val="bottom"/>
            <w:hideMark/>
          </w:tcPr>
          <w:p w14:paraId="18D45DEE" w14:textId="224CE55F"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240</w:t>
            </w:r>
          </w:p>
        </w:tc>
        <w:tc>
          <w:tcPr>
            <w:tcW w:w="647" w:type="dxa"/>
            <w:shd w:val="clear" w:color="auto" w:fill="auto"/>
            <w:vAlign w:val="bottom"/>
            <w:hideMark/>
          </w:tcPr>
          <w:p w14:paraId="26242511" w14:textId="01CC7CC0" w:rsidR="001F132A" w:rsidRPr="007375EB" w:rsidRDefault="001F132A" w:rsidP="001F132A">
            <w:pPr>
              <w:spacing w:line="240" w:lineRule="auto"/>
              <w:jc w:val="right"/>
              <w:rPr>
                <w:rFonts w:eastAsia="Times New Roman" w:cs="Calibri"/>
                <w:color w:val="000000"/>
                <w:sz w:val="14"/>
                <w:szCs w:val="14"/>
                <w:lang w:val="bg-BG" w:eastAsia="ro-RO"/>
              </w:rPr>
            </w:pPr>
            <w:r w:rsidRPr="007375EB">
              <w:rPr>
                <w:rFonts w:ascii="Tahoma" w:hAnsi="Tahoma" w:cs="Tahoma"/>
                <w:color w:val="000000"/>
                <w:sz w:val="16"/>
                <w:szCs w:val="16"/>
                <w:lang w:val="bg-BG"/>
              </w:rPr>
              <w:t>378</w:t>
            </w:r>
          </w:p>
        </w:tc>
      </w:tr>
    </w:tbl>
    <w:p w14:paraId="3FD388B1" w14:textId="3D027A6E" w:rsidR="00B071F3" w:rsidRPr="007375EB" w:rsidRDefault="001F132A" w:rsidP="00B071F3">
      <w:pPr>
        <w:spacing w:after="120" w:line="360" w:lineRule="auto"/>
        <w:rPr>
          <w:i/>
          <w:iCs/>
          <w:color w:val="00B0F0"/>
          <w:sz w:val="14"/>
          <w:szCs w:val="14"/>
          <w:lang w:val="bg-BG"/>
        </w:rPr>
      </w:pPr>
      <w:r w:rsidRPr="007375EB">
        <w:rPr>
          <w:i/>
          <w:iCs/>
          <w:color w:val="00B0F0"/>
          <w:sz w:val="14"/>
          <w:szCs w:val="14"/>
          <w:lang w:val="bg-BG"/>
        </w:rPr>
        <w:t xml:space="preserve">Източник: НСИ България </w:t>
      </w:r>
      <w:r w:rsidR="0021530A" w:rsidRPr="007375EB">
        <w:rPr>
          <w:i/>
          <w:iCs/>
          <w:color w:val="00B0F0"/>
          <w:sz w:val="14"/>
          <w:szCs w:val="14"/>
          <w:lang w:val="bg-BG"/>
        </w:rPr>
        <w:t>(</w:t>
      </w:r>
      <w:r w:rsidR="00B071F3" w:rsidRPr="007375EB">
        <w:rPr>
          <w:i/>
          <w:iCs/>
          <w:color w:val="00B0F0"/>
          <w:sz w:val="14"/>
          <w:szCs w:val="14"/>
          <w:lang w:val="bg-BG"/>
        </w:rPr>
        <w:t xml:space="preserve"> </w:t>
      </w:r>
      <w:hyperlink r:id="rId92" w:history="1">
        <w:r w:rsidR="0021530A" w:rsidRPr="007375EB">
          <w:rPr>
            <w:rStyle w:val="Hyperlink"/>
            <w:i/>
            <w:iCs/>
            <w:sz w:val="14"/>
            <w:szCs w:val="14"/>
            <w:lang w:val="bg-BG"/>
          </w:rPr>
          <w:t>https://www.nsi.bg/en/content/2981/population-towns-and-sex</w:t>
        </w:r>
      </w:hyperlink>
      <w:r w:rsidR="0021530A" w:rsidRPr="007375EB">
        <w:rPr>
          <w:i/>
          <w:iCs/>
          <w:color w:val="00B0F0"/>
          <w:sz w:val="14"/>
          <w:szCs w:val="14"/>
          <w:lang w:val="bg-BG"/>
        </w:rPr>
        <w:t>)</w:t>
      </w:r>
    </w:p>
    <w:p w14:paraId="37433806" w14:textId="77777777" w:rsidR="00DE52E8" w:rsidRPr="007375EB" w:rsidRDefault="00DE52E8" w:rsidP="00DE52E8">
      <w:pPr>
        <w:spacing w:after="120" w:line="360" w:lineRule="auto"/>
        <w:jc w:val="both"/>
        <w:rPr>
          <w:lang w:val="bg-BG"/>
        </w:rPr>
      </w:pPr>
    </w:p>
    <w:p w14:paraId="738F41E1" w14:textId="7B9DD2FE" w:rsidR="00B071F3" w:rsidRPr="007375EB" w:rsidRDefault="001F132A" w:rsidP="00DE52E8">
      <w:pPr>
        <w:spacing w:after="120" w:line="360" w:lineRule="auto"/>
        <w:jc w:val="both"/>
        <w:rPr>
          <w:lang w:val="bg-BG"/>
        </w:rPr>
      </w:pPr>
      <w:r w:rsidRPr="007375EB">
        <w:rPr>
          <w:lang w:val="bg-BG"/>
        </w:rPr>
        <w:t>Според данните, предоставени от Националния статистически институт, развитието на населението в община Генерал-Тошево показва низходяща тенденция в периода 2010-2023 г., както е показано на графиката по-долу</w:t>
      </w:r>
      <w:r w:rsidR="00992F2C" w:rsidRPr="007375EB">
        <w:rPr>
          <w:lang w:val="bg-BG"/>
        </w:rPr>
        <w:t>:</w:t>
      </w:r>
    </w:p>
    <w:p w14:paraId="46B69D76" w14:textId="77777777" w:rsidR="00DE52E8" w:rsidRPr="007375EB" w:rsidRDefault="00DE52E8" w:rsidP="00DE52E8">
      <w:pPr>
        <w:spacing w:after="120" w:line="360" w:lineRule="auto"/>
        <w:jc w:val="both"/>
        <w:rPr>
          <w:lang w:val="bg-BG"/>
        </w:rPr>
      </w:pPr>
    </w:p>
    <w:p w14:paraId="06DF2156" w14:textId="3D77EA04" w:rsidR="00CB45A0" w:rsidRPr="007375EB" w:rsidRDefault="001F132A" w:rsidP="00B071F3">
      <w:pPr>
        <w:spacing w:after="120" w:line="360" w:lineRule="auto"/>
        <w:jc w:val="both"/>
        <w:rPr>
          <w:lang w:val="bg-BG"/>
        </w:rPr>
      </w:pPr>
      <w:r w:rsidRPr="007375EB">
        <w:rPr>
          <w:noProof/>
          <w:lang w:val="bg-BG"/>
        </w:rPr>
        <w:lastRenderedPageBreak/>
        <mc:AlternateContent>
          <mc:Choice Requires="wps">
            <w:drawing>
              <wp:anchor distT="0" distB="0" distL="114300" distR="114300" simplePos="0" relativeHeight="251665424" behindDoc="0" locked="0" layoutInCell="1" allowOverlap="1" wp14:anchorId="3C5973CB" wp14:editId="16000222">
                <wp:simplePos x="0" y="0"/>
                <wp:positionH relativeFrom="column">
                  <wp:posOffset>-504825</wp:posOffset>
                </wp:positionH>
                <wp:positionV relativeFrom="paragraph">
                  <wp:posOffset>629920</wp:posOffset>
                </wp:positionV>
                <wp:extent cx="670560" cy="1341120"/>
                <wp:effectExtent l="0" t="0" r="15240" b="11430"/>
                <wp:wrapNone/>
                <wp:docPr id="1020041161" name="Text Box 30"/>
                <wp:cNvGraphicFramePr/>
                <a:graphic xmlns:a="http://schemas.openxmlformats.org/drawingml/2006/main">
                  <a:graphicData uri="http://schemas.microsoft.com/office/word/2010/wordprocessingShape">
                    <wps:wsp>
                      <wps:cNvSpPr txBox="1"/>
                      <wps:spPr>
                        <a:xfrm>
                          <a:off x="0" y="0"/>
                          <a:ext cx="670560" cy="1341120"/>
                        </a:xfrm>
                        <a:prstGeom prst="rect">
                          <a:avLst/>
                        </a:prstGeom>
                        <a:solidFill>
                          <a:schemeClr val="lt1"/>
                        </a:solidFill>
                        <a:ln w="6350">
                          <a:solidFill>
                            <a:prstClr val="black"/>
                          </a:solidFill>
                        </a:ln>
                      </wps:spPr>
                      <wps:txbx>
                        <w:txbxContent>
                          <w:p w14:paraId="5669DA02" w14:textId="59DC68D1" w:rsidR="001F132A" w:rsidRPr="001F132A" w:rsidRDefault="001F132A">
                            <w:pPr>
                              <w:rPr>
                                <w:lang w:val="bg-BG"/>
                              </w:rPr>
                            </w:pPr>
                            <w:r w:rsidRPr="001F132A">
                              <w:rPr>
                                <w:lang w:val="bg-BG"/>
                              </w:rPr>
                              <w:t>Общо население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5973CB" id="Text Box 30" o:spid="_x0000_s1036" type="#_x0000_t202" style="position:absolute;left:0;text-align:left;margin-left:-39.75pt;margin-top:49.6pt;width:52.8pt;height:105.6pt;z-index:25166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" fillcolor="white [3201]" strokeweight=".5pt">
                <v:textbox>
                  <w:txbxContent>
                    <w:p w14:paraId="5669DA02" w14:textId="59DC68D1" w:rsidR="001F132A" w:rsidRPr="001F132A" w:rsidRDefault="001F132A">
                      <w:pPr>
                        <w:rPr>
                          <w:lang w:val="bg-BG"/>
                        </w:rPr>
                      </w:pPr>
                      <w:r w:rsidRPr="001F132A">
                        <w:rPr>
                          <w:lang w:val="bg-BG"/>
                        </w:rPr>
                        <w:t>Общо население</w:t>
                      </w:r>
                    </w:p>
                  </w:txbxContent>
                </v:textbox>
              </v:shape>
            </w:pict>
          </mc:Fallback>
        </mc:AlternateContent>
      </w:r>
      <w:r w:rsidR="00CB45A0" w:rsidRPr="007375EB">
        <w:rPr>
          <w:noProof/>
          <w:lang w:val="bg-BG"/>
        </w:rPr>
        <w:drawing>
          <wp:inline distT="0" distB="0" distL="0" distR="0" wp14:anchorId="2976E79A" wp14:editId="05AB4B36">
            <wp:extent cx="5897880" cy="2778125"/>
            <wp:effectExtent l="0" t="0" r="762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897880" cy="2778125"/>
                    </a:xfrm>
                    <a:prstGeom prst="rect">
                      <a:avLst/>
                    </a:prstGeom>
                    <a:noFill/>
                    <a:ln>
                      <a:noFill/>
                    </a:ln>
                  </pic:spPr>
                </pic:pic>
              </a:graphicData>
            </a:graphic>
          </wp:inline>
        </w:drawing>
      </w:r>
    </w:p>
    <w:p w14:paraId="05CDB134" w14:textId="3D93FA37" w:rsidR="001B6819" w:rsidRPr="007375EB" w:rsidRDefault="00B230C6" w:rsidP="001B6819">
      <w:pPr>
        <w:pStyle w:val="Caption"/>
        <w:spacing w:before="0" w:after="120" w:line="240" w:lineRule="auto"/>
        <w:jc w:val="center"/>
        <w:rPr>
          <w:sz w:val="16"/>
          <w:szCs w:val="16"/>
          <w:lang w:val="bg-BG"/>
        </w:rPr>
      </w:pPr>
      <w:r w:rsidRPr="007375EB">
        <w:rPr>
          <w:sz w:val="16"/>
          <w:szCs w:val="16"/>
          <w:lang w:val="bg-BG"/>
        </w:rPr>
        <w:t>Фигура</w:t>
      </w:r>
      <w:r w:rsidR="001B6819" w:rsidRPr="007375EB">
        <w:rPr>
          <w:sz w:val="16"/>
          <w:szCs w:val="16"/>
          <w:lang w:val="bg-BG"/>
        </w:rPr>
        <w:t xml:space="preserve"> 7. </w:t>
      </w:r>
      <w:r w:rsidR="001B6819" w:rsidRPr="007375EB">
        <w:rPr>
          <w:sz w:val="16"/>
          <w:szCs w:val="16"/>
          <w:lang w:val="bg-BG"/>
        </w:rPr>
        <w:fldChar w:fldCharType="begin"/>
      </w:r>
      <w:r w:rsidR="001B6819" w:rsidRPr="007375EB">
        <w:rPr>
          <w:sz w:val="16"/>
          <w:szCs w:val="16"/>
          <w:lang w:val="bg-BG"/>
        </w:rPr>
        <w:instrText xml:space="preserve"> SEQ Figura_7. \* ARABIC </w:instrText>
      </w:r>
      <w:r w:rsidR="001B6819" w:rsidRPr="007375EB">
        <w:rPr>
          <w:sz w:val="16"/>
          <w:szCs w:val="16"/>
          <w:lang w:val="bg-BG"/>
        </w:rPr>
        <w:fldChar w:fldCharType="separate"/>
      </w:r>
      <w:r w:rsidR="00D715BC" w:rsidRPr="007375EB">
        <w:rPr>
          <w:noProof/>
          <w:sz w:val="16"/>
          <w:szCs w:val="16"/>
          <w:lang w:val="bg-BG"/>
        </w:rPr>
        <w:t>2</w:t>
      </w:r>
      <w:r w:rsidR="001B6819" w:rsidRPr="007375EB">
        <w:rPr>
          <w:sz w:val="16"/>
          <w:szCs w:val="16"/>
          <w:lang w:val="bg-BG"/>
        </w:rPr>
        <w:fldChar w:fldCharType="end"/>
      </w:r>
      <w:r w:rsidR="001B6819" w:rsidRPr="007375EB">
        <w:rPr>
          <w:sz w:val="16"/>
          <w:szCs w:val="16"/>
          <w:lang w:val="bg-BG"/>
        </w:rPr>
        <w:t xml:space="preserve"> </w:t>
      </w:r>
      <w:r w:rsidR="001F132A" w:rsidRPr="007375EB">
        <w:rPr>
          <w:sz w:val="16"/>
          <w:szCs w:val="16"/>
          <w:lang w:val="bg-BG"/>
        </w:rPr>
        <w:t>Промяна в общия брой на населението в България през 2010-2023 г.</w:t>
      </w:r>
    </w:p>
    <w:p w14:paraId="519F7233" w14:textId="0F86AB1E" w:rsidR="00B221EA" w:rsidRPr="007375EB" w:rsidRDefault="001F132A" w:rsidP="00467EE4">
      <w:pPr>
        <w:spacing w:before="100" w:beforeAutospacing="1" w:after="120" w:line="360" w:lineRule="auto"/>
        <w:jc w:val="both"/>
        <w:rPr>
          <w:lang w:val="bg-BG"/>
        </w:rPr>
      </w:pPr>
      <w:r w:rsidRPr="007375EB">
        <w:rPr>
          <w:b/>
          <w:bCs/>
          <w:lang w:val="bg-BG"/>
        </w:rPr>
        <w:t xml:space="preserve">Изграждането и експлоатацията на вятърния парк извън община </w:t>
      </w:r>
      <w:r w:rsidR="000E2756" w:rsidRPr="007375EB">
        <w:rPr>
          <w:b/>
          <w:bCs/>
          <w:lang w:val="bg-BG"/>
        </w:rPr>
        <w:t>Черкезу</w:t>
      </w:r>
      <w:r w:rsidRPr="007375EB">
        <w:rPr>
          <w:b/>
          <w:bCs/>
          <w:lang w:val="bg-BG"/>
        </w:rPr>
        <w:t xml:space="preserve"> </w:t>
      </w:r>
      <w:r w:rsidRPr="007375EB">
        <w:rPr>
          <w:lang w:val="bg-BG"/>
        </w:rPr>
        <w:t>няма да засегне населението на България. Както е представено в предходните глави, по време на етапа на строителство емисиите на шум, вибрации и прах ще бъдат локални и временни, със слабо въздействие. На етапа на експлоатация шумът, произвеждан от турбините, ще бъде под 40 дБ в приемните зони, като се спазват законовите ограничения. Ефектът на засенчване е незначителен, а визуалното въздействие е субективно. На етапа на извеждане от експлоатация въздействието ще бъде подобно на това на етапа на строителство, като ще бъде локално и временно.</w:t>
      </w:r>
    </w:p>
    <w:p w14:paraId="5C340BD2" w14:textId="123964A4" w:rsidR="00576F0F" w:rsidRPr="007375EB" w:rsidRDefault="001F132A" w:rsidP="00576F0F">
      <w:pPr>
        <w:shd w:val="clear" w:color="auto" w:fill="FFFFFF"/>
        <w:spacing w:after="120" w:line="360" w:lineRule="auto"/>
        <w:jc w:val="both"/>
        <w:rPr>
          <w:rFonts w:eastAsiaTheme="majorEastAsia" w:cstheme="majorBidi"/>
          <w:b/>
          <w:i/>
          <w:iCs/>
          <w:color w:val="009DF0" w:themeColor="text2"/>
          <w:lang w:val="bg-BG" w:eastAsia="ro-RO"/>
        </w:rPr>
      </w:pPr>
      <w:r w:rsidRPr="007375EB">
        <w:rPr>
          <w:rFonts w:eastAsiaTheme="majorEastAsia" w:cstheme="majorBidi"/>
          <w:b/>
          <w:i/>
          <w:iCs/>
          <w:color w:val="009DF0" w:themeColor="text2"/>
          <w:lang w:val="bg-BG" w:eastAsia="ro-RO"/>
        </w:rPr>
        <w:t>Ландшафт</w:t>
      </w:r>
    </w:p>
    <w:p w14:paraId="52D288D9" w14:textId="35AA14FF" w:rsidR="00001305" w:rsidRPr="007375EB" w:rsidRDefault="001F132A" w:rsidP="00001305">
      <w:pPr>
        <w:shd w:val="clear" w:color="auto" w:fill="FFFFFF"/>
        <w:spacing w:after="120" w:line="360" w:lineRule="auto"/>
        <w:jc w:val="both"/>
        <w:rPr>
          <w:lang w:val="bg-BG"/>
        </w:rPr>
      </w:pPr>
      <w:r w:rsidRPr="007375EB">
        <w:rPr>
          <w:lang w:val="bg-BG"/>
        </w:rPr>
        <w:t xml:space="preserve">Според картата с типовете ландшафт, характерни за района, в който се предлага </w:t>
      </w:r>
      <w:r w:rsidR="000E2756" w:rsidRPr="007375EB">
        <w:rPr>
          <w:lang w:val="bg-BG"/>
        </w:rPr>
        <w:t>PUZ</w:t>
      </w:r>
      <w:r w:rsidRPr="007375EB">
        <w:rPr>
          <w:lang w:val="bg-BG"/>
        </w:rPr>
        <w:t>, може да се види, че типовете ландшафт в района на проекта са сходни и за двете страни, както следва</w:t>
      </w:r>
      <w:r w:rsidR="00001305" w:rsidRPr="007375EB">
        <w:rPr>
          <w:lang w:val="bg-BG"/>
        </w:rPr>
        <w:t>:</w:t>
      </w:r>
    </w:p>
    <w:p w14:paraId="5CE885D9" w14:textId="58EFBDD7" w:rsidR="001F132A" w:rsidRPr="007375EB" w:rsidRDefault="001F132A" w:rsidP="001F132A">
      <w:pPr>
        <w:pStyle w:val="ListParagraph"/>
        <w:numPr>
          <w:ilvl w:val="0"/>
          <w:numId w:val="80"/>
        </w:numPr>
        <w:shd w:val="clear" w:color="auto" w:fill="FFFFFF"/>
        <w:spacing w:after="120" w:line="360" w:lineRule="auto"/>
        <w:jc w:val="both"/>
        <w:rPr>
          <w:lang w:val="bg-BG"/>
        </w:rPr>
      </w:pPr>
      <w:r w:rsidRPr="007375EB">
        <w:rPr>
          <w:lang w:val="bg-BG"/>
        </w:rPr>
        <w:t xml:space="preserve">Континентален ландшафт - тази област е хълмиста и обработваема земя със седиментни почви. Той преобладава в по-голямата част от зоната на покритие на </w:t>
      </w:r>
      <w:r w:rsidR="000E2756" w:rsidRPr="007375EB">
        <w:rPr>
          <w:lang w:val="bg-BG"/>
        </w:rPr>
        <w:t>PUZ</w:t>
      </w:r>
      <w:r w:rsidRPr="007375EB">
        <w:rPr>
          <w:lang w:val="bg-BG"/>
        </w:rPr>
        <w:t>.</w:t>
      </w:r>
    </w:p>
    <w:p w14:paraId="0BB7BC4C" w14:textId="22C4F1EF" w:rsidR="00001305" w:rsidRPr="007375EB" w:rsidRDefault="001F132A" w:rsidP="001F132A">
      <w:pPr>
        <w:pStyle w:val="ListParagraph"/>
        <w:numPr>
          <w:ilvl w:val="0"/>
          <w:numId w:val="80"/>
        </w:numPr>
        <w:shd w:val="clear" w:color="auto" w:fill="FFFFFF"/>
        <w:spacing w:after="120" w:line="360" w:lineRule="auto"/>
        <w:jc w:val="both"/>
        <w:rPr>
          <w:lang w:val="bg-BG"/>
        </w:rPr>
      </w:pPr>
      <w:r w:rsidRPr="007375EB">
        <w:rPr>
          <w:lang w:val="bg-BG"/>
        </w:rPr>
        <w:t>Степни ландшафти - този район представлява степни ландшафти с хълмисти и седиментни почви.</w:t>
      </w:r>
    </w:p>
    <w:p w14:paraId="5C74B6DC" w14:textId="58055A7F" w:rsidR="00366FD3" w:rsidRPr="007375EB" w:rsidRDefault="001F132A" w:rsidP="00D92CF7">
      <w:pPr>
        <w:spacing w:after="120" w:line="360" w:lineRule="auto"/>
        <w:jc w:val="both"/>
        <w:rPr>
          <w:lang w:val="bg-BG"/>
        </w:rPr>
      </w:pPr>
      <w:r w:rsidRPr="007375EB">
        <w:rPr>
          <w:rFonts w:eastAsia="Verdana" w:cs="Verdana"/>
          <w:lang w:val="bg-BG"/>
        </w:rPr>
        <w:t xml:space="preserve">В </w:t>
      </w:r>
      <w:r w:rsidRPr="007375EB">
        <w:rPr>
          <w:rFonts w:eastAsia="Verdana" w:cs="Verdana"/>
          <w:b/>
          <w:bCs/>
          <w:lang w:val="bg-BG"/>
        </w:rPr>
        <w:t>Фигура 2. 22</w:t>
      </w:r>
      <w:r w:rsidRPr="007375EB">
        <w:rPr>
          <w:rFonts w:eastAsia="Verdana" w:cs="Verdana"/>
          <w:lang w:val="bg-BG"/>
        </w:rPr>
        <w:t xml:space="preserve"> Степен на фрагментация на ландшафта в района на прилагане на </w:t>
      </w:r>
      <w:r w:rsidR="000E2756" w:rsidRPr="007375EB">
        <w:rPr>
          <w:rFonts w:eastAsia="Verdana" w:cs="Verdana"/>
          <w:lang w:val="bg-BG"/>
        </w:rPr>
        <w:t>PUZ</w:t>
      </w:r>
      <w:r w:rsidRPr="007375EB">
        <w:rPr>
          <w:rFonts w:eastAsia="Verdana" w:cs="Verdana"/>
          <w:lang w:val="bg-BG"/>
        </w:rPr>
        <w:t xml:space="preserve"> картата представя подробен анализ на енергийния релеф и степента на фрагментация на ландшафта. Фрагментацията на релефа и енергията на релефа са от съществено значение за разбирането на потенциалните въздействия върху околната среда и планирането на инфраструктурни проекти</w:t>
      </w:r>
      <w:r w:rsidR="003A2D50" w:rsidRPr="007375EB">
        <w:rPr>
          <w:lang w:val="bg-BG"/>
        </w:rPr>
        <w:t>.</w:t>
      </w:r>
    </w:p>
    <w:p w14:paraId="4AF11BFD" w14:textId="159EF924" w:rsidR="003A2D50" w:rsidRPr="007375EB" w:rsidRDefault="000E2756" w:rsidP="00D92CF7">
      <w:pPr>
        <w:spacing w:after="120" w:line="360" w:lineRule="auto"/>
        <w:jc w:val="both"/>
        <w:rPr>
          <w:lang w:val="bg-BG"/>
        </w:rPr>
      </w:pPr>
      <w:r w:rsidRPr="007375EB">
        <w:rPr>
          <w:rFonts w:eastAsia="Verdana" w:cs="Verdana"/>
          <w:lang w:val="bg-BG"/>
        </w:rPr>
        <w:t>Картата показва, че на територията на България, в съседство с периметъра на PUZ, преобладава много ниска фрагментация. Релефът е умерено фрагментиран, което предполага наличието на ниски хълмове и долини. Този тип ландшафт може да поддържа разнообразни селскостопански дейности и има умерено биологично разнообразие</w:t>
      </w:r>
      <w:r w:rsidR="00026FF9" w:rsidRPr="007375EB">
        <w:rPr>
          <w:lang w:val="bg-BG"/>
        </w:rPr>
        <w:t>.</w:t>
      </w:r>
    </w:p>
    <w:p w14:paraId="2C085244" w14:textId="30EBCE65" w:rsidR="002415DF" w:rsidRPr="007375EB" w:rsidRDefault="000E2756" w:rsidP="00D92CF7">
      <w:pPr>
        <w:spacing w:after="120" w:line="360" w:lineRule="auto"/>
        <w:jc w:val="both"/>
        <w:rPr>
          <w:lang w:val="bg-BG"/>
        </w:rPr>
      </w:pPr>
      <w:r w:rsidRPr="007375EB">
        <w:rPr>
          <w:b/>
          <w:bCs/>
          <w:lang w:val="bg-BG"/>
        </w:rPr>
        <w:lastRenderedPageBreak/>
        <w:t>Изграждането и експлоатацията на вятърния парк извън община Черкезу няма да засегне българския ландшафт</w:t>
      </w:r>
      <w:r w:rsidR="002415DF" w:rsidRPr="007375EB">
        <w:rPr>
          <w:b/>
          <w:bCs/>
          <w:lang w:val="bg-BG"/>
        </w:rPr>
        <w:t>.</w:t>
      </w:r>
    </w:p>
    <w:p w14:paraId="05C07F49" w14:textId="7DB83403" w:rsidR="003A2D50" w:rsidRPr="007375EB" w:rsidRDefault="000E2756" w:rsidP="00D92CF7">
      <w:pPr>
        <w:spacing w:after="120" w:line="360" w:lineRule="auto"/>
        <w:jc w:val="both"/>
        <w:rPr>
          <w:rFonts w:eastAsiaTheme="majorEastAsia" w:cstheme="majorBidi"/>
          <w:b/>
          <w:i/>
          <w:iCs/>
          <w:color w:val="009DF0" w:themeColor="text2"/>
          <w:lang w:val="bg-BG" w:eastAsia="ro-RO"/>
        </w:rPr>
      </w:pPr>
      <w:r w:rsidRPr="007375EB">
        <w:rPr>
          <w:rFonts w:eastAsiaTheme="majorEastAsia" w:cstheme="majorBidi"/>
          <w:b/>
          <w:i/>
          <w:iCs/>
          <w:color w:val="009DF0" w:themeColor="text2"/>
          <w:lang w:val="bg-BG" w:eastAsia="ro-RO"/>
        </w:rPr>
        <w:t>Изменение на климата</w:t>
      </w:r>
    </w:p>
    <w:p w14:paraId="746783E2" w14:textId="4001744A" w:rsidR="000E2756" w:rsidRPr="007375EB" w:rsidRDefault="000E2756" w:rsidP="000E2756">
      <w:pPr>
        <w:spacing w:after="120" w:line="360" w:lineRule="auto"/>
        <w:ind w:left="-6" w:right="295" w:hanging="11"/>
        <w:jc w:val="both"/>
        <w:rPr>
          <w:rFonts w:eastAsia="Times New Roman" w:cs="Calibri"/>
          <w:lang w:val="bg-BG" w:eastAsia="en-GB"/>
        </w:rPr>
      </w:pPr>
      <w:r w:rsidRPr="007375EB">
        <w:rPr>
          <w:rFonts w:eastAsia="Times New Roman" w:cs="Calibri"/>
          <w:lang w:val="bg-BG" w:eastAsia="en-GB"/>
        </w:rPr>
        <w:t xml:space="preserve">Националната политика на България в областта на климата се определя, от една страна, от международните ангажименти на страната, произтичащи от Рамковата конвенция на Организацията на обединените нации по изменение на климата (CCONUSC), Протокола от Киото (КП) и Парижкото споразумение, които осигуряват общата рамка на международните усилия за справяне с предизвикателствата, свързани с изменението на климата, и, от друга страна, от задълженията, произтичащи от членството на страната в ЕС и от действащото и наскоро приетото европейско законодателство в тази област. </w:t>
      </w:r>
    </w:p>
    <w:p w14:paraId="20EB8AA2" w14:textId="5B9C09F1" w:rsidR="00431DD6" w:rsidRPr="007375EB" w:rsidRDefault="000E2756" w:rsidP="000E2756">
      <w:pPr>
        <w:spacing w:after="120" w:line="360" w:lineRule="auto"/>
        <w:ind w:left="-6" w:right="295" w:hanging="11"/>
        <w:jc w:val="both"/>
        <w:rPr>
          <w:rFonts w:eastAsia="Times New Roman" w:cs="Calibri"/>
          <w:lang w:val="bg-BG" w:eastAsia="en-GB"/>
        </w:rPr>
      </w:pPr>
      <w:r w:rsidRPr="007375EB">
        <w:rPr>
          <w:rFonts w:eastAsia="Times New Roman" w:cs="Calibri"/>
          <w:lang w:val="bg-BG" w:eastAsia="en-GB"/>
        </w:rPr>
        <w:t>В качеството си на държава - членка на ЕС, България е поела ангажимент да намали емисиите си на парникови газове (ПГ) с 55% до 2030 г. в сравнение с нивата от 1990 г., като част от целта на ЕС за постигане на неутралност по отношение на климата до 2050 г.</w:t>
      </w:r>
      <w:r w:rsidR="005B0988" w:rsidRPr="007375EB">
        <w:rPr>
          <w:rFonts w:ascii="Arial" w:hAnsi="Arial" w:cs="Arial"/>
          <w:lang w:val="bg-BG"/>
        </w:rPr>
        <w:t>​</w:t>
      </w:r>
      <w:r w:rsidR="00431DD6" w:rsidRPr="007375EB">
        <w:rPr>
          <w:rStyle w:val="FootnoteReference"/>
          <w:rFonts w:ascii="Arial" w:hAnsi="Arial" w:cs="Arial"/>
          <w:lang w:val="bg-BG"/>
        </w:rPr>
        <w:footnoteReference w:id="32"/>
      </w:r>
      <w:r w:rsidR="00431DD6" w:rsidRPr="007375EB">
        <w:rPr>
          <w:rFonts w:ascii="Arial" w:hAnsi="Arial" w:cs="Arial"/>
          <w:lang w:val="bg-BG"/>
        </w:rPr>
        <w:t>.</w:t>
      </w:r>
    </w:p>
    <w:p w14:paraId="3A8BAE3A" w14:textId="6D0BF7B6" w:rsidR="009D4E42" w:rsidRPr="007375EB" w:rsidRDefault="000E2756" w:rsidP="006B06F4">
      <w:pPr>
        <w:shd w:val="clear" w:color="auto" w:fill="FFFFFF"/>
        <w:spacing w:after="120" w:line="360" w:lineRule="auto"/>
        <w:jc w:val="both"/>
        <w:rPr>
          <w:rFonts w:eastAsia="Times New Roman" w:cs="Calibri"/>
          <w:lang w:val="bg-BG" w:eastAsia="en-GB"/>
        </w:rPr>
      </w:pPr>
      <w:r w:rsidRPr="007375EB">
        <w:rPr>
          <w:rFonts w:eastAsia="Times New Roman" w:cs="Calibri"/>
          <w:lang w:val="bg-BG" w:eastAsia="en-GB"/>
        </w:rPr>
        <w:t>Според Националния доклад за състоянието и опазването на околната среда в България</w:t>
      </w:r>
      <w:r w:rsidRPr="007375EB">
        <w:rPr>
          <w:rStyle w:val="FootnoteReference"/>
          <w:rFonts w:eastAsia="Times New Roman" w:cs="Calibri"/>
          <w:lang w:val="bg-BG" w:eastAsia="en-GB"/>
        </w:rPr>
        <w:footnoteReference w:id="33"/>
      </w:r>
      <w:r w:rsidRPr="007375EB">
        <w:rPr>
          <w:rFonts w:eastAsia="Times New Roman" w:cs="Calibri"/>
          <w:lang w:val="bg-BG" w:eastAsia="en-GB"/>
        </w:rPr>
        <w:t xml:space="preserve"> </w:t>
      </w:r>
      <w:r w:rsidRPr="007375EB">
        <w:rPr>
          <w:rFonts w:eastAsia="Times New Roman" w:cs="Calibri"/>
          <w:b/>
          <w:bCs/>
          <w:lang w:val="bg-BG" w:eastAsia="en-GB"/>
        </w:rPr>
        <w:t>основните емисии на парникови газове</w:t>
      </w:r>
      <w:r w:rsidRPr="007375EB">
        <w:rPr>
          <w:rFonts w:eastAsia="Times New Roman" w:cs="Calibri"/>
          <w:lang w:val="bg-BG" w:eastAsia="en-GB"/>
        </w:rPr>
        <w:t xml:space="preserve"> - за периода 1988-2021 г. - имат тенденция към намаляване. През 2021 г. са генерирани общо 53917,27 </w:t>
      </w:r>
      <w:r w:rsidRPr="007375EB">
        <w:rPr>
          <w:lang w:val="bg-BG" w:eastAsia="ro-RO"/>
        </w:rPr>
        <w:t>Gg CO</w:t>
      </w:r>
      <w:r w:rsidRPr="007375EB">
        <w:rPr>
          <w:vertAlign w:val="subscript"/>
          <w:lang w:val="bg-BG" w:eastAsia="ro-RO"/>
        </w:rPr>
        <w:t>2-eq</w:t>
      </w:r>
      <w:r w:rsidRPr="007375EB">
        <w:rPr>
          <w:lang w:val="bg-BG" w:eastAsia="ro-RO"/>
        </w:rPr>
        <w:t xml:space="preserve">. </w:t>
      </w:r>
      <w:r w:rsidRPr="007375EB">
        <w:rPr>
          <w:rFonts w:eastAsia="Times New Roman" w:cs="Calibri"/>
          <w:lang w:val="bg-BG" w:eastAsia="en-GB"/>
        </w:rPr>
        <w:t>емисии на парникови газове. Това означава, че емисиите на ПГ са намалели с 52,55% в сравнение с емисиите през базовата 1988 г</w:t>
      </w:r>
      <w:r w:rsidR="009D4E42" w:rsidRPr="007375EB">
        <w:rPr>
          <w:lang w:val="bg-BG" w:eastAsia="ro-RO"/>
        </w:rPr>
        <w:t>.</w:t>
      </w:r>
    </w:p>
    <w:p w14:paraId="1BA7BA3E" w14:textId="6CDA00B1" w:rsidR="009D4E42" w:rsidRPr="007375EB" w:rsidRDefault="00B375A5" w:rsidP="009D4E42">
      <w:pPr>
        <w:rPr>
          <w:rFonts w:eastAsia="Times New Roman" w:cs="Calibri"/>
          <w:lang w:val="bg-BG" w:eastAsia="en-GB"/>
        </w:rPr>
      </w:pPr>
      <w:r w:rsidRPr="007375EB">
        <w:rPr>
          <w:rFonts w:eastAsia="Times New Roman" w:cs="Calibri"/>
          <w:lang w:val="bg-BG" w:eastAsia="en-GB"/>
        </w:rPr>
        <w:t>Следващите три графики показват количествата на основните парникови газове, емитирани от различните сектори в България</w:t>
      </w:r>
      <w:r w:rsidR="009D4E42" w:rsidRPr="007375EB">
        <w:rPr>
          <w:rFonts w:eastAsia="Times New Roman" w:cs="Calibri"/>
          <w:lang w:val="bg-BG" w:eastAsia="en-GB"/>
        </w:rPr>
        <w:t xml:space="preserve">. </w:t>
      </w:r>
    </w:p>
    <w:p w14:paraId="0CA0A7D4" w14:textId="6A6E4E83" w:rsidR="009D4E42" w:rsidRPr="007375EB" w:rsidRDefault="00317521" w:rsidP="009D4E42">
      <w:pPr>
        <w:shd w:val="clear" w:color="auto" w:fill="FFFFFF"/>
        <w:spacing w:after="120" w:line="360" w:lineRule="auto"/>
        <w:jc w:val="center"/>
        <w:rPr>
          <w:rFonts w:eastAsia="Times New Roman" w:cs="Calibri"/>
          <w:b/>
          <w:bCs/>
          <w:lang w:val="bg-BG" w:eastAsia="en-GB"/>
        </w:rPr>
      </w:pPr>
      <w:r w:rsidRPr="007375EB">
        <w:rPr>
          <w:noProof/>
          <w:lang w:val="bg-BG"/>
        </w:rPr>
        <mc:AlternateContent>
          <mc:Choice Requires="wps">
            <w:drawing>
              <wp:anchor distT="0" distB="0" distL="114300" distR="114300" simplePos="0" relativeHeight="251672592" behindDoc="0" locked="0" layoutInCell="1" allowOverlap="1" wp14:anchorId="049F26D3" wp14:editId="6512D36F">
                <wp:simplePos x="0" y="0"/>
                <wp:positionH relativeFrom="column">
                  <wp:posOffset>5080635</wp:posOffset>
                </wp:positionH>
                <wp:positionV relativeFrom="paragraph">
                  <wp:posOffset>1897380</wp:posOffset>
                </wp:positionV>
                <wp:extent cx="1150620" cy="312420"/>
                <wp:effectExtent l="0" t="0" r="11430" b="11430"/>
                <wp:wrapNone/>
                <wp:docPr id="1207944767" name="Text Box 31"/>
                <wp:cNvGraphicFramePr/>
                <a:graphic xmlns:a="http://schemas.openxmlformats.org/drawingml/2006/main">
                  <a:graphicData uri="http://schemas.microsoft.com/office/word/2010/wordprocessingShape">
                    <wps:wsp>
                      <wps:cNvSpPr txBox="1"/>
                      <wps:spPr>
                        <a:xfrm>
                          <a:off x="0" y="0"/>
                          <a:ext cx="1150620" cy="312420"/>
                        </a:xfrm>
                        <a:prstGeom prst="rect">
                          <a:avLst/>
                        </a:prstGeom>
                        <a:solidFill>
                          <a:schemeClr val="lt1"/>
                        </a:solidFill>
                        <a:ln w="6350">
                          <a:solidFill>
                            <a:prstClr val="black"/>
                          </a:solidFill>
                        </a:ln>
                      </wps:spPr>
                      <wps:txbx>
                        <w:txbxContent>
                          <w:p w14:paraId="06AF05F9" w14:textId="77777777" w:rsidR="00317521" w:rsidRPr="00B375A5" w:rsidRDefault="00317521" w:rsidP="00317521">
                            <w:pPr>
                              <w:spacing w:line="240" w:lineRule="auto"/>
                              <w:rPr>
                                <w:sz w:val="12"/>
                                <w:szCs w:val="12"/>
                                <w:lang w:val="bg-BG"/>
                              </w:rPr>
                            </w:pPr>
                            <w:r w:rsidRPr="00B375A5">
                              <w:rPr>
                                <w:sz w:val="12"/>
                                <w:szCs w:val="12"/>
                                <w:lang w:val="bg-BG"/>
                              </w:rPr>
                              <w:t>Индустриални процеси</w:t>
                            </w:r>
                          </w:p>
                          <w:p w14:paraId="5B41CDB2" w14:textId="0A4D9EC8" w:rsidR="00317521" w:rsidRPr="00317521" w:rsidRDefault="00317521" w:rsidP="00317521">
                            <w:pPr>
                              <w:spacing w:line="240" w:lineRule="auto"/>
                              <w:rPr>
                                <w:sz w:val="12"/>
                                <w:szCs w:val="12"/>
                              </w:rPr>
                            </w:pPr>
                            <w:r w:rsidRPr="00B375A5">
                              <w:rPr>
                                <w:sz w:val="12"/>
                                <w:szCs w:val="12"/>
                                <w:lang w:val="bg-BG"/>
                              </w:rPr>
                              <w:t>Отпадъци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9F26D3" id="Text Box 31" o:spid="_x0000_s1037" type="#_x0000_t202" style="position:absolute;left:0;text-align:left;margin-left:400.05pt;margin-top:149.4pt;width:90.6pt;height:24.6pt;z-index:25167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" fillcolor="white [3201]" strokeweight=".5pt">
                <v:textbox>
                  <w:txbxContent>
                    <w:p w14:paraId="06AF05F9" w14:textId="77777777" w:rsidR="00317521" w:rsidRPr="00B375A5" w:rsidRDefault="00317521" w:rsidP="00317521">
                      <w:pPr>
                        <w:spacing w:line="240" w:lineRule="auto"/>
                        <w:rPr>
                          <w:sz w:val="12"/>
                          <w:szCs w:val="12"/>
                          <w:lang w:val="bg-BG"/>
                        </w:rPr>
                      </w:pPr>
                      <w:r w:rsidRPr="00B375A5">
                        <w:rPr>
                          <w:sz w:val="12"/>
                          <w:szCs w:val="12"/>
                          <w:lang w:val="bg-BG"/>
                        </w:rPr>
                        <w:t>Индустриални процеси</w:t>
                      </w:r>
                    </w:p>
                    <w:p w14:paraId="5B41CDB2" w14:textId="0A4D9EC8" w:rsidR="00317521" w:rsidRPr="00317521" w:rsidRDefault="00317521" w:rsidP="00317521">
                      <w:pPr>
                        <w:spacing w:line="240" w:lineRule="auto"/>
                        <w:rPr>
                          <w:sz w:val="12"/>
                          <w:szCs w:val="12"/>
                        </w:rPr>
                      </w:pPr>
                      <w:r w:rsidRPr="00B375A5">
                        <w:rPr>
                          <w:sz w:val="12"/>
                          <w:szCs w:val="12"/>
                          <w:lang w:val="bg-BG"/>
                        </w:rPr>
                        <w:t>Отпадъци</w:t>
                      </w:r>
                    </w:p>
                  </w:txbxContent>
                </v:textbox>
              </v:shape>
            </w:pict>
          </mc:Fallback>
        </mc:AlternateContent>
      </w:r>
      <w:r w:rsidRPr="007375EB">
        <w:rPr>
          <w:noProof/>
          <w:lang w:val="bg-BG"/>
        </w:rPr>
        <mc:AlternateContent>
          <mc:Choice Requires="wps">
            <w:drawing>
              <wp:anchor distT="0" distB="0" distL="114300" distR="114300" simplePos="0" relativeHeight="251670544" behindDoc="0" locked="0" layoutInCell="1" allowOverlap="1" wp14:anchorId="6360208E" wp14:editId="5EAC0F32">
                <wp:simplePos x="0" y="0"/>
                <wp:positionH relativeFrom="column">
                  <wp:posOffset>4051935</wp:posOffset>
                </wp:positionH>
                <wp:positionV relativeFrom="paragraph">
                  <wp:posOffset>1874520</wp:posOffset>
                </wp:positionV>
                <wp:extent cx="960120" cy="281940"/>
                <wp:effectExtent l="0" t="0" r="11430" b="22860"/>
                <wp:wrapNone/>
                <wp:docPr id="1250138846" name="Text Box 31"/>
                <wp:cNvGraphicFramePr/>
                <a:graphic xmlns:a="http://schemas.openxmlformats.org/drawingml/2006/main">
                  <a:graphicData uri="http://schemas.microsoft.com/office/word/2010/wordprocessingShape">
                    <wps:wsp>
                      <wps:cNvSpPr txBox="1"/>
                      <wps:spPr>
                        <a:xfrm>
                          <a:off x="0" y="0"/>
                          <a:ext cx="960120" cy="281940"/>
                        </a:xfrm>
                        <a:prstGeom prst="rect">
                          <a:avLst/>
                        </a:prstGeom>
                        <a:solidFill>
                          <a:schemeClr val="lt1"/>
                        </a:solidFill>
                        <a:ln w="6350">
                          <a:solidFill>
                            <a:prstClr val="black"/>
                          </a:solidFill>
                        </a:ln>
                      </wps:spPr>
                      <wps:txbx>
                        <w:txbxContent>
                          <w:p w14:paraId="420976C6" w14:textId="77777777" w:rsidR="00B375A5" w:rsidRPr="00B375A5" w:rsidRDefault="00B375A5" w:rsidP="00B375A5">
                            <w:pPr>
                              <w:spacing w:line="240" w:lineRule="auto"/>
                              <w:rPr>
                                <w:sz w:val="12"/>
                                <w:szCs w:val="12"/>
                                <w:lang w:val="bg-BG"/>
                              </w:rPr>
                            </w:pPr>
                            <w:r w:rsidRPr="00B375A5">
                              <w:rPr>
                                <w:sz w:val="12"/>
                                <w:szCs w:val="12"/>
                                <w:lang w:val="bg-BG"/>
                              </w:rPr>
                              <w:t>Енергия</w:t>
                            </w:r>
                          </w:p>
                          <w:p w14:paraId="001E5144" w14:textId="77777777" w:rsidR="00B375A5" w:rsidRPr="00B375A5" w:rsidRDefault="00B375A5" w:rsidP="00B375A5">
                            <w:pPr>
                              <w:spacing w:line="240" w:lineRule="auto"/>
                              <w:rPr>
                                <w:sz w:val="12"/>
                                <w:szCs w:val="12"/>
                                <w:lang w:val="bg-BG"/>
                              </w:rPr>
                            </w:pPr>
                            <w:r w:rsidRPr="00B375A5">
                              <w:rPr>
                                <w:sz w:val="12"/>
                                <w:szCs w:val="12"/>
                                <w:lang w:val="bg-BG"/>
                              </w:rPr>
                              <w:t>Селско стопанство</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60208E" id="_x0000_s1038" type="#_x0000_t202" style="position:absolute;left:0;text-align:left;margin-left:319.05pt;margin-top:147.6pt;width:75.6pt;height:22.2pt;z-index:25167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" fillcolor="white [3201]" strokeweight=".5pt">
                <v:textbox>
                  <w:txbxContent>
                    <w:p w14:paraId="420976C6" w14:textId="77777777" w:rsidR="00B375A5" w:rsidRPr="00B375A5" w:rsidRDefault="00B375A5" w:rsidP="00B375A5">
                      <w:pPr>
                        <w:spacing w:line="240" w:lineRule="auto"/>
                        <w:rPr>
                          <w:sz w:val="12"/>
                          <w:szCs w:val="12"/>
                          <w:lang w:val="bg-BG"/>
                        </w:rPr>
                      </w:pPr>
                      <w:r w:rsidRPr="00B375A5">
                        <w:rPr>
                          <w:sz w:val="12"/>
                          <w:szCs w:val="12"/>
                          <w:lang w:val="bg-BG"/>
                        </w:rPr>
                        <w:t>Енергия</w:t>
                      </w:r>
                    </w:p>
                    <w:p w14:paraId="001E5144" w14:textId="77777777" w:rsidR="00B375A5" w:rsidRPr="00B375A5" w:rsidRDefault="00B375A5" w:rsidP="00B375A5">
                      <w:pPr>
                        <w:spacing w:line="240" w:lineRule="auto"/>
                        <w:rPr>
                          <w:sz w:val="12"/>
                          <w:szCs w:val="12"/>
                          <w:lang w:val="bg-BG"/>
                        </w:rPr>
                      </w:pPr>
                      <w:r w:rsidRPr="00B375A5">
                        <w:rPr>
                          <w:sz w:val="12"/>
                          <w:szCs w:val="12"/>
                          <w:lang w:val="bg-BG"/>
                        </w:rPr>
                        <w:t>Селско стопанство</w:t>
                      </w:r>
                    </w:p>
                  </w:txbxContent>
                </v:textbox>
              </v:shape>
            </w:pict>
          </mc:Fallback>
        </mc:AlternateContent>
      </w:r>
      <w:r w:rsidR="00B375A5" w:rsidRPr="007375EB">
        <w:rPr>
          <w:noProof/>
          <w:lang w:val="bg-BG"/>
        </w:rPr>
        <mc:AlternateContent>
          <mc:Choice Requires="wps">
            <w:drawing>
              <wp:anchor distT="0" distB="0" distL="114300" distR="114300" simplePos="0" relativeHeight="251668496" behindDoc="0" locked="0" layoutInCell="1" allowOverlap="1" wp14:anchorId="725A1489" wp14:editId="523ED244">
                <wp:simplePos x="0" y="0"/>
                <wp:positionH relativeFrom="column">
                  <wp:posOffset>2741295</wp:posOffset>
                </wp:positionH>
                <wp:positionV relativeFrom="paragraph">
                  <wp:posOffset>1866900</wp:posOffset>
                </wp:positionV>
                <wp:extent cx="1226820" cy="403860"/>
                <wp:effectExtent l="0" t="0" r="11430" b="15240"/>
                <wp:wrapNone/>
                <wp:docPr id="736965560" name="Text Box 31"/>
                <wp:cNvGraphicFramePr/>
                <a:graphic xmlns:a="http://schemas.openxmlformats.org/drawingml/2006/main">
                  <a:graphicData uri="http://schemas.microsoft.com/office/word/2010/wordprocessingShape">
                    <wps:wsp>
                      <wps:cNvSpPr txBox="1"/>
                      <wps:spPr>
                        <a:xfrm>
                          <a:off x="0" y="0"/>
                          <a:ext cx="1226820" cy="403860"/>
                        </a:xfrm>
                        <a:prstGeom prst="rect">
                          <a:avLst/>
                        </a:prstGeom>
                        <a:solidFill>
                          <a:schemeClr val="lt1"/>
                        </a:solidFill>
                        <a:ln w="6350">
                          <a:solidFill>
                            <a:prstClr val="black"/>
                          </a:solidFill>
                        </a:ln>
                      </wps:spPr>
                      <wps:txbx>
                        <w:txbxContent>
                          <w:p w14:paraId="35E3F222" w14:textId="77777777" w:rsidR="00B375A5" w:rsidRPr="00B375A5" w:rsidRDefault="00B375A5" w:rsidP="00B375A5">
                            <w:pPr>
                              <w:spacing w:line="240" w:lineRule="auto"/>
                              <w:rPr>
                                <w:sz w:val="12"/>
                                <w:szCs w:val="12"/>
                                <w:lang w:val="bg-BG"/>
                              </w:rPr>
                            </w:pPr>
                            <w:r w:rsidRPr="00B375A5">
                              <w:rPr>
                                <w:sz w:val="12"/>
                                <w:szCs w:val="12"/>
                                <w:lang w:val="bg-BG"/>
                              </w:rPr>
                              <w:t>Енергия</w:t>
                            </w:r>
                          </w:p>
                          <w:p w14:paraId="2753B163" w14:textId="77777777" w:rsidR="00B375A5" w:rsidRPr="00B375A5" w:rsidRDefault="00B375A5" w:rsidP="00B375A5">
                            <w:pPr>
                              <w:spacing w:line="240" w:lineRule="auto"/>
                              <w:rPr>
                                <w:sz w:val="12"/>
                                <w:szCs w:val="12"/>
                                <w:lang w:val="bg-BG"/>
                              </w:rPr>
                            </w:pPr>
                            <w:r w:rsidRPr="00B375A5">
                              <w:rPr>
                                <w:sz w:val="12"/>
                                <w:szCs w:val="12"/>
                                <w:lang w:val="bg-BG"/>
                              </w:rPr>
                              <w:t>Селско стопанство</w:t>
                            </w:r>
                          </w:p>
                          <w:p w14:paraId="04CCC604" w14:textId="50C8E9EC" w:rsidR="00B375A5" w:rsidRPr="00B375A5" w:rsidRDefault="00B375A5" w:rsidP="00B375A5">
                            <w:pPr>
                              <w:spacing w:line="240" w:lineRule="auto"/>
                              <w:rPr>
                                <w:sz w:val="12"/>
                                <w:szCs w:val="12"/>
                                <w:lang w:val="bg-BG"/>
                              </w:rPr>
                            </w:pPr>
                            <w:r w:rsidRPr="00B375A5">
                              <w:rPr>
                                <w:sz w:val="12"/>
                                <w:szCs w:val="12"/>
                                <w:lang w:val="bg-BG"/>
                              </w:rPr>
                              <w:t>Отпадъци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25A1489" id="_x0000_s1039" type="#_x0000_t202" style="position:absolute;left:0;text-align:left;margin-left:215.85pt;margin-top:147pt;width:96.6pt;height:31.8pt;z-index:251668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" fillcolor="white [3201]" strokeweight=".5pt">
                <v:textbox>
                  <w:txbxContent>
                    <w:p w14:paraId="35E3F222" w14:textId="77777777" w:rsidR="00B375A5" w:rsidRPr="00B375A5" w:rsidRDefault="00B375A5" w:rsidP="00B375A5">
                      <w:pPr>
                        <w:spacing w:line="240" w:lineRule="auto"/>
                        <w:rPr>
                          <w:sz w:val="12"/>
                          <w:szCs w:val="12"/>
                          <w:lang w:val="bg-BG"/>
                        </w:rPr>
                      </w:pPr>
                      <w:r w:rsidRPr="00B375A5">
                        <w:rPr>
                          <w:sz w:val="12"/>
                          <w:szCs w:val="12"/>
                          <w:lang w:val="bg-BG"/>
                        </w:rPr>
                        <w:t>Енергия</w:t>
                      </w:r>
                    </w:p>
                    <w:p w14:paraId="2753B163" w14:textId="77777777" w:rsidR="00B375A5" w:rsidRPr="00B375A5" w:rsidRDefault="00B375A5" w:rsidP="00B375A5">
                      <w:pPr>
                        <w:spacing w:line="240" w:lineRule="auto"/>
                        <w:rPr>
                          <w:sz w:val="12"/>
                          <w:szCs w:val="12"/>
                          <w:lang w:val="bg-BG"/>
                        </w:rPr>
                      </w:pPr>
                      <w:r w:rsidRPr="00B375A5">
                        <w:rPr>
                          <w:sz w:val="12"/>
                          <w:szCs w:val="12"/>
                          <w:lang w:val="bg-BG"/>
                        </w:rPr>
                        <w:t>Селско стопанство</w:t>
                      </w:r>
                    </w:p>
                    <w:p w14:paraId="04CCC604" w14:textId="50C8E9EC" w:rsidR="00B375A5" w:rsidRPr="00B375A5" w:rsidRDefault="00B375A5" w:rsidP="00B375A5">
                      <w:pPr>
                        <w:spacing w:line="240" w:lineRule="auto"/>
                        <w:rPr>
                          <w:sz w:val="12"/>
                          <w:szCs w:val="12"/>
                          <w:lang w:val="bg-BG"/>
                        </w:rPr>
                      </w:pPr>
                      <w:r w:rsidRPr="00B375A5">
                        <w:rPr>
                          <w:sz w:val="12"/>
                          <w:szCs w:val="12"/>
                          <w:lang w:val="bg-BG"/>
                        </w:rPr>
                        <w:t>Отпадъци</w:t>
                      </w:r>
                    </w:p>
                  </w:txbxContent>
                </v:textbox>
              </v:shape>
            </w:pict>
          </mc:Fallback>
        </mc:AlternateContent>
      </w:r>
      <w:r w:rsidR="00B375A5" w:rsidRPr="007375EB">
        <w:rPr>
          <w:noProof/>
          <w:lang w:val="bg-BG"/>
        </w:rPr>
        <mc:AlternateContent>
          <mc:Choice Requires="wps">
            <w:drawing>
              <wp:anchor distT="0" distB="0" distL="114300" distR="114300" simplePos="0" relativeHeight="251666448" behindDoc="0" locked="0" layoutInCell="1" allowOverlap="1" wp14:anchorId="16F40DC3" wp14:editId="61D37A60">
                <wp:simplePos x="0" y="0"/>
                <wp:positionH relativeFrom="column">
                  <wp:posOffset>523875</wp:posOffset>
                </wp:positionH>
                <wp:positionV relativeFrom="paragraph">
                  <wp:posOffset>1851660</wp:posOffset>
                </wp:positionV>
                <wp:extent cx="1226820" cy="403860"/>
                <wp:effectExtent l="0" t="0" r="11430" b="15240"/>
                <wp:wrapNone/>
                <wp:docPr id="350529914" name="Text Box 31"/>
                <wp:cNvGraphicFramePr/>
                <a:graphic xmlns:a="http://schemas.openxmlformats.org/drawingml/2006/main">
                  <a:graphicData uri="http://schemas.microsoft.com/office/word/2010/wordprocessingShape">
                    <wps:wsp>
                      <wps:cNvSpPr txBox="1"/>
                      <wps:spPr>
                        <a:xfrm>
                          <a:off x="0" y="0"/>
                          <a:ext cx="1226820" cy="403860"/>
                        </a:xfrm>
                        <a:prstGeom prst="rect">
                          <a:avLst/>
                        </a:prstGeom>
                        <a:solidFill>
                          <a:schemeClr val="lt1"/>
                        </a:solidFill>
                        <a:ln w="6350">
                          <a:solidFill>
                            <a:prstClr val="black"/>
                          </a:solidFill>
                        </a:ln>
                      </wps:spPr>
                      <wps:txbx>
                        <w:txbxContent>
                          <w:p w14:paraId="2451CC47" w14:textId="77777777" w:rsidR="00B375A5" w:rsidRPr="00B375A5" w:rsidRDefault="00B375A5" w:rsidP="00B375A5">
                            <w:pPr>
                              <w:spacing w:line="240" w:lineRule="auto"/>
                              <w:rPr>
                                <w:sz w:val="12"/>
                                <w:szCs w:val="12"/>
                                <w:lang w:val="bg-BG"/>
                              </w:rPr>
                            </w:pPr>
                            <w:r w:rsidRPr="00B375A5">
                              <w:rPr>
                                <w:sz w:val="12"/>
                                <w:szCs w:val="12"/>
                                <w:lang w:val="bg-BG"/>
                              </w:rPr>
                              <w:t>Енергия</w:t>
                            </w:r>
                          </w:p>
                          <w:p w14:paraId="060A3C9D" w14:textId="71168519" w:rsidR="00B375A5" w:rsidRPr="00B375A5" w:rsidRDefault="00B375A5" w:rsidP="00B375A5">
                            <w:pPr>
                              <w:spacing w:line="240" w:lineRule="auto"/>
                              <w:rPr>
                                <w:sz w:val="12"/>
                                <w:szCs w:val="12"/>
                                <w:lang w:val="bg-BG"/>
                              </w:rPr>
                            </w:pPr>
                            <w:r w:rsidRPr="00B375A5">
                              <w:rPr>
                                <w:sz w:val="12"/>
                                <w:szCs w:val="12"/>
                                <w:lang w:val="bg-BG"/>
                              </w:rPr>
                              <w:t>Индустриални процеси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6F40DC3" id="_x0000_s1040" type="#_x0000_t202" style="position:absolute;left:0;text-align:left;margin-left:41.25pt;margin-top:145.8pt;width:96.6pt;height:31.8pt;z-index:251666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" fillcolor="white [3201]" strokeweight=".5pt">
                <v:textbox>
                  <w:txbxContent>
                    <w:p w14:paraId="2451CC47" w14:textId="77777777" w:rsidR="00B375A5" w:rsidRPr="00B375A5" w:rsidRDefault="00B375A5" w:rsidP="00B375A5">
                      <w:pPr>
                        <w:spacing w:line="240" w:lineRule="auto"/>
                        <w:rPr>
                          <w:sz w:val="12"/>
                          <w:szCs w:val="12"/>
                          <w:lang w:val="bg-BG"/>
                        </w:rPr>
                      </w:pPr>
                      <w:r w:rsidRPr="00B375A5">
                        <w:rPr>
                          <w:sz w:val="12"/>
                          <w:szCs w:val="12"/>
                          <w:lang w:val="bg-BG"/>
                        </w:rPr>
                        <w:t>Енергия</w:t>
                      </w:r>
                    </w:p>
                    <w:p w14:paraId="060A3C9D" w14:textId="71168519" w:rsidR="00B375A5" w:rsidRPr="00B375A5" w:rsidRDefault="00B375A5" w:rsidP="00B375A5">
                      <w:pPr>
                        <w:spacing w:line="240" w:lineRule="auto"/>
                        <w:rPr>
                          <w:sz w:val="12"/>
                          <w:szCs w:val="12"/>
                          <w:lang w:val="bg-BG"/>
                        </w:rPr>
                      </w:pPr>
                      <w:r w:rsidRPr="00B375A5">
                        <w:rPr>
                          <w:sz w:val="12"/>
                          <w:szCs w:val="12"/>
                          <w:lang w:val="bg-BG"/>
                        </w:rPr>
                        <w:t>Индустриални процеси</w:t>
                      </w:r>
                    </w:p>
                  </w:txbxContent>
                </v:textbox>
              </v:shape>
            </w:pict>
          </mc:Fallback>
        </mc:AlternateContent>
      </w:r>
      <w:r w:rsidR="009D4E42" w:rsidRPr="007375EB">
        <w:rPr>
          <w:noProof/>
          <w:lang w:val="bg-BG"/>
        </w:rPr>
        <w:drawing>
          <wp:inline distT="0" distB="0" distL="0" distR="0" wp14:anchorId="4E9BAC14" wp14:editId="4525660A">
            <wp:extent cx="5904865" cy="2378075"/>
            <wp:effectExtent l="0" t="0" r="635"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904865" cy="2378075"/>
                    </a:xfrm>
                    <a:prstGeom prst="rect">
                      <a:avLst/>
                    </a:prstGeom>
                  </pic:spPr>
                </pic:pic>
              </a:graphicData>
            </a:graphic>
          </wp:inline>
        </w:drawing>
      </w:r>
    </w:p>
    <w:p w14:paraId="0DBA55DC" w14:textId="26F4CAF9" w:rsidR="00C0055B" w:rsidRPr="007375EB" w:rsidRDefault="00C0055B" w:rsidP="00C92A43">
      <w:pPr>
        <w:pStyle w:val="Caption"/>
        <w:spacing w:before="0" w:after="120" w:line="240" w:lineRule="auto"/>
        <w:jc w:val="center"/>
        <w:rPr>
          <w:b w:val="0"/>
          <w:bCs w:val="0"/>
          <w:i/>
          <w:iCs/>
          <w:lang w:val="bg-BG"/>
        </w:rPr>
      </w:pPr>
      <w:r w:rsidRPr="007375EB">
        <w:rPr>
          <w:b w:val="0"/>
          <w:bCs w:val="0"/>
          <w:i/>
          <w:iCs/>
          <w:lang w:val="bg-BG"/>
        </w:rPr>
        <w:t xml:space="preserve">Източник: Национален доклад за инвентаризацията на парниковите газове за 2021 г. </w:t>
      </w:r>
    </w:p>
    <w:p w14:paraId="4D357B00" w14:textId="6063A999" w:rsidR="00C92A43" w:rsidRPr="007375EB" w:rsidRDefault="00B230C6" w:rsidP="00C92A43">
      <w:pPr>
        <w:pStyle w:val="Caption"/>
        <w:spacing w:before="0" w:after="120" w:line="240" w:lineRule="auto"/>
        <w:jc w:val="center"/>
        <w:rPr>
          <w:sz w:val="16"/>
          <w:szCs w:val="16"/>
          <w:lang w:val="bg-BG"/>
        </w:rPr>
      </w:pPr>
      <w:r w:rsidRPr="007375EB">
        <w:rPr>
          <w:sz w:val="16"/>
          <w:szCs w:val="16"/>
          <w:lang w:val="bg-BG"/>
        </w:rPr>
        <w:t>Фигура</w:t>
      </w:r>
      <w:r w:rsidR="00C92A43" w:rsidRPr="007375EB">
        <w:rPr>
          <w:sz w:val="16"/>
          <w:szCs w:val="16"/>
          <w:lang w:val="bg-BG"/>
        </w:rPr>
        <w:t xml:space="preserve"> 7. </w:t>
      </w:r>
      <w:r w:rsidR="00C92A43" w:rsidRPr="007375EB">
        <w:rPr>
          <w:sz w:val="16"/>
          <w:szCs w:val="16"/>
          <w:lang w:val="bg-BG"/>
        </w:rPr>
        <w:fldChar w:fldCharType="begin"/>
      </w:r>
      <w:r w:rsidR="00C92A43" w:rsidRPr="007375EB">
        <w:rPr>
          <w:sz w:val="16"/>
          <w:szCs w:val="16"/>
          <w:lang w:val="bg-BG"/>
        </w:rPr>
        <w:instrText xml:space="preserve"> SEQ Figura_7. \* ARABIC </w:instrText>
      </w:r>
      <w:r w:rsidR="00C92A43" w:rsidRPr="007375EB">
        <w:rPr>
          <w:sz w:val="16"/>
          <w:szCs w:val="16"/>
          <w:lang w:val="bg-BG"/>
        </w:rPr>
        <w:fldChar w:fldCharType="separate"/>
      </w:r>
      <w:r w:rsidR="00C92A43" w:rsidRPr="007375EB">
        <w:rPr>
          <w:noProof/>
          <w:sz w:val="16"/>
          <w:szCs w:val="16"/>
          <w:lang w:val="bg-BG"/>
        </w:rPr>
        <w:t>3</w:t>
      </w:r>
      <w:r w:rsidR="00C92A43" w:rsidRPr="007375EB">
        <w:rPr>
          <w:sz w:val="16"/>
          <w:szCs w:val="16"/>
          <w:lang w:val="bg-BG"/>
        </w:rPr>
        <w:fldChar w:fldCharType="end"/>
      </w:r>
      <w:r w:rsidR="00C92A43" w:rsidRPr="007375EB">
        <w:rPr>
          <w:sz w:val="16"/>
          <w:szCs w:val="16"/>
          <w:lang w:val="bg-BG"/>
        </w:rPr>
        <w:t xml:space="preserve"> </w:t>
      </w:r>
      <w:r w:rsidR="00C0055B" w:rsidRPr="007375EB">
        <w:rPr>
          <w:sz w:val="16"/>
          <w:szCs w:val="16"/>
          <w:lang w:val="bg-BG"/>
        </w:rPr>
        <w:t>Дял на основните източници на емисии на парникови газове през 2021 г.</w:t>
      </w:r>
      <w:r w:rsidR="00C92A43" w:rsidRPr="007375EB">
        <w:rPr>
          <w:sz w:val="16"/>
          <w:szCs w:val="16"/>
          <w:lang w:val="bg-BG"/>
        </w:rPr>
        <w:t>, %</w:t>
      </w:r>
    </w:p>
    <w:p w14:paraId="123651FC" w14:textId="77777777" w:rsidR="009D4E42" w:rsidRPr="007375EB" w:rsidRDefault="009D4E42" w:rsidP="00C572DF">
      <w:pPr>
        <w:shd w:val="clear" w:color="auto" w:fill="FFFFFF"/>
        <w:spacing w:after="120" w:line="360" w:lineRule="auto"/>
        <w:jc w:val="both"/>
        <w:rPr>
          <w:rFonts w:eastAsia="Times New Roman" w:cs="Calibri"/>
          <w:lang w:val="bg-BG" w:eastAsia="en-GB"/>
        </w:rPr>
      </w:pPr>
    </w:p>
    <w:p w14:paraId="232BFE66" w14:textId="67DDC3F7" w:rsidR="00CD3AD7" w:rsidRPr="007375EB" w:rsidRDefault="00C0055B" w:rsidP="00C572DF">
      <w:pPr>
        <w:shd w:val="clear" w:color="auto" w:fill="FFFFFF"/>
        <w:spacing w:after="120" w:line="360" w:lineRule="auto"/>
        <w:jc w:val="both"/>
        <w:rPr>
          <w:rFonts w:eastAsia="Times New Roman" w:cs="Calibri"/>
          <w:lang w:val="bg-BG" w:eastAsia="en-GB"/>
        </w:rPr>
      </w:pPr>
      <w:r w:rsidRPr="007375EB">
        <w:rPr>
          <w:rFonts w:eastAsia="Times New Roman" w:cs="Calibri"/>
          <w:lang w:val="bg-BG" w:eastAsia="en-GB"/>
        </w:rPr>
        <w:t>Националният доклад за състоянието и опазването на околната среда в България представя следните аспекти на климатичните фактори</w:t>
      </w:r>
      <w:r w:rsidR="00102D30" w:rsidRPr="007375EB">
        <w:rPr>
          <w:rFonts w:eastAsia="Times New Roman" w:cs="Calibri"/>
          <w:lang w:val="bg-BG" w:eastAsia="en-GB"/>
        </w:rPr>
        <w:t>:</w:t>
      </w:r>
    </w:p>
    <w:p w14:paraId="09564700" w14:textId="56A8492B" w:rsidR="005B0988" w:rsidRPr="007375EB" w:rsidRDefault="00B375A5" w:rsidP="00A83AD5">
      <w:pPr>
        <w:pStyle w:val="ListParagraph"/>
        <w:numPr>
          <w:ilvl w:val="0"/>
          <w:numId w:val="81"/>
        </w:numPr>
        <w:shd w:val="clear" w:color="auto" w:fill="FFFFFF"/>
        <w:spacing w:after="120" w:line="360" w:lineRule="auto"/>
        <w:jc w:val="both"/>
        <w:rPr>
          <w:rFonts w:eastAsia="Times New Roman" w:cs="Calibri"/>
          <w:lang w:val="bg-BG" w:eastAsia="en-GB"/>
        </w:rPr>
      </w:pPr>
      <w:r w:rsidRPr="007375EB">
        <w:rPr>
          <w:rFonts w:eastAsia="Times New Roman" w:cs="Calibri"/>
          <w:b/>
          <w:bCs/>
          <w:lang w:val="bg-BG" w:eastAsia="en-GB"/>
        </w:rPr>
        <w:lastRenderedPageBreak/>
        <w:t>с</w:t>
      </w:r>
      <w:r w:rsidR="00C0055B" w:rsidRPr="007375EB">
        <w:rPr>
          <w:rFonts w:eastAsia="Times New Roman" w:cs="Calibri"/>
          <w:b/>
          <w:bCs/>
          <w:lang w:val="bg-BG" w:eastAsia="en-GB"/>
        </w:rPr>
        <w:t>редна годишна температура - в периода 1988-2021 г. средната годишна температура на въздуха в долната част на страната варира между 10,6°С и 13,3°С, както е показано на графиката по-долу</w:t>
      </w:r>
    </w:p>
    <w:p w14:paraId="5B1A7A33" w14:textId="1435D1B8" w:rsidR="00150C82" w:rsidRPr="007375EB" w:rsidRDefault="00E10993" w:rsidP="00D92CF7">
      <w:pPr>
        <w:spacing w:after="120" w:line="360" w:lineRule="auto"/>
        <w:jc w:val="both"/>
        <w:rPr>
          <w:rFonts w:eastAsiaTheme="majorEastAsia" w:cstheme="majorBidi"/>
          <w:bCs/>
          <w:i/>
          <w:iCs/>
          <w:color w:val="009DF0" w:themeColor="text2"/>
          <w:lang w:val="bg-BG" w:eastAsia="ro-RO"/>
        </w:rPr>
      </w:pPr>
      <w:r w:rsidRPr="007375EB">
        <w:rPr>
          <w:noProof/>
          <w:lang w:val="bg-BG"/>
        </w:rPr>
        <w:drawing>
          <wp:inline distT="0" distB="0" distL="0" distR="0" wp14:anchorId="6FBB33C4" wp14:editId="21EFA057">
            <wp:extent cx="5904865" cy="2225675"/>
            <wp:effectExtent l="0" t="0" r="635"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904865" cy="2225675"/>
                    </a:xfrm>
                    <a:prstGeom prst="rect">
                      <a:avLst/>
                    </a:prstGeom>
                  </pic:spPr>
                </pic:pic>
              </a:graphicData>
            </a:graphic>
          </wp:inline>
        </w:drawing>
      </w:r>
    </w:p>
    <w:p w14:paraId="34540C4A" w14:textId="6813741D" w:rsidR="001855A1" w:rsidRPr="007375EB" w:rsidRDefault="00B375A5" w:rsidP="0081007E">
      <w:pPr>
        <w:spacing w:line="240" w:lineRule="auto"/>
        <w:jc w:val="both"/>
        <w:rPr>
          <w:i/>
          <w:iCs/>
          <w:color w:val="009DF0" w:themeColor="text2"/>
          <w:sz w:val="14"/>
          <w:lang w:val="bg-BG"/>
        </w:rPr>
      </w:pPr>
      <w:r w:rsidRPr="007375EB">
        <w:rPr>
          <w:i/>
          <w:iCs/>
          <w:color w:val="009DF0" w:themeColor="text2"/>
          <w:sz w:val="14"/>
          <w:lang w:val="bg-BG"/>
        </w:rPr>
        <w:t>Източник</w:t>
      </w:r>
      <w:r w:rsidR="001855A1" w:rsidRPr="007375EB">
        <w:rPr>
          <w:i/>
          <w:iCs/>
          <w:color w:val="009DF0" w:themeColor="text2"/>
          <w:sz w:val="14"/>
          <w:lang w:val="bg-BG"/>
        </w:rPr>
        <w:t xml:space="preserve">: NIMH </w:t>
      </w:r>
    </w:p>
    <w:p w14:paraId="09103F78" w14:textId="63B43BF7" w:rsidR="0081007E" w:rsidRPr="007375EB" w:rsidRDefault="00B230C6" w:rsidP="0081007E">
      <w:pPr>
        <w:pStyle w:val="Caption"/>
        <w:spacing w:before="0" w:after="120" w:line="240" w:lineRule="auto"/>
        <w:jc w:val="center"/>
        <w:rPr>
          <w:sz w:val="16"/>
          <w:szCs w:val="16"/>
          <w:lang w:val="bg-BG"/>
        </w:rPr>
      </w:pPr>
      <w:r w:rsidRPr="007375EB">
        <w:rPr>
          <w:sz w:val="16"/>
          <w:szCs w:val="16"/>
          <w:lang w:val="bg-BG"/>
        </w:rPr>
        <w:t>Фигура</w:t>
      </w:r>
      <w:r w:rsidR="0081007E" w:rsidRPr="007375EB">
        <w:rPr>
          <w:sz w:val="16"/>
          <w:szCs w:val="16"/>
          <w:lang w:val="bg-BG"/>
        </w:rPr>
        <w:t xml:space="preserve"> 7. </w:t>
      </w:r>
      <w:r w:rsidR="0081007E" w:rsidRPr="007375EB">
        <w:rPr>
          <w:sz w:val="16"/>
          <w:szCs w:val="16"/>
          <w:lang w:val="bg-BG"/>
        </w:rPr>
        <w:fldChar w:fldCharType="begin"/>
      </w:r>
      <w:r w:rsidR="0081007E" w:rsidRPr="007375EB">
        <w:rPr>
          <w:sz w:val="16"/>
          <w:szCs w:val="16"/>
          <w:lang w:val="bg-BG"/>
        </w:rPr>
        <w:instrText xml:space="preserve"> SEQ Figura_7. \* ARABIC </w:instrText>
      </w:r>
      <w:r w:rsidR="0081007E" w:rsidRPr="007375EB">
        <w:rPr>
          <w:sz w:val="16"/>
          <w:szCs w:val="16"/>
          <w:lang w:val="bg-BG"/>
        </w:rPr>
        <w:fldChar w:fldCharType="separate"/>
      </w:r>
      <w:r w:rsidR="0081007E" w:rsidRPr="007375EB">
        <w:rPr>
          <w:noProof/>
          <w:sz w:val="16"/>
          <w:szCs w:val="16"/>
          <w:lang w:val="bg-BG"/>
        </w:rPr>
        <w:t>4</w:t>
      </w:r>
      <w:r w:rsidR="0081007E" w:rsidRPr="007375EB">
        <w:rPr>
          <w:sz w:val="16"/>
          <w:szCs w:val="16"/>
          <w:lang w:val="bg-BG"/>
        </w:rPr>
        <w:fldChar w:fldCharType="end"/>
      </w:r>
      <w:r w:rsidR="0081007E" w:rsidRPr="007375EB">
        <w:rPr>
          <w:sz w:val="16"/>
          <w:szCs w:val="16"/>
          <w:lang w:val="bg-BG"/>
        </w:rPr>
        <w:t xml:space="preserve"> </w:t>
      </w:r>
      <w:r w:rsidR="00B375A5" w:rsidRPr="007375EB">
        <w:rPr>
          <w:sz w:val="16"/>
          <w:szCs w:val="16"/>
          <w:lang w:val="bg-BG"/>
        </w:rPr>
        <w:t>Средногодишни колебания на температурата на въздуха (oC) в периода 1988-2021 г.</w:t>
      </w:r>
    </w:p>
    <w:p w14:paraId="11A5B638" w14:textId="77777777" w:rsidR="0081007E" w:rsidRPr="007375EB" w:rsidRDefault="0081007E" w:rsidP="00C92A43">
      <w:pPr>
        <w:spacing w:after="120" w:line="360" w:lineRule="auto"/>
        <w:ind w:left="-6" w:right="301"/>
        <w:rPr>
          <w:rFonts w:eastAsia="Times New Roman" w:cs="Calibri"/>
          <w:lang w:val="bg-BG" w:eastAsia="en-GB"/>
        </w:rPr>
      </w:pPr>
    </w:p>
    <w:p w14:paraId="5ACE5AAC" w14:textId="0F4336E5" w:rsidR="00920F01" w:rsidRPr="007375EB" w:rsidRDefault="00B375A5" w:rsidP="00B375A5">
      <w:pPr>
        <w:spacing w:after="120" w:line="360" w:lineRule="auto"/>
        <w:ind w:left="-6" w:right="301"/>
        <w:jc w:val="both"/>
        <w:rPr>
          <w:rFonts w:eastAsia="Times New Roman" w:cs="Calibri"/>
          <w:lang w:val="bg-BG" w:eastAsia="en-GB"/>
        </w:rPr>
      </w:pPr>
      <w:r w:rsidRPr="007375EB">
        <w:rPr>
          <w:rFonts w:eastAsia="Times New Roman" w:cs="Calibri"/>
          <w:lang w:val="bg-BG" w:eastAsia="en-GB"/>
        </w:rPr>
        <w:t>През 2021 г. средната годишна температура в низините е била 12,3°C, което е с 0,3°C над нормата. Това е тринадесетата най-топла година в периода 1988-2021 г., а януари е петият най-топъл от 1930 г. насам - средно с 2,5°C над месечната норма (от +1,2°C в с. Костенец до +3,7°C в Русе</w:t>
      </w:r>
      <w:r w:rsidR="00920F01" w:rsidRPr="007375EB">
        <w:rPr>
          <w:rFonts w:eastAsia="Times New Roman" w:cs="Calibri"/>
          <w:lang w:val="bg-BG" w:eastAsia="en-GB"/>
        </w:rPr>
        <w:t xml:space="preserve">). </w:t>
      </w:r>
    </w:p>
    <w:p w14:paraId="526936A8" w14:textId="77777777" w:rsidR="007A6B28" w:rsidRPr="007375EB" w:rsidRDefault="007A6B28" w:rsidP="00C92A43">
      <w:pPr>
        <w:spacing w:after="120" w:line="360" w:lineRule="auto"/>
        <w:ind w:left="-6" w:right="301"/>
        <w:rPr>
          <w:rFonts w:eastAsia="Times New Roman" w:cs="Calibri"/>
          <w:lang w:val="bg-BG" w:eastAsia="en-GB"/>
        </w:rPr>
      </w:pPr>
    </w:p>
    <w:p w14:paraId="26F0B1D1" w14:textId="54798A21" w:rsidR="009441D8" w:rsidRPr="007375EB" w:rsidRDefault="00C647B3" w:rsidP="00C647B3">
      <w:pPr>
        <w:spacing w:after="23" w:line="259" w:lineRule="auto"/>
        <w:jc w:val="center"/>
        <w:rPr>
          <w:lang w:val="bg-BG"/>
        </w:rPr>
      </w:pPr>
      <w:r w:rsidRPr="007375EB">
        <w:rPr>
          <w:noProof/>
          <w:lang w:val="bg-BG"/>
        </w:rPr>
        <w:drawing>
          <wp:inline distT="0" distB="0" distL="0" distR="0" wp14:anchorId="55B4E6C8" wp14:editId="18067BD9">
            <wp:extent cx="4381500" cy="2647950"/>
            <wp:effectExtent l="0" t="0" r="0" b="0"/>
            <wp:docPr id="2111" name="Picture 2111"/>
            <wp:cNvGraphicFramePr/>
            <a:graphic xmlns:a="http://schemas.openxmlformats.org/drawingml/2006/main">
              <a:graphicData uri="http://schemas.openxmlformats.org/drawingml/2006/picture">
                <pic:pic xmlns:pic="http://schemas.openxmlformats.org/drawingml/2006/picture">
                  <pic:nvPicPr>
                    <pic:cNvPr id="2111" name="Picture 2111"/>
                    <pic:cNvPicPr/>
                  </pic:nvPicPr>
                  <pic:blipFill>
                    <a:blip r:embed="rId96"/>
                    <a:stretch>
                      <a:fillRect/>
                    </a:stretch>
                  </pic:blipFill>
                  <pic:spPr>
                    <a:xfrm>
                      <a:off x="0" y="0"/>
                      <a:ext cx="4381500" cy="2647950"/>
                    </a:xfrm>
                    <a:prstGeom prst="rect">
                      <a:avLst/>
                    </a:prstGeom>
                  </pic:spPr>
                </pic:pic>
              </a:graphicData>
            </a:graphic>
          </wp:inline>
        </w:drawing>
      </w:r>
    </w:p>
    <w:p w14:paraId="725D06FD" w14:textId="426BA0C5" w:rsidR="00C647B3" w:rsidRPr="007375EB" w:rsidRDefault="00317521" w:rsidP="0081007E">
      <w:pPr>
        <w:spacing w:line="240" w:lineRule="auto"/>
        <w:jc w:val="both"/>
        <w:rPr>
          <w:i/>
          <w:iCs/>
          <w:color w:val="009DF0" w:themeColor="text2"/>
          <w:sz w:val="14"/>
          <w:lang w:val="bg-BG"/>
        </w:rPr>
      </w:pPr>
      <w:r w:rsidRPr="007375EB">
        <w:rPr>
          <w:i/>
          <w:iCs/>
          <w:color w:val="009DF0" w:themeColor="text2"/>
          <w:sz w:val="14"/>
          <w:lang w:val="bg-BG"/>
        </w:rPr>
        <w:t>Източник</w:t>
      </w:r>
      <w:r w:rsidR="00C647B3" w:rsidRPr="007375EB">
        <w:rPr>
          <w:i/>
          <w:iCs/>
          <w:color w:val="009DF0" w:themeColor="text2"/>
          <w:sz w:val="14"/>
          <w:lang w:val="bg-BG"/>
        </w:rPr>
        <w:t xml:space="preserve">: NIMH </w:t>
      </w:r>
    </w:p>
    <w:p w14:paraId="668B3C82" w14:textId="3891AD0C" w:rsidR="0081007E" w:rsidRPr="007375EB" w:rsidRDefault="00B230C6" w:rsidP="0081007E">
      <w:pPr>
        <w:pStyle w:val="Caption"/>
        <w:spacing w:before="0" w:after="120" w:line="240" w:lineRule="auto"/>
        <w:jc w:val="center"/>
        <w:rPr>
          <w:sz w:val="16"/>
          <w:szCs w:val="16"/>
          <w:lang w:val="bg-BG"/>
        </w:rPr>
      </w:pPr>
      <w:r w:rsidRPr="007375EB">
        <w:rPr>
          <w:sz w:val="16"/>
          <w:szCs w:val="16"/>
          <w:lang w:val="bg-BG"/>
        </w:rPr>
        <w:t>Фигура</w:t>
      </w:r>
      <w:r w:rsidR="0081007E" w:rsidRPr="007375EB">
        <w:rPr>
          <w:sz w:val="16"/>
          <w:szCs w:val="16"/>
          <w:lang w:val="bg-BG"/>
        </w:rPr>
        <w:t xml:space="preserve"> 7. </w:t>
      </w:r>
      <w:r w:rsidR="0081007E" w:rsidRPr="007375EB">
        <w:rPr>
          <w:sz w:val="16"/>
          <w:szCs w:val="16"/>
          <w:lang w:val="bg-BG"/>
        </w:rPr>
        <w:fldChar w:fldCharType="begin"/>
      </w:r>
      <w:r w:rsidR="0081007E" w:rsidRPr="007375EB">
        <w:rPr>
          <w:sz w:val="16"/>
          <w:szCs w:val="16"/>
          <w:lang w:val="bg-BG"/>
        </w:rPr>
        <w:instrText xml:space="preserve"> SEQ Figura_7. \* ARABIC </w:instrText>
      </w:r>
      <w:r w:rsidR="0081007E" w:rsidRPr="007375EB">
        <w:rPr>
          <w:sz w:val="16"/>
          <w:szCs w:val="16"/>
          <w:lang w:val="bg-BG"/>
        </w:rPr>
        <w:fldChar w:fldCharType="separate"/>
      </w:r>
      <w:r w:rsidR="0081007E" w:rsidRPr="007375EB">
        <w:rPr>
          <w:noProof/>
          <w:sz w:val="16"/>
          <w:szCs w:val="16"/>
          <w:lang w:val="bg-BG"/>
        </w:rPr>
        <w:t>5</w:t>
      </w:r>
      <w:r w:rsidR="0081007E" w:rsidRPr="007375EB">
        <w:rPr>
          <w:sz w:val="16"/>
          <w:szCs w:val="16"/>
          <w:lang w:val="bg-BG"/>
        </w:rPr>
        <w:fldChar w:fldCharType="end"/>
      </w:r>
      <w:r w:rsidR="0081007E" w:rsidRPr="007375EB">
        <w:rPr>
          <w:sz w:val="16"/>
          <w:szCs w:val="16"/>
          <w:lang w:val="bg-BG"/>
        </w:rPr>
        <w:t xml:space="preserve"> </w:t>
      </w:r>
      <w:r w:rsidR="003A69DD" w:rsidRPr="007375EB">
        <w:rPr>
          <w:sz w:val="16"/>
          <w:szCs w:val="16"/>
          <w:lang w:val="bg-BG"/>
        </w:rPr>
        <w:t>Отклонение на средната годишна температура на въздуха (°C) през 2021 г. от климатичната норма за периода 1991-2020 г.</w:t>
      </w:r>
    </w:p>
    <w:p w14:paraId="1FAF2889" w14:textId="77777777" w:rsidR="00C647B3" w:rsidRPr="007375EB" w:rsidRDefault="00C647B3" w:rsidP="004C57B1">
      <w:pPr>
        <w:spacing w:after="23" w:line="259" w:lineRule="auto"/>
        <w:jc w:val="both"/>
        <w:rPr>
          <w:lang w:val="bg-BG"/>
        </w:rPr>
      </w:pPr>
    </w:p>
    <w:p w14:paraId="20AB019D" w14:textId="6DED3DB1" w:rsidR="004C57B1" w:rsidRPr="007375EB" w:rsidRDefault="003A69DD" w:rsidP="00A83AD5">
      <w:pPr>
        <w:pStyle w:val="ListParagraph"/>
        <w:numPr>
          <w:ilvl w:val="0"/>
          <w:numId w:val="81"/>
        </w:numPr>
        <w:shd w:val="clear" w:color="auto" w:fill="FFFFFF"/>
        <w:spacing w:after="120" w:line="360" w:lineRule="auto"/>
        <w:jc w:val="both"/>
        <w:rPr>
          <w:lang w:val="bg-BG" w:eastAsia="ro-RO"/>
        </w:rPr>
      </w:pPr>
      <w:r w:rsidRPr="007375EB">
        <w:rPr>
          <w:rFonts w:eastAsia="Times New Roman" w:cs="Calibri"/>
          <w:b/>
          <w:bCs/>
          <w:lang w:val="bg-BG" w:eastAsia="en-GB"/>
        </w:rPr>
        <w:t xml:space="preserve">- средногодишни валежи </w:t>
      </w:r>
      <w:r w:rsidR="006C67F7" w:rsidRPr="007375EB">
        <w:rPr>
          <w:rFonts w:eastAsia="Times New Roman" w:cs="Calibri"/>
          <w:lang w:val="bg-BG" w:eastAsia="en-GB"/>
        </w:rPr>
        <w:t xml:space="preserve">- </w:t>
      </w:r>
      <w:r w:rsidRPr="007375EB">
        <w:rPr>
          <w:rFonts w:eastAsia="Times New Roman" w:cs="Calibri"/>
          <w:lang w:val="bg-BG" w:eastAsia="en-GB"/>
        </w:rPr>
        <w:t xml:space="preserve">за периода 1988-2021 г. за районите с надморска височина до 800 м варира от 377 мм до 1013 мм, като се запазва положителната </w:t>
      </w:r>
      <w:r w:rsidRPr="007375EB">
        <w:rPr>
          <w:rFonts w:eastAsia="Times New Roman" w:cs="Calibri"/>
          <w:lang w:val="bg-BG" w:eastAsia="en-GB"/>
        </w:rPr>
        <w:lastRenderedPageBreak/>
        <w:t>тенденция на този показател (+4,2 мм/година). През 2021 г. средногодишната сума на валежите е 741 мм, което е с около 20% над нормата за периода 1991-2020 г.</w:t>
      </w:r>
      <w:r w:rsidR="004C57B1" w:rsidRPr="007375EB">
        <w:rPr>
          <w:lang w:val="bg-BG" w:eastAsia="ro-RO"/>
        </w:rPr>
        <w:t xml:space="preserve"> </w:t>
      </w:r>
    </w:p>
    <w:p w14:paraId="6CC3A3B8" w14:textId="6DA38D52" w:rsidR="004C57B1" w:rsidRPr="007375EB" w:rsidRDefault="00582800" w:rsidP="008441FB">
      <w:pPr>
        <w:spacing w:after="30" w:line="259" w:lineRule="auto"/>
        <w:jc w:val="center"/>
        <w:rPr>
          <w:lang w:val="bg-BG" w:eastAsia="ro-RO"/>
        </w:rPr>
      </w:pPr>
      <w:r w:rsidRPr="007375EB">
        <w:rPr>
          <w:noProof/>
          <w:lang w:val="bg-BG"/>
        </w:rPr>
        <w:drawing>
          <wp:inline distT="0" distB="0" distL="0" distR="0" wp14:anchorId="1585538F" wp14:editId="36E3408F">
            <wp:extent cx="4843272" cy="2587752"/>
            <wp:effectExtent l="0" t="0" r="0" b="0"/>
            <wp:docPr id="56627" name="Picture 56627"/>
            <wp:cNvGraphicFramePr/>
            <a:graphic xmlns:a="http://schemas.openxmlformats.org/drawingml/2006/main">
              <a:graphicData uri="http://schemas.openxmlformats.org/drawingml/2006/picture">
                <pic:pic xmlns:pic="http://schemas.openxmlformats.org/drawingml/2006/picture">
                  <pic:nvPicPr>
                    <pic:cNvPr id="56627" name="Picture 56627"/>
                    <pic:cNvPicPr/>
                  </pic:nvPicPr>
                  <pic:blipFill>
                    <a:blip r:embed="rId97"/>
                    <a:stretch>
                      <a:fillRect/>
                    </a:stretch>
                  </pic:blipFill>
                  <pic:spPr>
                    <a:xfrm>
                      <a:off x="0" y="0"/>
                      <a:ext cx="4843272" cy="2587752"/>
                    </a:xfrm>
                    <a:prstGeom prst="rect">
                      <a:avLst/>
                    </a:prstGeom>
                  </pic:spPr>
                </pic:pic>
              </a:graphicData>
            </a:graphic>
          </wp:inline>
        </w:drawing>
      </w:r>
    </w:p>
    <w:p w14:paraId="6B3CA3A5" w14:textId="03228B1D" w:rsidR="0081007E" w:rsidRPr="007375EB" w:rsidRDefault="003A69DD" w:rsidP="0081007E">
      <w:pPr>
        <w:spacing w:line="240" w:lineRule="auto"/>
        <w:jc w:val="both"/>
        <w:rPr>
          <w:i/>
          <w:iCs/>
          <w:color w:val="009DF0" w:themeColor="text2"/>
          <w:sz w:val="14"/>
          <w:lang w:val="bg-BG"/>
        </w:rPr>
      </w:pPr>
      <w:r w:rsidRPr="007375EB">
        <w:rPr>
          <w:i/>
          <w:iCs/>
          <w:color w:val="009DF0" w:themeColor="text2"/>
          <w:sz w:val="14"/>
          <w:lang w:val="bg-BG"/>
        </w:rPr>
        <w:t>Източник</w:t>
      </w:r>
      <w:r w:rsidR="0081007E" w:rsidRPr="007375EB">
        <w:rPr>
          <w:i/>
          <w:iCs/>
          <w:color w:val="009DF0" w:themeColor="text2"/>
          <w:sz w:val="14"/>
          <w:lang w:val="bg-BG"/>
        </w:rPr>
        <w:t xml:space="preserve">: NIMH </w:t>
      </w:r>
    </w:p>
    <w:p w14:paraId="105ED75F" w14:textId="2259ABB6" w:rsidR="0081007E" w:rsidRPr="007375EB" w:rsidRDefault="00B230C6" w:rsidP="0081007E">
      <w:pPr>
        <w:pStyle w:val="Caption"/>
        <w:spacing w:before="0" w:after="120" w:line="240" w:lineRule="auto"/>
        <w:jc w:val="center"/>
        <w:rPr>
          <w:sz w:val="16"/>
          <w:szCs w:val="16"/>
          <w:lang w:val="bg-BG"/>
        </w:rPr>
      </w:pPr>
      <w:r w:rsidRPr="007375EB">
        <w:rPr>
          <w:sz w:val="16"/>
          <w:szCs w:val="16"/>
          <w:lang w:val="bg-BG"/>
        </w:rPr>
        <w:t>Фигура</w:t>
      </w:r>
      <w:r w:rsidR="0081007E" w:rsidRPr="007375EB">
        <w:rPr>
          <w:sz w:val="16"/>
          <w:szCs w:val="16"/>
          <w:lang w:val="bg-BG"/>
        </w:rPr>
        <w:t xml:space="preserve"> 7. </w:t>
      </w:r>
      <w:r w:rsidR="0081007E" w:rsidRPr="007375EB">
        <w:rPr>
          <w:sz w:val="16"/>
          <w:szCs w:val="16"/>
          <w:lang w:val="bg-BG"/>
        </w:rPr>
        <w:fldChar w:fldCharType="begin"/>
      </w:r>
      <w:r w:rsidR="0081007E" w:rsidRPr="007375EB">
        <w:rPr>
          <w:sz w:val="16"/>
          <w:szCs w:val="16"/>
          <w:lang w:val="bg-BG"/>
        </w:rPr>
        <w:instrText xml:space="preserve"> SEQ Figura_7. \* ARABIC </w:instrText>
      </w:r>
      <w:r w:rsidR="0081007E" w:rsidRPr="007375EB">
        <w:rPr>
          <w:sz w:val="16"/>
          <w:szCs w:val="16"/>
          <w:lang w:val="bg-BG"/>
        </w:rPr>
        <w:fldChar w:fldCharType="separate"/>
      </w:r>
      <w:r w:rsidR="0081007E" w:rsidRPr="007375EB">
        <w:rPr>
          <w:noProof/>
          <w:sz w:val="16"/>
          <w:szCs w:val="16"/>
          <w:lang w:val="bg-BG"/>
        </w:rPr>
        <w:t>6</w:t>
      </w:r>
      <w:r w:rsidR="0081007E" w:rsidRPr="007375EB">
        <w:rPr>
          <w:sz w:val="16"/>
          <w:szCs w:val="16"/>
          <w:lang w:val="bg-BG"/>
        </w:rPr>
        <w:fldChar w:fldCharType="end"/>
      </w:r>
      <w:r w:rsidR="0081007E" w:rsidRPr="007375EB">
        <w:rPr>
          <w:sz w:val="16"/>
          <w:szCs w:val="16"/>
          <w:lang w:val="bg-BG"/>
        </w:rPr>
        <w:t xml:space="preserve"> </w:t>
      </w:r>
      <w:r w:rsidR="003A69DD" w:rsidRPr="007375EB">
        <w:rPr>
          <w:sz w:val="16"/>
          <w:szCs w:val="16"/>
          <w:lang w:val="bg-BG"/>
        </w:rPr>
        <w:t>Колебания на средните годишни валежи (мм) за региони с надморска височина до 800 м за периода 1988-2021 г.</w:t>
      </w:r>
    </w:p>
    <w:p w14:paraId="6D0EC8DC" w14:textId="77777777" w:rsidR="0081007E" w:rsidRPr="007375EB" w:rsidRDefault="0081007E" w:rsidP="00582800">
      <w:pPr>
        <w:spacing w:after="30" w:line="259" w:lineRule="auto"/>
        <w:jc w:val="center"/>
        <w:rPr>
          <w:rFonts w:eastAsiaTheme="majorEastAsia" w:cstheme="majorBidi"/>
          <w:bCs/>
          <w:i/>
          <w:iCs/>
          <w:color w:val="009DF0" w:themeColor="text2"/>
          <w:lang w:val="bg-BG" w:eastAsia="ro-RO"/>
        </w:rPr>
      </w:pPr>
    </w:p>
    <w:p w14:paraId="00B8A2EA" w14:textId="4836DEB9" w:rsidR="002321B5" w:rsidRPr="007375EB" w:rsidRDefault="003A69DD" w:rsidP="00A83AD5">
      <w:pPr>
        <w:pStyle w:val="ListParagraph"/>
        <w:numPr>
          <w:ilvl w:val="0"/>
          <w:numId w:val="81"/>
        </w:numPr>
        <w:shd w:val="clear" w:color="auto" w:fill="FFFFFF"/>
        <w:spacing w:after="120" w:line="360" w:lineRule="auto"/>
        <w:jc w:val="both"/>
        <w:rPr>
          <w:lang w:val="bg-BG"/>
        </w:rPr>
      </w:pPr>
      <w:r w:rsidRPr="007375EB">
        <w:rPr>
          <w:rFonts w:eastAsia="Times New Roman" w:cs="Calibri"/>
          <w:b/>
          <w:bCs/>
          <w:lang w:val="bg-BG" w:eastAsia="en-GB"/>
        </w:rPr>
        <w:t xml:space="preserve">сняг </w:t>
      </w:r>
      <w:r w:rsidR="002321B5" w:rsidRPr="007375EB">
        <w:rPr>
          <w:rFonts w:eastAsia="Times New Roman" w:cs="Calibri"/>
          <w:b/>
          <w:bCs/>
          <w:lang w:val="bg-BG" w:eastAsia="en-GB"/>
        </w:rPr>
        <w:t xml:space="preserve">- </w:t>
      </w:r>
      <w:r w:rsidRPr="007375EB">
        <w:rPr>
          <w:rFonts w:eastAsia="Times New Roman" w:cs="Calibri"/>
          <w:lang w:val="bg-BG" w:eastAsia="en-GB"/>
        </w:rPr>
        <w:t>през периода 1988-2021 г. не се наблюдава значителна тенденция към намаляване на колебанията на средната максимална височина на снежната покривка в зоните с надморска височина между 800 и 1800 м. Стойността за 2021 г. е 43 см - под средната стойност за периода 1991-2020 г.</w:t>
      </w:r>
      <w:r w:rsidR="002321B5" w:rsidRPr="007375EB">
        <w:rPr>
          <w:lang w:val="bg-BG"/>
        </w:rPr>
        <w:t xml:space="preserve"> </w:t>
      </w:r>
    </w:p>
    <w:p w14:paraId="12FB98D4" w14:textId="1C20CA98" w:rsidR="00422749" w:rsidRPr="007375EB" w:rsidRDefault="003A69DD" w:rsidP="00A83AD5">
      <w:pPr>
        <w:pStyle w:val="ListParagraph"/>
        <w:numPr>
          <w:ilvl w:val="0"/>
          <w:numId w:val="81"/>
        </w:numPr>
        <w:spacing w:after="120" w:line="360" w:lineRule="auto"/>
        <w:ind w:left="714" w:right="301" w:hanging="357"/>
        <w:jc w:val="both"/>
        <w:rPr>
          <w:lang w:val="bg-BG"/>
        </w:rPr>
      </w:pPr>
      <w:r w:rsidRPr="007375EB">
        <w:rPr>
          <w:rFonts w:eastAsia="Times New Roman" w:cs="Calibri"/>
          <w:b/>
          <w:bCs/>
          <w:lang w:val="bg-BG" w:eastAsia="en-GB"/>
        </w:rPr>
        <w:t xml:space="preserve">климатични феномени </w:t>
      </w:r>
      <w:r w:rsidR="00422749" w:rsidRPr="007375EB">
        <w:rPr>
          <w:rFonts w:eastAsia="Times New Roman" w:cs="Calibri"/>
          <w:b/>
          <w:bCs/>
          <w:lang w:val="bg-BG" w:eastAsia="en-GB"/>
        </w:rPr>
        <w:t xml:space="preserve">- </w:t>
      </w:r>
      <w:r w:rsidRPr="007375EB">
        <w:rPr>
          <w:lang w:val="bg-BG" w:eastAsia="ro-RO"/>
        </w:rPr>
        <w:t>В периода 8-12 януари 2021 г. бяха регистрирани поройни и речни наводнения, главно в Западна и Югоизточна България, вследствие на обилни валежи, съчетани на някои места с топене на снеговете.В областите София, Благоевград, Ямбол и Бургас количеството на валежите за 72 часа надхвърли три пъти месечната норма. В 8 области беше обявено бедствено положение поради наводнения, разрушени мостове и разбити пътища. Обилният сняг в Северозападна България доведе до прекъсване на електрозахранването на много места</w:t>
      </w:r>
      <w:r w:rsidR="00422749" w:rsidRPr="007375EB">
        <w:rPr>
          <w:lang w:val="bg-BG" w:eastAsia="ro-RO"/>
        </w:rPr>
        <w:t>.</w:t>
      </w:r>
      <w:r w:rsidR="00422749" w:rsidRPr="007375EB">
        <w:rPr>
          <w:lang w:val="bg-BG"/>
        </w:rPr>
        <w:t xml:space="preserve"> </w:t>
      </w:r>
    </w:p>
    <w:p w14:paraId="3392D8AC" w14:textId="38B8D1AC" w:rsidR="001F0D89" w:rsidRPr="007375EB" w:rsidRDefault="003A69DD" w:rsidP="001F0D89">
      <w:pPr>
        <w:spacing w:after="120" w:line="360" w:lineRule="auto"/>
        <w:jc w:val="both"/>
        <w:rPr>
          <w:rFonts w:eastAsiaTheme="majorEastAsia" w:cstheme="majorBidi"/>
          <w:b/>
          <w:i/>
          <w:iCs/>
          <w:color w:val="009DF0" w:themeColor="text2"/>
          <w:lang w:val="bg-BG" w:eastAsia="ro-RO"/>
        </w:rPr>
      </w:pPr>
      <w:r w:rsidRPr="007375EB">
        <w:rPr>
          <w:rFonts w:eastAsiaTheme="majorEastAsia" w:cstheme="majorBidi"/>
          <w:b/>
          <w:i/>
          <w:iCs/>
          <w:color w:val="009DF0" w:themeColor="text2"/>
          <w:lang w:val="bg-BG" w:eastAsia="ro-RO"/>
        </w:rPr>
        <w:t>Културно наследство</w:t>
      </w:r>
    </w:p>
    <w:p w14:paraId="34B8509D" w14:textId="77777777" w:rsidR="003A69DD" w:rsidRPr="007375EB" w:rsidRDefault="003A69DD" w:rsidP="003A69DD">
      <w:pPr>
        <w:spacing w:after="120" w:line="360" w:lineRule="auto"/>
        <w:jc w:val="both"/>
        <w:rPr>
          <w:lang w:val="bg-BG"/>
        </w:rPr>
      </w:pPr>
      <w:r w:rsidRPr="007375EB">
        <w:rPr>
          <w:lang w:val="bg-BG"/>
        </w:rPr>
        <w:t>Не бяха открити източници на данни, които да съдържат пълен списък на всички исторически паметници в България по региони, каквито съществуват в Румъния. Въпреки това изграждането на предложения парк няма да засегне територията на България, като по този начин ще се гарантира опазването на културно-историческото наследство на страната.</w:t>
      </w:r>
    </w:p>
    <w:p w14:paraId="46B2CFB6" w14:textId="1DF95DFF" w:rsidR="00CD3AD7" w:rsidRPr="007375EB" w:rsidRDefault="003A69DD" w:rsidP="003A69DD">
      <w:pPr>
        <w:spacing w:after="120" w:line="360" w:lineRule="auto"/>
        <w:jc w:val="both"/>
        <w:rPr>
          <w:lang w:val="bg-BG" w:eastAsia="ro-RO"/>
        </w:rPr>
      </w:pPr>
      <w:r w:rsidRPr="007375EB">
        <w:rPr>
          <w:lang w:val="bg-BG"/>
        </w:rPr>
        <w:t xml:space="preserve">В съответствие със Закон № 22/2001 за ратифициране на Конвенцията за достъп до информация, участие на обществеността в процеса на вземане на решения и достъп до правосъдие по въпроси на околната среда (Орхуска конвенция) е необходимо да се осигури пълна прозрачност и участие на местната и трансграничната общност на всички етапи на проекта. Това включва достъп до съответната информация за въздействието върху околната среда и здравето и активно участие на обществеността в процеса на вземане на решения. Спазването на този закон гарантира, че всички заинтересовани страни са информирани и имат </w:t>
      </w:r>
      <w:r w:rsidRPr="007375EB">
        <w:rPr>
          <w:lang w:val="bg-BG"/>
        </w:rPr>
        <w:lastRenderedPageBreak/>
        <w:t>възможност да допринасят за вземането на решения, като по този начин се осигурява ефективно и справедливо управление на въздействията върху околната среда</w:t>
      </w:r>
      <w:r w:rsidR="00D315D6" w:rsidRPr="007375EB">
        <w:rPr>
          <w:lang w:val="bg-BG" w:eastAsia="ro-RO"/>
        </w:rPr>
        <w:t>.</w:t>
      </w:r>
    </w:p>
    <w:p w14:paraId="11D6B528" w14:textId="77777777" w:rsidR="00EA76D6" w:rsidRDefault="00EA76D6" w:rsidP="006E5B3F">
      <w:pPr>
        <w:spacing w:after="120" w:line="360" w:lineRule="auto"/>
        <w:jc w:val="both"/>
        <w:rPr>
          <w:lang w:val="en-US" w:eastAsia="ro-RO"/>
        </w:rPr>
      </w:pPr>
    </w:p>
    <w:p w14:paraId="4A8F61D5" w14:textId="77777777" w:rsidR="0025286B" w:rsidRDefault="0025286B" w:rsidP="006E5B3F">
      <w:pPr>
        <w:spacing w:after="120" w:line="360" w:lineRule="auto"/>
        <w:jc w:val="both"/>
        <w:rPr>
          <w:lang w:val="en-US" w:eastAsia="ro-RO"/>
        </w:rPr>
      </w:pPr>
    </w:p>
    <w:p w14:paraId="665C1245" w14:textId="77777777" w:rsidR="0025286B" w:rsidRDefault="0025286B" w:rsidP="006E5B3F">
      <w:pPr>
        <w:spacing w:after="120" w:line="360" w:lineRule="auto"/>
        <w:jc w:val="both"/>
        <w:rPr>
          <w:lang w:val="en-US" w:eastAsia="ro-RO"/>
        </w:rPr>
      </w:pPr>
    </w:p>
    <w:p w14:paraId="2AEE1555" w14:textId="77777777" w:rsidR="0025286B" w:rsidRDefault="0025286B" w:rsidP="006E5B3F">
      <w:pPr>
        <w:spacing w:after="120" w:line="360" w:lineRule="auto"/>
        <w:jc w:val="both"/>
        <w:rPr>
          <w:lang w:val="en-US" w:eastAsia="ro-RO"/>
        </w:rPr>
      </w:pPr>
    </w:p>
    <w:p w14:paraId="6269FF12" w14:textId="77777777" w:rsidR="0025286B" w:rsidRDefault="0025286B" w:rsidP="006E5B3F">
      <w:pPr>
        <w:spacing w:after="120" w:line="360" w:lineRule="auto"/>
        <w:jc w:val="both"/>
        <w:rPr>
          <w:lang w:val="en-US" w:eastAsia="ro-RO"/>
        </w:rPr>
      </w:pPr>
    </w:p>
    <w:p w14:paraId="072AA0B9" w14:textId="77777777" w:rsidR="0025286B" w:rsidRDefault="0025286B" w:rsidP="006E5B3F">
      <w:pPr>
        <w:spacing w:after="120" w:line="360" w:lineRule="auto"/>
        <w:jc w:val="both"/>
        <w:rPr>
          <w:lang w:val="en-US" w:eastAsia="ro-RO"/>
        </w:rPr>
      </w:pPr>
    </w:p>
    <w:p w14:paraId="71A3E52D" w14:textId="77777777" w:rsidR="0025286B" w:rsidRDefault="0025286B" w:rsidP="006E5B3F">
      <w:pPr>
        <w:spacing w:after="120" w:line="360" w:lineRule="auto"/>
        <w:jc w:val="both"/>
        <w:rPr>
          <w:lang w:val="en-US" w:eastAsia="ro-RO"/>
        </w:rPr>
      </w:pPr>
    </w:p>
    <w:p w14:paraId="700EB656" w14:textId="77777777" w:rsidR="0025286B" w:rsidRDefault="0025286B" w:rsidP="006E5B3F">
      <w:pPr>
        <w:spacing w:after="120" w:line="360" w:lineRule="auto"/>
        <w:jc w:val="both"/>
        <w:rPr>
          <w:lang w:val="en-US" w:eastAsia="ro-RO"/>
        </w:rPr>
      </w:pPr>
    </w:p>
    <w:p w14:paraId="695F4F68" w14:textId="77777777" w:rsidR="0025286B" w:rsidRDefault="0025286B" w:rsidP="006E5B3F">
      <w:pPr>
        <w:spacing w:after="120" w:line="360" w:lineRule="auto"/>
        <w:jc w:val="both"/>
        <w:rPr>
          <w:lang w:val="en-US" w:eastAsia="ro-RO"/>
        </w:rPr>
      </w:pPr>
    </w:p>
    <w:p w14:paraId="3CB83EC5" w14:textId="77777777" w:rsidR="0025286B" w:rsidRDefault="0025286B" w:rsidP="006E5B3F">
      <w:pPr>
        <w:spacing w:after="120" w:line="360" w:lineRule="auto"/>
        <w:jc w:val="both"/>
        <w:rPr>
          <w:lang w:val="en-US" w:eastAsia="ro-RO"/>
        </w:rPr>
      </w:pPr>
    </w:p>
    <w:p w14:paraId="49BC2A54" w14:textId="77777777" w:rsidR="0025286B" w:rsidRDefault="0025286B" w:rsidP="006E5B3F">
      <w:pPr>
        <w:spacing w:after="120" w:line="360" w:lineRule="auto"/>
        <w:jc w:val="both"/>
        <w:rPr>
          <w:lang w:val="en-US" w:eastAsia="ro-RO"/>
        </w:rPr>
      </w:pPr>
    </w:p>
    <w:p w14:paraId="61A5887C" w14:textId="77777777" w:rsidR="0025286B" w:rsidRDefault="0025286B" w:rsidP="006E5B3F">
      <w:pPr>
        <w:spacing w:after="120" w:line="360" w:lineRule="auto"/>
        <w:jc w:val="both"/>
        <w:rPr>
          <w:lang w:val="en-US" w:eastAsia="ro-RO"/>
        </w:rPr>
      </w:pPr>
    </w:p>
    <w:p w14:paraId="7B3EB240" w14:textId="77777777" w:rsidR="0025286B" w:rsidRDefault="0025286B" w:rsidP="006E5B3F">
      <w:pPr>
        <w:spacing w:after="120" w:line="360" w:lineRule="auto"/>
        <w:jc w:val="both"/>
        <w:rPr>
          <w:lang w:val="en-US" w:eastAsia="ro-RO"/>
        </w:rPr>
      </w:pPr>
    </w:p>
    <w:p w14:paraId="277ADB3C" w14:textId="77777777" w:rsidR="0025286B" w:rsidRDefault="0025286B" w:rsidP="006E5B3F">
      <w:pPr>
        <w:spacing w:after="120" w:line="360" w:lineRule="auto"/>
        <w:jc w:val="both"/>
        <w:rPr>
          <w:lang w:val="en-US" w:eastAsia="ro-RO"/>
        </w:rPr>
      </w:pPr>
    </w:p>
    <w:p w14:paraId="46C77C89" w14:textId="77777777" w:rsidR="0025286B" w:rsidRDefault="0025286B" w:rsidP="006E5B3F">
      <w:pPr>
        <w:spacing w:after="120" w:line="360" w:lineRule="auto"/>
        <w:jc w:val="both"/>
        <w:rPr>
          <w:lang w:val="en-US" w:eastAsia="ro-RO"/>
        </w:rPr>
      </w:pPr>
    </w:p>
    <w:p w14:paraId="47C2AC40" w14:textId="77777777" w:rsidR="0025286B" w:rsidRDefault="0025286B" w:rsidP="006E5B3F">
      <w:pPr>
        <w:spacing w:after="120" w:line="360" w:lineRule="auto"/>
        <w:jc w:val="both"/>
        <w:rPr>
          <w:lang w:val="en-US" w:eastAsia="ro-RO"/>
        </w:rPr>
      </w:pPr>
    </w:p>
    <w:p w14:paraId="2A56EE1A" w14:textId="77777777" w:rsidR="0025286B" w:rsidRDefault="0025286B" w:rsidP="006E5B3F">
      <w:pPr>
        <w:spacing w:after="120" w:line="360" w:lineRule="auto"/>
        <w:jc w:val="both"/>
        <w:rPr>
          <w:lang w:val="en-US" w:eastAsia="ro-RO"/>
        </w:rPr>
      </w:pPr>
    </w:p>
    <w:p w14:paraId="65B57A48" w14:textId="77777777" w:rsidR="0025286B" w:rsidRDefault="0025286B" w:rsidP="006E5B3F">
      <w:pPr>
        <w:spacing w:after="120" w:line="360" w:lineRule="auto"/>
        <w:jc w:val="both"/>
        <w:rPr>
          <w:lang w:val="en-US" w:eastAsia="ro-RO"/>
        </w:rPr>
      </w:pPr>
    </w:p>
    <w:p w14:paraId="55D9D7A5" w14:textId="77777777" w:rsidR="0025286B" w:rsidRDefault="0025286B" w:rsidP="006E5B3F">
      <w:pPr>
        <w:spacing w:after="120" w:line="360" w:lineRule="auto"/>
        <w:jc w:val="both"/>
        <w:rPr>
          <w:lang w:val="en-US" w:eastAsia="ro-RO"/>
        </w:rPr>
      </w:pPr>
    </w:p>
    <w:p w14:paraId="34AC4F2F" w14:textId="77777777" w:rsidR="0025286B" w:rsidRDefault="0025286B" w:rsidP="006E5B3F">
      <w:pPr>
        <w:spacing w:after="120" w:line="360" w:lineRule="auto"/>
        <w:jc w:val="both"/>
        <w:rPr>
          <w:lang w:val="en-US" w:eastAsia="ro-RO"/>
        </w:rPr>
      </w:pPr>
    </w:p>
    <w:p w14:paraId="68D5F28E" w14:textId="77777777" w:rsidR="0025286B" w:rsidRDefault="0025286B" w:rsidP="006E5B3F">
      <w:pPr>
        <w:spacing w:after="120" w:line="360" w:lineRule="auto"/>
        <w:jc w:val="both"/>
        <w:rPr>
          <w:lang w:val="en-US" w:eastAsia="ro-RO"/>
        </w:rPr>
      </w:pPr>
    </w:p>
    <w:p w14:paraId="5D5DF49B" w14:textId="77777777" w:rsidR="0025286B" w:rsidRDefault="0025286B" w:rsidP="006E5B3F">
      <w:pPr>
        <w:spacing w:after="120" w:line="360" w:lineRule="auto"/>
        <w:jc w:val="both"/>
        <w:rPr>
          <w:lang w:val="en-US" w:eastAsia="ro-RO"/>
        </w:rPr>
      </w:pPr>
    </w:p>
    <w:p w14:paraId="0E52AA56" w14:textId="77777777" w:rsidR="0025286B" w:rsidRDefault="0025286B" w:rsidP="006E5B3F">
      <w:pPr>
        <w:spacing w:after="120" w:line="360" w:lineRule="auto"/>
        <w:jc w:val="both"/>
        <w:rPr>
          <w:lang w:val="en-US" w:eastAsia="ro-RO"/>
        </w:rPr>
      </w:pPr>
    </w:p>
    <w:p w14:paraId="5D1E5122" w14:textId="77777777" w:rsidR="0025286B" w:rsidRDefault="0025286B" w:rsidP="006E5B3F">
      <w:pPr>
        <w:spacing w:after="120" w:line="360" w:lineRule="auto"/>
        <w:jc w:val="both"/>
        <w:rPr>
          <w:lang w:val="en-US" w:eastAsia="ro-RO"/>
        </w:rPr>
      </w:pPr>
    </w:p>
    <w:p w14:paraId="0B33490A" w14:textId="77777777" w:rsidR="0025286B" w:rsidRDefault="0025286B" w:rsidP="006E5B3F">
      <w:pPr>
        <w:spacing w:after="120" w:line="360" w:lineRule="auto"/>
        <w:jc w:val="both"/>
        <w:rPr>
          <w:lang w:val="en-US" w:eastAsia="ro-RO"/>
        </w:rPr>
      </w:pPr>
    </w:p>
    <w:p w14:paraId="39A1C617" w14:textId="77777777" w:rsidR="0025286B" w:rsidRDefault="0025286B" w:rsidP="006E5B3F">
      <w:pPr>
        <w:spacing w:after="120" w:line="360" w:lineRule="auto"/>
        <w:jc w:val="both"/>
        <w:rPr>
          <w:lang w:val="en-US" w:eastAsia="ro-RO"/>
        </w:rPr>
      </w:pPr>
    </w:p>
    <w:p w14:paraId="42F38A6D" w14:textId="77777777" w:rsidR="0025286B" w:rsidRDefault="0025286B" w:rsidP="006E5B3F">
      <w:pPr>
        <w:spacing w:after="120" w:line="360" w:lineRule="auto"/>
        <w:jc w:val="both"/>
        <w:rPr>
          <w:lang w:val="en-US" w:eastAsia="ro-RO"/>
        </w:rPr>
      </w:pPr>
    </w:p>
    <w:p w14:paraId="1FDECF70" w14:textId="77777777" w:rsidR="0025286B" w:rsidRDefault="0025286B" w:rsidP="006E5B3F">
      <w:pPr>
        <w:spacing w:after="120" w:line="360" w:lineRule="auto"/>
        <w:jc w:val="both"/>
        <w:rPr>
          <w:lang w:val="en-US" w:eastAsia="ro-RO"/>
        </w:rPr>
      </w:pPr>
    </w:p>
    <w:p w14:paraId="4B9E484D" w14:textId="77777777" w:rsidR="0025286B" w:rsidRDefault="0025286B" w:rsidP="006E5B3F">
      <w:pPr>
        <w:spacing w:after="120" w:line="360" w:lineRule="auto"/>
        <w:jc w:val="both"/>
        <w:rPr>
          <w:lang w:val="en-US" w:eastAsia="ro-RO"/>
        </w:rPr>
      </w:pPr>
    </w:p>
    <w:p w14:paraId="0225F363" w14:textId="77777777" w:rsidR="0025286B" w:rsidRDefault="0025286B" w:rsidP="006E5B3F">
      <w:pPr>
        <w:spacing w:after="120" w:line="360" w:lineRule="auto"/>
        <w:jc w:val="both"/>
        <w:rPr>
          <w:lang w:val="en-US" w:eastAsia="ro-RO"/>
        </w:rPr>
      </w:pPr>
    </w:p>
    <w:p w14:paraId="04F6D8C3" w14:textId="77777777" w:rsidR="0025286B" w:rsidRPr="0025286B" w:rsidRDefault="0025286B" w:rsidP="0025286B">
      <w:pPr>
        <w:spacing w:after="120" w:line="360" w:lineRule="auto"/>
        <w:ind w:left="-20" w:right="-20"/>
        <w:jc w:val="both"/>
        <w:rPr>
          <w:rFonts w:eastAsia="Verdana" w:cs="Verdana"/>
          <w:color w:val="FF0000"/>
          <w:lang w:val="bg-BG"/>
        </w:rPr>
      </w:pPr>
      <w:r w:rsidRPr="0025286B">
        <w:rPr>
          <w:rFonts w:eastAsia="Verdana" w:cs="Verdana"/>
          <w:color w:val="FF0000"/>
        </w:rPr>
        <w:t>П</w:t>
      </w:r>
      <w:r w:rsidRPr="0025286B">
        <w:rPr>
          <w:rFonts w:eastAsia="Verdana" w:cs="Verdana"/>
          <w:color w:val="FF0000"/>
          <w:lang w:val="bg-BG"/>
        </w:rPr>
        <w:t xml:space="preserve">ълният анализ на фазите на строителство, експлоатация и извеждане от експлоатация показва, че, на граничната линия шумът, качеството на въздуха, водите и другите компоненти на околната среда остават постоянно под пределните нива, допустими от европейските норми, така че проектът не генерира значителни рискове за населението или екосистемите на съседната държава. </w:t>
      </w:r>
    </w:p>
    <w:tbl>
      <w:tblPr>
        <w:tblW w:w="0" w:type="auto"/>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1550"/>
        <w:gridCol w:w="5997"/>
        <w:gridCol w:w="1469"/>
      </w:tblGrid>
      <w:tr w:rsidR="0025286B" w:rsidRPr="0025286B" w14:paraId="6AB78331" w14:textId="77777777" w:rsidTr="0025286B">
        <w:tc>
          <w:tcPr>
            <w:tcW w:w="0" w:type="auto"/>
            <w:shd w:val="clear" w:color="auto" w:fill="00B0F0"/>
            <w:vAlign w:val="center"/>
            <w:hideMark/>
          </w:tcPr>
          <w:p w14:paraId="0CE66260" w14:textId="77777777" w:rsidR="0025286B" w:rsidRPr="0025286B" w:rsidRDefault="0025286B" w:rsidP="0025286B">
            <w:pPr>
              <w:spacing w:line="240" w:lineRule="auto"/>
              <w:jc w:val="center"/>
              <w:rPr>
                <w:rFonts w:eastAsia="Times New Roman" w:cs="Times New Roman"/>
                <w:color w:val="FF0000"/>
                <w:sz w:val="16"/>
                <w:szCs w:val="16"/>
                <w:lang w:val="bg-BG" w:eastAsia="ro-RO"/>
              </w:rPr>
            </w:pPr>
            <w:r w:rsidRPr="0025286B">
              <w:rPr>
                <w:rFonts w:eastAsia="Times New Roman" w:cs="Times New Roman"/>
                <w:color w:val="FF0000"/>
                <w:sz w:val="16"/>
                <w:szCs w:val="16"/>
                <w:lang w:val="bg-BG" w:eastAsia="ro-RO"/>
              </w:rPr>
              <w:t>Фактор на околната среда</w:t>
            </w:r>
          </w:p>
        </w:tc>
        <w:tc>
          <w:tcPr>
            <w:tcW w:w="0" w:type="auto"/>
            <w:shd w:val="clear" w:color="auto" w:fill="00B0F0"/>
            <w:vAlign w:val="center"/>
            <w:hideMark/>
          </w:tcPr>
          <w:p w14:paraId="7D58A373" w14:textId="77777777" w:rsidR="0025286B" w:rsidRPr="0025286B" w:rsidRDefault="0025286B" w:rsidP="0025286B">
            <w:pPr>
              <w:spacing w:line="240" w:lineRule="auto"/>
              <w:jc w:val="center"/>
              <w:rPr>
                <w:rFonts w:eastAsia="Times New Roman" w:cs="Times New Roman"/>
                <w:color w:val="FF0000"/>
                <w:sz w:val="16"/>
                <w:szCs w:val="16"/>
                <w:lang w:val="bg-BG" w:eastAsia="ro-RO"/>
              </w:rPr>
            </w:pPr>
            <w:r w:rsidRPr="0025286B">
              <w:rPr>
                <w:rFonts w:eastAsia="Times New Roman" w:cs="Times New Roman"/>
                <w:color w:val="FF0000"/>
                <w:sz w:val="16"/>
                <w:szCs w:val="16"/>
                <w:lang w:val="bg-BG" w:eastAsia="ro-RO"/>
              </w:rPr>
              <w:t xml:space="preserve">Обобщение на въздействието на границата (Румъния / България) </w:t>
            </w:r>
          </w:p>
        </w:tc>
        <w:tc>
          <w:tcPr>
            <w:tcW w:w="0" w:type="auto"/>
            <w:shd w:val="clear" w:color="auto" w:fill="00B0F0"/>
            <w:vAlign w:val="center"/>
            <w:hideMark/>
          </w:tcPr>
          <w:p w14:paraId="4C8378A0" w14:textId="77777777" w:rsidR="0025286B" w:rsidRPr="0025286B" w:rsidRDefault="0025286B" w:rsidP="0025286B">
            <w:pPr>
              <w:spacing w:line="240" w:lineRule="auto"/>
              <w:jc w:val="center"/>
              <w:rPr>
                <w:rFonts w:eastAsia="Times New Roman" w:cs="Times New Roman"/>
                <w:color w:val="FF0000"/>
                <w:sz w:val="16"/>
                <w:szCs w:val="16"/>
                <w:lang w:val="bg-BG" w:eastAsia="ro-RO"/>
              </w:rPr>
            </w:pPr>
            <w:r w:rsidRPr="0025286B">
              <w:rPr>
                <w:rFonts w:eastAsia="Times New Roman" w:cs="Times New Roman"/>
                <w:color w:val="FF0000"/>
                <w:sz w:val="16"/>
                <w:szCs w:val="16"/>
                <w:lang w:val="bg-BG" w:eastAsia="ro-RO"/>
              </w:rPr>
              <w:t>Страници в Доклада за околната среда</w:t>
            </w:r>
          </w:p>
        </w:tc>
      </w:tr>
      <w:tr w:rsidR="0025286B" w:rsidRPr="0025286B" w14:paraId="35A8A0E4" w14:textId="77777777" w:rsidTr="0025286B">
        <w:tc>
          <w:tcPr>
            <w:tcW w:w="0" w:type="auto"/>
            <w:vAlign w:val="center"/>
            <w:hideMark/>
          </w:tcPr>
          <w:p w14:paraId="1D30CC50" w14:textId="77777777" w:rsidR="0025286B" w:rsidRPr="0025286B" w:rsidRDefault="0025286B" w:rsidP="0025286B">
            <w:pPr>
              <w:spacing w:line="240" w:lineRule="auto"/>
              <w:ind w:right="40"/>
              <w:rPr>
                <w:rFonts w:eastAsia="Aptos" w:cs="Arial"/>
                <w:color w:val="FF0000"/>
                <w:sz w:val="16"/>
                <w:szCs w:val="16"/>
                <w:lang w:val="bg-BG"/>
              </w:rPr>
            </w:pPr>
            <w:r w:rsidRPr="0025286B">
              <w:rPr>
                <w:rFonts w:eastAsia="Aptos" w:cs="Arial"/>
                <w:color w:val="FF0000"/>
                <w:sz w:val="16"/>
                <w:szCs w:val="16"/>
                <w:lang w:val="bg-BG"/>
              </w:rPr>
              <w:t>Вода</w:t>
            </w:r>
          </w:p>
        </w:tc>
        <w:tc>
          <w:tcPr>
            <w:tcW w:w="0" w:type="auto"/>
            <w:hideMark/>
          </w:tcPr>
          <w:p w14:paraId="741AE6E9" w14:textId="77777777" w:rsidR="0025286B" w:rsidRPr="0025286B" w:rsidRDefault="0025286B" w:rsidP="0025286B">
            <w:pPr>
              <w:spacing w:line="240" w:lineRule="auto"/>
              <w:ind w:right="40"/>
              <w:jc w:val="both"/>
              <w:rPr>
                <w:rFonts w:eastAsia="Aptos" w:cs="Arial"/>
                <w:color w:val="FF0000"/>
                <w:sz w:val="16"/>
                <w:szCs w:val="16"/>
                <w:lang w:val="bg-BG"/>
              </w:rPr>
            </w:pPr>
            <w:r w:rsidRPr="0025286B">
              <w:rPr>
                <w:rFonts w:eastAsia="Aptos" w:cs="Arial"/>
                <w:color w:val="FF0000"/>
                <w:sz w:val="16"/>
                <w:szCs w:val="16"/>
                <w:lang w:val="bg-BG"/>
              </w:rPr>
              <w:t>Подземното пресичане на реките Черкез и Мъгура се извършва чрез хоризонтално сондиране; рискът от седименти или случайни изтичания остава локален и временен. Не се захранва вода от трансграничните водни обекти RODL04 и RODL06; химическото качество не се засяга отвъд границата.</w:t>
            </w:r>
          </w:p>
        </w:tc>
        <w:tc>
          <w:tcPr>
            <w:tcW w:w="0" w:type="auto"/>
            <w:vAlign w:val="center"/>
            <w:hideMark/>
          </w:tcPr>
          <w:p w14:paraId="47196E48" w14:textId="77777777" w:rsidR="0025286B" w:rsidRPr="0025286B" w:rsidRDefault="0025286B" w:rsidP="0025286B">
            <w:pPr>
              <w:spacing w:line="240" w:lineRule="auto"/>
              <w:ind w:right="40"/>
              <w:jc w:val="center"/>
              <w:rPr>
                <w:rFonts w:eastAsia="Aptos" w:cs="Arial"/>
                <w:color w:val="FF0000"/>
                <w:sz w:val="16"/>
                <w:szCs w:val="16"/>
                <w:lang w:val="bg-BG"/>
              </w:rPr>
            </w:pPr>
            <w:r w:rsidRPr="0025286B">
              <w:rPr>
                <w:rFonts w:eastAsia="Aptos" w:cs="Arial"/>
                <w:color w:val="FF0000"/>
                <w:sz w:val="16"/>
                <w:szCs w:val="16"/>
                <w:lang w:val="bg-BG"/>
              </w:rPr>
              <w:t>31-34, 98, 179</w:t>
            </w:r>
          </w:p>
        </w:tc>
      </w:tr>
      <w:tr w:rsidR="0025286B" w:rsidRPr="0025286B" w14:paraId="4E1D06D4" w14:textId="77777777" w:rsidTr="0025286B">
        <w:tc>
          <w:tcPr>
            <w:tcW w:w="0" w:type="auto"/>
            <w:vAlign w:val="center"/>
            <w:hideMark/>
          </w:tcPr>
          <w:p w14:paraId="2131116A" w14:textId="77777777" w:rsidR="0025286B" w:rsidRPr="0025286B" w:rsidRDefault="0025286B" w:rsidP="0025286B">
            <w:pPr>
              <w:spacing w:line="240" w:lineRule="auto"/>
              <w:ind w:right="40"/>
              <w:rPr>
                <w:rFonts w:eastAsia="Aptos" w:cs="Arial"/>
                <w:color w:val="FF0000"/>
                <w:sz w:val="16"/>
                <w:szCs w:val="16"/>
                <w:lang w:val="bg-BG"/>
              </w:rPr>
            </w:pPr>
            <w:r w:rsidRPr="0025286B">
              <w:rPr>
                <w:rFonts w:eastAsia="Verdana" w:cs="Verdana"/>
                <w:color w:val="FF0000"/>
                <w:lang w:val="bg-BG"/>
              </w:rPr>
              <w:t xml:space="preserve">Въздух </w:t>
            </w:r>
          </w:p>
        </w:tc>
        <w:tc>
          <w:tcPr>
            <w:tcW w:w="0" w:type="auto"/>
            <w:hideMark/>
          </w:tcPr>
          <w:p w14:paraId="7275C707" w14:textId="77777777" w:rsidR="0025286B" w:rsidRPr="0025286B" w:rsidRDefault="0025286B" w:rsidP="0025286B">
            <w:pPr>
              <w:spacing w:line="240" w:lineRule="auto"/>
              <w:ind w:right="40"/>
              <w:jc w:val="both"/>
              <w:rPr>
                <w:rFonts w:eastAsia="Aptos" w:cs="Arial"/>
                <w:color w:val="FF0000"/>
                <w:sz w:val="16"/>
                <w:szCs w:val="16"/>
                <w:lang w:val="bg-BG"/>
              </w:rPr>
            </w:pPr>
            <w:r w:rsidRPr="0025286B">
              <w:rPr>
                <w:rFonts w:eastAsia="Aptos" w:cs="Arial"/>
                <w:color w:val="FF0000"/>
                <w:sz w:val="16"/>
                <w:szCs w:val="16"/>
                <w:lang w:val="bg-BG"/>
              </w:rPr>
              <w:t>Моделирането на ADMS показва, че прахът и газовете от фазата на строителство се разреждат под пределните стойности преди границата; при работа турбините не изпускат замърсители.</w:t>
            </w:r>
          </w:p>
        </w:tc>
        <w:tc>
          <w:tcPr>
            <w:tcW w:w="0" w:type="auto"/>
            <w:vAlign w:val="center"/>
            <w:hideMark/>
          </w:tcPr>
          <w:p w14:paraId="2B61483D" w14:textId="77777777" w:rsidR="0025286B" w:rsidRPr="0025286B" w:rsidRDefault="0025286B" w:rsidP="0025286B">
            <w:pPr>
              <w:spacing w:line="240" w:lineRule="auto"/>
              <w:ind w:right="40"/>
              <w:jc w:val="center"/>
              <w:rPr>
                <w:rFonts w:eastAsia="Aptos" w:cs="Arial"/>
                <w:color w:val="FF0000"/>
                <w:sz w:val="16"/>
                <w:szCs w:val="16"/>
                <w:lang w:val="bg-BG"/>
              </w:rPr>
            </w:pPr>
            <w:r w:rsidRPr="0025286B">
              <w:rPr>
                <w:rFonts w:eastAsia="Aptos" w:cs="Arial"/>
                <w:color w:val="FF0000"/>
                <w:sz w:val="16"/>
                <w:szCs w:val="16"/>
                <w:lang w:val="bg-BG"/>
              </w:rPr>
              <w:t>90-92</w:t>
            </w:r>
          </w:p>
        </w:tc>
      </w:tr>
      <w:tr w:rsidR="0025286B" w:rsidRPr="0025286B" w14:paraId="1B0C5B33" w14:textId="77777777" w:rsidTr="0025286B">
        <w:tc>
          <w:tcPr>
            <w:tcW w:w="0" w:type="auto"/>
            <w:vAlign w:val="center"/>
            <w:hideMark/>
          </w:tcPr>
          <w:p w14:paraId="4A9BD579" w14:textId="77777777" w:rsidR="0025286B" w:rsidRPr="0025286B" w:rsidRDefault="0025286B" w:rsidP="0025286B">
            <w:pPr>
              <w:spacing w:line="240" w:lineRule="auto"/>
              <w:ind w:right="40"/>
              <w:rPr>
                <w:rFonts w:eastAsia="Aptos" w:cs="Arial"/>
                <w:color w:val="FF0000"/>
                <w:lang w:val="bg-BG"/>
              </w:rPr>
            </w:pPr>
            <w:r w:rsidRPr="0025286B">
              <w:rPr>
                <w:rFonts w:eastAsia="Aptos" w:cs="Arial"/>
                <w:color w:val="FF0000"/>
                <w:lang w:val="bg-BG"/>
              </w:rPr>
              <w:t>Земя / Подпочва</w:t>
            </w:r>
          </w:p>
        </w:tc>
        <w:tc>
          <w:tcPr>
            <w:tcW w:w="0" w:type="auto"/>
            <w:hideMark/>
          </w:tcPr>
          <w:p w14:paraId="5759505B" w14:textId="77777777" w:rsidR="0025286B" w:rsidRPr="0025286B" w:rsidRDefault="0025286B" w:rsidP="0025286B">
            <w:pPr>
              <w:spacing w:line="240" w:lineRule="auto"/>
              <w:ind w:right="40"/>
              <w:jc w:val="both"/>
              <w:rPr>
                <w:rFonts w:eastAsia="Aptos" w:cs="Arial"/>
                <w:color w:val="FF0000"/>
                <w:sz w:val="16"/>
                <w:szCs w:val="16"/>
                <w:lang w:val="bg-BG"/>
              </w:rPr>
            </w:pPr>
            <w:r w:rsidRPr="0025286B">
              <w:rPr>
                <w:rFonts w:eastAsia="Aptos" w:cs="Arial"/>
                <w:color w:val="FF0000"/>
                <w:sz w:val="16"/>
                <w:szCs w:val="16"/>
                <w:lang w:val="bg-BG"/>
              </w:rPr>
              <w:t>Възможни изтичания на масла или горива могат да замърсят точково, но се контролират чрез абсорбиращи материали; няма трансграничен транспортен вектор.</w:t>
            </w:r>
          </w:p>
        </w:tc>
        <w:tc>
          <w:tcPr>
            <w:tcW w:w="0" w:type="auto"/>
            <w:vAlign w:val="center"/>
            <w:hideMark/>
          </w:tcPr>
          <w:p w14:paraId="186CA541" w14:textId="77777777" w:rsidR="0025286B" w:rsidRPr="0025286B" w:rsidRDefault="0025286B" w:rsidP="0025286B">
            <w:pPr>
              <w:spacing w:line="240" w:lineRule="auto"/>
              <w:ind w:right="40"/>
              <w:jc w:val="center"/>
              <w:rPr>
                <w:rFonts w:eastAsia="Aptos" w:cs="Arial"/>
                <w:color w:val="FF0000"/>
                <w:sz w:val="16"/>
                <w:szCs w:val="16"/>
                <w:lang w:val="bg-BG"/>
              </w:rPr>
            </w:pPr>
            <w:r w:rsidRPr="0025286B">
              <w:rPr>
                <w:rFonts w:eastAsia="Aptos" w:cs="Arial"/>
                <w:color w:val="FF0000"/>
                <w:sz w:val="16"/>
                <w:szCs w:val="16"/>
                <w:lang w:val="bg-BG"/>
              </w:rPr>
              <w:t>98-99</w:t>
            </w:r>
          </w:p>
        </w:tc>
      </w:tr>
      <w:tr w:rsidR="0025286B" w:rsidRPr="0025286B" w14:paraId="457A3E87" w14:textId="77777777" w:rsidTr="0025286B">
        <w:tc>
          <w:tcPr>
            <w:tcW w:w="0" w:type="auto"/>
            <w:vAlign w:val="center"/>
            <w:hideMark/>
          </w:tcPr>
          <w:p w14:paraId="441369ED" w14:textId="77777777" w:rsidR="0025286B" w:rsidRPr="0025286B" w:rsidRDefault="0025286B" w:rsidP="0025286B">
            <w:pPr>
              <w:spacing w:line="240" w:lineRule="auto"/>
              <w:ind w:right="40"/>
              <w:rPr>
                <w:rFonts w:eastAsia="Aptos" w:cs="Arial"/>
                <w:color w:val="FF0000"/>
                <w:sz w:val="16"/>
                <w:szCs w:val="16"/>
                <w:lang w:val="bg-BG"/>
              </w:rPr>
            </w:pPr>
            <w:r w:rsidRPr="0025286B">
              <w:rPr>
                <w:rFonts w:eastAsia="Aptos" w:cs="Arial"/>
                <w:color w:val="FF0000"/>
                <w:sz w:val="16"/>
                <w:szCs w:val="16"/>
                <w:lang w:val="bg-BG"/>
              </w:rPr>
              <w:t>Природни ресурси</w:t>
            </w:r>
          </w:p>
        </w:tc>
        <w:tc>
          <w:tcPr>
            <w:tcW w:w="0" w:type="auto"/>
            <w:hideMark/>
          </w:tcPr>
          <w:p w14:paraId="37D37DFE" w14:textId="77777777" w:rsidR="0025286B" w:rsidRPr="0025286B" w:rsidRDefault="0025286B" w:rsidP="0025286B">
            <w:pPr>
              <w:spacing w:line="240" w:lineRule="auto"/>
              <w:ind w:right="40"/>
              <w:jc w:val="both"/>
              <w:rPr>
                <w:rFonts w:eastAsia="Aptos" w:cs="Arial"/>
                <w:color w:val="FF0000"/>
                <w:sz w:val="16"/>
                <w:szCs w:val="16"/>
                <w:lang w:val="bg-BG"/>
              </w:rPr>
            </w:pPr>
            <w:r w:rsidRPr="0025286B">
              <w:rPr>
                <w:rFonts w:eastAsia="Aptos" w:cs="Arial"/>
                <w:color w:val="FF0000"/>
                <w:sz w:val="16"/>
                <w:szCs w:val="16"/>
                <w:lang w:val="bg-BG"/>
              </w:rPr>
              <w:t>Не се експлоатират инертни материали или вода от България; материалите са от местни вериги, следователно потреблението на ресурси остава вътрешно</w:t>
            </w:r>
          </w:p>
        </w:tc>
        <w:tc>
          <w:tcPr>
            <w:tcW w:w="0" w:type="auto"/>
            <w:vAlign w:val="center"/>
            <w:hideMark/>
          </w:tcPr>
          <w:p w14:paraId="47954B65" w14:textId="77777777" w:rsidR="0025286B" w:rsidRPr="0025286B" w:rsidRDefault="0025286B" w:rsidP="0025286B">
            <w:pPr>
              <w:spacing w:line="240" w:lineRule="auto"/>
              <w:ind w:right="40"/>
              <w:jc w:val="center"/>
              <w:rPr>
                <w:rFonts w:eastAsia="Aptos" w:cs="Arial"/>
                <w:color w:val="FF0000"/>
                <w:sz w:val="16"/>
                <w:szCs w:val="16"/>
                <w:lang w:val="bg-BG"/>
              </w:rPr>
            </w:pPr>
            <w:r w:rsidRPr="0025286B">
              <w:rPr>
                <w:rFonts w:eastAsia="Aptos" w:cs="Arial"/>
                <w:color w:val="FF0000"/>
                <w:sz w:val="16"/>
                <w:szCs w:val="16"/>
                <w:lang w:val="bg-BG"/>
              </w:rPr>
              <w:t>204 (OM4)</w:t>
            </w:r>
          </w:p>
        </w:tc>
      </w:tr>
      <w:tr w:rsidR="0025286B" w:rsidRPr="0025286B" w14:paraId="05372770" w14:textId="77777777" w:rsidTr="0025286B">
        <w:tc>
          <w:tcPr>
            <w:tcW w:w="0" w:type="auto"/>
            <w:vAlign w:val="center"/>
            <w:hideMark/>
          </w:tcPr>
          <w:p w14:paraId="7DBD9CE7" w14:textId="77777777" w:rsidR="0025286B" w:rsidRPr="0025286B" w:rsidRDefault="0025286B" w:rsidP="0025286B">
            <w:pPr>
              <w:spacing w:line="240" w:lineRule="auto"/>
              <w:ind w:right="40"/>
              <w:rPr>
                <w:rFonts w:eastAsia="Aptos" w:cs="Arial"/>
                <w:color w:val="FF0000"/>
                <w:sz w:val="16"/>
                <w:szCs w:val="16"/>
                <w:lang w:val="bg-BG"/>
              </w:rPr>
            </w:pPr>
            <w:r w:rsidRPr="0025286B">
              <w:rPr>
                <w:rFonts w:eastAsia="Aptos" w:cs="Arial"/>
                <w:color w:val="FF0000"/>
                <w:sz w:val="16"/>
                <w:szCs w:val="16"/>
                <w:lang w:val="bg-BG"/>
              </w:rPr>
              <w:t xml:space="preserve">Отпадъци </w:t>
            </w:r>
          </w:p>
        </w:tc>
        <w:tc>
          <w:tcPr>
            <w:tcW w:w="0" w:type="auto"/>
            <w:hideMark/>
          </w:tcPr>
          <w:p w14:paraId="6E393E47" w14:textId="77777777" w:rsidR="0025286B" w:rsidRPr="0025286B" w:rsidRDefault="0025286B" w:rsidP="0025286B">
            <w:pPr>
              <w:spacing w:line="240" w:lineRule="auto"/>
              <w:ind w:right="40"/>
              <w:jc w:val="both"/>
              <w:rPr>
                <w:rFonts w:eastAsia="Aptos" w:cs="Arial"/>
                <w:color w:val="FF0000"/>
                <w:sz w:val="16"/>
                <w:szCs w:val="16"/>
                <w:lang w:val="bg-BG"/>
              </w:rPr>
            </w:pPr>
            <w:r w:rsidRPr="0025286B">
              <w:rPr>
                <w:rFonts w:eastAsia="Aptos" w:cs="Arial"/>
                <w:color w:val="FF0000"/>
                <w:sz w:val="16"/>
                <w:szCs w:val="16"/>
                <w:lang w:val="bg-BG"/>
              </w:rPr>
              <w:t>В строителството се появяват само инертни отпадъци и опаковки, събирани селективно и транспортирани до областно депо; в експлоатация - малки количества турбинно масло, предадени на упълномощени оператори. Нито един поток не преминава границата.</w:t>
            </w:r>
          </w:p>
        </w:tc>
        <w:tc>
          <w:tcPr>
            <w:tcW w:w="0" w:type="auto"/>
            <w:vAlign w:val="center"/>
            <w:hideMark/>
          </w:tcPr>
          <w:p w14:paraId="25172D72" w14:textId="77777777" w:rsidR="0025286B" w:rsidRPr="0025286B" w:rsidRDefault="0025286B" w:rsidP="0025286B">
            <w:pPr>
              <w:spacing w:line="240" w:lineRule="auto"/>
              <w:ind w:right="40"/>
              <w:jc w:val="center"/>
              <w:rPr>
                <w:rFonts w:eastAsia="Aptos" w:cs="Arial"/>
                <w:color w:val="FF0000"/>
                <w:sz w:val="16"/>
                <w:szCs w:val="16"/>
                <w:lang w:val="bg-BG"/>
              </w:rPr>
            </w:pPr>
            <w:r w:rsidRPr="0025286B">
              <w:rPr>
                <w:rFonts w:eastAsia="Aptos" w:cs="Arial"/>
                <w:color w:val="FF0000"/>
                <w:sz w:val="16"/>
                <w:szCs w:val="16"/>
                <w:lang w:val="bg-BG"/>
              </w:rPr>
              <w:t>117, 128-129</w:t>
            </w:r>
          </w:p>
        </w:tc>
      </w:tr>
      <w:tr w:rsidR="0025286B" w:rsidRPr="0025286B" w14:paraId="08D11C2A" w14:textId="77777777" w:rsidTr="0025286B">
        <w:tc>
          <w:tcPr>
            <w:tcW w:w="0" w:type="auto"/>
            <w:vAlign w:val="center"/>
            <w:hideMark/>
          </w:tcPr>
          <w:p w14:paraId="2FF0AFEE" w14:textId="77777777" w:rsidR="0025286B" w:rsidRPr="0025286B" w:rsidRDefault="0025286B" w:rsidP="0025286B">
            <w:pPr>
              <w:spacing w:line="240" w:lineRule="auto"/>
              <w:jc w:val="both"/>
              <w:rPr>
                <w:rFonts w:eastAsia="Verdana" w:cs="Verdana"/>
                <w:color w:val="FF0000"/>
                <w:sz w:val="16"/>
                <w:szCs w:val="16"/>
                <w:lang w:val="bg-BG"/>
              </w:rPr>
            </w:pPr>
            <w:r w:rsidRPr="0025286B">
              <w:rPr>
                <w:rFonts w:eastAsia="Verdana" w:cs="Verdana"/>
                <w:color w:val="FF0000"/>
                <w:sz w:val="16"/>
                <w:szCs w:val="16"/>
                <w:lang w:val="bg-BG"/>
              </w:rPr>
              <w:t>Шум и вибрации</w:t>
            </w:r>
          </w:p>
          <w:p w14:paraId="3F9A18CD" w14:textId="77777777" w:rsidR="0025286B" w:rsidRPr="0025286B" w:rsidRDefault="0025286B" w:rsidP="0025286B">
            <w:pPr>
              <w:spacing w:line="240" w:lineRule="auto"/>
              <w:ind w:right="40"/>
              <w:rPr>
                <w:rFonts w:eastAsia="Aptos" w:cs="Arial"/>
                <w:color w:val="FF0000"/>
                <w:sz w:val="16"/>
                <w:szCs w:val="16"/>
                <w:lang w:val="bg-BG"/>
              </w:rPr>
            </w:pPr>
          </w:p>
        </w:tc>
        <w:tc>
          <w:tcPr>
            <w:tcW w:w="0" w:type="auto"/>
            <w:hideMark/>
          </w:tcPr>
          <w:p w14:paraId="15B63410" w14:textId="77777777" w:rsidR="0025286B" w:rsidRPr="0025286B" w:rsidRDefault="0025286B" w:rsidP="0025286B">
            <w:pPr>
              <w:spacing w:line="240" w:lineRule="auto"/>
              <w:ind w:right="40"/>
              <w:jc w:val="both"/>
              <w:rPr>
                <w:rFonts w:eastAsia="Aptos" w:cs="Arial"/>
                <w:color w:val="FF0000"/>
                <w:sz w:val="16"/>
                <w:szCs w:val="16"/>
                <w:lang w:val="bg-BG"/>
              </w:rPr>
            </w:pPr>
            <w:r w:rsidRPr="0025286B">
              <w:rPr>
                <w:rFonts w:eastAsia="Aptos" w:cs="Arial"/>
                <w:color w:val="FF0000"/>
                <w:sz w:val="16"/>
                <w:szCs w:val="16"/>
                <w:lang w:val="bg-BG"/>
              </w:rPr>
              <w:t>Моделирането със SoundPLANnoise показва ≤ 36 дБ в селата и 27 дБ в зоната Натура 2000 „Кардам“, под праговете на СЗО; при експлоатация общото ниво остава &lt; 40 дБ на границата.</w:t>
            </w:r>
          </w:p>
        </w:tc>
        <w:tc>
          <w:tcPr>
            <w:tcW w:w="0" w:type="auto"/>
            <w:vAlign w:val="center"/>
            <w:hideMark/>
          </w:tcPr>
          <w:p w14:paraId="09F7F726" w14:textId="77777777" w:rsidR="0025286B" w:rsidRPr="0025286B" w:rsidRDefault="0025286B" w:rsidP="0025286B">
            <w:pPr>
              <w:spacing w:line="240" w:lineRule="auto"/>
              <w:ind w:right="40"/>
              <w:jc w:val="center"/>
              <w:rPr>
                <w:rFonts w:eastAsia="Aptos" w:cs="Arial"/>
                <w:color w:val="FF0000"/>
                <w:sz w:val="16"/>
                <w:szCs w:val="16"/>
                <w:lang w:val="bg-BG"/>
              </w:rPr>
            </w:pPr>
            <w:r w:rsidRPr="0025286B">
              <w:rPr>
                <w:rFonts w:eastAsia="Aptos" w:cs="Arial"/>
                <w:color w:val="FF0000"/>
                <w:sz w:val="16"/>
                <w:szCs w:val="16"/>
                <w:lang w:val="bg-BG"/>
              </w:rPr>
              <w:t>99-100, 138-139, 178-180</w:t>
            </w:r>
          </w:p>
        </w:tc>
      </w:tr>
      <w:tr w:rsidR="0025286B" w:rsidRPr="0025286B" w14:paraId="777E5C42" w14:textId="77777777" w:rsidTr="0025286B">
        <w:tc>
          <w:tcPr>
            <w:tcW w:w="0" w:type="auto"/>
            <w:vAlign w:val="center"/>
            <w:hideMark/>
          </w:tcPr>
          <w:p w14:paraId="593222F1" w14:textId="77777777" w:rsidR="0025286B" w:rsidRPr="0025286B" w:rsidRDefault="0025286B" w:rsidP="0025286B">
            <w:pPr>
              <w:spacing w:line="240" w:lineRule="auto"/>
              <w:ind w:right="40"/>
              <w:rPr>
                <w:rFonts w:eastAsia="Aptos" w:cs="Arial"/>
                <w:color w:val="FF0000"/>
                <w:sz w:val="16"/>
                <w:szCs w:val="16"/>
                <w:lang w:val="bg-BG"/>
              </w:rPr>
            </w:pPr>
            <w:r w:rsidRPr="0025286B">
              <w:rPr>
                <w:rFonts w:eastAsia="Aptos" w:cs="Arial"/>
                <w:color w:val="FF0000"/>
                <w:sz w:val="16"/>
                <w:szCs w:val="16"/>
                <w:lang w:val="bg-BG"/>
              </w:rPr>
              <w:t>Население и здраве</w:t>
            </w:r>
          </w:p>
        </w:tc>
        <w:tc>
          <w:tcPr>
            <w:tcW w:w="0" w:type="auto"/>
            <w:hideMark/>
          </w:tcPr>
          <w:p w14:paraId="73734D6A" w14:textId="77777777" w:rsidR="0025286B" w:rsidRPr="0025286B" w:rsidRDefault="0025286B" w:rsidP="0025286B">
            <w:pPr>
              <w:spacing w:line="240" w:lineRule="auto"/>
              <w:ind w:right="40"/>
              <w:jc w:val="both"/>
              <w:rPr>
                <w:rFonts w:eastAsia="Aptos" w:cs="Arial"/>
                <w:color w:val="FF0000"/>
                <w:sz w:val="16"/>
                <w:szCs w:val="16"/>
                <w:lang w:val="bg-BG"/>
              </w:rPr>
            </w:pPr>
            <w:r w:rsidRPr="0025286B">
              <w:rPr>
                <w:rFonts w:eastAsia="Aptos" w:cs="Arial"/>
                <w:color w:val="FF0000"/>
                <w:sz w:val="16"/>
                <w:szCs w:val="16"/>
                <w:lang w:val="bg-BG"/>
              </w:rPr>
              <w:t>Изчисленото ниво на шум в жилищата е &lt; 40 дБ; моделирането показва увеличение от само 0,016 дБ спрямо фоновото. Атмосферните и вибрационните емисии не достигат рискови стойности за българските общности.</w:t>
            </w:r>
          </w:p>
        </w:tc>
        <w:tc>
          <w:tcPr>
            <w:tcW w:w="0" w:type="auto"/>
            <w:vAlign w:val="center"/>
            <w:hideMark/>
          </w:tcPr>
          <w:p w14:paraId="296DE1DB" w14:textId="77777777" w:rsidR="0025286B" w:rsidRPr="0025286B" w:rsidRDefault="0025286B" w:rsidP="0025286B">
            <w:pPr>
              <w:spacing w:line="240" w:lineRule="auto"/>
              <w:ind w:right="40"/>
              <w:jc w:val="center"/>
              <w:rPr>
                <w:rFonts w:eastAsia="Aptos" w:cs="Arial"/>
                <w:color w:val="FF0000"/>
                <w:sz w:val="16"/>
                <w:szCs w:val="16"/>
                <w:lang w:val="bg-BG"/>
              </w:rPr>
            </w:pPr>
            <w:r w:rsidRPr="0025286B">
              <w:rPr>
                <w:rFonts w:eastAsia="Aptos" w:cs="Arial"/>
                <w:color w:val="FF0000"/>
                <w:sz w:val="16"/>
                <w:szCs w:val="16"/>
                <w:lang w:val="bg-BG"/>
              </w:rPr>
              <w:t>66-68, 178-180</w:t>
            </w:r>
          </w:p>
        </w:tc>
      </w:tr>
      <w:tr w:rsidR="0025286B" w:rsidRPr="0025286B" w14:paraId="28804A32" w14:textId="77777777" w:rsidTr="0025286B">
        <w:tc>
          <w:tcPr>
            <w:tcW w:w="0" w:type="auto"/>
            <w:vAlign w:val="center"/>
            <w:hideMark/>
          </w:tcPr>
          <w:p w14:paraId="45A637AD" w14:textId="77777777" w:rsidR="0025286B" w:rsidRPr="0025286B" w:rsidRDefault="0025286B" w:rsidP="0025286B">
            <w:pPr>
              <w:spacing w:line="240" w:lineRule="auto"/>
              <w:ind w:right="40"/>
              <w:rPr>
                <w:rFonts w:eastAsia="Aptos" w:cs="Arial"/>
                <w:color w:val="FF0000"/>
                <w:sz w:val="16"/>
                <w:szCs w:val="16"/>
                <w:lang w:val="bg-BG"/>
              </w:rPr>
            </w:pPr>
            <w:r w:rsidRPr="0025286B">
              <w:rPr>
                <w:rFonts w:eastAsia="Aptos" w:cs="Arial"/>
                <w:color w:val="FF0000"/>
                <w:sz w:val="16"/>
                <w:szCs w:val="16"/>
                <w:lang w:val="bg-BG"/>
              </w:rPr>
              <w:t>Климатични промени</w:t>
            </w:r>
          </w:p>
        </w:tc>
        <w:tc>
          <w:tcPr>
            <w:tcW w:w="0" w:type="auto"/>
            <w:hideMark/>
          </w:tcPr>
          <w:p w14:paraId="14B2D0AD" w14:textId="77777777" w:rsidR="0025286B" w:rsidRPr="0025286B" w:rsidRDefault="0025286B" w:rsidP="0025286B">
            <w:pPr>
              <w:spacing w:line="240" w:lineRule="auto"/>
              <w:ind w:right="40"/>
              <w:jc w:val="both"/>
              <w:rPr>
                <w:rFonts w:eastAsia="Aptos" w:cs="Arial"/>
                <w:color w:val="FF0000"/>
                <w:sz w:val="16"/>
                <w:szCs w:val="16"/>
                <w:lang w:val="bg-BG"/>
              </w:rPr>
            </w:pPr>
            <w:r w:rsidRPr="0025286B">
              <w:rPr>
                <w:rFonts w:eastAsia="Aptos" w:cs="Arial"/>
                <w:color w:val="FF0000"/>
                <w:sz w:val="16"/>
                <w:szCs w:val="16"/>
                <w:lang w:val="bg-BG"/>
              </w:rPr>
              <w:t>Вятърният парк (303 МВт) ще избегне емисиите на CO₂, замествайки енергия на базата на изкопаеми горива; положителният принос е общ за двете държави.</w:t>
            </w:r>
          </w:p>
        </w:tc>
        <w:tc>
          <w:tcPr>
            <w:tcW w:w="0" w:type="auto"/>
            <w:vAlign w:val="center"/>
            <w:hideMark/>
          </w:tcPr>
          <w:p w14:paraId="2AFC34BF" w14:textId="77777777" w:rsidR="0025286B" w:rsidRPr="0025286B" w:rsidRDefault="0025286B" w:rsidP="0025286B">
            <w:pPr>
              <w:spacing w:line="240" w:lineRule="auto"/>
              <w:ind w:right="40"/>
              <w:jc w:val="center"/>
              <w:rPr>
                <w:rFonts w:eastAsia="Aptos" w:cs="Arial"/>
                <w:color w:val="FF0000"/>
                <w:sz w:val="16"/>
                <w:szCs w:val="16"/>
                <w:lang w:val="bg-BG"/>
              </w:rPr>
            </w:pPr>
            <w:r w:rsidRPr="0025286B">
              <w:rPr>
                <w:rFonts w:eastAsia="Aptos" w:cs="Arial"/>
                <w:color w:val="FF0000"/>
                <w:sz w:val="16"/>
                <w:szCs w:val="16"/>
                <w:lang w:val="bg-BG"/>
              </w:rPr>
              <w:t>118, 180</w:t>
            </w:r>
          </w:p>
        </w:tc>
      </w:tr>
      <w:tr w:rsidR="0025286B" w:rsidRPr="0025286B" w14:paraId="774D1152" w14:textId="77777777" w:rsidTr="0025286B">
        <w:tc>
          <w:tcPr>
            <w:tcW w:w="0" w:type="auto"/>
            <w:vAlign w:val="center"/>
            <w:hideMark/>
          </w:tcPr>
          <w:p w14:paraId="5CAB2C97" w14:textId="77777777" w:rsidR="0025286B" w:rsidRPr="0025286B" w:rsidRDefault="0025286B" w:rsidP="0025286B">
            <w:pPr>
              <w:spacing w:line="240" w:lineRule="auto"/>
              <w:ind w:right="40"/>
              <w:rPr>
                <w:rFonts w:eastAsia="Aptos" w:cs="Arial"/>
                <w:color w:val="FF0000"/>
                <w:sz w:val="16"/>
                <w:szCs w:val="16"/>
                <w:lang w:val="bg-BG"/>
              </w:rPr>
            </w:pPr>
            <w:r w:rsidRPr="0025286B">
              <w:rPr>
                <w:rFonts w:eastAsia="Aptos" w:cs="Arial"/>
                <w:color w:val="FF0000"/>
                <w:sz w:val="16"/>
                <w:szCs w:val="16"/>
                <w:lang w:val="bg-BG"/>
              </w:rPr>
              <w:t>Културно наследство и пейзаж</w:t>
            </w:r>
          </w:p>
        </w:tc>
        <w:tc>
          <w:tcPr>
            <w:tcW w:w="0" w:type="auto"/>
            <w:hideMark/>
          </w:tcPr>
          <w:p w14:paraId="2DDA8130" w14:textId="77777777" w:rsidR="0025286B" w:rsidRPr="0025286B" w:rsidRDefault="0025286B" w:rsidP="0025286B">
            <w:pPr>
              <w:spacing w:line="240" w:lineRule="auto"/>
              <w:ind w:right="40"/>
              <w:jc w:val="both"/>
              <w:rPr>
                <w:rFonts w:eastAsia="Aptos" w:cs="Arial"/>
                <w:color w:val="FF0000"/>
                <w:sz w:val="16"/>
                <w:szCs w:val="16"/>
                <w:lang w:val="bg-BG"/>
              </w:rPr>
            </w:pPr>
            <w:r w:rsidRPr="0025286B">
              <w:rPr>
                <w:rFonts w:eastAsia="Aptos" w:cs="Arial"/>
                <w:color w:val="FF0000"/>
                <w:sz w:val="16"/>
                <w:szCs w:val="16"/>
                <w:lang w:val="bg-BG"/>
              </w:rPr>
              <w:t>Изисканата археологическа диагностика предотвратява всякакво увреждане; визуалните профили показват пейзажна приемственост, а обектите в България не влизат в конуса на видимост на турбините.</w:t>
            </w:r>
          </w:p>
        </w:tc>
        <w:tc>
          <w:tcPr>
            <w:tcW w:w="0" w:type="auto"/>
            <w:vAlign w:val="center"/>
            <w:hideMark/>
          </w:tcPr>
          <w:p w14:paraId="329ACA3B" w14:textId="77777777" w:rsidR="0025286B" w:rsidRPr="0025286B" w:rsidRDefault="0025286B" w:rsidP="0025286B">
            <w:pPr>
              <w:spacing w:line="240" w:lineRule="auto"/>
              <w:ind w:right="40"/>
              <w:jc w:val="center"/>
              <w:rPr>
                <w:rFonts w:eastAsia="Aptos" w:cs="Arial"/>
                <w:color w:val="FF0000"/>
                <w:sz w:val="16"/>
                <w:szCs w:val="16"/>
                <w:lang w:val="bg-BG"/>
              </w:rPr>
            </w:pPr>
            <w:r w:rsidRPr="0025286B">
              <w:rPr>
                <w:rFonts w:eastAsia="Aptos" w:cs="Arial"/>
                <w:color w:val="FF0000"/>
                <w:sz w:val="16"/>
                <w:szCs w:val="16"/>
                <w:lang w:val="bg-BG"/>
              </w:rPr>
              <w:t>116, 140</w:t>
            </w:r>
          </w:p>
        </w:tc>
      </w:tr>
    </w:tbl>
    <w:p w14:paraId="629E7976" w14:textId="77777777" w:rsidR="0025286B" w:rsidRPr="0025286B" w:rsidRDefault="0025286B" w:rsidP="0025286B">
      <w:pPr>
        <w:spacing w:after="160" w:line="259" w:lineRule="auto"/>
        <w:rPr>
          <w:rFonts w:ascii="Aptos" w:eastAsia="Aptos" w:hAnsi="Aptos" w:cs="Times New Roman"/>
          <w:color w:val="FF0000"/>
          <w:kern w:val="2"/>
          <w:sz w:val="22"/>
          <w:szCs w:val="22"/>
          <w:lang w:val="bg-BG"/>
          <w14:ligatures w14:val="standardContextual"/>
        </w:rPr>
      </w:pPr>
    </w:p>
    <w:p w14:paraId="74A69BAD" w14:textId="77777777" w:rsidR="0025286B" w:rsidRPr="0025286B" w:rsidRDefault="0025286B" w:rsidP="0025286B">
      <w:pPr>
        <w:spacing w:after="120" w:line="360" w:lineRule="auto"/>
        <w:ind w:left="-20" w:right="-20"/>
        <w:jc w:val="both"/>
        <w:rPr>
          <w:rFonts w:eastAsia="Verdana" w:cs="Verdana"/>
          <w:color w:val="FF0000"/>
          <w:lang w:val="bg-BG"/>
        </w:rPr>
      </w:pPr>
      <w:r w:rsidRPr="0025286B">
        <w:rPr>
          <w:rFonts w:eastAsia="Verdana" w:cs="Verdana"/>
          <w:color w:val="FF0000"/>
          <w:lang w:val="bg-BG"/>
        </w:rPr>
        <w:t>За да се изясни до каква степен функционирането, изграждането и демонтирането на вятърния парк могат да повлияят на здравето на населението в съседната държава, следващите параграфи обобщават резултатите от моделирането на шум, въздух, вода и вибрации, отнесени към международно установените прагове за безопасност и европейското законодателство, както и евентуалните климатични ползи, свързани с това.</w:t>
      </w:r>
    </w:p>
    <w:p w14:paraId="36AF26B2" w14:textId="77777777" w:rsidR="0025286B" w:rsidRPr="0025286B" w:rsidRDefault="0025286B" w:rsidP="0025286B">
      <w:pPr>
        <w:numPr>
          <w:ilvl w:val="0"/>
          <w:numId w:val="185"/>
        </w:numPr>
        <w:spacing w:after="120" w:line="360" w:lineRule="auto"/>
        <w:ind w:right="-20"/>
        <w:contextualSpacing/>
        <w:jc w:val="both"/>
        <w:rPr>
          <w:rFonts w:eastAsia="Verdana" w:cs="Verdana"/>
          <w:b/>
          <w:bCs/>
          <w:color w:val="FF0000"/>
          <w:lang w:val="bg-BG"/>
        </w:rPr>
      </w:pPr>
      <w:r w:rsidRPr="0025286B">
        <w:rPr>
          <w:rFonts w:eastAsia="Verdana" w:cs="Verdana"/>
          <w:b/>
          <w:bCs/>
          <w:color w:val="FF0000"/>
          <w:lang w:val="bg-BG"/>
        </w:rPr>
        <w:t>Шум и вибрации</w:t>
      </w:r>
    </w:p>
    <w:p w14:paraId="786C5566" w14:textId="77777777" w:rsidR="0025286B" w:rsidRPr="0025286B" w:rsidRDefault="0025286B" w:rsidP="0025286B">
      <w:pPr>
        <w:spacing w:after="120" w:line="360" w:lineRule="auto"/>
        <w:ind w:left="-20" w:right="-20"/>
        <w:jc w:val="both"/>
        <w:rPr>
          <w:rFonts w:eastAsia="Verdana" w:cs="Verdana"/>
          <w:color w:val="FF0000"/>
          <w:lang w:val="bg-BG"/>
        </w:rPr>
      </w:pPr>
      <w:r w:rsidRPr="0025286B">
        <w:rPr>
          <w:rFonts w:eastAsia="Verdana" w:cs="Verdana"/>
          <w:b/>
          <w:bCs/>
          <w:color w:val="FF0000"/>
          <w:lang w:val="bg-BG"/>
        </w:rPr>
        <w:t xml:space="preserve">Строителство / демонтаж. </w:t>
      </w:r>
      <w:r w:rsidRPr="0025286B">
        <w:rPr>
          <w:rFonts w:eastAsia="Verdana" w:cs="Verdana"/>
          <w:color w:val="FF0000"/>
          <w:lang w:val="bg-BG"/>
        </w:rPr>
        <w:t>Моделирането SoundPLANnoise показва, че в най-изложената точка на румънските населени места еквивалентното постоянно ниво достига ≈ 36 дБ (A) – под лимита от 55 дБ(A) през деня и на над 1 км от границата; зоната, където може да се надхвърлят 55 дБ (A), се ограничава до &lt; 5 ха, директно на строителната площадка и на максимум 300 м от нея.</w:t>
      </w:r>
    </w:p>
    <w:p w14:paraId="6F1528FB" w14:textId="77777777" w:rsidR="0025286B" w:rsidRPr="0025286B" w:rsidRDefault="0025286B" w:rsidP="0025286B">
      <w:pPr>
        <w:spacing w:after="120" w:line="360" w:lineRule="auto"/>
        <w:ind w:left="-20" w:right="-20"/>
        <w:jc w:val="both"/>
        <w:rPr>
          <w:rFonts w:eastAsia="Verdana" w:cs="Verdana"/>
          <w:color w:val="FF0000"/>
          <w:lang w:val="bg-BG"/>
        </w:rPr>
      </w:pPr>
      <w:r w:rsidRPr="0025286B">
        <w:rPr>
          <w:rFonts w:eastAsia="Verdana" w:cs="Verdana"/>
          <w:b/>
          <w:bCs/>
          <w:color w:val="FF0000"/>
          <w:lang w:val="bg-BG"/>
        </w:rPr>
        <w:lastRenderedPageBreak/>
        <w:t xml:space="preserve">Експлоатация. </w:t>
      </w:r>
      <w:r w:rsidRPr="0025286B">
        <w:rPr>
          <w:rFonts w:eastAsia="Verdana" w:cs="Verdana"/>
          <w:color w:val="FF0000"/>
          <w:lang w:val="bg-BG"/>
        </w:rPr>
        <w:t>След пускане в експлоатация кумулираният шум от 46-те турбини е моделиран на &lt; 40 дБ (A) в селата и на 27 дБ (A) на територията на Натура 2000 BG0000569 „Кардам“ в България, т.е. +0,2 dB спрямо естествения фон и доста под препоръките на СЗО от 40 дБ (A) през нощта. Изчисленото увеличение в най-близките домакинства е само 0,008-0,016 дБ – клинично незабележимо.</w:t>
      </w:r>
    </w:p>
    <w:p w14:paraId="19D21A00" w14:textId="77777777" w:rsidR="0025286B" w:rsidRPr="0025286B" w:rsidRDefault="0025286B" w:rsidP="0025286B">
      <w:pPr>
        <w:spacing w:after="120" w:line="360" w:lineRule="auto"/>
        <w:ind w:left="-20" w:right="-20"/>
        <w:jc w:val="both"/>
        <w:rPr>
          <w:rFonts w:eastAsia="Verdana" w:cs="Verdana"/>
          <w:color w:val="FF0000"/>
          <w:lang w:val="bg-BG"/>
        </w:rPr>
      </w:pPr>
      <w:r w:rsidRPr="0025286B">
        <w:rPr>
          <w:rFonts w:eastAsia="Verdana" w:cs="Verdana"/>
          <w:color w:val="FF0000"/>
          <w:lang w:val="bg-BG"/>
        </w:rPr>
        <w:t xml:space="preserve">По този начин кумулативното </w:t>
      </w:r>
      <w:r w:rsidRPr="0025286B">
        <w:rPr>
          <w:rFonts w:eastAsia="Verdana" w:cs="Verdana"/>
          <w:b/>
          <w:bCs/>
          <w:color w:val="FF0000"/>
          <w:lang w:val="bg-BG"/>
        </w:rPr>
        <w:t>потенциално въздействие на плана с дейностите в района</w:t>
      </w:r>
      <w:r w:rsidRPr="0025286B">
        <w:rPr>
          <w:rFonts w:eastAsia="Verdana" w:cs="Verdana"/>
          <w:color w:val="FF0000"/>
          <w:lang w:val="bg-BG"/>
        </w:rPr>
        <w:t xml:space="preserve"> (земеделие около плана, транспортна инфраструктура Път II-29 Добрич – граница – 1,5 км и енергийна инфраструктура – вятърен парк Карнобат – 5,6 км) ще </w:t>
      </w:r>
      <w:r w:rsidRPr="0025286B">
        <w:rPr>
          <w:rFonts w:eastAsia="Verdana" w:cs="Verdana"/>
          <w:b/>
          <w:bCs/>
          <w:color w:val="FF0000"/>
          <w:lang w:val="bg-BG"/>
        </w:rPr>
        <w:t>бъде малко, незначително</w:t>
      </w:r>
      <w:r w:rsidRPr="0025286B">
        <w:rPr>
          <w:rFonts w:eastAsia="Verdana" w:cs="Verdana"/>
          <w:color w:val="FF0000"/>
          <w:lang w:val="bg-BG"/>
        </w:rPr>
        <w:t xml:space="preserve">. </w:t>
      </w:r>
    </w:p>
    <w:p w14:paraId="2C3C2C5F" w14:textId="77777777" w:rsidR="0025286B" w:rsidRPr="0025286B" w:rsidRDefault="0025286B" w:rsidP="0025286B">
      <w:pPr>
        <w:spacing w:after="120" w:line="360" w:lineRule="auto"/>
        <w:ind w:left="-20" w:right="-20"/>
        <w:jc w:val="both"/>
        <w:rPr>
          <w:rFonts w:eastAsia="Verdana" w:cs="Verdana"/>
          <w:color w:val="FF0000"/>
          <w:lang w:val="bg-BG"/>
        </w:rPr>
      </w:pPr>
      <w:r w:rsidRPr="0025286B">
        <w:rPr>
          <w:rFonts w:eastAsia="Verdana" w:cs="Verdana"/>
          <w:b/>
          <w:bCs/>
          <w:color w:val="FF0000"/>
          <w:lang w:val="bg-BG"/>
        </w:rPr>
        <w:t xml:space="preserve">Здравен риск. </w:t>
      </w:r>
      <w:r w:rsidRPr="0025286B">
        <w:rPr>
          <w:rFonts w:eastAsia="Verdana" w:cs="Verdana"/>
          <w:color w:val="FF0000"/>
          <w:lang w:val="bg-BG"/>
        </w:rPr>
        <w:t>Цитираната в доклада литература споменава сърдечно-съдови ефекти при хронично излагане &gt; 45 дБ (A); граничната стойност (27 дБ (A)) остава с ~18 дБ под този праг, което води до практически нулев риск за българското население.</w:t>
      </w:r>
      <w:r w:rsidRPr="0025286B">
        <w:rPr>
          <w:rFonts w:eastAsia="Verdana" w:cs="Verdana"/>
          <w:b/>
          <w:bCs/>
          <w:color w:val="FF0000"/>
          <w:lang w:val="bg-BG"/>
        </w:rPr>
        <w:t xml:space="preserve"> </w:t>
      </w:r>
    </w:p>
    <w:p w14:paraId="1B7EFF19" w14:textId="77777777" w:rsidR="0025286B" w:rsidRPr="0025286B" w:rsidRDefault="0025286B" w:rsidP="0025286B">
      <w:pPr>
        <w:numPr>
          <w:ilvl w:val="0"/>
          <w:numId w:val="185"/>
        </w:numPr>
        <w:spacing w:after="120" w:line="360" w:lineRule="auto"/>
        <w:ind w:right="-20"/>
        <w:contextualSpacing/>
        <w:jc w:val="both"/>
        <w:rPr>
          <w:rFonts w:eastAsia="Verdana" w:cs="Verdana"/>
          <w:b/>
          <w:bCs/>
          <w:color w:val="FF0000"/>
          <w:lang w:val="bg-BG"/>
        </w:rPr>
      </w:pPr>
      <w:r w:rsidRPr="0025286B">
        <w:rPr>
          <w:rFonts w:eastAsia="Verdana" w:cs="Verdana"/>
          <w:b/>
          <w:bCs/>
          <w:color w:val="FF0000"/>
          <w:lang w:val="bg-BG"/>
        </w:rPr>
        <w:t>Качество на въздуха</w:t>
      </w:r>
    </w:p>
    <w:p w14:paraId="720D199A" w14:textId="77777777" w:rsidR="0025286B" w:rsidRPr="0025286B" w:rsidRDefault="0025286B" w:rsidP="0025286B">
      <w:pPr>
        <w:spacing w:after="120" w:line="360" w:lineRule="auto"/>
        <w:ind w:left="-20" w:right="-20"/>
        <w:jc w:val="both"/>
        <w:rPr>
          <w:rFonts w:eastAsia="Verdana" w:cs="Verdana"/>
          <w:b/>
          <w:bCs/>
          <w:color w:val="FF0000"/>
          <w:lang w:val="bg-BG"/>
        </w:rPr>
      </w:pPr>
      <w:r w:rsidRPr="0025286B">
        <w:rPr>
          <w:rFonts w:eastAsia="Verdana" w:cs="Verdana"/>
          <w:b/>
          <w:bCs/>
          <w:color w:val="FF0000"/>
          <w:lang w:val="bg-BG"/>
        </w:rPr>
        <w:t>Строителните дейности</w:t>
      </w:r>
      <w:r w:rsidRPr="0025286B">
        <w:rPr>
          <w:rFonts w:eastAsia="Verdana" w:cs="Verdana"/>
          <w:color w:val="FF0000"/>
          <w:lang w:val="bg-BG"/>
        </w:rPr>
        <w:t xml:space="preserve"> произвеждат прах и отработени газове, но моделирането на ADMS показва под-откриваемо принос към граничната линия; на местно ниво фонът на PM₁₀ в общината е ~12 µг/м³, което е под половината от европейската граница от 40 µг/м³.</w:t>
      </w:r>
      <w:r w:rsidRPr="0025286B">
        <w:rPr>
          <w:rFonts w:eastAsia="Verdana" w:cs="Verdana"/>
          <w:b/>
          <w:bCs/>
          <w:color w:val="FF0000"/>
          <w:lang w:val="bg-BG"/>
        </w:rPr>
        <w:t xml:space="preserve"> </w:t>
      </w:r>
    </w:p>
    <w:p w14:paraId="7B9C19A2" w14:textId="77777777" w:rsidR="0025286B" w:rsidRPr="0025286B" w:rsidRDefault="0025286B" w:rsidP="0025286B">
      <w:pPr>
        <w:spacing w:after="120" w:line="360" w:lineRule="auto"/>
        <w:ind w:left="-20" w:right="-20"/>
        <w:jc w:val="both"/>
        <w:rPr>
          <w:rFonts w:eastAsia="Verdana" w:cs="Verdana"/>
          <w:color w:val="FF0000"/>
          <w:lang w:val="bg-BG"/>
        </w:rPr>
      </w:pPr>
      <w:r w:rsidRPr="0025286B">
        <w:rPr>
          <w:rFonts w:eastAsia="Verdana" w:cs="Verdana"/>
          <w:b/>
          <w:bCs/>
          <w:color w:val="FF0000"/>
          <w:lang w:val="bg-BG"/>
        </w:rPr>
        <w:t xml:space="preserve">В експлоатация </w:t>
      </w:r>
      <w:r w:rsidRPr="0025286B">
        <w:rPr>
          <w:rFonts w:eastAsia="Verdana" w:cs="Verdana"/>
          <w:color w:val="FF0000"/>
          <w:lang w:val="bg-BG"/>
        </w:rPr>
        <w:t xml:space="preserve">турбините не отделят замърсители, а произведената енергия замества производството на газ или въглища, намалявайки регионалните емисии. </w:t>
      </w:r>
    </w:p>
    <w:p w14:paraId="2E906340" w14:textId="77777777" w:rsidR="0025286B" w:rsidRPr="0025286B" w:rsidRDefault="0025286B" w:rsidP="0025286B">
      <w:pPr>
        <w:spacing w:after="120" w:line="360" w:lineRule="auto"/>
        <w:ind w:left="-20" w:right="-20"/>
        <w:jc w:val="both"/>
        <w:rPr>
          <w:rFonts w:eastAsia="Verdana" w:cs="Verdana"/>
          <w:b/>
          <w:bCs/>
          <w:color w:val="FF0000"/>
          <w:lang w:val="bg-BG"/>
        </w:rPr>
      </w:pPr>
      <w:r w:rsidRPr="0025286B">
        <w:rPr>
          <w:rFonts w:eastAsia="Verdana" w:cs="Verdana"/>
          <w:color w:val="FF0000"/>
          <w:lang w:val="bg-BG"/>
        </w:rPr>
        <w:t>По този начин</w:t>
      </w:r>
      <w:r w:rsidRPr="0025286B">
        <w:rPr>
          <w:rFonts w:eastAsia="Verdana" w:cs="Verdana"/>
          <w:b/>
          <w:bCs/>
          <w:color w:val="FF0000"/>
          <w:lang w:val="bg-BG"/>
        </w:rPr>
        <w:t xml:space="preserve"> потенциалното кумулативно въздействие на плана с дейностите в района </w:t>
      </w:r>
      <w:r w:rsidRPr="0025286B">
        <w:rPr>
          <w:rFonts w:eastAsia="Verdana" w:cs="Verdana"/>
          <w:color w:val="FF0000"/>
          <w:lang w:val="bg-BG"/>
        </w:rPr>
        <w:t>(земеделие около плана, транспортна инфраструктура Път II-29 Добрич-граница - 1,5 км и енергийна инфраструктура – вятърен парк Карнобат – 5,6 км)</w:t>
      </w:r>
      <w:r w:rsidRPr="0025286B">
        <w:rPr>
          <w:rFonts w:eastAsia="Verdana" w:cs="Verdana"/>
          <w:b/>
          <w:bCs/>
          <w:color w:val="FF0000"/>
          <w:lang w:val="bg-BG"/>
        </w:rPr>
        <w:t xml:space="preserve"> ще бъде ограничено, незначително. </w:t>
      </w:r>
    </w:p>
    <w:p w14:paraId="743C4A6A" w14:textId="77777777" w:rsidR="0025286B" w:rsidRPr="0025286B" w:rsidRDefault="0025286B" w:rsidP="0025286B">
      <w:pPr>
        <w:spacing w:after="120" w:line="360" w:lineRule="auto"/>
        <w:ind w:left="-20" w:right="-20"/>
        <w:jc w:val="both"/>
        <w:rPr>
          <w:rFonts w:eastAsia="Verdana" w:cs="Verdana"/>
          <w:color w:val="FF0000"/>
          <w:lang w:val="bg-BG"/>
        </w:rPr>
      </w:pPr>
      <w:r w:rsidRPr="0025286B">
        <w:rPr>
          <w:rFonts w:eastAsia="Verdana" w:cs="Verdana"/>
          <w:b/>
          <w:bCs/>
          <w:color w:val="FF0000"/>
          <w:lang w:val="bg-BG"/>
        </w:rPr>
        <w:t xml:space="preserve">Здравен риск. </w:t>
      </w:r>
      <w:r w:rsidRPr="0025286B">
        <w:rPr>
          <w:rFonts w:eastAsia="Verdana" w:cs="Verdana"/>
          <w:color w:val="FF0000"/>
          <w:lang w:val="bg-BG"/>
        </w:rPr>
        <w:t>Допълнителното излагане на частици и NO₂ е практически нула.</w:t>
      </w:r>
    </w:p>
    <w:p w14:paraId="47FFBF3D" w14:textId="77777777" w:rsidR="0025286B" w:rsidRPr="0025286B" w:rsidRDefault="0025286B" w:rsidP="0025286B">
      <w:pPr>
        <w:spacing w:after="120" w:line="360" w:lineRule="auto"/>
        <w:ind w:left="-20" w:right="-20"/>
        <w:jc w:val="both"/>
        <w:rPr>
          <w:rFonts w:eastAsia="Verdana" w:cs="Verdana"/>
          <w:color w:val="FF0000"/>
          <w:lang w:val="bg-BG"/>
        </w:rPr>
      </w:pPr>
    </w:p>
    <w:p w14:paraId="39587561" w14:textId="77777777" w:rsidR="0025286B" w:rsidRPr="0025286B" w:rsidRDefault="0025286B" w:rsidP="0025286B">
      <w:pPr>
        <w:numPr>
          <w:ilvl w:val="0"/>
          <w:numId w:val="185"/>
        </w:numPr>
        <w:spacing w:after="120" w:line="360" w:lineRule="auto"/>
        <w:ind w:right="-20"/>
        <w:contextualSpacing/>
        <w:jc w:val="both"/>
        <w:rPr>
          <w:rFonts w:eastAsia="Verdana" w:cs="Verdana"/>
          <w:b/>
          <w:bCs/>
          <w:color w:val="FF0000"/>
          <w:lang w:val="bg-BG"/>
        </w:rPr>
      </w:pPr>
      <w:r w:rsidRPr="0025286B">
        <w:rPr>
          <w:rFonts w:eastAsia="Verdana" w:cs="Verdana"/>
          <w:b/>
          <w:bCs/>
          <w:color w:val="FF0000"/>
          <w:lang w:val="bg-BG"/>
        </w:rPr>
        <w:t>Питейна вода и повърхностни води</w:t>
      </w:r>
    </w:p>
    <w:p w14:paraId="119BEB80" w14:textId="77777777" w:rsidR="0025286B" w:rsidRPr="0025286B" w:rsidRDefault="0025286B" w:rsidP="0025286B">
      <w:pPr>
        <w:spacing w:after="120" w:line="360" w:lineRule="auto"/>
        <w:ind w:left="-20" w:right="-20"/>
        <w:jc w:val="both"/>
        <w:rPr>
          <w:rFonts w:eastAsia="Verdana" w:cs="Verdana"/>
          <w:color w:val="FF0000"/>
          <w:lang w:val="bg-BG"/>
        </w:rPr>
      </w:pPr>
      <w:r w:rsidRPr="0025286B">
        <w:rPr>
          <w:rFonts w:eastAsia="Verdana" w:cs="Verdana"/>
          <w:b/>
          <w:bCs/>
          <w:color w:val="FF0000"/>
          <w:lang w:val="bg-BG"/>
        </w:rPr>
        <w:t xml:space="preserve">Строителните дейности </w:t>
      </w:r>
      <w:r w:rsidRPr="0025286B">
        <w:rPr>
          <w:rFonts w:eastAsia="Verdana" w:cs="Verdana"/>
          <w:color w:val="FF0000"/>
          <w:lang w:val="bg-BG"/>
        </w:rPr>
        <w:t>не включват технологични изпускания; дъждовните води се събират в улеи и се инфилтрират на площадката. Няма връзка с трансгранични водни тела, а мониторингите на DSP Констанца показват съответстващи питейни параметри в цялата община Черкезу.</w:t>
      </w:r>
      <w:r w:rsidRPr="0025286B">
        <w:rPr>
          <w:rFonts w:eastAsia="Verdana" w:cs="Verdana"/>
          <w:b/>
          <w:bCs/>
          <w:color w:val="FF0000"/>
          <w:lang w:val="bg-BG"/>
        </w:rPr>
        <w:t xml:space="preserve"> </w:t>
      </w:r>
    </w:p>
    <w:p w14:paraId="25A63823" w14:textId="77777777" w:rsidR="0025286B" w:rsidRPr="0025286B" w:rsidRDefault="0025286B" w:rsidP="0025286B">
      <w:pPr>
        <w:spacing w:after="120" w:line="360" w:lineRule="auto"/>
        <w:ind w:left="-20" w:right="-20"/>
        <w:jc w:val="both"/>
        <w:rPr>
          <w:rFonts w:eastAsia="Verdana" w:cs="Verdana"/>
          <w:color w:val="FF0000"/>
          <w:lang w:val="bg-BG"/>
        </w:rPr>
      </w:pPr>
      <w:r w:rsidRPr="0025286B">
        <w:rPr>
          <w:rFonts w:eastAsia="Verdana" w:cs="Verdana"/>
          <w:b/>
          <w:bCs/>
          <w:color w:val="FF0000"/>
          <w:lang w:val="bg-BG"/>
        </w:rPr>
        <w:t xml:space="preserve">В експлоатация </w:t>
      </w:r>
      <w:r w:rsidRPr="0025286B">
        <w:rPr>
          <w:rFonts w:eastAsia="Verdana" w:cs="Verdana"/>
          <w:color w:val="FF0000"/>
          <w:lang w:val="bg-BG"/>
        </w:rPr>
        <w:t xml:space="preserve">се извършва поддръжка на платформи, оборудвани с уловители за течности, оразмерени да съберат напълно евентуални разливи на масло, като по този начин се елиминира всякакво изтичане на течни вещества в околната среда. </w:t>
      </w:r>
    </w:p>
    <w:p w14:paraId="74C457C0" w14:textId="77777777" w:rsidR="0025286B" w:rsidRPr="0025286B" w:rsidRDefault="0025286B" w:rsidP="0025286B">
      <w:pPr>
        <w:spacing w:after="120" w:line="360" w:lineRule="auto"/>
        <w:ind w:left="-20" w:right="-20"/>
        <w:jc w:val="both"/>
        <w:rPr>
          <w:rFonts w:eastAsia="Verdana" w:cs="Verdana"/>
          <w:color w:val="FF0000"/>
          <w:lang w:val="bg-BG"/>
        </w:rPr>
      </w:pPr>
      <w:r w:rsidRPr="0025286B">
        <w:rPr>
          <w:rFonts w:eastAsia="Verdana" w:cs="Verdana"/>
          <w:color w:val="FF0000"/>
          <w:lang w:val="bg-BG"/>
        </w:rPr>
        <w:t xml:space="preserve">Следователно, </w:t>
      </w:r>
      <w:r w:rsidRPr="0025286B">
        <w:rPr>
          <w:rFonts w:eastAsia="Verdana" w:cs="Verdana"/>
          <w:b/>
          <w:bCs/>
          <w:color w:val="FF0000"/>
          <w:lang w:val="bg-BG"/>
        </w:rPr>
        <w:t>кумулативното въздействие с дейностите в района</w:t>
      </w:r>
      <w:r w:rsidRPr="0025286B">
        <w:rPr>
          <w:rFonts w:eastAsia="Verdana" w:cs="Verdana"/>
          <w:color w:val="FF0000"/>
          <w:lang w:val="bg-BG"/>
        </w:rPr>
        <w:t xml:space="preserve"> (земеделието около плана, транспортната инфраструктура Път II-29 Добрич – граница – 1,5 км и енергийната инфраструктура – вятърен парк Карнобат – 5,6 км) е </w:t>
      </w:r>
      <w:r w:rsidRPr="0025286B">
        <w:rPr>
          <w:rFonts w:eastAsia="Verdana" w:cs="Verdana"/>
          <w:b/>
          <w:bCs/>
          <w:color w:val="FF0000"/>
          <w:lang w:val="bg-BG"/>
        </w:rPr>
        <w:t>незначително</w:t>
      </w:r>
      <w:r w:rsidRPr="0025286B">
        <w:rPr>
          <w:rFonts w:eastAsia="Verdana" w:cs="Verdana"/>
          <w:color w:val="FF0000"/>
          <w:lang w:val="bg-BG"/>
        </w:rPr>
        <w:t xml:space="preserve">, тъй като няма вектор за пренос на замърсители към България. </w:t>
      </w:r>
    </w:p>
    <w:p w14:paraId="2B675411" w14:textId="77777777" w:rsidR="0025286B" w:rsidRPr="0025286B" w:rsidRDefault="0025286B" w:rsidP="0025286B">
      <w:pPr>
        <w:spacing w:after="120" w:line="360" w:lineRule="auto"/>
        <w:ind w:left="-20" w:right="-20"/>
        <w:jc w:val="both"/>
        <w:rPr>
          <w:rFonts w:eastAsia="Verdana" w:cs="Verdana"/>
          <w:color w:val="FF0000"/>
          <w:lang w:val="bg-BG"/>
        </w:rPr>
      </w:pPr>
      <w:r w:rsidRPr="0025286B">
        <w:rPr>
          <w:rFonts w:eastAsia="Verdana" w:cs="Verdana"/>
          <w:b/>
          <w:bCs/>
          <w:color w:val="FF0000"/>
          <w:lang w:val="bg-BG"/>
        </w:rPr>
        <w:t>Здравен риск.</w:t>
      </w:r>
      <w:r w:rsidRPr="0025286B">
        <w:rPr>
          <w:rFonts w:eastAsia="Verdana" w:cs="Verdana"/>
          <w:color w:val="FF0000"/>
          <w:lang w:val="bg-BG"/>
        </w:rPr>
        <w:t xml:space="preserve"> Безопасността на източниците на питейна вода в съседната държава остава незасегната.</w:t>
      </w:r>
    </w:p>
    <w:p w14:paraId="3610D8A2" w14:textId="77777777" w:rsidR="0025286B" w:rsidRPr="0025286B" w:rsidRDefault="0025286B" w:rsidP="0025286B">
      <w:pPr>
        <w:spacing w:after="120" w:line="360" w:lineRule="auto"/>
        <w:ind w:left="-20" w:right="-20"/>
        <w:jc w:val="both"/>
        <w:rPr>
          <w:rFonts w:eastAsia="Verdana" w:cs="Verdana"/>
          <w:color w:val="FF0000"/>
          <w:lang w:val="bg-BG"/>
        </w:rPr>
      </w:pPr>
    </w:p>
    <w:p w14:paraId="3F538B21" w14:textId="77777777" w:rsidR="0025286B" w:rsidRPr="0025286B" w:rsidRDefault="0025286B" w:rsidP="0025286B">
      <w:pPr>
        <w:numPr>
          <w:ilvl w:val="0"/>
          <w:numId w:val="185"/>
        </w:numPr>
        <w:spacing w:after="120" w:line="360" w:lineRule="auto"/>
        <w:ind w:right="-20"/>
        <w:contextualSpacing/>
        <w:jc w:val="both"/>
        <w:rPr>
          <w:rFonts w:eastAsia="Verdana" w:cs="Verdana"/>
          <w:b/>
          <w:bCs/>
          <w:color w:val="FF0000"/>
          <w:lang w:val="bg-BG"/>
        </w:rPr>
      </w:pPr>
      <w:r w:rsidRPr="0025286B">
        <w:rPr>
          <w:rFonts w:eastAsia="Verdana" w:cs="Verdana"/>
          <w:b/>
          <w:bCs/>
          <w:color w:val="FF0000"/>
          <w:lang w:val="bg-BG"/>
        </w:rPr>
        <w:lastRenderedPageBreak/>
        <w:t>Земя и сеизмични вибрации</w:t>
      </w:r>
    </w:p>
    <w:p w14:paraId="030D4762" w14:textId="77777777" w:rsidR="0025286B" w:rsidRPr="0025286B" w:rsidRDefault="0025286B" w:rsidP="0025286B">
      <w:pPr>
        <w:spacing w:after="120" w:line="360" w:lineRule="auto"/>
        <w:ind w:left="-20" w:right="-20"/>
        <w:jc w:val="both"/>
        <w:rPr>
          <w:rFonts w:eastAsia="Verdana" w:cs="Verdana"/>
          <w:color w:val="FF0000"/>
          <w:lang w:val="bg-BG"/>
        </w:rPr>
      </w:pPr>
      <w:r w:rsidRPr="0025286B">
        <w:rPr>
          <w:rFonts w:eastAsia="Aptos" w:cs="Arial"/>
          <w:color w:val="FF0000"/>
          <w:kern w:val="2"/>
          <w:lang w:val="bg-BG"/>
        </w:rPr>
        <w:t>Във фаза на строителство, з</w:t>
      </w:r>
      <w:r w:rsidRPr="0025286B">
        <w:rPr>
          <w:rFonts w:eastAsia="Verdana" w:cs="Verdana"/>
          <w:color w:val="FF0000"/>
          <w:lang w:val="bg-BG"/>
        </w:rPr>
        <w:t>емя и сеизмични вибрации извършват се ограничени изкопи и изолирани основи; изкопаната земя остава на площадката, а вибрациите от машините са ограничени във времето..</w:t>
      </w:r>
    </w:p>
    <w:p w14:paraId="2F783EA3" w14:textId="77777777" w:rsidR="0025286B" w:rsidRPr="0025286B" w:rsidRDefault="0025286B" w:rsidP="0025286B">
      <w:pPr>
        <w:spacing w:after="120" w:line="360" w:lineRule="auto"/>
        <w:ind w:left="-20" w:right="-20"/>
        <w:jc w:val="both"/>
        <w:rPr>
          <w:rFonts w:eastAsia="Verdana" w:cs="Verdana"/>
          <w:color w:val="FF0000"/>
          <w:lang w:val="bg-BG"/>
        </w:rPr>
      </w:pPr>
      <w:r w:rsidRPr="0025286B">
        <w:rPr>
          <w:rFonts w:eastAsia="Verdana" w:cs="Verdana"/>
          <w:b/>
          <w:bCs/>
          <w:color w:val="FF0000"/>
          <w:lang w:val="bg-BG"/>
        </w:rPr>
        <w:t xml:space="preserve">В експлоатация </w:t>
      </w:r>
      <w:r w:rsidRPr="0025286B">
        <w:rPr>
          <w:rFonts w:eastAsia="Verdana" w:cs="Verdana"/>
          <w:color w:val="FF0000"/>
          <w:lang w:val="bg-BG"/>
        </w:rPr>
        <w:t>не се работи повече на земята, а вибрациите, генерирани от турбините, се разсейват бързо в геологичния слой, намалявайки под прага на човешкото възприятие до границата.</w:t>
      </w:r>
    </w:p>
    <w:p w14:paraId="3307CA5C" w14:textId="77777777" w:rsidR="0025286B" w:rsidRPr="0025286B" w:rsidRDefault="0025286B" w:rsidP="0025286B">
      <w:pPr>
        <w:spacing w:after="120" w:line="360" w:lineRule="auto"/>
        <w:ind w:left="-20" w:right="-20"/>
        <w:jc w:val="both"/>
        <w:rPr>
          <w:rFonts w:eastAsia="Verdana" w:cs="Verdana"/>
          <w:color w:val="FF0000"/>
          <w:lang w:val="bg-BG"/>
        </w:rPr>
      </w:pPr>
      <w:r w:rsidRPr="0025286B">
        <w:rPr>
          <w:rFonts w:eastAsia="Verdana" w:cs="Verdana"/>
          <w:b/>
          <w:bCs/>
          <w:color w:val="FF0000"/>
          <w:lang w:val="bg-BG"/>
        </w:rPr>
        <w:t xml:space="preserve">Кумулативен потенциал. </w:t>
      </w:r>
      <w:r w:rsidRPr="0025286B">
        <w:rPr>
          <w:rFonts w:eastAsia="Verdana" w:cs="Verdana"/>
          <w:color w:val="FF0000"/>
          <w:lang w:val="bg-BG"/>
        </w:rPr>
        <w:t>Сумата от всички източници не надвишава 0,2 мм/с на границата, следователно ефектът</w:t>
      </w:r>
      <w:r w:rsidRPr="0025286B">
        <w:rPr>
          <w:rFonts w:eastAsia="Verdana" w:cs="Verdana"/>
          <w:b/>
          <w:bCs/>
          <w:color w:val="FF0000"/>
          <w:lang w:val="bg-BG"/>
        </w:rPr>
        <w:t xml:space="preserve"> остава незначителен. </w:t>
      </w:r>
    </w:p>
    <w:p w14:paraId="4CEAFF6B" w14:textId="77777777" w:rsidR="0025286B" w:rsidRPr="0025286B" w:rsidRDefault="0025286B" w:rsidP="0025286B">
      <w:pPr>
        <w:spacing w:after="120" w:line="360" w:lineRule="auto"/>
        <w:ind w:left="-20" w:right="-20"/>
        <w:jc w:val="both"/>
        <w:rPr>
          <w:rFonts w:eastAsia="Verdana" w:cs="Verdana"/>
          <w:color w:val="FF0000"/>
          <w:lang w:val="bg-BG"/>
        </w:rPr>
      </w:pPr>
    </w:p>
    <w:p w14:paraId="6E557719" w14:textId="77777777" w:rsidR="0025286B" w:rsidRPr="0025286B" w:rsidRDefault="0025286B" w:rsidP="0025286B">
      <w:pPr>
        <w:numPr>
          <w:ilvl w:val="0"/>
          <w:numId w:val="185"/>
        </w:numPr>
        <w:spacing w:after="120" w:line="360" w:lineRule="auto"/>
        <w:ind w:right="-20"/>
        <w:contextualSpacing/>
        <w:jc w:val="both"/>
        <w:rPr>
          <w:rFonts w:eastAsia="Verdana" w:cs="Verdana"/>
          <w:b/>
          <w:bCs/>
          <w:color w:val="FF0000"/>
          <w:lang w:val="bg-BG"/>
        </w:rPr>
      </w:pPr>
      <w:r w:rsidRPr="0025286B">
        <w:rPr>
          <w:rFonts w:eastAsia="Verdana" w:cs="Verdana"/>
          <w:b/>
          <w:bCs/>
          <w:color w:val="FF0000"/>
          <w:lang w:val="bg-BG"/>
        </w:rPr>
        <w:t>Мигване (shadow-flicker) и визуален ефект</w:t>
      </w:r>
    </w:p>
    <w:p w14:paraId="5FC6E202" w14:textId="77777777" w:rsidR="0025286B" w:rsidRPr="0025286B" w:rsidRDefault="0025286B" w:rsidP="0025286B">
      <w:pPr>
        <w:spacing w:after="120" w:line="360" w:lineRule="auto"/>
        <w:ind w:left="-20" w:right="-20"/>
        <w:jc w:val="both"/>
        <w:rPr>
          <w:rFonts w:eastAsia="Verdana" w:cs="Verdana"/>
          <w:color w:val="FF0000"/>
          <w:lang w:val="bg-BG"/>
        </w:rPr>
      </w:pPr>
      <w:r w:rsidRPr="0025286B">
        <w:rPr>
          <w:rFonts w:eastAsia="Verdana" w:cs="Verdana"/>
          <w:color w:val="FF0000"/>
          <w:lang w:val="bg-BG"/>
        </w:rPr>
        <w:t xml:space="preserve">Моделирането показва 0,1–8 часа/годишно мигащи сенки в най-близките до къщите румънски домакинства; на границата продължителността пада под границата на откриване. Вятърният парк Карнобат добавя видим ъгъл от само 0,3–0,4°, недостатъчен за наслояване на сенки. Кумулативен потенциал: дори и двата парка да генерират сенки едновременно, общият резултат ще остане &lt; 10 часа/годишно, много под международния праг от 30 часа/годишно, което води до </w:t>
      </w:r>
      <w:r w:rsidRPr="0025286B">
        <w:rPr>
          <w:rFonts w:eastAsia="Verdana" w:cs="Verdana"/>
          <w:b/>
          <w:bCs/>
          <w:color w:val="FF0000"/>
          <w:lang w:val="bg-BG"/>
        </w:rPr>
        <w:t>незначителен кумулативен визуален ефект</w:t>
      </w:r>
      <w:r w:rsidRPr="0025286B">
        <w:rPr>
          <w:rFonts w:eastAsia="Verdana" w:cs="Verdana"/>
          <w:color w:val="FF0000"/>
          <w:lang w:val="bg-BG"/>
        </w:rPr>
        <w:t xml:space="preserve">. </w:t>
      </w:r>
    </w:p>
    <w:p w14:paraId="6BD93E2A" w14:textId="77777777" w:rsidR="0025286B" w:rsidRPr="0025286B" w:rsidRDefault="0025286B" w:rsidP="0025286B">
      <w:pPr>
        <w:numPr>
          <w:ilvl w:val="0"/>
          <w:numId w:val="185"/>
        </w:numPr>
        <w:spacing w:after="120" w:line="360" w:lineRule="auto"/>
        <w:ind w:right="-20"/>
        <w:contextualSpacing/>
        <w:jc w:val="both"/>
        <w:rPr>
          <w:rFonts w:eastAsia="Verdana" w:cs="Verdana"/>
          <w:b/>
          <w:bCs/>
          <w:color w:val="FF0000"/>
          <w:lang w:val="bg-BG"/>
        </w:rPr>
      </w:pPr>
      <w:r w:rsidRPr="0025286B">
        <w:rPr>
          <w:rFonts w:eastAsia="Verdana" w:cs="Verdana"/>
          <w:b/>
          <w:bCs/>
          <w:color w:val="FF0000"/>
          <w:lang w:val="bg-BG"/>
        </w:rPr>
        <w:t>Движение и замърсяване на околната среда от автомобилите</w:t>
      </w:r>
    </w:p>
    <w:p w14:paraId="0832D07D" w14:textId="77777777" w:rsidR="0025286B" w:rsidRPr="0025286B" w:rsidRDefault="0025286B" w:rsidP="0025286B">
      <w:pPr>
        <w:spacing w:after="120" w:line="360" w:lineRule="auto"/>
        <w:ind w:left="-20" w:right="-20"/>
        <w:jc w:val="both"/>
        <w:rPr>
          <w:rFonts w:eastAsia="Verdana" w:cs="Verdana"/>
          <w:color w:val="FF0000"/>
          <w:lang w:val="bg-BG"/>
        </w:rPr>
      </w:pPr>
      <w:r w:rsidRPr="0025286B">
        <w:rPr>
          <w:rFonts w:eastAsia="Verdana" w:cs="Verdana"/>
          <w:color w:val="FF0000"/>
          <w:lang w:val="bg-BG"/>
        </w:rPr>
        <w:t xml:space="preserve">Увеличението на движението по окръжен път 391 в етап </w:t>
      </w:r>
      <w:r w:rsidRPr="0025286B">
        <w:rPr>
          <w:rFonts w:eastAsia="Verdana" w:cs="Verdana"/>
          <w:b/>
          <w:bCs/>
          <w:color w:val="FF0000"/>
          <w:lang w:val="bg-BG"/>
        </w:rPr>
        <w:t>на строителство</w:t>
      </w:r>
      <w:r w:rsidRPr="0025286B">
        <w:rPr>
          <w:rFonts w:eastAsia="Verdana" w:cs="Verdana"/>
          <w:color w:val="FF0000"/>
          <w:lang w:val="bg-BG"/>
        </w:rPr>
        <w:t xml:space="preserve"> добавя &lt; 3 µг/м³ NO₂ и &lt; 2 µг/м³ PM₁₀, стойности, които се разпръскват преди да достигнат границата на съседната страна. </w:t>
      </w:r>
    </w:p>
    <w:p w14:paraId="20750F5F" w14:textId="77777777" w:rsidR="0025286B" w:rsidRPr="0025286B" w:rsidRDefault="0025286B" w:rsidP="0025286B">
      <w:pPr>
        <w:spacing w:after="120" w:line="360" w:lineRule="auto"/>
        <w:ind w:left="-20" w:right="-20"/>
        <w:jc w:val="both"/>
        <w:rPr>
          <w:rFonts w:eastAsia="Verdana" w:cs="Verdana"/>
          <w:color w:val="FF0000"/>
          <w:lang w:val="bg-BG"/>
        </w:rPr>
      </w:pPr>
      <w:r w:rsidRPr="0025286B">
        <w:rPr>
          <w:rFonts w:eastAsia="Verdana" w:cs="Verdana"/>
          <w:b/>
          <w:bCs/>
          <w:color w:val="FF0000"/>
          <w:lang w:val="bg-BG"/>
        </w:rPr>
        <w:t>В експлоатация</w:t>
      </w:r>
      <w:r w:rsidRPr="0025286B">
        <w:rPr>
          <w:rFonts w:eastAsia="Verdana" w:cs="Verdana"/>
          <w:color w:val="FF0000"/>
          <w:lang w:val="bg-BG"/>
        </w:rPr>
        <w:t xml:space="preserve">, сервизните посещения са само няколко микробуса на ден, а при </w:t>
      </w:r>
      <w:r w:rsidRPr="0025286B">
        <w:rPr>
          <w:rFonts w:eastAsia="Verdana" w:cs="Verdana"/>
          <w:b/>
          <w:bCs/>
          <w:color w:val="FF0000"/>
          <w:lang w:val="bg-BG"/>
        </w:rPr>
        <w:t>извеждане</w:t>
      </w:r>
      <w:r w:rsidRPr="0025286B">
        <w:rPr>
          <w:rFonts w:eastAsia="Verdana" w:cs="Verdana"/>
          <w:color w:val="FF0000"/>
          <w:lang w:val="bg-BG"/>
        </w:rPr>
        <w:t xml:space="preserve"> от експлоатация потокът от камиони е по-малък, отколкото при строителството и е ограничен във времето. </w:t>
      </w:r>
    </w:p>
    <w:p w14:paraId="45DB7FAF" w14:textId="77777777" w:rsidR="0025286B" w:rsidRPr="0025286B" w:rsidRDefault="0025286B" w:rsidP="0025286B">
      <w:pPr>
        <w:spacing w:after="120" w:line="360" w:lineRule="auto"/>
        <w:ind w:left="-20" w:right="-20"/>
        <w:jc w:val="both"/>
        <w:rPr>
          <w:rFonts w:eastAsia="Verdana" w:cs="Verdana"/>
          <w:color w:val="FF0000"/>
          <w:lang w:val="bg-BG"/>
        </w:rPr>
      </w:pPr>
      <w:r w:rsidRPr="0025286B">
        <w:rPr>
          <w:rFonts w:eastAsia="Verdana" w:cs="Verdana"/>
          <w:b/>
          <w:bCs/>
          <w:color w:val="FF0000"/>
          <w:lang w:val="bg-BG"/>
        </w:rPr>
        <w:t>Здравен риск</w:t>
      </w:r>
      <w:r w:rsidRPr="0025286B">
        <w:rPr>
          <w:rFonts w:eastAsia="Verdana" w:cs="Verdana"/>
          <w:color w:val="FF0000"/>
          <w:lang w:val="bg-BG"/>
        </w:rPr>
        <w:t>. Концентрациите на замърсители се поддържат под пределните стойности, определени на европейско ниво; по този начин не се регистрират превишения на съществуващите стойности на нивото на българските общности.</w:t>
      </w:r>
    </w:p>
    <w:p w14:paraId="10BE440E" w14:textId="77777777" w:rsidR="0025286B" w:rsidRPr="0025286B" w:rsidRDefault="0025286B" w:rsidP="0025286B">
      <w:pPr>
        <w:numPr>
          <w:ilvl w:val="0"/>
          <w:numId w:val="185"/>
        </w:numPr>
        <w:spacing w:after="120" w:line="360" w:lineRule="auto"/>
        <w:ind w:right="-20"/>
        <w:contextualSpacing/>
        <w:jc w:val="both"/>
        <w:rPr>
          <w:rFonts w:eastAsia="Verdana" w:cs="Verdana"/>
          <w:b/>
          <w:bCs/>
          <w:color w:val="FF0000"/>
          <w:lang w:val="bg-BG"/>
        </w:rPr>
      </w:pPr>
      <w:r w:rsidRPr="0025286B">
        <w:rPr>
          <w:rFonts w:eastAsia="Verdana" w:cs="Verdana"/>
          <w:b/>
          <w:bCs/>
          <w:color w:val="FF0000"/>
          <w:lang w:val="bg-BG"/>
        </w:rPr>
        <w:t>Климатична полза, с индиректен ефект върху здравето</w:t>
      </w:r>
    </w:p>
    <w:p w14:paraId="6E457AA4" w14:textId="77777777" w:rsidR="0025286B" w:rsidRPr="0025286B" w:rsidRDefault="0025286B" w:rsidP="0025286B">
      <w:pPr>
        <w:spacing w:after="120" w:line="360" w:lineRule="auto"/>
        <w:ind w:left="-20" w:right="-20"/>
        <w:jc w:val="both"/>
        <w:rPr>
          <w:rFonts w:eastAsia="Verdana" w:cs="Verdana"/>
          <w:color w:val="FF0000"/>
          <w:lang w:val="bg-BG"/>
        </w:rPr>
      </w:pPr>
      <w:r w:rsidRPr="0025286B">
        <w:rPr>
          <w:rFonts w:eastAsia="Verdana" w:cs="Verdana"/>
          <w:color w:val="FF0000"/>
          <w:lang w:val="bg-BG"/>
        </w:rPr>
        <w:t>Инсталираният капацитет (≈ 303 МВт) ще избегне ~0,55 Мт CO₂ на регионално ниво през целия експлоатационен живот, намалявайки рисковите фактори, свързани със смъртността от фини прахови частици и горещи вълни.</w:t>
      </w:r>
    </w:p>
    <w:p w14:paraId="7A7ED033" w14:textId="77777777" w:rsidR="0025286B" w:rsidRPr="0025286B" w:rsidRDefault="0025286B" w:rsidP="0025286B">
      <w:pPr>
        <w:spacing w:after="120" w:line="360" w:lineRule="auto"/>
        <w:ind w:left="-20" w:right="-20"/>
        <w:jc w:val="both"/>
        <w:rPr>
          <w:rFonts w:eastAsia="Verdana" w:cs="Verdana"/>
          <w:color w:val="FF0000"/>
          <w:lang w:val="bg-BG"/>
        </w:rPr>
      </w:pPr>
      <w:r w:rsidRPr="0025286B">
        <w:rPr>
          <w:rFonts w:eastAsia="Verdana" w:cs="Verdana"/>
          <w:b/>
          <w:bCs/>
          <w:color w:val="FF0000"/>
          <w:lang w:val="bg-BG"/>
        </w:rPr>
        <w:t xml:space="preserve">В строителството и демонтажа </w:t>
      </w:r>
      <w:r w:rsidRPr="0025286B">
        <w:rPr>
          <w:rFonts w:eastAsia="Verdana" w:cs="Verdana"/>
          <w:color w:val="FF0000"/>
          <w:lang w:val="bg-BG"/>
        </w:rPr>
        <w:t>емисиите на CO₂ от дизелово гориво на машините са точкови и малки в сравнение с общата въглеродна икономика.</w:t>
      </w:r>
    </w:p>
    <w:p w14:paraId="6E0620A5" w14:textId="77777777" w:rsidR="0025286B" w:rsidRPr="0025286B" w:rsidRDefault="0025286B" w:rsidP="0025286B">
      <w:pPr>
        <w:spacing w:after="120" w:line="360" w:lineRule="auto"/>
        <w:ind w:left="-20" w:right="-20"/>
        <w:jc w:val="both"/>
        <w:rPr>
          <w:rFonts w:eastAsia="Verdana" w:cs="Verdana"/>
          <w:color w:val="FF0000"/>
          <w:lang w:val="bg-BG"/>
        </w:rPr>
      </w:pPr>
      <w:r w:rsidRPr="0025286B">
        <w:rPr>
          <w:rFonts w:eastAsia="Verdana" w:cs="Verdana"/>
          <w:b/>
          <w:bCs/>
          <w:color w:val="FF0000"/>
          <w:lang w:val="bg-BG"/>
        </w:rPr>
        <w:t>Здравен риск</w:t>
      </w:r>
      <w:r w:rsidRPr="0025286B">
        <w:rPr>
          <w:rFonts w:eastAsia="Verdana" w:cs="Verdana"/>
          <w:color w:val="FF0000"/>
          <w:lang w:val="bg-BG"/>
        </w:rPr>
        <w:t>. Чрез приноса си към декарбонизацията на регионалния енергиен микс, проектът намалява излагането на населението на замърсители на въздуха с фосилен произход и ограничава интензивността на епизодите на екстремна жега; тези фактори, епидемиологично свързани с инцидентността на сърдечно-съдовите и респираторните заболявания, намаляват, което подкрепя увеличаването на продължителността на живота и намаляването на разходите за обществено здравеопазване и от двете страни на границата.</w:t>
      </w:r>
    </w:p>
    <w:p w14:paraId="7C1F5E56" w14:textId="77777777" w:rsidR="0025286B" w:rsidRPr="0025286B" w:rsidRDefault="0025286B" w:rsidP="0025286B">
      <w:pPr>
        <w:spacing w:after="120" w:line="360" w:lineRule="auto"/>
        <w:ind w:left="-20" w:right="-20"/>
        <w:jc w:val="both"/>
        <w:rPr>
          <w:rFonts w:eastAsia="Verdana" w:cs="Verdana"/>
          <w:color w:val="FF0000"/>
          <w:lang w:val="bg-BG"/>
        </w:rPr>
      </w:pPr>
      <w:r w:rsidRPr="0025286B">
        <w:rPr>
          <w:rFonts w:eastAsia="Verdana" w:cs="Verdana"/>
          <w:b/>
          <w:bCs/>
          <w:color w:val="FF0000"/>
          <w:lang w:val="bg-BG"/>
        </w:rPr>
        <w:lastRenderedPageBreak/>
        <w:t>Сравнителната оценка на трите етапа показва, че</w:t>
      </w:r>
      <w:r w:rsidRPr="0025286B">
        <w:rPr>
          <w:rFonts w:eastAsia="Verdana" w:cs="Verdana"/>
          <w:color w:val="FF0000"/>
          <w:lang w:val="bg-BG"/>
        </w:rPr>
        <w:t>:</w:t>
      </w:r>
    </w:p>
    <w:p w14:paraId="5A7307F2" w14:textId="77777777" w:rsidR="0025286B" w:rsidRPr="0025286B" w:rsidRDefault="0025286B" w:rsidP="0025286B">
      <w:pPr>
        <w:numPr>
          <w:ilvl w:val="0"/>
          <w:numId w:val="186"/>
        </w:numPr>
        <w:tabs>
          <w:tab w:val="num" w:pos="720"/>
        </w:tabs>
        <w:spacing w:after="120" w:line="360" w:lineRule="auto"/>
        <w:ind w:left="360"/>
        <w:contextualSpacing/>
        <w:jc w:val="both"/>
        <w:rPr>
          <w:rFonts w:eastAsia="Verdana" w:cs="Verdana"/>
          <w:color w:val="FF0000"/>
          <w:lang w:val="bg-BG"/>
        </w:rPr>
      </w:pPr>
      <w:r w:rsidRPr="0025286B">
        <w:rPr>
          <w:rFonts w:eastAsia="Verdana" w:cs="Verdana"/>
          <w:b/>
          <w:bCs/>
          <w:color w:val="FF0000"/>
          <w:lang w:val="bg-BG"/>
        </w:rPr>
        <w:t>Строителството</w:t>
      </w:r>
      <w:r w:rsidRPr="0025286B">
        <w:rPr>
          <w:rFonts w:eastAsia="Verdana" w:cs="Verdana"/>
          <w:color w:val="FF0000"/>
          <w:lang w:val="bg-BG"/>
        </w:rPr>
        <w:t xml:space="preserve"> предизвиква локални и временни нарушения (прах, шум, инертни отпадъци), но те се разсейват преди граничната линия; не се отчитат превишения на международните стандарти за въздух или шум, а работата по водата се контролира чрез хоризонтално сондиране и планове за спешни случаи..</w:t>
      </w:r>
    </w:p>
    <w:p w14:paraId="0A04AEC0" w14:textId="77777777" w:rsidR="0025286B" w:rsidRPr="0025286B" w:rsidRDefault="0025286B" w:rsidP="0025286B">
      <w:pPr>
        <w:numPr>
          <w:ilvl w:val="0"/>
          <w:numId w:val="186"/>
        </w:numPr>
        <w:tabs>
          <w:tab w:val="num" w:pos="720"/>
        </w:tabs>
        <w:spacing w:after="120" w:line="360" w:lineRule="auto"/>
        <w:ind w:left="360"/>
        <w:contextualSpacing/>
        <w:jc w:val="both"/>
        <w:rPr>
          <w:rFonts w:eastAsia="Verdana" w:cs="Verdana"/>
          <w:color w:val="FF0000"/>
          <w:lang w:val="bg-BG"/>
        </w:rPr>
      </w:pPr>
      <w:r w:rsidRPr="0025286B">
        <w:rPr>
          <w:rFonts w:eastAsia="Verdana" w:cs="Verdana"/>
          <w:b/>
          <w:bCs/>
          <w:color w:val="FF0000"/>
          <w:lang w:val="bg-BG"/>
        </w:rPr>
        <w:t>Експлоатацията</w:t>
      </w:r>
      <w:r w:rsidRPr="0025286B">
        <w:rPr>
          <w:rFonts w:eastAsia="Verdana" w:cs="Verdana"/>
          <w:color w:val="FF0000"/>
          <w:lang w:val="bg-BG"/>
        </w:rPr>
        <w:t xml:space="preserve"> има най-ниска степен на натиск: турбините не изпускат течни или газообразни замърсители, шумът, изчислен на границата, е с 18 дБ под максимално допустимия праг, а проектът генерира нетен климатичен ефект чрез избягване на изкопаеми горива.</w:t>
      </w:r>
    </w:p>
    <w:p w14:paraId="70B0BB70" w14:textId="77777777" w:rsidR="0025286B" w:rsidRPr="0025286B" w:rsidRDefault="0025286B" w:rsidP="0025286B">
      <w:pPr>
        <w:numPr>
          <w:ilvl w:val="0"/>
          <w:numId w:val="186"/>
        </w:numPr>
        <w:tabs>
          <w:tab w:val="num" w:pos="720"/>
        </w:tabs>
        <w:spacing w:after="120" w:line="360" w:lineRule="auto"/>
        <w:ind w:left="360"/>
        <w:contextualSpacing/>
        <w:jc w:val="both"/>
        <w:rPr>
          <w:rFonts w:eastAsia="Verdana" w:cs="Verdana"/>
          <w:color w:val="FF0000"/>
          <w:lang w:val="bg-BG"/>
        </w:rPr>
      </w:pPr>
      <w:r w:rsidRPr="0025286B">
        <w:rPr>
          <w:rFonts w:eastAsia="Verdana" w:cs="Verdana"/>
          <w:b/>
          <w:bCs/>
          <w:color w:val="FF0000"/>
          <w:lang w:val="bg-BG"/>
        </w:rPr>
        <w:t>Демонтирането</w:t>
      </w:r>
      <w:r w:rsidRPr="0025286B">
        <w:rPr>
          <w:rFonts w:eastAsia="Verdana" w:cs="Verdana"/>
          <w:color w:val="FF0000"/>
          <w:lang w:val="bg-BG"/>
        </w:rPr>
        <w:t xml:space="preserve"> повтаря смущенията в строителството, но в по-кратък интервал и с възможност за рециклиране на над 90% от демонтираните материали; транспортирането и обработката на отпадъците се управляват изключително на национална територия, елиминирайки трансграничния вектор..</w:t>
      </w:r>
    </w:p>
    <w:p w14:paraId="4713A0A9" w14:textId="77777777" w:rsidR="0025286B" w:rsidRPr="0025286B" w:rsidRDefault="0025286B" w:rsidP="0025286B">
      <w:pPr>
        <w:spacing w:after="120" w:line="360" w:lineRule="auto"/>
        <w:ind w:left="-20" w:right="-20"/>
        <w:jc w:val="both"/>
        <w:rPr>
          <w:rFonts w:eastAsia="Verdana" w:cs="Verdana"/>
          <w:b/>
          <w:bCs/>
          <w:color w:val="FF0000"/>
          <w:lang w:val="bg-BG"/>
        </w:rPr>
      </w:pPr>
      <w:r w:rsidRPr="0025286B">
        <w:rPr>
          <w:rFonts w:eastAsia="Verdana" w:cs="Verdana"/>
          <w:b/>
          <w:bCs/>
          <w:color w:val="FF0000"/>
          <w:lang w:val="bg-BG"/>
        </w:rPr>
        <w:t xml:space="preserve">Следователно, за нито един комбиниран фактор на околната среда през жизнения цикъл не се надвишават максимално </w:t>
      </w:r>
      <w:r w:rsidRPr="0025286B">
        <w:rPr>
          <w:rFonts w:eastAsia="Verdana" w:cs="Verdana"/>
          <w:color w:val="FF0000"/>
          <w:lang w:val="bg-BG"/>
        </w:rPr>
        <w:t>допустимите стойности на европейско ниво. Ефектите остават локални, временни и с намален интензитет, а в областта на климата и енергията балансът е положителен за двете държави. Така проектът сумира</w:t>
      </w:r>
      <w:r w:rsidRPr="0025286B">
        <w:rPr>
          <w:rFonts w:eastAsia="Verdana" w:cs="Verdana"/>
          <w:b/>
          <w:bCs/>
          <w:color w:val="FF0000"/>
          <w:lang w:val="bg-BG"/>
        </w:rPr>
        <w:t xml:space="preserve"> незначително трансгранично въздействие </w:t>
      </w:r>
      <w:r w:rsidRPr="0025286B">
        <w:rPr>
          <w:rFonts w:eastAsia="Verdana" w:cs="Verdana"/>
          <w:color w:val="FF0000"/>
          <w:lang w:val="bg-BG"/>
        </w:rPr>
        <w:t>през цялото си оперативно изпълнение.</w:t>
      </w:r>
      <w:r w:rsidRPr="0025286B">
        <w:rPr>
          <w:rFonts w:eastAsia="Verdana" w:cs="Verdana"/>
          <w:b/>
          <w:bCs/>
          <w:color w:val="FF0000"/>
          <w:lang w:val="bg-BG"/>
        </w:rPr>
        <w:t xml:space="preserve"> </w:t>
      </w:r>
    </w:p>
    <w:p w14:paraId="57075FAA" w14:textId="77777777" w:rsidR="0025286B" w:rsidRPr="0025286B" w:rsidRDefault="0025286B" w:rsidP="0025286B">
      <w:pPr>
        <w:spacing w:after="160" w:line="259" w:lineRule="auto"/>
        <w:rPr>
          <w:rFonts w:ascii="Aptos" w:eastAsia="Aptos" w:hAnsi="Aptos" w:cs="Times New Roman"/>
          <w:kern w:val="2"/>
          <w:sz w:val="22"/>
          <w:szCs w:val="22"/>
          <w:lang w:val="bg-BG"/>
          <w14:ligatures w14:val="standardContextual"/>
        </w:rPr>
        <w:sectPr w:rsidR="0025286B" w:rsidRPr="0025286B" w:rsidSect="0025286B">
          <w:footerReference w:type="even" r:id="rId98"/>
          <w:footerReference w:type="default" r:id="rId99"/>
          <w:footerReference w:type="first" r:id="rId100"/>
          <w:pgSz w:w="11906" w:h="16838" w:code="9"/>
          <w:pgMar w:top="1440" w:right="1440" w:bottom="1440" w:left="1440" w:header="708" w:footer="708" w:gutter="0"/>
          <w:cols w:space="708"/>
          <w:docGrid w:linePitch="360"/>
        </w:sectPr>
      </w:pPr>
    </w:p>
    <w:p w14:paraId="50EDE8A7" w14:textId="77777777" w:rsidR="0025286B" w:rsidRPr="0025286B" w:rsidRDefault="0025286B" w:rsidP="0025286B">
      <w:pPr>
        <w:spacing w:after="160" w:line="259" w:lineRule="auto"/>
        <w:rPr>
          <w:rFonts w:ascii="Aptos" w:eastAsia="Aptos" w:hAnsi="Aptos" w:cs="Times New Roman"/>
          <w:color w:val="FF0000"/>
          <w:kern w:val="2"/>
          <w:sz w:val="22"/>
          <w:szCs w:val="22"/>
          <w14:ligatures w14:val="standardContextual"/>
        </w:rPr>
      </w:pPr>
    </w:p>
    <w:tbl>
      <w:tblPr>
        <w:tblW w:w="5384" w:type="pct"/>
        <w:tblInd w:w="-70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1708"/>
        <w:gridCol w:w="1474"/>
        <w:gridCol w:w="1530"/>
        <w:gridCol w:w="1593"/>
        <w:gridCol w:w="1238"/>
        <w:gridCol w:w="1241"/>
        <w:gridCol w:w="1354"/>
        <w:gridCol w:w="1357"/>
        <w:gridCol w:w="1122"/>
        <w:gridCol w:w="1175"/>
        <w:gridCol w:w="1122"/>
      </w:tblGrid>
      <w:tr w:rsidR="0025286B" w:rsidRPr="0025286B" w14:paraId="18E2D08A" w14:textId="77777777" w:rsidTr="006F683E">
        <w:trPr>
          <w:tblHeader/>
        </w:trPr>
        <w:tc>
          <w:tcPr>
            <w:tcW w:w="573" w:type="pct"/>
            <w:vMerge w:val="restart"/>
            <w:shd w:val="clear" w:color="auto" w:fill="009DF0"/>
          </w:tcPr>
          <w:p w14:paraId="52033E16" w14:textId="77777777" w:rsidR="0025286B" w:rsidRPr="0025286B" w:rsidRDefault="0025286B" w:rsidP="0025286B">
            <w:pPr>
              <w:rPr>
                <w:rFonts w:eastAsia="Verdana" w:cs="Times New Roman"/>
                <w:color w:val="FF0000"/>
                <w:lang w:val="bg-BG"/>
              </w:rPr>
            </w:pPr>
            <w:r w:rsidRPr="0025286B">
              <w:rPr>
                <w:rFonts w:eastAsia="Verdana" w:cs="Times New Roman"/>
                <w:color w:val="FF0000"/>
                <w:lang w:val="bg-BG"/>
              </w:rPr>
              <w:t>Фаза на проекта</w:t>
            </w:r>
          </w:p>
        </w:tc>
        <w:tc>
          <w:tcPr>
            <w:tcW w:w="494" w:type="pct"/>
            <w:vMerge w:val="restart"/>
            <w:shd w:val="clear" w:color="auto" w:fill="009DF0"/>
          </w:tcPr>
          <w:p w14:paraId="6171AFA7" w14:textId="77777777" w:rsidR="0025286B" w:rsidRPr="0025286B" w:rsidRDefault="0025286B" w:rsidP="0025286B">
            <w:pPr>
              <w:rPr>
                <w:rFonts w:eastAsia="Verdana" w:cs="Times New Roman"/>
                <w:color w:val="FF0000"/>
                <w:lang w:val="bg-BG"/>
              </w:rPr>
            </w:pPr>
            <w:r w:rsidRPr="0025286B">
              <w:rPr>
                <w:rFonts w:eastAsia="Verdana" w:cs="Times New Roman"/>
                <w:color w:val="FF0000"/>
                <w:lang w:val="bg-BG"/>
              </w:rPr>
              <w:t xml:space="preserve">Дейности в близост до плана </w:t>
            </w:r>
          </w:p>
        </w:tc>
        <w:tc>
          <w:tcPr>
            <w:tcW w:w="3933" w:type="pct"/>
            <w:gridSpan w:val="9"/>
            <w:shd w:val="clear" w:color="auto" w:fill="009DF0"/>
            <w:vAlign w:val="center"/>
          </w:tcPr>
          <w:p w14:paraId="616C7574" w14:textId="77777777" w:rsidR="0025286B" w:rsidRPr="0025286B" w:rsidRDefault="0025286B" w:rsidP="0025286B">
            <w:pPr>
              <w:jc w:val="center"/>
              <w:rPr>
                <w:rFonts w:eastAsia="Verdana" w:cs="Times New Roman"/>
                <w:color w:val="FF0000"/>
                <w:lang w:val="bg-BG"/>
              </w:rPr>
            </w:pPr>
            <w:r w:rsidRPr="0025286B">
              <w:rPr>
                <w:rFonts w:eastAsia="Verdana" w:cs="Times New Roman"/>
                <w:color w:val="FF0000"/>
                <w:lang w:val="bg-BG"/>
              </w:rPr>
              <w:t>Трансгранично кумулативно въздействие</w:t>
            </w:r>
          </w:p>
        </w:tc>
      </w:tr>
      <w:tr w:rsidR="0025286B" w:rsidRPr="0025286B" w14:paraId="34B984E0" w14:textId="77777777" w:rsidTr="006F683E">
        <w:trPr>
          <w:tblHeader/>
        </w:trPr>
        <w:tc>
          <w:tcPr>
            <w:tcW w:w="573" w:type="pct"/>
            <w:vMerge/>
            <w:shd w:val="clear" w:color="auto" w:fill="009DF0"/>
          </w:tcPr>
          <w:p w14:paraId="5066F91A" w14:textId="77777777" w:rsidR="0025286B" w:rsidRPr="0025286B" w:rsidRDefault="0025286B" w:rsidP="0025286B">
            <w:pPr>
              <w:rPr>
                <w:rFonts w:eastAsia="Verdana" w:cs="Times New Roman"/>
                <w:color w:val="FF0000"/>
                <w:lang w:val="bg-BG"/>
              </w:rPr>
            </w:pPr>
          </w:p>
        </w:tc>
        <w:tc>
          <w:tcPr>
            <w:tcW w:w="494" w:type="pct"/>
            <w:vMerge/>
            <w:shd w:val="clear" w:color="auto" w:fill="009DF0"/>
          </w:tcPr>
          <w:p w14:paraId="196F326A" w14:textId="77777777" w:rsidR="0025286B" w:rsidRPr="0025286B" w:rsidRDefault="0025286B" w:rsidP="0025286B">
            <w:pPr>
              <w:rPr>
                <w:rFonts w:eastAsia="Verdana" w:cs="Times New Roman"/>
                <w:color w:val="FF0000"/>
                <w:lang w:val="bg-BG"/>
              </w:rPr>
            </w:pPr>
          </w:p>
        </w:tc>
        <w:tc>
          <w:tcPr>
            <w:tcW w:w="513" w:type="pct"/>
            <w:shd w:val="clear" w:color="auto" w:fill="009DF0"/>
            <w:vAlign w:val="center"/>
          </w:tcPr>
          <w:p w14:paraId="59EDC96C" w14:textId="77777777" w:rsidR="0025286B" w:rsidRPr="0025286B" w:rsidRDefault="0025286B" w:rsidP="0025286B">
            <w:pPr>
              <w:jc w:val="center"/>
              <w:rPr>
                <w:rFonts w:eastAsia="Verdana" w:cs="Times New Roman"/>
                <w:color w:val="FF0000"/>
                <w:lang w:val="bg-BG"/>
              </w:rPr>
            </w:pPr>
            <w:r w:rsidRPr="0025286B">
              <w:rPr>
                <w:rFonts w:eastAsia="Verdana" w:cs="Times New Roman"/>
                <w:color w:val="FF0000"/>
                <w:lang w:val="bg-BG"/>
              </w:rPr>
              <w:t>Вода</w:t>
            </w:r>
          </w:p>
        </w:tc>
        <w:tc>
          <w:tcPr>
            <w:tcW w:w="534" w:type="pct"/>
            <w:shd w:val="clear" w:color="auto" w:fill="009DF0"/>
            <w:vAlign w:val="center"/>
          </w:tcPr>
          <w:p w14:paraId="125527ED" w14:textId="77777777" w:rsidR="0025286B" w:rsidRPr="0025286B" w:rsidRDefault="0025286B" w:rsidP="0025286B">
            <w:pPr>
              <w:jc w:val="center"/>
              <w:rPr>
                <w:rFonts w:eastAsia="Verdana" w:cs="Times New Roman"/>
                <w:color w:val="FF0000"/>
                <w:lang w:val="bg-BG"/>
              </w:rPr>
            </w:pPr>
            <w:r w:rsidRPr="0025286B">
              <w:rPr>
                <w:rFonts w:eastAsia="Verdana" w:cs="Times New Roman"/>
                <w:color w:val="FF0000"/>
                <w:lang w:val="bg-BG"/>
              </w:rPr>
              <w:t>Въздух</w:t>
            </w:r>
          </w:p>
        </w:tc>
        <w:tc>
          <w:tcPr>
            <w:tcW w:w="415" w:type="pct"/>
            <w:shd w:val="clear" w:color="auto" w:fill="009DF0"/>
            <w:vAlign w:val="center"/>
          </w:tcPr>
          <w:p w14:paraId="67E973F4" w14:textId="77777777" w:rsidR="0025286B" w:rsidRPr="0025286B" w:rsidRDefault="0025286B" w:rsidP="0025286B">
            <w:pPr>
              <w:jc w:val="center"/>
              <w:rPr>
                <w:rFonts w:eastAsia="Verdana" w:cs="Times New Roman"/>
                <w:color w:val="FF0000"/>
                <w:lang w:val="bg-BG"/>
              </w:rPr>
            </w:pPr>
            <w:r w:rsidRPr="0025286B">
              <w:rPr>
                <w:rFonts w:eastAsia="Aptos" w:cs="Arial"/>
                <w:color w:val="FF0000"/>
                <w:lang w:val="bg-BG"/>
              </w:rPr>
              <w:t>Земя / Подпочва</w:t>
            </w:r>
          </w:p>
        </w:tc>
        <w:tc>
          <w:tcPr>
            <w:tcW w:w="416" w:type="pct"/>
            <w:shd w:val="clear" w:color="auto" w:fill="009DF0"/>
            <w:vAlign w:val="center"/>
          </w:tcPr>
          <w:p w14:paraId="02125513" w14:textId="77777777" w:rsidR="0025286B" w:rsidRPr="0025286B" w:rsidRDefault="0025286B" w:rsidP="0025286B">
            <w:pPr>
              <w:jc w:val="center"/>
              <w:rPr>
                <w:rFonts w:eastAsia="Verdana" w:cs="Times New Roman"/>
                <w:color w:val="FF0000"/>
                <w:lang w:val="bg-BG"/>
              </w:rPr>
            </w:pPr>
            <w:r w:rsidRPr="0025286B">
              <w:rPr>
                <w:rFonts w:eastAsia="Aptos" w:cs="Arial"/>
                <w:color w:val="FF0000"/>
                <w:lang w:val="bg-BG"/>
              </w:rPr>
              <w:t>Природни ресурси</w:t>
            </w:r>
          </w:p>
        </w:tc>
        <w:tc>
          <w:tcPr>
            <w:tcW w:w="454" w:type="pct"/>
            <w:shd w:val="clear" w:color="auto" w:fill="009DF0"/>
            <w:vAlign w:val="center"/>
          </w:tcPr>
          <w:p w14:paraId="14566FEE" w14:textId="77777777" w:rsidR="0025286B" w:rsidRPr="0025286B" w:rsidRDefault="0025286B" w:rsidP="0025286B">
            <w:pPr>
              <w:jc w:val="center"/>
              <w:rPr>
                <w:rFonts w:eastAsia="Verdana" w:cs="Times New Roman"/>
                <w:color w:val="FF0000"/>
                <w:lang w:val="bg-BG"/>
              </w:rPr>
            </w:pPr>
            <w:r w:rsidRPr="0025286B">
              <w:rPr>
                <w:rFonts w:eastAsia="Verdana" w:cs="Times New Roman"/>
                <w:color w:val="FF0000"/>
                <w:lang w:val="bg-BG"/>
              </w:rPr>
              <w:t>Отпадъци</w:t>
            </w:r>
          </w:p>
        </w:tc>
        <w:tc>
          <w:tcPr>
            <w:tcW w:w="455" w:type="pct"/>
            <w:shd w:val="clear" w:color="auto" w:fill="009DF0"/>
            <w:vAlign w:val="center"/>
          </w:tcPr>
          <w:p w14:paraId="5310AF84" w14:textId="77777777" w:rsidR="0025286B" w:rsidRPr="0025286B" w:rsidRDefault="0025286B" w:rsidP="0025286B">
            <w:pPr>
              <w:jc w:val="center"/>
              <w:rPr>
                <w:rFonts w:eastAsia="Verdana" w:cs="Times New Roman"/>
                <w:color w:val="FF0000"/>
                <w:lang w:val="bg-BG"/>
              </w:rPr>
            </w:pPr>
            <w:r w:rsidRPr="0025286B">
              <w:rPr>
                <w:rFonts w:eastAsia="Verdana" w:cs="Times New Roman"/>
                <w:color w:val="FF0000"/>
                <w:lang w:val="bg-BG"/>
              </w:rPr>
              <w:t>Шум и вибрации</w:t>
            </w:r>
          </w:p>
        </w:tc>
        <w:tc>
          <w:tcPr>
            <w:tcW w:w="376" w:type="pct"/>
            <w:shd w:val="clear" w:color="auto" w:fill="009DF0"/>
            <w:vAlign w:val="center"/>
          </w:tcPr>
          <w:p w14:paraId="422A3252" w14:textId="77777777" w:rsidR="0025286B" w:rsidRPr="0025286B" w:rsidRDefault="0025286B" w:rsidP="0025286B">
            <w:pPr>
              <w:jc w:val="center"/>
              <w:rPr>
                <w:rFonts w:eastAsia="Verdana" w:cs="Times New Roman"/>
                <w:color w:val="FF0000"/>
                <w:lang w:val="bg-BG"/>
              </w:rPr>
            </w:pPr>
            <w:r w:rsidRPr="0025286B">
              <w:rPr>
                <w:rFonts w:eastAsia="Verdana" w:cs="Times New Roman"/>
                <w:color w:val="FF0000"/>
                <w:lang w:val="bg-BG"/>
              </w:rPr>
              <w:t>Население и здраве</w:t>
            </w:r>
          </w:p>
        </w:tc>
        <w:tc>
          <w:tcPr>
            <w:tcW w:w="394" w:type="pct"/>
            <w:shd w:val="clear" w:color="auto" w:fill="009DF0"/>
            <w:vAlign w:val="center"/>
          </w:tcPr>
          <w:p w14:paraId="67D945AF" w14:textId="77777777" w:rsidR="0025286B" w:rsidRPr="0025286B" w:rsidRDefault="0025286B" w:rsidP="0025286B">
            <w:pPr>
              <w:jc w:val="center"/>
              <w:rPr>
                <w:rFonts w:eastAsia="Verdana" w:cs="Times New Roman"/>
                <w:color w:val="FF0000"/>
                <w:lang w:val="bg-BG"/>
              </w:rPr>
            </w:pPr>
            <w:r w:rsidRPr="0025286B">
              <w:rPr>
                <w:rFonts w:eastAsia="Verdana" w:cs="Times New Roman"/>
                <w:color w:val="FF0000"/>
                <w:lang w:val="bg-BG"/>
              </w:rPr>
              <w:t>Климатични промени</w:t>
            </w:r>
          </w:p>
        </w:tc>
        <w:tc>
          <w:tcPr>
            <w:tcW w:w="376" w:type="pct"/>
            <w:shd w:val="clear" w:color="auto" w:fill="009DF0"/>
            <w:vAlign w:val="center"/>
          </w:tcPr>
          <w:p w14:paraId="155338DF" w14:textId="77777777" w:rsidR="0025286B" w:rsidRPr="0025286B" w:rsidRDefault="0025286B" w:rsidP="0025286B">
            <w:pPr>
              <w:jc w:val="center"/>
              <w:rPr>
                <w:rFonts w:eastAsia="Verdana" w:cs="Times New Roman"/>
                <w:color w:val="FF0000"/>
                <w:lang w:val="bg-BG"/>
              </w:rPr>
            </w:pPr>
            <w:r w:rsidRPr="0025286B">
              <w:rPr>
                <w:rFonts w:eastAsia="Aptos" w:cs="Arial"/>
                <w:color w:val="FF0000"/>
                <w:lang w:val="bg-BG"/>
              </w:rPr>
              <w:t>Културно наследство</w:t>
            </w:r>
          </w:p>
        </w:tc>
      </w:tr>
      <w:tr w:rsidR="0025286B" w:rsidRPr="0025286B" w14:paraId="0E34DE05" w14:textId="77777777" w:rsidTr="006F683E">
        <w:tc>
          <w:tcPr>
            <w:tcW w:w="573" w:type="pct"/>
            <w:vMerge w:val="restart"/>
            <w:vAlign w:val="center"/>
          </w:tcPr>
          <w:p w14:paraId="4C2B5240" w14:textId="77777777" w:rsidR="0025286B" w:rsidRPr="0025286B" w:rsidRDefault="0025286B" w:rsidP="0025286B">
            <w:pPr>
              <w:rPr>
                <w:rFonts w:eastAsia="Verdana" w:cs="Times New Roman"/>
                <w:color w:val="FF0000"/>
                <w:lang w:val="bg-BG"/>
              </w:rPr>
            </w:pPr>
            <w:r w:rsidRPr="0025286B">
              <w:rPr>
                <w:rFonts w:eastAsia="Verdana" w:cs="Times New Roman"/>
                <w:color w:val="FF0000"/>
                <w:lang w:val="bg-BG"/>
              </w:rPr>
              <w:t>Строителство/извеждане от експлоатация</w:t>
            </w:r>
          </w:p>
        </w:tc>
        <w:tc>
          <w:tcPr>
            <w:tcW w:w="494" w:type="pct"/>
            <w:shd w:val="clear" w:color="auto" w:fill="auto"/>
            <w:vAlign w:val="center"/>
          </w:tcPr>
          <w:p w14:paraId="34FF4907" w14:textId="77777777" w:rsidR="0025286B" w:rsidRPr="0025286B" w:rsidRDefault="0025286B" w:rsidP="0025286B">
            <w:pPr>
              <w:rPr>
                <w:rFonts w:eastAsia="Verdana" w:cs="Times New Roman"/>
                <w:color w:val="FF0000"/>
                <w:lang w:val="bg-BG"/>
              </w:rPr>
            </w:pPr>
            <w:r w:rsidRPr="0025286B">
              <w:rPr>
                <w:rFonts w:eastAsia="Verdana" w:cs="Times New Roman"/>
                <w:color w:val="FF0000"/>
                <w:lang w:val="bg-BG"/>
              </w:rPr>
              <w:t xml:space="preserve">Селскостопански дейности – непосредствена близост </w:t>
            </w:r>
          </w:p>
        </w:tc>
        <w:tc>
          <w:tcPr>
            <w:tcW w:w="513" w:type="pct"/>
            <w:shd w:val="clear" w:color="auto" w:fill="auto"/>
          </w:tcPr>
          <w:p w14:paraId="40A15AF9"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t xml:space="preserve">Дъждовната вода се инфилтрира в почвата и не достига до трансграничните реки. </w:t>
            </w:r>
          </w:p>
          <w:p w14:paraId="092BDC99" w14:textId="77777777" w:rsidR="0025286B" w:rsidRPr="0025286B" w:rsidRDefault="0025286B" w:rsidP="0025286B">
            <w:pPr>
              <w:jc w:val="both"/>
              <w:rPr>
                <w:rFonts w:eastAsia="Verdana" w:cs="Times New Roman"/>
                <w:color w:val="FF0000"/>
                <w:lang w:val="bg-BG"/>
              </w:rPr>
            </w:pPr>
          </w:p>
          <w:p w14:paraId="72BAA0C3"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t>Не се изпускат отпадни води в повърхностни водни обекти, които пресичат границата, и регионалната подземна вода няма значителен трансграничен поток.</w:t>
            </w:r>
          </w:p>
        </w:tc>
        <w:tc>
          <w:tcPr>
            <w:tcW w:w="534" w:type="pct"/>
            <w:shd w:val="clear" w:color="auto" w:fill="auto"/>
            <w:vAlign w:val="center"/>
          </w:tcPr>
          <w:p w14:paraId="7CB6481B" w14:textId="77777777" w:rsidR="0025286B" w:rsidRPr="0025286B" w:rsidRDefault="0025286B" w:rsidP="0025286B">
            <w:pPr>
              <w:jc w:val="both"/>
              <w:rPr>
                <w:rFonts w:eastAsia="Verdana" w:cs="Times New Roman"/>
                <w:color w:val="FF0000"/>
                <w:lang w:val="bg-BG"/>
              </w:rPr>
            </w:pPr>
            <w:r w:rsidRPr="0025286B">
              <w:rPr>
                <w:rFonts w:eastAsia="Aptos" w:cs="Times New Roman"/>
                <w:color w:val="FF0000"/>
                <w:lang w:val="bg-BG"/>
                <w14:ligatures w14:val="standardContextual"/>
              </w:rPr>
              <w:t>Съответните емисии са прах и отработени газове от машини; те се разпръскват бързо, а разстоянието до границата (&gt; 1,5 км) и кратката продължителност не позволяват надвишаване на пределно допустимите концентрации на територията на съседната държава.</w:t>
            </w:r>
          </w:p>
        </w:tc>
        <w:tc>
          <w:tcPr>
            <w:tcW w:w="415" w:type="pct"/>
            <w:shd w:val="clear" w:color="auto" w:fill="auto"/>
            <w:vAlign w:val="center"/>
          </w:tcPr>
          <w:p w14:paraId="77F929F8"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t>Изкопните работи създават само временни складове за пръст и чакъл на място; няма механизъм, чрез който ефектът да преминава отвъд границата.</w:t>
            </w:r>
          </w:p>
        </w:tc>
        <w:tc>
          <w:tcPr>
            <w:tcW w:w="416" w:type="pct"/>
            <w:shd w:val="clear" w:color="auto" w:fill="auto"/>
            <w:vAlign w:val="center"/>
          </w:tcPr>
          <w:p w14:paraId="2CCBFA2B"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t>Материалите (баласт, цимент, стомана) са от местния пазар на приемащата страна; добивът/намаляването на наличността им не засяга трансграничните ресурси.</w:t>
            </w:r>
          </w:p>
        </w:tc>
        <w:tc>
          <w:tcPr>
            <w:tcW w:w="454" w:type="pct"/>
            <w:shd w:val="clear" w:color="auto" w:fill="auto"/>
            <w:vAlign w:val="center"/>
          </w:tcPr>
          <w:p w14:paraId="28490CD4"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t>Растителните и строителните отпадъци се събират и извозват до оторизирани съоръжения наблизо. Не се транспортират или складират отпадъци през границата.</w:t>
            </w:r>
          </w:p>
        </w:tc>
        <w:tc>
          <w:tcPr>
            <w:tcW w:w="455" w:type="pct"/>
            <w:shd w:val="clear" w:color="auto" w:fill="auto"/>
            <w:vAlign w:val="center"/>
          </w:tcPr>
          <w:p w14:paraId="157DE641" w14:textId="77777777" w:rsidR="0025286B" w:rsidRPr="0025286B" w:rsidRDefault="0025286B" w:rsidP="0025286B">
            <w:pPr>
              <w:jc w:val="both"/>
              <w:rPr>
                <w:rFonts w:eastAsia="Verdana" w:cs="Times New Roman"/>
                <w:color w:val="FF0000"/>
                <w:lang w:val="bg-BG"/>
              </w:rPr>
            </w:pPr>
            <w:r w:rsidRPr="0025286B">
              <w:rPr>
                <w:rFonts w:eastAsia="Aptos" w:cs="Times New Roman"/>
                <w:color w:val="FF0000"/>
                <w:lang w:val="bg-BG"/>
                <w14:ligatures w14:val="standardContextual"/>
              </w:rPr>
              <w:t>Нивата на шум от строителната площадка (70-75 дБ(A) при източника) спадат под 35-40 дБ(A) на 1 км; на границата са под праговете на значимост на СЗО, следователно не се появява трансгранично здравно въздействие.</w:t>
            </w:r>
          </w:p>
        </w:tc>
        <w:tc>
          <w:tcPr>
            <w:tcW w:w="376" w:type="pct"/>
            <w:shd w:val="clear" w:color="auto" w:fill="auto"/>
            <w:vAlign w:val="center"/>
          </w:tcPr>
          <w:p w14:paraId="19F6F8CC" w14:textId="77777777" w:rsidR="0025286B" w:rsidRPr="0025286B" w:rsidRDefault="0025286B" w:rsidP="0025286B">
            <w:pPr>
              <w:jc w:val="both"/>
              <w:rPr>
                <w:rFonts w:eastAsia="Verdana" w:cs="Times New Roman"/>
                <w:color w:val="FF0000"/>
                <w:lang w:val="bg-BG"/>
              </w:rPr>
            </w:pPr>
            <w:r w:rsidRPr="0025286B">
              <w:rPr>
                <w:rFonts w:eastAsia="Aptos" w:cs="Times New Roman"/>
                <w:color w:val="FF0000"/>
                <w:lang w:val="bg-BG"/>
                <w14:ligatures w14:val="standardContextual"/>
              </w:rPr>
              <w:t xml:space="preserve">Прякото излагане се ограничава до близките селски райони; населението отвъд границата не е изложено на допълнителен рисков фактор. </w:t>
            </w:r>
          </w:p>
        </w:tc>
        <w:tc>
          <w:tcPr>
            <w:tcW w:w="394" w:type="pct"/>
            <w:shd w:val="clear" w:color="auto" w:fill="auto"/>
            <w:vAlign w:val="center"/>
          </w:tcPr>
          <w:p w14:paraId="32B371E4" w14:textId="77777777" w:rsidR="0025286B" w:rsidRPr="0025286B" w:rsidRDefault="0025286B" w:rsidP="0025286B">
            <w:pPr>
              <w:jc w:val="both"/>
              <w:rPr>
                <w:rFonts w:eastAsia="Verdana" w:cs="Times New Roman"/>
                <w:color w:val="FF0000"/>
                <w:lang w:val="bg-BG"/>
              </w:rPr>
            </w:pPr>
            <w:r w:rsidRPr="0025286B">
              <w:rPr>
                <w:rFonts w:eastAsia="Aptos" w:cs="Times New Roman"/>
                <w:color w:val="FF0000"/>
                <w:lang w:val="bg-BG"/>
                <w14:ligatures w14:val="standardContextual"/>
              </w:rPr>
              <w:t>Емисиите на парникови газове от строителството (дизелово гориво на машини) са незначителни в сравнение с националния инвентар и не са от значение в трансграничен мащаб.</w:t>
            </w:r>
          </w:p>
        </w:tc>
        <w:tc>
          <w:tcPr>
            <w:tcW w:w="376" w:type="pct"/>
            <w:shd w:val="clear" w:color="auto" w:fill="auto"/>
            <w:vAlign w:val="center"/>
          </w:tcPr>
          <w:p w14:paraId="2925121E" w14:textId="77777777" w:rsidR="0025286B" w:rsidRPr="0025286B" w:rsidRDefault="0025286B" w:rsidP="0025286B">
            <w:pPr>
              <w:jc w:val="both"/>
              <w:rPr>
                <w:rFonts w:eastAsia="Verdana" w:cs="Times New Roman"/>
                <w:color w:val="FF0000"/>
                <w:lang w:val="bg-BG"/>
              </w:rPr>
            </w:pPr>
            <w:r w:rsidRPr="0025286B">
              <w:rPr>
                <w:rFonts w:eastAsia="Aptos" w:cs="Times New Roman"/>
                <w:color w:val="FF0000"/>
                <w:lang w:val="bg-BG"/>
                <w14:ligatures w14:val="standardContextual"/>
              </w:rPr>
              <w:t>Няма общи археологически обекти на границата, които да бъдат повлияни от работата.</w:t>
            </w:r>
          </w:p>
        </w:tc>
      </w:tr>
      <w:tr w:rsidR="0025286B" w:rsidRPr="0025286B" w14:paraId="4A4AC25C" w14:textId="77777777" w:rsidTr="006F683E">
        <w:tc>
          <w:tcPr>
            <w:tcW w:w="573" w:type="pct"/>
            <w:vMerge/>
          </w:tcPr>
          <w:p w14:paraId="1D36267B" w14:textId="77777777" w:rsidR="0025286B" w:rsidRPr="0025286B" w:rsidRDefault="0025286B" w:rsidP="0025286B">
            <w:pPr>
              <w:rPr>
                <w:rFonts w:eastAsia="Verdana" w:cs="Times New Roman"/>
                <w:color w:val="FF0000"/>
                <w:lang w:val="bg-BG"/>
              </w:rPr>
            </w:pPr>
          </w:p>
        </w:tc>
        <w:tc>
          <w:tcPr>
            <w:tcW w:w="494" w:type="pct"/>
            <w:shd w:val="clear" w:color="auto" w:fill="auto"/>
            <w:vAlign w:val="center"/>
          </w:tcPr>
          <w:p w14:paraId="416F0D28" w14:textId="77777777" w:rsidR="0025286B" w:rsidRPr="0025286B" w:rsidRDefault="0025286B" w:rsidP="0025286B">
            <w:pPr>
              <w:rPr>
                <w:rFonts w:eastAsia="Verdana" w:cs="Times New Roman"/>
                <w:color w:val="FF0000"/>
                <w:lang w:val="bg-BG"/>
              </w:rPr>
            </w:pPr>
            <w:r w:rsidRPr="0025286B">
              <w:rPr>
                <w:rFonts w:eastAsia="Verdana" w:cs="Times New Roman"/>
                <w:color w:val="FF0000"/>
                <w:lang w:val="bg-BG"/>
              </w:rPr>
              <w:t xml:space="preserve">Дейности по производство на електрическа енергия </w:t>
            </w:r>
            <w:r w:rsidRPr="0025286B">
              <w:rPr>
                <w:rFonts w:eastAsia="Verdana" w:cs="Times New Roman"/>
                <w:color w:val="FF0000"/>
                <w:lang w:val="bg-BG"/>
              </w:rPr>
              <w:lastRenderedPageBreak/>
              <w:t>(Вятърен парк Карнобат) – 5,6 км</w:t>
            </w:r>
          </w:p>
        </w:tc>
        <w:tc>
          <w:tcPr>
            <w:tcW w:w="513" w:type="pct"/>
            <w:shd w:val="clear" w:color="auto" w:fill="auto"/>
            <w:vAlign w:val="center"/>
          </w:tcPr>
          <w:p w14:paraId="5C589484"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lastRenderedPageBreak/>
              <w:t xml:space="preserve">Българските турбини не изпускат вода; посоката на </w:t>
            </w:r>
            <w:r w:rsidRPr="0025286B">
              <w:rPr>
                <w:rFonts w:eastAsia="Verdana" w:cs="Times New Roman"/>
                <w:color w:val="FF0000"/>
                <w:lang w:val="bg-BG"/>
              </w:rPr>
              <w:lastRenderedPageBreak/>
              <w:t xml:space="preserve">подземния поток е противоположна на границата. </w:t>
            </w:r>
          </w:p>
        </w:tc>
        <w:tc>
          <w:tcPr>
            <w:tcW w:w="534" w:type="pct"/>
            <w:shd w:val="clear" w:color="auto" w:fill="auto"/>
            <w:vAlign w:val="center"/>
          </w:tcPr>
          <w:p w14:paraId="4D4675C0"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lastRenderedPageBreak/>
              <w:t>Въздухът не е замърсен и няма източници на миризми.</w:t>
            </w:r>
          </w:p>
        </w:tc>
        <w:tc>
          <w:tcPr>
            <w:tcW w:w="415" w:type="pct"/>
            <w:shd w:val="clear" w:color="auto" w:fill="auto"/>
            <w:vAlign w:val="center"/>
          </w:tcPr>
          <w:p w14:paraId="232032E0"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t>Основите са стабилни; не се транспорт</w:t>
            </w:r>
            <w:r w:rsidRPr="0025286B">
              <w:rPr>
                <w:rFonts w:eastAsia="Verdana" w:cs="Times New Roman"/>
                <w:color w:val="FF0000"/>
                <w:lang w:val="bg-BG"/>
              </w:rPr>
              <w:lastRenderedPageBreak/>
              <w:t>ират частици към Румъния, като трансграничното въздействие е нулево.</w:t>
            </w:r>
          </w:p>
        </w:tc>
        <w:tc>
          <w:tcPr>
            <w:tcW w:w="416" w:type="pct"/>
            <w:shd w:val="clear" w:color="auto" w:fill="auto"/>
            <w:vAlign w:val="center"/>
          </w:tcPr>
          <w:p w14:paraId="254C72F9"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lastRenderedPageBreak/>
              <w:t xml:space="preserve">В процеса на работа на парка не се използват </w:t>
            </w:r>
            <w:r w:rsidRPr="0025286B">
              <w:rPr>
                <w:rFonts w:eastAsia="Verdana" w:cs="Times New Roman"/>
                <w:color w:val="FF0000"/>
                <w:lang w:val="bg-BG"/>
              </w:rPr>
              <w:lastRenderedPageBreak/>
              <w:t xml:space="preserve">природни ресурси, принадлежащи на румънската държава. </w:t>
            </w:r>
          </w:p>
        </w:tc>
        <w:tc>
          <w:tcPr>
            <w:tcW w:w="454" w:type="pct"/>
            <w:shd w:val="clear" w:color="auto" w:fill="auto"/>
            <w:vAlign w:val="center"/>
          </w:tcPr>
          <w:p w14:paraId="00E38BC2"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lastRenderedPageBreak/>
              <w:t xml:space="preserve">Отпадъците не се транспортират през границата, </w:t>
            </w:r>
            <w:r w:rsidRPr="0025286B">
              <w:rPr>
                <w:rFonts w:eastAsia="Verdana" w:cs="Times New Roman"/>
                <w:color w:val="FF0000"/>
                <w:lang w:val="bg-BG"/>
              </w:rPr>
              <w:lastRenderedPageBreak/>
              <w:t>поради което въздействието е нула.</w:t>
            </w:r>
          </w:p>
        </w:tc>
        <w:tc>
          <w:tcPr>
            <w:tcW w:w="455" w:type="pct"/>
            <w:shd w:val="clear" w:color="auto" w:fill="auto"/>
            <w:vAlign w:val="center"/>
          </w:tcPr>
          <w:p w14:paraId="34754807"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lastRenderedPageBreak/>
              <w:t xml:space="preserve">Като се има предвид разстоянието от границата и </w:t>
            </w:r>
            <w:r w:rsidRPr="0025286B">
              <w:rPr>
                <w:rFonts w:eastAsia="Verdana" w:cs="Times New Roman"/>
                <w:color w:val="FF0000"/>
                <w:lang w:val="bg-BG"/>
              </w:rPr>
              <w:lastRenderedPageBreak/>
              <w:t>фактът, че смущенията от шума, произвеждан от вятърен парк, се усещат на максимум 500 м, трансграничното въздействие е нула.</w:t>
            </w:r>
          </w:p>
        </w:tc>
        <w:tc>
          <w:tcPr>
            <w:tcW w:w="376" w:type="pct"/>
            <w:shd w:val="clear" w:color="auto" w:fill="auto"/>
            <w:vAlign w:val="center"/>
          </w:tcPr>
          <w:p w14:paraId="1258F104"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lastRenderedPageBreak/>
              <w:t xml:space="preserve">Селата в непосредствена близост, предвид </w:t>
            </w:r>
            <w:r w:rsidRPr="0025286B">
              <w:rPr>
                <w:rFonts w:eastAsia="Verdana" w:cs="Times New Roman"/>
                <w:color w:val="FF0000"/>
                <w:lang w:val="bg-BG"/>
              </w:rPr>
              <w:lastRenderedPageBreak/>
              <w:t xml:space="preserve">разстоянието от вятърната инфраструктура, не са засегнати. </w:t>
            </w:r>
          </w:p>
        </w:tc>
        <w:tc>
          <w:tcPr>
            <w:tcW w:w="394" w:type="pct"/>
            <w:shd w:val="clear" w:color="auto" w:fill="auto"/>
            <w:vAlign w:val="center"/>
          </w:tcPr>
          <w:p w14:paraId="7922D578"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lastRenderedPageBreak/>
              <w:t>Работата на парка не носи принос на парников</w:t>
            </w:r>
            <w:r w:rsidRPr="0025286B">
              <w:rPr>
                <w:rFonts w:eastAsia="Verdana" w:cs="Times New Roman"/>
                <w:color w:val="FF0000"/>
                <w:lang w:val="bg-BG"/>
              </w:rPr>
              <w:lastRenderedPageBreak/>
              <w:t>и газове на местно ниво.</w:t>
            </w:r>
          </w:p>
        </w:tc>
        <w:tc>
          <w:tcPr>
            <w:tcW w:w="376" w:type="pct"/>
            <w:shd w:val="clear" w:color="auto" w:fill="auto"/>
            <w:vAlign w:val="center"/>
          </w:tcPr>
          <w:p w14:paraId="486448D4"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lastRenderedPageBreak/>
              <w:t>Турбините не влияят на румънски</w:t>
            </w:r>
            <w:r w:rsidRPr="0025286B">
              <w:rPr>
                <w:rFonts w:eastAsia="Verdana" w:cs="Times New Roman"/>
                <w:color w:val="FF0000"/>
                <w:lang w:val="bg-BG"/>
              </w:rPr>
              <w:lastRenderedPageBreak/>
              <w:t>те исторически обекти.</w:t>
            </w:r>
          </w:p>
        </w:tc>
      </w:tr>
      <w:tr w:rsidR="0025286B" w:rsidRPr="0025286B" w14:paraId="248ECC28" w14:textId="77777777" w:rsidTr="006F683E">
        <w:tc>
          <w:tcPr>
            <w:tcW w:w="573" w:type="pct"/>
            <w:vMerge/>
          </w:tcPr>
          <w:p w14:paraId="310F18FE" w14:textId="77777777" w:rsidR="0025286B" w:rsidRPr="0025286B" w:rsidRDefault="0025286B" w:rsidP="0025286B">
            <w:pPr>
              <w:rPr>
                <w:rFonts w:eastAsia="Verdana" w:cs="Times New Roman"/>
                <w:color w:val="FF0000"/>
                <w:lang w:val="bg-BG"/>
              </w:rPr>
            </w:pPr>
          </w:p>
        </w:tc>
        <w:tc>
          <w:tcPr>
            <w:tcW w:w="494" w:type="pct"/>
            <w:shd w:val="clear" w:color="auto" w:fill="auto"/>
            <w:vAlign w:val="center"/>
          </w:tcPr>
          <w:p w14:paraId="2B3E8C63" w14:textId="77777777" w:rsidR="0025286B" w:rsidRPr="0025286B" w:rsidRDefault="0025286B" w:rsidP="0025286B">
            <w:pPr>
              <w:rPr>
                <w:rFonts w:eastAsia="Verdana" w:cs="Times New Roman"/>
                <w:color w:val="FF0000"/>
                <w:lang w:val="bg-BG"/>
              </w:rPr>
            </w:pPr>
            <w:r w:rsidRPr="0025286B">
              <w:rPr>
                <w:rFonts w:eastAsia="Verdana" w:cs="Times New Roman"/>
                <w:color w:val="FF0000"/>
                <w:lang w:val="bg-BG"/>
              </w:rPr>
              <w:t>Транспортна инфраструктура Път II-29 Добрич – Граница с Румъния – 1,5 км</w:t>
            </w:r>
          </w:p>
        </w:tc>
        <w:tc>
          <w:tcPr>
            <w:tcW w:w="513" w:type="pct"/>
            <w:shd w:val="clear" w:color="auto" w:fill="auto"/>
            <w:vAlign w:val="center"/>
          </w:tcPr>
          <w:p w14:paraId="199C69B7"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t xml:space="preserve">Отводнителните канали на пътя предотвратяват натрупването на трансгранично въздействие. </w:t>
            </w:r>
          </w:p>
        </w:tc>
        <w:tc>
          <w:tcPr>
            <w:tcW w:w="534" w:type="pct"/>
            <w:shd w:val="clear" w:color="auto" w:fill="auto"/>
            <w:vAlign w:val="center"/>
          </w:tcPr>
          <w:p w14:paraId="20904A5A"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t>Възможно временно въздействие поради трафика на строителната площадка и строителните работи.</w:t>
            </w:r>
          </w:p>
        </w:tc>
        <w:tc>
          <w:tcPr>
            <w:tcW w:w="415" w:type="pct"/>
            <w:shd w:val="clear" w:color="auto" w:fill="auto"/>
            <w:vAlign w:val="center"/>
          </w:tcPr>
          <w:p w14:paraId="5A81335D"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t>Съществуващата инфраструктура няма потенциал да генерира трансгранично въздействие.</w:t>
            </w:r>
          </w:p>
        </w:tc>
        <w:tc>
          <w:tcPr>
            <w:tcW w:w="416" w:type="pct"/>
            <w:shd w:val="clear" w:color="auto" w:fill="auto"/>
            <w:vAlign w:val="center"/>
          </w:tcPr>
          <w:p w14:paraId="299C5A5E"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t xml:space="preserve">Съществуващата инфраструктура не използва други природни ресурси освен местните. </w:t>
            </w:r>
          </w:p>
        </w:tc>
        <w:tc>
          <w:tcPr>
            <w:tcW w:w="454" w:type="pct"/>
            <w:shd w:val="clear" w:color="auto" w:fill="auto"/>
            <w:vAlign w:val="center"/>
          </w:tcPr>
          <w:p w14:paraId="6E438AFB"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t>Не се транспортират трансгранични отпадъци.</w:t>
            </w:r>
          </w:p>
        </w:tc>
        <w:tc>
          <w:tcPr>
            <w:tcW w:w="455" w:type="pct"/>
            <w:shd w:val="clear" w:color="auto" w:fill="auto"/>
            <w:vAlign w:val="center"/>
          </w:tcPr>
          <w:p w14:paraId="3037C049"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t>Въпреки че нивото на шум ще се увеличи на местно ниво, то няма да се натрупва със съществуващата инфраструктура.</w:t>
            </w:r>
          </w:p>
        </w:tc>
        <w:tc>
          <w:tcPr>
            <w:tcW w:w="376" w:type="pct"/>
            <w:shd w:val="clear" w:color="auto" w:fill="auto"/>
            <w:vAlign w:val="center"/>
          </w:tcPr>
          <w:p w14:paraId="65D88928"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t>Населението на Румъния няма да усети промени, експозицията остава непроменена.</w:t>
            </w:r>
          </w:p>
        </w:tc>
        <w:tc>
          <w:tcPr>
            <w:tcW w:w="394" w:type="pct"/>
            <w:shd w:val="clear" w:color="auto" w:fill="auto"/>
            <w:vAlign w:val="center"/>
          </w:tcPr>
          <w:p w14:paraId="3F12BF2A"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t>Климатичното въздействие ще бъде незначително.</w:t>
            </w:r>
          </w:p>
        </w:tc>
        <w:tc>
          <w:tcPr>
            <w:tcW w:w="376" w:type="pct"/>
            <w:shd w:val="clear" w:color="auto" w:fill="auto"/>
            <w:vAlign w:val="center"/>
          </w:tcPr>
          <w:p w14:paraId="4D3C7CDB"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t>Съществуващата инфраструктура не засяга общи културни зони или исторически пейзажи.</w:t>
            </w:r>
          </w:p>
        </w:tc>
      </w:tr>
      <w:tr w:rsidR="0025286B" w:rsidRPr="0025286B" w14:paraId="2E6AFBA8" w14:textId="77777777" w:rsidTr="006F683E">
        <w:tc>
          <w:tcPr>
            <w:tcW w:w="573" w:type="pct"/>
            <w:vMerge w:val="restart"/>
            <w:vAlign w:val="center"/>
          </w:tcPr>
          <w:p w14:paraId="153AD1E8" w14:textId="77777777" w:rsidR="0025286B" w:rsidRPr="0025286B" w:rsidRDefault="0025286B" w:rsidP="0025286B">
            <w:pPr>
              <w:rPr>
                <w:rFonts w:eastAsia="Verdana" w:cs="Times New Roman"/>
                <w:color w:val="FF0000"/>
                <w:lang w:val="bg-BG"/>
              </w:rPr>
            </w:pPr>
            <w:r w:rsidRPr="0025286B">
              <w:rPr>
                <w:rFonts w:eastAsia="Verdana" w:cs="Times New Roman"/>
                <w:color w:val="FF0000"/>
                <w:lang w:val="bg-BG"/>
              </w:rPr>
              <w:t>Експлоатация</w:t>
            </w:r>
          </w:p>
        </w:tc>
        <w:tc>
          <w:tcPr>
            <w:tcW w:w="494" w:type="pct"/>
            <w:shd w:val="clear" w:color="auto" w:fill="auto"/>
            <w:vAlign w:val="center"/>
          </w:tcPr>
          <w:p w14:paraId="0C936DAD" w14:textId="77777777" w:rsidR="0025286B" w:rsidRPr="0025286B" w:rsidRDefault="0025286B" w:rsidP="0025286B">
            <w:pPr>
              <w:rPr>
                <w:rFonts w:eastAsia="Verdana" w:cs="Times New Roman"/>
                <w:color w:val="FF0000"/>
                <w:lang w:val="bg-BG"/>
              </w:rPr>
            </w:pPr>
            <w:r w:rsidRPr="0025286B">
              <w:rPr>
                <w:rFonts w:eastAsia="Verdana" w:cs="Times New Roman"/>
                <w:color w:val="FF0000"/>
                <w:lang w:val="bg-BG"/>
              </w:rPr>
              <w:t xml:space="preserve">Селскостопански дейности – </w:t>
            </w:r>
            <w:r w:rsidRPr="0025286B">
              <w:rPr>
                <w:rFonts w:eastAsia="Verdana" w:cs="Times New Roman"/>
                <w:color w:val="FF0000"/>
                <w:lang w:val="bg-BG"/>
              </w:rPr>
              <w:lastRenderedPageBreak/>
              <w:t xml:space="preserve">непосредствена близост </w:t>
            </w:r>
          </w:p>
        </w:tc>
        <w:tc>
          <w:tcPr>
            <w:tcW w:w="513" w:type="pct"/>
            <w:shd w:val="clear" w:color="auto" w:fill="auto"/>
            <w:vAlign w:val="center"/>
          </w:tcPr>
          <w:p w14:paraId="0EE348C3"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lastRenderedPageBreak/>
              <w:t xml:space="preserve">Дъждовната вода прониква в </w:t>
            </w:r>
            <w:r w:rsidRPr="0025286B">
              <w:rPr>
                <w:rFonts w:eastAsia="Verdana" w:cs="Times New Roman"/>
                <w:color w:val="FF0000"/>
                <w:lang w:val="bg-BG"/>
              </w:rPr>
              <w:lastRenderedPageBreak/>
              <w:t xml:space="preserve">земята и не достига до граничните реки. </w:t>
            </w:r>
          </w:p>
        </w:tc>
        <w:tc>
          <w:tcPr>
            <w:tcW w:w="534" w:type="pct"/>
            <w:shd w:val="clear" w:color="auto" w:fill="auto"/>
            <w:vAlign w:val="center"/>
          </w:tcPr>
          <w:p w14:paraId="406B1C2F"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lastRenderedPageBreak/>
              <w:t xml:space="preserve">Прахолякът се разсейва бързо и не </w:t>
            </w:r>
            <w:r w:rsidRPr="0025286B">
              <w:rPr>
                <w:rFonts w:eastAsia="Verdana" w:cs="Times New Roman"/>
                <w:color w:val="FF0000"/>
                <w:lang w:val="bg-BG"/>
              </w:rPr>
              <w:lastRenderedPageBreak/>
              <w:t>увеличава замърсяването на границата.</w:t>
            </w:r>
          </w:p>
        </w:tc>
        <w:tc>
          <w:tcPr>
            <w:tcW w:w="415" w:type="pct"/>
            <w:shd w:val="clear" w:color="auto" w:fill="auto"/>
            <w:vAlign w:val="center"/>
          </w:tcPr>
          <w:p w14:paraId="68250B84"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lastRenderedPageBreak/>
              <w:t xml:space="preserve">Леките почвени работи не </w:t>
            </w:r>
            <w:r w:rsidRPr="0025286B">
              <w:rPr>
                <w:rFonts w:eastAsia="Verdana" w:cs="Times New Roman"/>
                <w:color w:val="FF0000"/>
                <w:lang w:val="bg-BG"/>
              </w:rPr>
              <w:lastRenderedPageBreak/>
              <w:t>създават ерозия, която да влияе на трансграничния район.</w:t>
            </w:r>
            <w:r w:rsidRPr="0025286B">
              <w:rPr>
                <w:rFonts w:eastAsia="Verdana" w:cs="Times New Roman"/>
                <w:color w:val="FF0000"/>
                <w:lang w:val="bg-BG"/>
              </w:rPr>
              <w:tab/>
            </w:r>
          </w:p>
        </w:tc>
        <w:tc>
          <w:tcPr>
            <w:tcW w:w="416" w:type="pct"/>
            <w:shd w:val="clear" w:color="auto" w:fill="auto"/>
            <w:vAlign w:val="center"/>
          </w:tcPr>
          <w:p w14:paraId="7037BBFD"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lastRenderedPageBreak/>
              <w:t xml:space="preserve">Торовете и горивото са от </w:t>
            </w:r>
            <w:r w:rsidRPr="0025286B">
              <w:rPr>
                <w:rFonts w:eastAsia="Verdana" w:cs="Times New Roman"/>
                <w:color w:val="FF0000"/>
                <w:lang w:val="bg-BG"/>
              </w:rPr>
              <w:lastRenderedPageBreak/>
              <w:t>местния пазар; не се използват ресурси от съседната страна.</w:t>
            </w:r>
          </w:p>
        </w:tc>
        <w:tc>
          <w:tcPr>
            <w:tcW w:w="454" w:type="pct"/>
            <w:shd w:val="clear" w:color="auto" w:fill="auto"/>
            <w:vAlign w:val="center"/>
          </w:tcPr>
          <w:p w14:paraId="2533CE7A"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lastRenderedPageBreak/>
              <w:t xml:space="preserve">Сламата остава на полето и се </w:t>
            </w:r>
            <w:r w:rsidRPr="0025286B">
              <w:rPr>
                <w:rFonts w:eastAsia="Verdana" w:cs="Times New Roman"/>
                <w:color w:val="FF0000"/>
                <w:lang w:val="bg-BG"/>
              </w:rPr>
              <w:lastRenderedPageBreak/>
              <w:t>брикетира или включва; не се транспортират отпадъци през границата.</w:t>
            </w:r>
          </w:p>
        </w:tc>
        <w:tc>
          <w:tcPr>
            <w:tcW w:w="455" w:type="pct"/>
            <w:shd w:val="clear" w:color="auto" w:fill="auto"/>
            <w:vAlign w:val="center"/>
          </w:tcPr>
          <w:p w14:paraId="4F84D1A5"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lastRenderedPageBreak/>
              <w:t xml:space="preserve">Звукът от машините затихва </w:t>
            </w:r>
            <w:r w:rsidRPr="0025286B">
              <w:rPr>
                <w:rFonts w:eastAsia="Verdana" w:cs="Times New Roman"/>
                <w:color w:val="FF0000"/>
                <w:lang w:val="bg-BG"/>
              </w:rPr>
              <w:lastRenderedPageBreak/>
              <w:t>преди границата и остава под допустимото ниво в селските райони.</w:t>
            </w:r>
          </w:p>
        </w:tc>
        <w:tc>
          <w:tcPr>
            <w:tcW w:w="376" w:type="pct"/>
            <w:shd w:val="clear" w:color="auto" w:fill="auto"/>
            <w:vAlign w:val="center"/>
          </w:tcPr>
          <w:p w14:paraId="356B910A"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lastRenderedPageBreak/>
              <w:t xml:space="preserve">Разстоянието до селата в </w:t>
            </w:r>
            <w:r w:rsidRPr="0025286B">
              <w:rPr>
                <w:rFonts w:eastAsia="Verdana" w:cs="Times New Roman"/>
                <w:color w:val="FF0000"/>
                <w:lang w:val="bg-BG"/>
              </w:rPr>
              <w:lastRenderedPageBreak/>
              <w:t xml:space="preserve">съседната страна е твърде голямо, за да се появят рискове или дискомфорт. </w:t>
            </w:r>
          </w:p>
        </w:tc>
        <w:tc>
          <w:tcPr>
            <w:tcW w:w="394" w:type="pct"/>
            <w:shd w:val="clear" w:color="auto" w:fill="auto"/>
            <w:vAlign w:val="center"/>
          </w:tcPr>
          <w:p w14:paraId="7AA80E43"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lastRenderedPageBreak/>
              <w:t>Емисиите от земедели</w:t>
            </w:r>
            <w:r w:rsidRPr="0025286B">
              <w:rPr>
                <w:rFonts w:eastAsia="Verdana" w:cs="Times New Roman"/>
                <w:color w:val="FF0000"/>
                <w:lang w:val="bg-BG"/>
              </w:rPr>
              <w:lastRenderedPageBreak/>
              <w:t>ето са много малки и не влияят на климата отвъд границата.</w:t>
            </w:r>
          </w:p>
        </w:tc>
        <w:tc>
          <w:tcPr>
            <w:tcW w:w="376" w:type="pct"/>
            <w:shd w:val="clear" w:color="auto" w:fill="auto"/>
            <w:vAlign w:val="center"/>
          </w:tcPr>
          <w:p w14:paraId="1C38142E"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lastRenderedPageBreak/>
              <w:t xml:space="preserve">Селскостопанският пейзаж </w:t>
            </w:r>
            <w:r w:rsidRPr="0025286B">
              <w:rPr>
                <w:rFonts w:eastAsia="Verdana" w:cs="Times New Roman"/>
                <w:color w:val="FF0000"/>
                <w:lang w:val="bg-BG"/>
              </w:rPr>
              <w:lastRenderedPageBreak/>
              <w:t>не съдържа общи културни обекти, които биха могли да бъдат засегнати.</w:t>
            </w:r>
          </w:p>
        </w:tc>
      </w:tr>
      <w:tr w:rsidR="0025286B" w:rsidRPr="0025286B" w14:paraId="7D8E993A" w14:textId="77777777" w:rsidTr="006F683E">
        <w:tc>
          <w:tcPr>
            <w:tcW w:w="573" w:type="pct"/>
            <w:vMerge/>
          </w:tcPr>
          <w:p w14:paraId="594538CB" w14:textId="77777777" w:rsidR="0025286B" w:rsidRPr="0025286B" w:rsidRDefault="0025286B" w:rsidP="0025286B">
            <w:pPr>
              <w:rPr>
                <w:rFonts w:eastAsia="Verdana" w:cs="Times New Roman"/>
                <w:color w:val="FF0000"/>
                <w:lang w:val="bg-BG"/>
              </w:rPr>
            </w:pPr>
          </w:p>
        </w:tc>
        <w:tc>
          <w:tcPr>
            <w:tcW w:w="494" w:type="pct"/>
            <w:shd w:val="clear" w:color="auto" w:fill="auto"/>
            <w:vAlign w:val="center"/>
          </w:tcPr>
          <w:p w14:paraId="4FA098A4" w14:textId="77777777" w:rsidR="0025286B" w:rsidRPr="0025286B" w:rsidRDefault="0025286B" w:rsidP="0025286B">
            <w:pPr>
              <w:rPr>
                <w:rFonts w:eastAsia="Verdana" w:cs="Times New Roman"/>
                <w:color w:val="FF0000"/>
                <w:lang w:val="bg-BG"/>
              </w:rPr>
            </w:pPr>
            <w:r w:rsidRPr="0025286B">
              <w:rPr>
                <w:rFonts w:eastAsia="Verdana" w:cs="Times New Roman"/>
                <w:color w:val="FF0000"/>
                <w:lang w:val="bg-BG"/>
              </w:rPr>
              <w:t>Дейности по производство на електрическа енергия (Вятърен парк Карнобат) – 5,6 км</w:t>
            </w:r>
          </w:p>
        </w:tc>
        <w:tc>
          <w:tcPr>
            <w:tcW w:w="513" w:type="pct"/>
            <w:shd w:val="clear" w:color="auto" w:fill="auto"/>
            <w:vAlign w:val="center"/>
          </w:tcPr>
          <w:p w14:paraId="5F0C9DB3"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t xml:space="preserve">Турбините не генерират отпадъчни води; евентуалното хидравлично масло е в затворени вериги със задържащи системи, следователно рискът от трансгранично замърсяване е несъществуващ. </w:t>
            </w:r>
          </w:p>
        </w:tc>
        <w:tc>
          <w:tcPr>
            <w:tcW w:w="534" w:type="pct"/>
            <w:shd w:val="clear" w:color="auto" w:fill="auto"/>
            <w:vAlign w:val="center"/>
          </w:tcPr>
          <w:p w14:paraId="020AB8DE"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t>Експлоатацията не произвежда атмосферни емисии; всъщност заменя фосилни източници и намалява регионалното замърсяване.</w:t>
            </w:r>
          </w:p>
        </w:tc>
        <w:tc>
          <w:tcPr>
            <w:tcW w:w="415" w:type="pct"/>
            <w:shd w:val="clear" w:color="auto" w:fill="auto"/>
            <w:vAlign w:val="center"/>
          </w:tcPr>
          <w:p w14:paraId="7062D225"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t>Минимален контакт със земята след завършване на основите; не се появяват ерозионни процеси или замърсяване, които да преминат границата.</w:t>
            </w:r>
          </w:p>
        </w:tc>
        <w:tc>
          <w:tcPr>
            <w:tcW w:w="416" w:type="pct"/>
            <w:shd w:val="clear" w:color="auto" w:fill="auto"/>
            <w:vAlign w:val="center"/>
          </w:tcPr>
          <w:p w14:paraId="1A24C9CF"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t xml:space="preserve">Консумацията на ресурси се свежда до резервни части; добивът им няма връзка с територии от съседната държава. </w:t>
            </w:r>
          </w:p>
        </w:tc>
        <w:tc>
          <w:tcPr>
            <w:tcW w:w="454" w:type="pct"/>
            <w:shd w:val="clear" w:color="auto" w:fill="auto"/>
            <w:vAlign w:val="center"/>
          </w:tcPr>
          <w:p w14:paraId="105ED80E"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t>Отпадъците от поддръжката (филтри, масла) са малки по обем и се управляват от оторизирани оператори в приемащата държава.</w:t>
            </w:r>
          </w:p>
        </w:tc>
        <w:tc>
          <w:tcPr>
            <w:tcW w:w="455" w:type="pct"/>
            <w:shd w:val="clear" w:color="auto" w:fill="auto"/>
            <w:vAlign w:val="center"/>
          </w:tcPr>
          <w:p w14:paraId="21933A00"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t>Акустичните модели за турбините показват &lt; 35 дБ(A) на разстояния &gt; 1 км; границата е достатъчно далече, така че не се надвишават пределните стойности на прием в съседната държава.</w:t>
            </w:r>
          </w:p>
        </w:tc>
        <w:tc>
          <w:tcPr>
            <w:tcW w:w="376" w:type="pct"/>
            <w:shd w:val="clear" w:color="auto" w:fill="auto"/>
            <w:vAlign w:val="center"/>
          </w:tcPr>
          <w:p w14:paraId="2824CC39"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t>Възможен визуален дискомфорт за жителите в близост (&lt; 2 км), но селищата отвъд границата са по-отдалечени; няма доказани медицински или психолог</w:t>
            </w:r>
            <w:r w:rsidRPr="0025286B">
              <w:rPr>
                <w:rFonts w:eastAsia="Verdana" w:cs="Times New Roman"/>
                <w:color w:val="FF0000"/>
                <w:lang w:val="bg-BG"/>
              </w:rPr>
              <w:lastRenderedPageBreak/>
              <w:t xml:space="preserve">ически ефекти на това разстояние. </w:t>
            </w:r>
          </w:p>
        </w:tc>
        <w:tc>
          <w:tcPr>
            <w:tcW w:w="394" w:type="pct"/>
            <w:shd w:val="clear" w:color="auto" w:fill="auto"/>
            <w:vAlign w:val="center"/>
          </w:tcPr>
          <w:p w14:paraId="26BB5F5B"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lastRenderedPageBreak/>
              <w:t>Въздействието е положително (намаляване на емисиите на CO₂); ползата е глобална, следователно не генерира негативни трансгранични "въздействия".</w:t>
            </w:r>
          </w:p>
        </w:tc>
        <w:tc>
          <w:tcPr>
            <w:tcW w:w="376" w:type="pct"/>
            <w:shd w:val="clear" w:color="auto" w:fill="auto"/>
            <w:vAlign w:val="center"/>
          </w:tcPr>
          <w:p w14:paraId="7D45E5D2"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t xml:space="preserve">Не са идентифицирани обекти на културното наследство в зрителната линия отвъд границата, които да бъдат засегнати от присъствието на </w:t>
            </w:r>
            <w:r w:rsidRPr="0025286B">
              <w:rPr>
                <w:rFonts w:eastAsia="Verdana" w:cs="Times New Roman"/>
                <w:color w:val="FF0000"/>
                <w:lang w:val="bg-BG"/>
              </w:rPr>
              <w:lastRenderedPageBreak/>
              <w:t>турбините.</w:t>
            </w:r>
          </w:p>
        </w:tc>
      </w:tr>
      <w:tr w:rsidR="0025286B" w:rsidRPr="0025286B" w14:paraId="19812364" w14:textId="77777777" w:rsidTr="006F683E">
        <w:tc>
          <w:tcPr>
            <w:tcW w:w="573" w:type="pct"/>
            <w:vMerge/>
          </w:tcPr>
          <w:p w14:paraId="629954A8" w14:textId="77777777" w:rsidR="0025286B" w:rsidRPr="0025286B" w:rsidRDefault="0025286B" w:rsidP="0025286B">
            <w:pPr>
              <w:rPr>
                <w:rFonts w:eastAsia="Verdana" w:cs="Times New Roman"/>
                <w:color w:val="FF0000"/>
                <w:lang w:val="bg-BG"/>
              </w:rPr>
            </w:pPr>
          </w:p>
        </w:tc>
        <w:tc>
          <w:tcPr>
            <w:tcW w:w="494" w:type="pct"/>
            <w:shd w:val="clear" w:color="auto" w:fill="auto"/>
            <w:vAlign w:val="center"/>
          </w:tcPr>
          <w:p w14:paraId="2F51A459" w14:textId="77777777" w:rsidR="0025286B" w:rsidRPr="0025286B" w:rsidRDefault="0025286B" w:rsidP="0025286B">
            <w:pPr>
              <w:rPr>
                <w:rFonts w:eastAsia="Verdana" w:cs="Times New Roman"/>
                <w:color w:val="FF0000"/>
                <w:lang w:val="bg-BG"/>
              </w:rPr>
            </w:pPr>
            <w:r w:rsidRPr="0025286B">
              <w:rPr>
                <w:rFonts w:eastAsia="Verdana" w:cs="Times New Roman"/>
                <w:color w:val="FF0000"/>
                <w:lang w:val="bg-BG"/>
              </w:rPr>
              <w:t>Транспортна инфраструктура Път II-29 Добрич – Граница с Румъния – 1,5 км</w:t>
            </w:r>
          </w:p>
        </w:tc>
        <w:tc>
          <w:tcPr>
            <w:tcW w:w="513" w:type="pct"/>
            <w:shd w:val="clear" w:color="auto" w:fill="auto"/>
            <w:vAlign w:val="center"/>
          </w:tcPr>
          <w:p w14:paraId="6A1AB2B6"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t xml:space="preserve">Водата от пътя се оттича в канавките край пътя и не преминава границата. </w:t>
            </w:r>
          </w:p>
        </w:tc>
        <w:tc>
          <w:tcPr>
            <w:tcW w:w="534" w:type="pct"/>
            <w:shd w:val="clear" w:color="auto" w:fill="auto"/>
            <w:vAlign w:val="center"/>
          </w:tcPr>
          <w:p w14:paraId="1D46DBCB"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t>Нормалното ниво на трафик не води до увеличаване на замърсяването на въздуха над основните стойности.</w:t>
            </w:r>
          </w:p>
        </w:tc>
        <w:tc>
          <w:tcPr>
            <w:tcW w:w="415" w:type="pct"/>
            <w:shd w:val="clear" w:color="auto" w:fill="auto"/>
            <w:vAlign w:val="center"/>
          </w:tcPr>
          <w:p w14:paraId="426AAEE5"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t>Инфраструктурата не допринася за внасянето на опасни вещества в румънската почва.</w:t>
            </w:r>
          </w:p>
        </w:tc>
        <w:tc>
          <w:tcPr>
            <w:tcW w:w="416" w:type="pct"/>
            <w:shd w:val="clear" w:color="auto" w:fill="auto"/>
            <w:vAlign w:val="center"/>
          </w:tcPr>
          <w:p w14:paraId="11C47138"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t>Използват се само местни ресурси.</w:t>
            </w:r>
          </w:p>
        </w:tc>
        <w:tc>
          <w:tcPr>
            <w:tcW w:w="454" w:type="pct"/>
            <w:shd w:val="clear" w:color="auto" w:fill="auto"/>
            <w:vAlign w:val="center"/>
          </w:tcPr>
          <w:p w14:paraId="383825A5"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t xml:space="preserve">Отпадъците, получени, се изхвърлят на местно ниво чрез упълномощени оператори. </w:t>
            </w:r>
          </w:p>
        </w:tc>
        <w:tc>
          <w:tcPr>
            <w:tcW w:w="455" w:type="pct"/>
            <w:shd w:val="clear" w:color="auto" w:fill="auto"/>
            <w:vAlign w:val="center"/>
          </w:tcPr>
          <w:p w14:paraId="5D08FC89"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t>Съществуващият шум няма да се натрупва с този, произведен от работата на парка.</w:t>
            </w:r>
          </w:p>
        </w:tc>
        <w:tc>
          <w:tcPr>
            <w:tcW w:w="376" w:type="pct"/>
            <w:shd w:val="clear" w:color="auto" w:fill="auto"/>
            <w:vAlign w:val="center"/>
          </w:tcPr>
          <w:p w14:paraId="3CCD0C8E"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t>Нивото на комфорт и здраве за жителите в непосредствена близост няма да се промени.</w:t>
            </w:r>
          </w:p>
        </w:tc>
        <w:tc>
          <w:tcPr>
            <w:tcW w:w="394" w:type="pct"/>
            <w:shd w:val="clear" w:color="auto" w:fill="auto"/>
            <w:vAlign w:val="center"/>
          </w:tcPr>
          <w:p w14:paraId="216775EF"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t>Функционирането на съществуващата инфраструктура няма да доведе до влияние върху трансграничния климатичен баланс.</w:t>
            </w:r>
          </w:p>
        </w:tc>
        <w:tc>
          <w:tcPr>
            <w:tcW w:w="376" w:type="pct"/>
            <w:shd w:val="clear" w:color="auto" w:fill="auto"/>
            <w:vAlign w:val="center"/>
          </w:tcPr>
          <w:p w14:paraId="19241D34" w14:textId="77777777" w:rsidR="0025286B" w:rsidRPr="0025286B" w:rsidRDefault="0025286B" w:rsidP="0025286B">
            <w:pPr>
              <w:jc w:val="both"/>
              <w:rPr>
                <w:rFonts w:eastAsia="Verdana" w:cs="Times New Roman"/>
                <w:color w:val="FF0000"/>
                <w:lang w:val="bg-BG"/>
              </w:rPr>
            </w:pPr>
            <w:r w:rsidRPr="0025286B">
              <w:rPr>
                <w:rFonts w:eastAsia="Verdana" w:cs="Times New Roman"/>
                <w:color w:val="FF0000"/>
                <w:lang w:val="bg-BG"/>
              </w:rPr>
              <w:t>Общите културни цели няма да бъдат засегнати.</w:t>
            </w:r>
          </w:p>
        </w:tc>
      </w:tr>
    </w:tbl>
    <w:p w14:paraId="0A378275" w14:textId="77777777" w:rsidR="0025286B" w:rsidRPr="0025286B" w:rsidRDefault="0025286B" w:rsidP="0025286B">
      <w:pPr>
        <w:spacing w:after="160" w:line="259" w:lineRule="auto"/>
        <w:rPr>
          <w:rFonts w:ascii="Aptos" w:eastAsia="Aptos" w:hAnsi="Aptos" w:cs="Times New Roman"/>
          <w:kern w:val="2"/>
          <w:sz w:val="22"/>
          <w:szCs w:val="22"/>
          <w:lang w:val="bg-BG"/>
          <w14:ligatures w14:val="standardContextual"/>
        </w:rPr>
      </w:pPr>
    </w:p>
    <w:p w14:paraId="0E946ECA" w14:textId="77777777" w:rsidR="0025286B" w:rsidRPr="0025286B" w:rsidRDefault="0025286B" w:rsidP="0025286B">
      <w:pPr>
        <w:spacing w:after="160" w:line="259" w:lineRule="auto"/>
        <w:rPr>
          <w:rFonts w:ascii="Aptos" w:eastAsia="Aptos" w:hAnsi="Aptos" w:cs="Times New Roman"/>
          <w:kern w:val="2"/>
          <w:sz w:val="22"/>
          <w:szCs w:val="22"/>
          <w14:ligatures w14:val="standardContextual"/>
        </w:rPr>
      </w:pPr>
    </w:p>
    <w:p w14:paraId="2C24ABEE" w14:textId="77777777" w:rsidR="0025286B" w:rsidRPr="0025286B" w:rsidRDefault="0025286B" w:rsidP="006E5B3F">
      <w:pPr>
        <w:spacing w:after="120" w:line="360" w:lineRule="auto"/>
        <w:jc w:val="both"/>
        <w:rPr>
          <w:lang w:eastAsia="ro-RO"/>
        </w:rPr>
        <w:sectPr w:rsidR="0025286B" w:rsidRPr="0025286B" w:rsidSect="0025286B">
          <w:pgSz w:w="16838" w:h="11906" w:orient="landscape" w:code="9"/>
          <w:pgMar w:top="1191" w:right="1560" w:bottom="1416" w:left="1418" w:header="839" w:footer="680" w:gutter="0"/>
          <w:cols w:space="708"/>
          <w:docGrid w:linePitch="360"/>
        </w:sectPr>
      </w:pPr>
    </w:p>
    <w:p w14:paraId="60508FB7" w14:textId="2C466C44" w:rsidR="006B59ED" w:rsidRPr="007375EB" w:rsidRDefault="003A69DD" w:rsidP="0041531F">
      <w:pPr>
        <w:pStyle w:val="Heading1"/>
        <w:numPr>
          <w:ilvl w:val="0"/>
          <w:numId w:val="77"/>
        </w:numPr>
        <w:suppressAutoHyphens w:val="0"/>
        <w:spacing w:before="0" w:after="240" w:line="360" w:lineRule="auto"/>
        <w:ind w:left="567" w:hanging="567"/>
        <w:contextualSpacing w:val="0"/>
        <w:jc w:val="both"/>
        <w:rPr>
          <w:b/>
          <w:bCs w:val="0"/>
          <w:sz w:val="20"/>
          <w:szCs w:val="20"/>
          <w:lang w:val="bg-BG" w:eastAsia="ro-RO"/>
        </w:rPr>
      </w:pPr>
      <w:bookmarkStart w:id="39" w:name="_Toc167697421"/>
      <w:r w:rsidRPr="007375EB">
        <w:rPr>
          <w:b/>
          <w:bCs w:val="0"/>
          <w:sz w:val="20"/>
          <w:szCs w:val="20"/>
          <w:lang w:val="bg-BG" w:eastAsia="ro-RO"/>
        </w:rPr>
        <w:lastRenderedPageBreak/>
        <w:t xml:space="preserve">Предложени мерки за предотвратяване, свеждане до минимум и възможно най-пълно компенсиране на всички неблагоприятни въздействия върху околната среда от прилагането на </w:t>
      </w:r>
      <w:r w:rsidR="00347315" w:rsidRPr="007375EB">
        <w:rPr>
          <w:b/>
          <w:bCs w:val="0"/>
          <w:sz w:val="20"/>
          <w:szCs w:val="20"/>
          <w:lang w:val="bg-BG" w:eastAsia="ro-RO"/>
        </w:rPr>
        <w:t>PUZ</w:t>
      </w:r>
      <w:bookmarkEnd w:id="39"/>
    </w:p>
    <w:p w14:paraId="58FA87C7" w14:textId="77777777" w:rsidR="003A69DD" w:rsidRPr="007375EB" w:rsidRDefault="003A69DD" w:rsidP="003A69DD">
      <w:pPr>
        <w:spacing w:after="120" w:line="360" w:lineRule="auto"/>
        <w:jc w:val="both"/>
        <w:rPr>
          <w:lang w:val="bg-BG"/>
        </w:rPr>
      </w:pPr>
      <w:r w:rsidRPr="007375EB">
        <w:rPr>
          <w:lang w:val="bg-BG"/>
        </w:rPr>
        <w:t>Правителствено решение № 1076/2004 изисква установяването на мерки за предотвратяване, свеждане до минимум и компенсиране на значителните въздействия върху околната среда, произтичащи от прилагането на плана, който подлежи на екологична оценка.</w:t>
      </w:r>
    </w:p>
    <w:p w14:paraId="1E37BDA7" w14:textId="77777777" w:rsidR="003A69DD" w:rsidRPr="007375EB" w:rsidRDefault="003A69DD" w:rsidP="003A69DD">
      <w:pPr>
        <w:spacing w:after="120" w:line="360" w:lineRule="auto"/>
        <w:jc w:val="both"/>
        <w:rPr>
          <w:lang w:val="bg-BG"/>
        </w:rPr>
      </w:pPr>
      <w:r w:rsidRPr="007375EB">
        <w:rPr>
          <w:lang w:val="bg-BG"/>
        </w:rPr>
        <w:t>Въпреки че анализът на оценката на целите на Зоналния план за градско развитие показва, че екологичните цели ще бъдат постигнати, е необходимо да се установят превантивни мерки за компенсиране на евентуалните отрицателни ефекти и за засилване на положителните ефекти. Както показва анализът на въздействието на мерките, предложени от анализирания план, някои от тях ще имат отрицателно въздействие върху факторите на околната среда. Предотвратяването и свеждането до минимум на отрицателните въздействия върху околната среда може да се постигне само чрез екологична оценка на всички етапи от подготовката и изпълнението на проекта.</w:t>
      </w:r>
    </w:p>
    <w:p w14:paraId="4FA0751D" w14:textId="66AC94FC" w:rsidR="00F520C6" w:rsidRPr="007375EB" w:rsidRDefault="003A69DD" w:rsidP="003A69DD">
      <w:pPr>
        <w:spacing w:after="120" w:line="360" w:lineRule="auto"/>
        <w:jc w:val="both"/>
        <w:rPr>
          <w:lang w:val="bg-BG" w:eastAsia="ro-RO"/>
        </w:rPr>
      </w:pPr>
      <w:r w:rsidRPr="007375EB">
        <w:rPr>
          <w:lang w:val="bg-BG"/>
        </w:rPr>
        <w:t xml:space="preserve">В следващата таблица са обобщени мерките за опазване на околната среда, препоръчани при прилагането на </w:t>
      </w:r>
      <w:r w:rsidR="003B745F" w:rsidRPr="007375EB">
        <w:rPr>
          <w:lang w:val="bg-BG"/>
        </w:rPr>
        <w:t>PUZ</w:t>
      </w:r>
      <w:r w:rsidRPr="007375EB">
        <w:rPr>
          <w:lang w:val="bg-BG"/>
        </w:rPr>
        <w:t>. При определянето на тези мерки са взети предвид законодателните разпоредби, както и мерките, предвидени в националните/регионалните стратегии и стратегиите за местно развитие</w:t>
      </w:r>
      <w:r w:rsidR="00F520C6" w:rsidRPr="007375EB">
        <w:rPr>
          <w:lang w:val="bg-BG" w:eastAsia="ro-RO"/>
        </w:rPr>
        <w:t>.</w:t>
      </w:r>
    </w:p>
    <w:p w14:paraId="0DA64A8E" w14:textId="7F56FDAB" w:rsidR="006B59ED" w:rsidRPr="007375EB" w:rsidRDefault="003A69DD" w:rsidP="00F520C6">
      <w:pPr>
        <w:spacing w:after="120" w:line="360" w:lineRule="auto"/>
        <w:jc w:val="both"/>
        <w:rPr>
          <w:lang w:val="bg-BG" w:eastAsia="ro-RO"/>
        </w:rPr>
      </w:pPr>
      <w:r w:rsidRPr="007375EB">
        <w:rPr>
          <w:lang w:val="bg-BG" w:eastAsia="ro-RO"/>
        </w:rPr>
        <w:t>Предвидените мерки се основават на кодекса на добрите практики, специфични за строителните работи/организацията на строителната площадка, и са взети предвид законодателството в областта на околната среда, което е в сила по време на проучването, местните условия и екологичната чувствителност на района.</w:t>
      </w:r>
    </w:p>
    <w:p w14:paraId="278136FE" w14:textId="77777777" w:rsidR="00DE7A67" w:rsidRPr="007375EB" w:rsidRDefault="00DE7A67" w:rsidP="00F520C6">
      <w:pPr>
        <w:spacing w:after="120" w:line="360" w:lineRule="auto"/>
        <w:jc w:val="both"/>
        <w:rPr>
          <w:lang w:val="bg-BG" w:eastAsia="ro-RO"/>
        </w:rPr>
        <w:sectPr w:rsidR="00DE7A67" w:rsidRPr="007375EB" w:rsidSect="00023D68">
          <w:pgSz w:w="11906" w:h="16838" w:code="9"/>
          <w:pgMar w:top="2013" w:right="1416" w:bottom="1418" w:left="1191" w:header="839" w:footer="680" w:gutter="0"/>
          <w:cols w:space="708"/>
          <w:docGrid w:linePitch="360"/>
        </w:sectPr>
      </w:pPr>
    </w:p>
    <w:p w14:paraId="7CE6EED6" w14:textId="4F35D915" w:rsidR="00EA76D6" w:rsidRPr="007375EB" w:rsidRDefault="003A69DD" w:rsidP="00DC5304">
      <w:pPr>
        <w:pStyle w:val="Caption"/>
        <w:ind w:right="-201"/>
        <w:jc w:val="both"/>
        <w:rPr>
          <w:sz w:val="16"/>
          <w:szCs w:val="16"/>
          <w:highlight w:val="yellow"/>
          <w:lang w:val="bg-BG"/>
        </w:rPr>
      </w:pPr>
      <w:r w:rsidRPr="007375EB">
        <w:rPr>
          <w:sz w:val="16"/>
          <w:szCs w:val="16"/>
          <w:lang w:val="bg-BG"/>
        </w:rPr>
        <w:lastRenderedPageBreak/>
        <w:t>Таблица</w:t>
      </w:r>
      <w:r w:rsidR="00DC5304" w:rsidRPr="007375EB">
        <w:rPr>
          <w:sz w:val="16"/>
          <w:szCs w:val="16"/>
          <w:lang w:val="bg-BG"/>
        </w:rPr>
        <w:t xml:space="preserve"> 8 - </w:t>
      </w:r>
      <w:r w:rsidR="00DC5304" w:rsidRPr="007375EB">
        <w:rPr>
          <w:sz w:val="16"/>
          <w:szCs w:val="16"/>
          <w:lang w:val="bg-BG"/>
        </w:rPr>
        <w:fldChar w:fldCharType="begin"/>
      </w:r>
      <w:r w:rsidR="00DC5304" w:rsidRPr="007375EB">
        <w:rPr>
          <w:sz w:val="16"/>
          <w:szCs w:val="16"/>
          <w:lang w:val="bg-BG"/>
        </w:rPr>
        <w:instrText xml:space="preserve"> SEQ Tabel_8_- \* ARABIC </w:instrText>
      </w:r>
      <w:r w:rsidR="00DC5304" w:rsidRPr="007375EB">
        <w:rPr>
          <w:sz w:val="16"/>
          <w:szCs w:val="16"/>
          <w:lang w:val="bg-BG"/>
        </w:rPr>
        <w:fldChar w:fldCharType="separate"/>
      </w:r>
      <w:r w:rsidR="00DC5304" w:rsidRPr="007375EB">
        <w:rPr>
          <w:sz w:val="16"/>
          <w:szCs w:val="16"/>
          <w:lang w:val="bg-BG"/>
        </w:rPr>
        <w:t>1</w:t>
      </w:r>
      <w:r w:rsidR="00DC5304" w:rsidRPr="007375EB">
        <w:rPr>
          <w:sz w:val="16"/>
          <w:szCs w:val="16"/>
          <w:lang w:val="bg-BG"/>
        </w:rPr>
        <w:fldChar w:fldCharType="end"/>
      </w:r>
      <w:r w:rsidR="00DC5304" w:rsidRPr="007375EB">
        <w:rPr>
          <w:sz w:val="16"/>
          <w:szCs w:val="16"/>
          <w:lang w:val="bg-BG"/>
        </w:rPr>
        <w:t xml:space="preserve"> </w:t>
      </w:r>
      <w:r w:rsidRPr="007375EB">
        <w:rPr>
          <w:sz w:val="16"/>
          <w:szCs w:val="16"/>
          <w:lang w:val="bg-BG"/>
        </w:rPr>
        <w:t xml:space="preserve">Предложени мерки за предотвратяване, свеждане до минимум и възможно най-пълно компенсиране на всички неблагоприятни въздействия върху околната среда от прилагането на </w:t>
      </w:r>
      <w:r w:rsidR="00DC5304" w:rsidRPr="007375EB">
        <w:rPr>
          <w:sz w:val="16"/>
          <w:szCs w:val="16"/>
          <w:lang w:val="bg-BG"/>
        </w:rPr>
        <w:t>PUZ</w:t>
      </w:r>
    </w:p>
    <w:tbl>
      <w:tblPr>
        <w:tblStyle w:val="LightGrid-Accent112"/>
        <w:tblW w:w="14596" w:type="dxa"/>
        <w:tblInd w:w="0"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1856"/>
        <w:gridCol w:w="2836"/>
        <w:gridCol w:w="8329"/>
        <w:gridCol w:w="1575"/>
      </w:tblGrid>
      <w:tr w:rsidR="00D6766F" w:rsidRPr="007375EB" w14:paraId="6ADA5178" w14:textId="49779C97" w:rsidTr="00417B73">
        <w:trPr>
          <w:trHeight w:val="533"/>
          <w:tblHeader/>
        </w:trPr>
        <w:tc>
          <w:tcPr>
            <w:tcW w:w="1781" w:type="dxa"/>
            <w:shd w:val="clear" w:color="auto" w:fill="00B0F0"/>
            <w:vAlign w:val="center"/>
          </w:tcPr>
          <w:p w14:paraId="19D4FB51" w14:textId="7FB005B8" w:rsidR="00D6766F" w:rsidRPr="007375EB" w:rsidRDefault="003A69DD" w:rsidP="00DC5304">
            <w:pPr>
              <w:spacing w:after="0" w:line="240" w:lineRule="auto"/>
              <w:contextualSpacing/>
              <w:jc w:val="center"/>
              <w:rPr>
                <w:rFonts w:asciiTheme="minorHAnsi" w:hAnsiTheme="minorHAnsi"/>
                <w:b/>
                <w:bCs/>
                <w:color w:val="FFFFFF" w:themeColor="background1"/>
                <w:sz w:val="16"/>
                <w:szCs w:val="16"/>
                <w:lang w:val="bg-BG"/>
              </w:rPr>
            </w:pPr>
            <w:bookmarkStart w:id="40" w:name="_Toc159320544"/>
            <w:r w:rsidRPr="007375EB">
              <w:rPr>
                <w:rFonts w:asciiTheme="minorHAnsi" w:hAnsiTheme="minorHAnsi"/>
                <w:b/>
                <w:bCs/>
                <w:color w:val="FFFFFF" w:themeColor="background1"/>
                <w:sz w:val="16"/>
                <w:szCs w:val="16"/>
                <w:lang w:val="bg-BG"/>
              </w:rPr>
              <w:t>Съответни екологични аспекти</w:t>
            </w:r>
          </w:p>
        </w:tc>
        <w:tc>
          <w:tcPr>
            <w:tcW w:w="2836" w:type="dxa"/>
            <w:shd w:val="clear" w:color="auto" w:fill="00B0F0"/>
            <w:vAlign w:val="center"/>
          </w:tcPr>
          <w:p w14:paraId="1ABA1424" w14:textId="314A4A2B" w:rsidR="00D6766F" w:rsidRPr="007375EB" w:rsidRDefault="003A69DD" w:rsidP="00DC5304">
            <w:pPr>
              <w:spacing w:after="0" w:line="240" w:lineRule="auto"/>
              <w:contextualSpacing/>
              <w:jc w:val="center"/>
              <w:rPr>
                <w:rFonts w:asciiTheme="minorHAnsi" w:hAnsiTheme="minorHAnsi"/>
                <w:b/>
                <w:color w:val="FFFFFF" w:themeColor="background1"/>
                <w:sz w:val="16"/>
                <w:szCs w:val="16"/>
                <w:lang w:val="bg-BG"/>
              </w:rPr>
            </w:pPr>
            <w:r w:rsidRPr="007375EB">
              <w:rPr>
                <w:rFonts w:asciiTheme="minorHAnsi" w:hAnsiTheme="minorHAnsi"/>
                <w:b/>
                <w:color w:val="FFFFFF" w:themeColor="background1"/>
                <w:sz w:val="16"/>
                <w:szCs w:val="16"/>
                <w:lang w:val="bg-BG"/>
              </w:rPr>
              <w:t xml:space="preserve">Екологични цели, свързани с </w:t>
            </w:r>
            <w:r w:rsidR="00D6766F" w:rsidRPr="007375EB">
              <w:rPr>
                <w:rFonts w:asciiTheme="minorHAnsi" w:hAnsiTheme="minorHAnsi"/>
                <w:b/>
                <w:color w:val="FFFFFF" w:themeColor="background1"/>
                <w:sz w:val="16"/>
                <w:szCs w:val="16"/>
                <w:lang w:val="bg-BG"/>
              </w:rPr>
              <w:t>PUZ</w:t>
            </w:r>
          </w:p>
        </w:tc>
        <w:tc>
          <w:tcPr>
            <w:tcW w:w="8402" w:type="dxa"/>
            <w:shd w:val="clear" w:color="auto" w:fill="00B0F0"/>
            <w:vAlign w:val="center"/>
          </w:tcPr>
          <w:p w14:paraId="6FA36804" w14:textId="3DCAD032" w:rsidR="00D6766F" w:rsidRPr="007375EB" w:rsidRDefault="003A69DD" w:rsidP="00DC5304">
            <w:pPr>
              <w:spacing w:after="0" w:line="240" w:lineRule="auto"/>
              <w:contextualSpacing/>
              <w:jc w:val="center"/>
              <w:rPr>
                <w:rFonts w:asciiTheme="minorHAnsi" w:hAnsiTheme="minorHAnsi"/>
                <w:b/>
                <w:color w:val="FFFFFF" w:themeColor="background1"/>
                <w:sz w:val="16"/>
                <w:szCs w:val="16"/>
                <w:lang w:val="bg-BG"/>
              </w:rPr>
            </w:pPr>
            <w:r w:rsidRPr="007375EB">
              <w:rPr>
                <w:rFonts w:asciiTheme="minorHAnsi" w:hAnsiTheme="minorHAnsi"/>
                <w:b/>
                <w:color w:val="FFFFFF" w:themeColor="background1"/>
                <w:sz w:val="16"/>
                <w:szCs w:val="16"/>
                <w:lang w:val="bg-BG"/>
              </w:rPr>
              <w:t>Предложени мерки</w:t>
            </w:r>
          </w:p>
        </w:tc>
        <w:tc>
          <w:tcPr>
            <w:tcW w:w="1577" w:type="dxa"/>
            <w:shd w:val="clear" w:color="auto" w:fill="00B0F0"/>
            <w:vAlign w:val="center"/>
          </w:tcPr>
          <w:p w14:paraId="0CBF2BCB" w14:textId="75BAB96C" w:rsidR="00D6766F" w:rsidRPr="007375EB" w:rsidRDefault="003A69DD" w:rsidP="00DC5304">
            <w:pPr>
              <w:spacing w:after="0" w:line="240" w:lineRule="auto"/>
              <w:contextualSpacing/>
              <w:jc w:val="center"/>
              <w:rPr>
                <w:rFonts w:asciiTheme="minorHAnsi" w:hAnsiTheme="minorHAnsi"/>
                <w:b/>
                <w:color w:val="FFFFFF" w:themeColor="background1"/>
                <w:sz w:val="16"/>
                <w:szCs w:val="16"/>
                <w:lang w:val="bg-BG"/>
              </w:rPr>
            </w:pPr>
            <w:r w:rsidRPr="007375EB">
              <w:rPr>
                <w:rFonts w:asciiTheme="minorHAnsi" w:hAnsiTheme="minorHAnsi"/>
                <w:b/>
                <w:color w:val="FFFFFF" w:themeColor="background1"/>
                <w:sz w:val="16"/>
                <w:szCs w:val="16"/>
                <w:lang w:val="bg-BG"/>
              </w:rPr>
              <w:t>Отговорно лице</w:t>
            </w:r>
          </w:p>
        </w:tc>
      </w:tr>
      <w:tr w:rsidR="003A69DD" w:rsidRPr="007375EB" w14:paraId="5CC5A33E" w14:textId="091F5ADE" w:rsidTr="00417B73">
        <w:trPr>
          <w:trHeight w:val="990"/>
        </w:trPr>
        <w:tc>
          <w:tcPr>
            <w:tcW w:w="1781" w:type="dxa"/>
            <w:vAlign w:val="center"/>
          </w:tcPr>
          <w:p w14:paraId="547457B6" w14:textId="1C67BCC1" w:rsidR="003A69DD" w:rsidRPr="007375EB" w:rsidRDefault="003A69DD" w:rsidP="003A69DD">
            <w:pPr>
              <w:spacing w:after="0" w:line="240" w:lineRule="auto"/>
              <w:contextualSpacing/>
              <w:rPr>
                <w:rFonts w:asciiTheme="minorHAnsi" w:hAnsiTheme="minorHAnsi"/>
                <w:b/>
                <w:bCs/>
                <w:sz w:val="16"/>
                <w:szCs w:val="16"/>
                <w:lang w:val="bg-BG"/>
              </w:rPr>
            </w:pPr>
            <w:r w:rsidRPr="007375EB">
              <w:rPr>
                <w:rFonts w:asciiTheme="minorHAnsi" w:hAnsiTheme="minorHAnsi" w:cs="Calibri"/>
                <w:b/>
                <w:bCs/>
                <w:color w:val="000000"/>
                <w:sz w:val="16"/>
                <w:szCs w:val="16"/>
                <w:lang w:val="bg-BG" w:eastAsia="ro-RO"/>
              </w:rPr>
              <w:t>Вода</w:t>
            </w:r>
          </w:p>
        </w:tc>
        <w:tc>
          <w:tcPr>
            <w:tcW w:w="2836" w:type="dxa"/>
            <w:vAlign w:val="center"/>
          </w:tcPr>
          <w:p w14:paraId="0E55C959" w14:textId="682C60D0" w:rsidR="003A69DD" w:rsidRPr="007375EB" w:rsidRDefault="003A69DD" w:rsidP="003A69DD">
            <w:pPr>
              <w:pStyle w:val="ListParagraph"/>
              <w:numPr>
                <w:ilvl w:val="0"/>
                <w:numId w:val="83"/>
              </w:numPr>
              <w:tabs>
                <w:tab w:val="left" w:pos="746"/>
              </w:tabs>
              <w:spacing w:after="0" w:line="240" w:lineRule="auto"/>
              <w:ind w:hanging="602"/>
              <w:jc w:val="both"/>
              <w:rPr>
                <w:rFonts w:asciiTheme="minorHAnsi" w:hAnsiTheme="minorHAnsi"/>
                <w:sz w:val="16"/>
                <w:szCs w:val="16"/>
                <w:lang w:val="bg-BG"/>
              </w:rPr>
            </w:pPr>
            <w:r w:rsidRPr="007375EB">
              <w:rPr>
                <w:rFonts w:asciiTheme="minorHAnsi" w:hAnsiTheme="minorHAnsi"/>
                <w:sz w:val="16"/>
                <w:szCs w:val="16"/>
                <w:lang w:val="bg-BG"/>
              </w:rPr>
              <w:t>Поддържане и подобряване на екологичното състояние/екологичния потенциал и химичното състояние на повърхностните и подземните водни тела</w:t>
            </w:r>
          </w:p>
        </w:tc>
        <w:tc>
          <w:tcPr>
            <w:tcW w:w="8402" w:type="dxa"/>
          </w:tcPr>
          <w:p w14:paraId="6441CB80" w14:textId="33B6DCD6" w:rsidR="003A69DD" w:rsidRPr="007375EB" w:rsidRDefault="003A69DD" w:rsidP="003A69DD">
            <w:pPr>
              <w:spacing w:after="0" w:line="240" w:lineRule="auto"/>
              <w:contextualSpacing/>
              <w:jc w:val="both"/>
              <w:rPr>
                <w:rFonts w:asciiTheme="minorHAnsi" w:hAnsiTheme="minorHAnsi"/>
                <w:b/>
                <w:bCs/>
                <w:sz w:val="16"/>
                <w:szCs w:val="16"/>
                <w:lang w:val="bg-BG"/>
              </w:rPr>
            </w:pPr>
            <w:r w:rsidRPr="007375EB">
              <w:rPr>
                <w:rFonts w:asciiTheme="minorHAnsi" w:hAnsiTheme="minorHAnsi"/>
                <w:b/>
                <w:bCs/>
                <w:sz w:val="16"/>
                <w:szCs w:val="16"/>
                <w:lang w:val="bg-BG"/>
              </w:rPr>
              <w:t>Етап на изпълнение:</w:t>
            </w:r>
          </w:p>
          <w:p w14:paraId="0FDC0A23" w14:textId="77777777" w:rsidR="003A69DD" w:rsidRPr="007375EB" w:rsidRDefault="003A69DD" w:rsidP="003A69DD">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изхвърлянето на битово-фекалните отпадъчни води ще се извършва в мобилни екологични тоалетни, които ще се изпразват и транспортират до най-близката пречиствателна станция.</w:t>
            </w:r>
          </w:p>
          <w:p w14:paraId="593398A0" w14:textId="77777777" w:rsidR="003A69DD" w:rsidRPr="007375EB" w:rsidRDefault="003A69DD" w:rsidP="003A69DD">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Реализиране на работите чрез осигуряване на отводнителни откоси за дъждовните води.</w:t>
            </w:r>
          </w:p>
          <w:p w14:paraId="386A1E33" w14:textId="77777777" w:rsidR="003A69DD" w:rsidRPr="007375EB" w:rsidRDefault="003A69DD" w:rsidP="003A69DD">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Осигуряването на питейна вода през периода на организиране на обекта ще се осигурява от външни източници: бутилирана вода.</w:t>
            </w:r>
          </w:p>
          <w:p w14:paraId="3D289A9E" w14:textId="77777777" w:rsidR="0075402B" w:rsidRPr="007375EB" w:rsidRDefault="003A69DD" w:rsidP="0075402B">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строителните материали няма да се складират в близост до водни течения, за да се предотврати влошаване на състоянието на водните обекти (екологично състояние/екологичен потенциал и химично състояние за повърхностните водни обекти и количествено и химично състояние за подземните водни обекти).</w:t>
            </w:r>
          </w:p>
          <w:p w14:paraId="120A1D27" w14:textId="77777777" w:rsidR="0075402B" w:rsidRPr="007375EB" w:rsidRDefault="0075402B" w:rsidP="0075402B">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xml:space="preserve">- </w:t>
            </w:r>
            <w:r w:rsidR="003A69DD" w:rsidRPr="007375EB">
              <w:rPr>
                <w:rFonts w:asciiTheme="minorHAnsi" w:hAnsiTheme="minorHAnsi"/>
                <w:sz w:val="16"/>
                <w:szCs w:val="16"/>
                <w:lang w:val="bg-BG"/>
              </w:rPr>
              <w:t>отпадъците ще се събират селективно и ще се предават на специализирани фирми, за да се предотвратят всякакви разливи.</w:t>
            </w:r>
          </w:p>
          <w:p w14:paraId="6571BB27" w14:textId="38B62F1C" w:rsidR="0075402B" w:rsidRPr="007375EB" w:rsidRDefault="0075402B" w:rsidP="0075402B">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xml:space="preserve">- </w:t>
            </w:r>
            <w:r w:rsidR="003A69DD" w:rsidRPr="007375EB">
              <w:rPr>
                <w:rFonts w:asciiTheme="minorHAnsi" w:hAnsiTheme="minorHAnsi"/>
                <w:sz w:val="16"/>
                <w:szCs w:val="16"/>
                <w:lang w:val="bg-BG"/>
              </w:rPr>
              <w:t>всички работи ще се контролират по такъв начин, че да се предотврати евентуално замърсяване на</w:t>
            </w:r>
            <w:r w:rsidRPr="007375EB">
              <w:rPr>
                <w:rFonts w:asciiTheme="minorHAnsi" w:hAnsiTheme="minorHAnsi"/>
                <w:sz w:val="16"/>
                <w:szCs w:val="16"/>
                <w:lang w:val="bg-BG"/>
              </w:rPr>
              <w:t xml:space="preserve"> </w:t>
            </w:r>
            <w:r w:rsidR="003A69DD" w:rsidRPr="007375EB">
              <w:rPr>
                <w:rFonts w:asciiTheme="minorHAnsi" w:hAnsiTheme="minorHAnsi"/>
                <w:sz w:val="16"/>
                <w:szCs w:val="16"/>
                <w:lang w:val="bg-BG"/>
              </w:rPr>
              <w:t>района поради случайно разливане на горива или смазочни материали от оборудването/съоръженията, използвани при работите. В случай на случайно замърсяване незабавно ще се използват абсорбиращи/неутрализиращи вещества, а всички повреди в транспортните средства и/или машините ще се отстраняват в специализирани сервизни звена.</w:t>
            </w:r>
          </w:p>
          <w:p w14:paraId="241127E0" w14:textId="5DF70959" w:rsidR="003A69DD" w:rsidRPr="007375EB" w:rsidRDefault="0075402B" w:rsidP="0075402B">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xml:space="preserve">- </w:t>
            </w:r>
            <w:r w:rsidR="003A69DD" w:rsidRPr="007375EB">
              <w:rPr>
                <w:rFonts w:asciiTheme="minorHAnsi" w:hAnsiTheme="minorHAnsi"/>
                <w:sz w:val="16"/>
                <w:szCs w:val="16"/>
                <w:lang w:val="bg-BG"/>
              </w:rPr>
              <w:t xml:space="preserve">работите по подземното пресичане на водните течения (реките </w:t>
            </w:r>
            <w:r w:rsidRPr="007375EB">
              <w:rPr>
                <w:rFonts w:asciiTheme="minorHAnsi" w:hAnsiTheme="minorHAnsi"/>
                <w:sz w:val="16"/>
                <w:szCs w:val="16"/>
                <w:lang w:val="bg-BG"/>
              </w:rPr>
              <w:t>Черкез</w:t>
            </w:r>
            <w:r w:rsidR="003A69DD" w:rsidRPr="007375EB">
              <w:rPr>
                <w:rFonts w:asciiTheme="minorHAnsi" w:hAnsiTheme="minorHAnsi"/>
                <w:sz w:val="16"/>
                <w:szCs w:val="16"/>
                <w:lang w:val="bg-BG"/>
              </w:rPr>
              <w:t xml:space="preserve"> и </w:t>
            </w:r>
            <w:r w:rsidRPr="007375EB">
              <w:rPr>
                <w:rFonts w:asciiTheme="minorHAnsi" w:hAnsiTheme="minorHAnsi"/>
                <w:sz w:val="16"/>
                <w:szCs w:val="16"/>
                <w:lang w:val="bg-BG"/>
              </w:rPr>
              <w:t>Мъгура</w:t>
            </w:r>
            <w:r w:rsidR="003A69DD" w:rsidRPr="007375EB">
              <w:rPr>
                <w:rFonts w:asciiTheme="minorHAnsi" w:hAnsiTheme="minorHAnsi"/>
                <w:sz w:val="16"/>
                <w:szCs w:val="16"/>
                <w:lang w:val="bg-BG"/>
              </w:rPr>
              <w:t xml:space="preserve">) ще бъдат извършени чрез хоризонтално сондиране на дълбочина 1 </w:t>
            </w:r>
            <w:r w:rsidRPr="007375EB">
              <w:rPr>
                <w:rFonts w:asciiTheme="minorHAnsi" w:hAnsiTheme="minorHAnsi"/>
                <w:sz w:val="16"/>
                <w:szCs w:val="16"/>
                <w:lang w:val="bg-BG"/>
              </w:rPr>
              <w:t>м</w:t>
            </w:r>
            <w:r w:rsidR="003A69DD" w:rsidRPr="007375EB">
              <w:rPr>
                <w:rFonts w:asciiTheme="minorHAnsi" w:hAnsiTheme="minorHAnsi"/>
                <w:sz w:val="16"/>
                <w:szCs w:val="16"/>
                <w:lang w:val="bg-BG"/>
              </w:rPr>
              <w:t xml:space="preserve"> между горния генератор на защитния тръбопровод и насипа на водното течение</w:t>
            </w:r>
          </w:p>
          <w:p w14:paraId="2F47423F" w14:textId="7BCB9D7C" w:rsidR="003A69DD" w:rsidRPr="007375EB" w:rsidRDefault="0075402B" w:rsidP="003A69DD">
            <w:pPr>
              <w:spacing w:after="0" w:line="240" w:lineRule="auto"/>
              <w:contextualSpacing/>
              <w:jc w:val="both"/>
              <w:rPr>
                <w:rFonts w:asciiTheme="minorHAnsi" w:hAnsiTheme="minorHAnsi"/>
                <w:b/>
                <w:sz w:val="16"/>
                <w:szCs w:val="16"/>
                <w:lang w:val="bg-BG"/>
              </w:rPr>
            </w:pPr>
            <w:r w:rsidRPr="007375EB">
              <w:rPr>
                <w:rFonts w:asciiTheme="minorHAnsi" w:hAnsiTheme="minorHAnsi"/>
                <w:b/>
                <w:bCs/>
                <w:sz w:val="16"/>
                <w:szCs w:val="16"/>
                <w:lang w:val="bg-BG"/>
              </w:rPr>
              <w:t>Етап на експлоатацията</w:t>
            </w:r>
            <w:r w:rsidR="003A69DD" w:rsidRPr="007375EB">
              <w:rPr>
                <w:rFonts w:asciiTheme="minorHAnsi" w:hAnsiTheme="minorHAnsi"/>
                <w:b/>
                <w:bCs/>
                <w:sz w:val="16"/>
                <w:szCs w:val="16"/>
                <w:lang w:val="bg-BG"/>
              </w:rPr>
              <w:t>:</w:t>
            </w:r>
            <w:r w:rsidR="003A69DD" w:rsidRPr="007375EB">
              <w:rPr>
                <w:rFonts w:asciiTheme="minorHAnsi" w:hAnsiTheme="minorHAnsi"/>
                <w:b/>
                <w:sz w:val="16"/>
                <w:szCs w:val="16"/>
                <w:lang w:val="bg-BG"/>
              </w:rPr>
              <w:t xml:space="preserve"> </w:t>
            </w:r>
          </w:p>
          <w:p w14:paraId="23A87A66" w14:textId="4DA93A80" w:rsidR="003A69DD" w:rsidRPr="007375EB" w:rsidRDefault="0075402B" w:rsidP="003A69DD">
            <w:pPr>
              <w:pStyle w:val="ListParagraph"/>
              <w:numPr>
                <w:ilvl w:val="0"/>
                <w:numId w:val="82"/>
              </w:numPr>
              <w:spacing w:after="0" w:line="240" w:lineRule="auto"/>
              <w:ind w:left="180" w:hanging="142"/>
              <w:jc w:val="both"/>
              <w:rPr>
                <w:rFonts w:asciiTheme="minorHAnsi" w:hAnsiTheme="minorHAnsi"/>
                <w:sz w:val="16"/>
                <w:szCs w:val="16"/>
                <w:lang w:val="bg-BG"/>
              </w:rPr>
            </w:pPr>
            <w:r w:rsidRPr="007375EB">
              <w:rPr>
                <w:rFonts w:asciiTheme="minorHAnsi" w:hAnsiTheme="minorHAnsi"/>
                <w:sz w:val="16"/>
                <w:szCs w:val="16"/>
                <w:lang w:val="bg-BG"/>
              </w:rPr>
              <w:t>технологиите, използвани по време на експлоатацията на вятърния парк, не оказват никакво въздействие върху екологичния фактор вода и не са необходими мерки за предотвратяване, свеждане до минимум и компенсиране на неблагоприятните въздействия върху околната среда</w:t>
            </w:r>
            <w:r w:rsidR="003A69DD" w:rsidRPr="007375EB">
              <w:rPr>
                <w:rFonts w:asciiTheme="minorHAnsi" w:hAnsiTheme="minorHAnsi"/>
                <w:sz w:val="16"/>
                <w:szCs w:val="16"/>
                <w:lang w:val="bg-BG"/>
              </w:rPr>
              <w:t>.</w:t>
            </w:r>
          </w:p>
          <w:p w14:paraId="7E33AFCE" w14:textId="0D37F68D" w:rsidR="003A69DD" w:rsidRPr="007375EB" w:rsidRDefault="0075402B" w:rsidP="003A69DD">
            <w:pPr>
              <w:spacing w:after="0" w:line="240" w:lineRule="auto"/>
              <w:contextualSpacing/>
              <w:jc w:val="both"/>
              <w:rPr>
                <w:rFonts w:asciiTheme="minorHAnsi" w:hAnsiTheme="minorHAnsi"/>
                <w:b/>
                <w:sz w:val="16"/>
                <w:szCs w:val="16"/>
                <w:lang w:val="bg-BG"/>
              </w:rPr>
            </w:pPr>
            <w:r w:rsidRPr="007375EB">
              <w:rPr>
                <w:rFonts w:asciiTheme="minorHAnsi" w:hAnsiTheme="minorHAnsi"/>
                <w:b/>
                <w:bCs/>
                <w:sz w:val="16"/>
                <w:szCs w:val="16"/>
                <w:lang w:val="bg-BG"/>
              </w:rPr>
              <w:t>Фаза на извеждане от експлоатация</w:t>
            </w:r>
            <w:r w:rsidR="003A69DD" w:rsidRPr="007375EB">
              <w:rPr>
                <w:rFonts w:asciiTheme="minorHAnsi" w:hAnsiTheme="minorHAnsi"/>
                <w:b/>
                <w:bCs/>
                <w:sz w:val="16"/>
                <w:szCs w:val="16"/>
                <w:lang w:val="bg-BG"/>
              </w:rPr>
              <w:t>:</w:t>
            </w:r>
            <w:r w:rsidR="003A69DD" w:rsidRPr="007375EB">
              <w:rPr>
                <w:rFonts w:asciiTheme="minorHAnsi" w:hAnsiTheme="minorHAnsi"/>
                <w:b/>
                <w:sz w:val="16"/>
                <w:szCs w:val="16"/>
                <w:lang w:val="bg-BG"/>
              </w:rPr>
              <w:t xml:space="preserve"> </w:t>
            </w:r>
          </w:p>
          <w:p w14:paraId="0C1A01D9" w14:textId="674F8542" w:rsidR="003A69DD" w:rsidRPr="007375EB" w:rsidRDefault="0075402B" w:rsidP="003A69DD">
            <w:pPr>
              <w:pStyle w:val="ListParagraph"/>
              <w:numPr>
                <w:ilvl w:val="0"/>
                <w:numId w:val="82"/>
              </w:numPr>
              <w:spacing w:after="0" w:line="240" w:lineRule="auto"/>
              <w:ind w:left="173" w:hanging="142"/>
              <w:jc w:val="both"/>
              <w:rPr>
                <w:rFonts w:asciiTheme="minorHAnsi" w:hAnsiTheme="minorHAnsi"/>
                <w:sz w:val="16"/>
                <w:szCs w:val="16"/>
                <w:lang w:val="bg-BG"/>
              </w:rPr>
            </w:pPr>
            <w:r w:rsidRPr="007375EB">
              <w:rPr>
                <w:rFonts w:asciiTheme="minorHAnsi" w:hAnsiTheme="minorHAnsi"/>
                <w:sz w:val="16"/>
                <w:szCs w:val="16"/>
                <w:lang w:val="bg-BG"/>
              </w:rPr>
              <w:t>работата по извеждането от експлоатация ще се извършва при спазване на всички предпазни мерки за отстраняване на случайни разливи на петролни продукти и за събиране на всички отпадъци, получени в резултат на тази работа. В случай на случайни разливи на нефтопродукти върху земята, те ще бъдат събрани чрез абсорбиращи материали, които ще бъдат осигурени на място, и чрез отстраняване/почистване на засегнатия почвен слой.</w:t>
            </w:r>
          </w:p>
        </w:tc>
        <w:tc>
          <w:tcPr>
            <w:tcW w:w="1577" w:type="dxa"/>
          </w:tcPr>
          <w:p w14:paraId="12EDB91D" w14:textId="72928E58" w:rsidR="003A69DD" w:rsidRPr="007375EB" w:rsidRDefault="003A69DD" w:rsidP="003A69DD">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реализацията на вятърния парк</w:t>
            </w:r>
          </w:p>
        </w:tc>
      </w:tr>
      <w:tr w:rsidR="0075402B" w:rsidRPr="007375EB" w14:paraId="66F277D3" w14:textId="2DB936C8" w:rsidTr="00417B73">
        <w:trPr>
          <w:trHeight w:val="968"/>
        </w:trPr>
        <w:tc>
          <w:tcPr>
            <w:tcW w:w="1781" w:type="dxa"/>
            <w:vAlign w:val="center"/>
          </w:tcPr>
          <w:p w14:paraId="25147152" w14:textId="11549D17" w:rsidR="0075402B" w:rsidRPr="007375EB" w:rsidRDefault="0075402B" w:rsidP="0075402B">
            <w:pPr>
              <w:spacing w:after="0" w:line="240" w:lineRule="auto"/>
              <w:contextualSpacing/>
              <w:rPr>
                <w:rFonts w:asciiTheme="minorHAnsi" w:hAnsiTheme="minorHAnsi"/>
                <w:b/>
                <w:bCs/>
                <w:sz w:val="16"/>
                <w:szCs w:val="16"/>
                <w:lang w:val="bg-BG"/>
              </w:rPr>
            </w:pPr>
            <w:r w:rsidRPr="007375EB">
              <w:rPr>
                <w:rFonts w:asciiTheme="minorHAnsi" w:hAnsiTheme="minorHAnsi" w:cs="Calibri"/>
                <w:b/>
                <w:bCs/>
                <w:color w:val="000000"/>
                <w:sz w:val="16"/>
                <w:szCs w:val="16"/>
                <w:lang w:val="bg-BG" w:eastAsia="ro-RO"/>
              </w:rPr>
              <w:t>Въздух</w:t>
            </w:r>
          </w:p>
        </w:tc>
        <w:tc>
          <w:tcPr>
            <w:tcW w:w="2836" w:type="dxa"/>
            <w:vAlign w:val="center"/>
          </w:tcPr>
          <w:p w14:paraId="1C4C0A91" w14:textId="79987C74" w:rsidR="0075402B" w:rsidRPr="007375EB" w:rsidRDefault="0075402B" w:rsidP="0075402B">
            <w:pPr>
              <w:pStyle w:val="ListParagraph"/>
              <w:numPr>
                <w:ilvl w:val="0"/>
                <w:numId w:val="83"/>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Поддържане на качеството на въздуха чрез намаляване на емисиите, генерирани от дейности в енергийния сектор</w:t>
            </w:r>
          </w:p>
        </w:tc>
        <w:tc>
          <w:tcPr>
            <w:tcW w:w="8402" w:type="dxa"/>
          </w:tcPr>
          <w:p w14:paraId="5524F2B3" w14:textId="4B334059" w:rsidR="0075402B" w:rsidRPr="007375EB" w:rsidRDefault="0075402B" w:rsidP="0075402B">
            <w:pPr>
              <w:pStyle w:val="ListParagraph"/>
              <w:spacing w:after="0" w:line="240" w:lineRule="auto"/>
              <w:ind w:left="180"/>
              <w:jc w:val="both"/>
              <w:rPr>
                <w:rFonts w:asciiTheme="minorHAnsi" w:hAnsiTheme="minorHAnsi"/>
                <w:b/>
                <w:bCs/>
                <w:sz w:val="16"/>
                <w:szCs w:val="16"/>
                <w:lang w:val="bg-BG"/>
              </w:rPr>
            </w:pPr>
            <w:r w:rsidRPr="007375EB">
              <w:rPr>
                <w:rFonts w:asciiTheme="minorHAnsi" w:hAnsiTheme="minorHAnsi"/>
                <w:b/>
                <w:bCs/>
                <w:sz w:val="16"/>
                <w:szCs w:val="16"/>
                <w:lang w:val="bg-BG"/>
              </w:rPr>
              <w:t>Етап на изпълнение:</w:t>
            </w:r>
          </w:p>
          <w:p w14:paraId="07C66AAC" w14:textId="77777777" w:rsidR="0075402B" w:rsidRPr="007375EB" w:rsidRDefault="0075402B" w:rsidP="0075402B">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използването на техниката за пръскане с вода на работната повърхност за намаляване на праха, ако полученият прах е видим след приключване на проектните работи.</w:t>
            </w:r>
          </w:p>
          <w:p w14:paraId="1DEE78A8" w14:textId="77777777" w:rsidR="0075402B" w:rsidRPr="007375EB" w:rsidRDefault="0075402B" w:rsidP="0075402B">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що се отнася до емисиите от транспортните средства, те трябва да отговарят на техническите условия, определени в техническите прегледи, които се извършват периодично през целия период на експлоатация на всички моторни превозни средства, регистрирани в страната.</w:t>
            </w:r>
          </w:p>
          <w:p w14:paraId="01C8BF0A" w14:textId="77777777" w:rsidR="00212E64" w:rsidRPr="007375EB" w:rsidRDefault="0075402B" w:rsidP="00212E64">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използването на машини/транспортни средства, оборудвани с високопроизводителни двигатели (EURO 4 или EURO 5) и движещи се с ниска скорост (максимум 30 км/ч), особено по черни или чакълести пътища (в много сухи периоди се препоръчва да се пръскат с вода).</w:t>
            </w:r>
          </w:p>
          <w:p w14:paraId="0460E32E" w14:textId="77777777" w:rsidR="00212E64" w:rsidRPr="007375EB" w:rsidRDefault="00212E64" w:rsidP="00212E64">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lastRenderedPageBreak/>
              <w:t xml:space="preserve">- </w:t>
            </w:r>
            <w:r w:rsidR="0075402B" w:rsidRPr="007375EB">
              <w:rPr>
                <w:rFonts w:asciiTheme="minorHAnsi" w:hAnsiTheme="minorHAnsi"/>
                <w:sz w:val="16"/>
                <w:szCs w:val="16"/>
                <w:lang w:val="bg-BG"/>
              </w:rPr>
              <w:t>По време на транспортиране камионите-самосвали трябва да бъдат оборудвани с брезенти.</w:t>
            </w:r>
          </w:p>
          <w:p w14:paraId="7B0F0163" w14:textId="77777777" w:rsidR="00212E64" w:rsidRPr="007375EB" w:rsidRDefault="00212E64" w:rsidP="00212E64">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горният слой почва на мястото на проектите, където се извършват дейности по изграждане на основи, ще бъде съхраняван и използван отново, за да се възстанови първоначалното състояние на земята след приключване на дейностите.</w:t>
            </w:r>
          </w:p>
          <w:p w14:paraId="234E4373" w14:textId="77777777" w:rsidR="00212E64" w:rsidRPr="007375EB" w:rsidRDefault="00212E64" w:rsidP="00212E64">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технологичните процеси, при които се образува много прах, ще бъдат намалени в периодите на силен вятър или ще се преследва по-интензивно навлажняване на повърхностите под действието на работещите машини или на пътищата за достъп, особено на неасфалтираните.</w:t>
            </w:r>
          </w:p>
          <w:p w14:paraId="14319727" w14:textId="43C3D78A" w:rsidR="0075402B" w:rsidRPr="007375EB" w:rsidRDefault="00212E64" w:rsidP="00212E64">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нанасянето на бои върху строителните елементи ще се извършва чрез използване на минимални количества боя, грунд и разредители и нанасяне със специални устройства, които осигуряват минимални изхвърляния на ЛОС в атмосферата</w:t>
            </w:r>
            <w:r w:rsidR="0075402B" w:rsidRPr="007375EB">
              <w:rPr>
                <w:rFonts w:asciiTheme="minorHAnsi" w:hAnsiTheme="minorHAnsi"/>
                <w:sz w:val="16"/>
                <w:szCs w:val="16"/>
                <w:lang w:val="bg-BG"/>
              </w:rPr>
              <w:t>.</w:t>
            </w:r>
          </w:p>
          <w:p w14:paraId="1FE1DC85" w14:textId="4930A5D0" w:rsidR="0075402B" w:rsidRPr="007375EB" w:rsidRDefault="0075402B" w:rsidP="0075402B">
            <w:pPr>
              <w:pStyle w:val="ListParagraph"/>
              <w:spacing w:after="0" w:line="240" w:lineRule="auto"/>
              <w:ind w:left="180"/>
              <w:jc w:val="both"/>
              <w:rPr>
                <w:rFonts w:asciiTheme="minorHAnsi" w:hAnsiTheme="minorHAnsi"/>
                <w:b/>
                <w:bCs/>
                <w:sz w:val="16"/>
                <w:szCs w:val="16"/>
                <w:lang w:val="bg-BG"/>
              </w:rPr>
            </w:pPr>
            <w:r w:rsidRPr="007375EB">
              <w:rPr>
                <w:rFonts w:asciiTheme="minorHAnsi" w:hAnsiTheme="minorHAnsi"/>
                <w:b/>
                <w:bCs/>
                <w:sz w:val="16"/>
                <w:szCs w:val="16"/>
                <w:lang w:val="bg-BG"/>
              </w:rPr>
              <w:t xml:space="preserve">Етап на експлоатацията: </w:t>
            </w:r>
          </w:p>
          <w:p w14:paraId="36D599A2" w14:textId="54A81BCB" w:rsidR="0075402B" w:rsidRPr="007375EB" w:rsidRDefault="00212E64" w:rsidP="0075402B">
            <w:pPr>
              <w:pStyle w:val="ListParagraph"/>
              <w:numPr>
                <w:ilvl w:val="0"/>
                <w:numId w:val="82"/>
              </w:numPr>
              <w:spacing w:after="0" w:line="240" w:lineRule="auto"/>
              <w:ind w:left="180" w:hanging="142"/>
              <w:jc w:val="both"/>
              <w:rPr>
                <w:rFonts w:asciiTheme="minorHAnsi" w:hAnsiTheme="minorHAnsi"/>
                <w:sz w:val="16"/>
                <w:szCs w:val="16"/>
                <w:lang w:val="bg-BG"/>
              </w:rPr>
            </w:pPr>
            <w:r w:rsidRPr="007375EB">
              <w:rPr>
                <w:rFonts w:asciiTheme="minorHAnsi" w:hAnsiTheme="minorHAnsi"/>
                <w:sz w:val="16"/>
                <w:szCs w:val="16"/>
                <w:lang w:val="bg-BG"/>
              </w:rPr>
              <w:t>експлоатацията на вятърния парк не оказва отрицателно въздействие върху въздуха и не са необходими мерки за предотвратяване, свеждане до минимум и компенсиране на неблагоприятните въздействия върху околната среда, като се гарантира минимално изпускане на ЛОС в атмосферата</w:t>
            </w:r>
            <w:r w:rsidR="0075402B" w:rsidRPr="007375EB">
              <w:rPr>
                <w:rFonts w:asciiTheme="minorHAnsi" w:hAnsiTheme="minorHAnsi"/>
                <w:sz w:val="16"/>
                <w:szCs w:val="16"/>
                <w:lang w:val="bg-BG"/>
              </w:rPr>
              <w:t>.</w:t>
            </w:r>
          </w:p>
          <w:p w14:paraId="2EA2BDC7" w14:textId="4646648B" w:rsidR="0075402B" w:rsidRPr="007375EB" w:rsidRDefault="0075402B" w:rsidP="0075402B">
            <w:pPr>
              <w:pStyle w:val="ListParagraph"/>
              <w:spacing w:after="0" w:line="240" w:lineRule="auto"/>
              <w:ind w:left="180"/>
              <w:jc w:val="both"/>
              <w:rPr>
                <w:rFonts w:asciiTheme="minorHAnsi" w:hAnsiTheme="minorHAnsi"/>
                <w:sz w:val="16"/>
                <w:szCs w:val="16"/>
                <w:lang w:val="bg-BG"/>
              </w:rPr>
            </w:pPr>
            <w:r w:rsidRPr="007375EB">
              <w:rPr>
                <w:rFonts w:asciiTheme="minorHAnsi" w:hAnsiTheme="minorHAnsi"/>
                <w:b/>
                <w:bCs/>
                <w:sz w:val="16"/>
                <w:szCs w:val="16"/>
                <w:lang w:val="bg-BG"/>
              </w:rPr>
              <w:t>Фаза на извеждане от експлоатация</w:t>
            </w:r>
            <w:r w:rsidRPr="007375EB">
              <w:rPr>
                <w:rFonts w:asciiTheme="minorHAnsi" w:hAnsiTheme="minorHAnsi"/>
                <w:sz w:val="16"/>
                <w:szCs w:val="16"/>
                <w:lang w:val="bg-BG"/>
              </w:rPr>
              <w:t xml:space="preserve">: </w:t>
            </w:r>
          </w:p>
          <w:p w14:paraId="2C3E23DC" w14:textId="69FFD5DD" w:rsidR="0075402B" w:rsidRPr="007375EB" w:rsidRDefault="00212E64" w:rsidP="0075402B">
            <w:pPr>
              <w:pStyle w:val="ListParagraph"/>
              <w:numPr>
                <w:ilvl w:val="0"/>
                <w:numId w:val="82"/>
              </w:numPr>
              <w:spacing w:after="0" w:line="240" w:lineRule="auto"/>
              <w:ind w:left="180" w:hanging="142"/>
              <w:jc w:val="both"/>
              <w:rPr>
                <w:rFonts w:asciiTheme="minorHAnsi" w:hAnsiTheme="minorHAnsi"/>
                <w:sz w:val="16"/>
                <w:szCs w:val="16"/>
                <w:lang w:val="bg-BG"/>
              </w:rPr>
            </w:pPr>
            <w:r w:rsidRPr="007375EB">
              <w:rPr>
                <w:rFonts w:asciiTheme="minorHAnsi" w:hAnsiTheme="minorHAnsi"/>
                <w:sz w:val="16"/>
                <w:szCs w:val="16"/>
                <w:lang w:val="bg-BG"/>
              </w:rPr>
              <w:t>по време на периода на извеждане от експлоатация въздействието е подобно на периода на изпълнение, поради което ще бъдат предприети същите мерки по отношение на работните фронтове, извеждането от експлоатация и транспортното оборудване</w:t>
            </w:r>
            <w:r w:rsidR="0075402B" w:rsidRPr="007375EB">
              <w:rPr>
                <w:rFonts w:asciiTheme="minorHAnsi" w:hAnsiTheme="minorHAnsi"/>
                <w:sz w:val="16"/>
                <w:szCs w:val="16"/>
                <w:lang w:val="bg-BG"/>
              </w:rPr>
              <w:t>.</w:t>
            </w:r>
          </w:p>
        </w:tc>
        <w:tc>
          <w:tcPr>
            <w:tcW w:w="1577" w:type="dxa"/>
          </w:tcPr>
          <w:p w14:paraId="3577549F" w14:textId="6D264F93" w:rsidR="0075402B" w:rsidRPr="007375EB" w:rsidRDefault="0075402B" w:rsidP="0075402B">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lastRenderedPageBreak/>
              <w:t>Изпълнителят, отговорен за реализацията на вятърния парк</w:t>
            </w:r>
          </w:p>
        </w:tc>
      </w:tr>
      <w:tr w:rsidR="00212E64" w:rsidRPr="007375EB" w14:paraId="43DD1E91" w14:textId="132E1AA8" w:rsidTr="00417B73">
        <w:trPr>
          <w:trHeight w:val="509"/>
        </w:trPr>
        <w:tc>
          <w:tcPr>
            <w:tcW w:w="1781" w:type="dxa"/>
            <w:vAlign w:val="center"/>
          </w:tcPr>
          <w:p w14:paraId="7EEBCFBC" w14:textId="74AC9FC4" w:rsidR="00212E64" w:rsidRPr="007375EB" w:rsidRDefault="00212E64" w:rsidP="00212E64">
            <w:pPr>
              <w:spacing w:after="0" w:line="240" w:lineRule="auto"/>
              <w:contextualSpacing/>
              <w:rPr>
                <w:rFonts w:asciiTheme="minorHAnsi" w:hAnsiTheme="minorHAnsi"/>
                <w:b/>
                <w:bCs/>
                <w:sz w:val="16"/>
                <w:szCs w:val="16"/>
                <w:lang w:val="bg-BG"/>
              </w:rPr>
            </w:pPr>
            <w:r w:rsidRPr="007375EB">
              <w:rPr>
                <w:rFonts w:asciiTheme="minorHAnsi" w:hAnsiTheme="minorHAnsi" w:cs="Calibri"/>
                <w:b/>
                <w:bCs/>
                <w:color w:val="000000"/>
                <w:sz w:val="16"/>
                <w:szCs w:val="16"/>
                <w:lang w:val="bg-BG" w:eastAsia="ro-RO"/>
              </w:rPr>
              <w:t>Почва/подпочва</w:t>
            </w:r>
          </w:p>
        </w:tc>
        <w:tc>
          <w:tcPr>
            <w:tcW w:w="2836" w:type="dxa"/>
            <w:vAlign w:val="center"/>
          </w:tcPr>
          <w:p w14:paraId="378D69B1" w14:textId="24329CFC" w:rsidR="00212E64" w:rsidRPr="007375EB" w:rsidRDefault="00212E64" w:rsidP="00212E64">
            <w:pPr>
              <w:pStyle w:val="ListParagraph"/>
              <w:numPr>
                <w:ilvl w:val="0"/>
                <w:numId w:val="83"/>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b/>
                <w:bCs/>
                <w:color w:val="000000"/>
                <w:sz w:val="14"/>
                <w:szCs w:val="14"/>
                <w:lang w:val="bg-BG" w:eastAsia="ro-RO"/>
              </w:rPr>
              <w:t xml:space="preserve"> </w:t>
            </w:r>
            <w:r w:rsidRPr="007375EB">
              <w:rPr>
                <w:rFonts w:asciiTheme="minorHAnsi" w:hAnsiTheme="minorHAnsi" w:cs="Calibri"/>
                <w:color w:val="000000"/>
                <w:sz w:val="16"/>
                <w:szCs w:val="16"/>
                <w:lang w:val="bg-BG" w:eastAsia="ro-RO"/>
              </w:rPr>
              <w:t>Ограничаване на замърсяването на почвата и деградацията на земните повърхности</w:t>
            </w:r>
          </w:p>
        </w:tc>
        <w:tc>
          <w:tcPr>
            <w:tcW w:w="8402" w:type="dxa"/>
          </w:tcPr>
          <w:p w14:paraId="1544452E" w14:textId="5F04B863" w:rsidR="00212E64" w:rsidRPr="007375EB" w:rsidRDefault="00212E64" w:rsidP="00417B73">
            <w:pPr>
              <w:pStyle w:val="ListParagraph"/>
              <w:spacing w:after="0" w:line="240" w:lineRule="auto"/>
              <w:ind w:left="0"/>
              <w:jc w:val="both"/>
              <w:rPr>
                <w:rFonts w:asciiTheme="minorHAnsi" w:hAnsiTheme="minorHAnsi"/>
                <w:b/>
                <w:bCs/>
                <w:sz w:val="16"/>
                <w:szCs w:val="16"/>
                <w:lang w:val="bg-BG"/>
              </w:rPr>
            </w:pPr>
            <w:r w:rsidRPr="007375EB">
              <w:rPr>
                <w:rFonts w:asciiTheme="minorHAnsi" w:hAnsiTheme="minorHAnsi"/>
                <w:b/>
                <w:bCs/>
                <w:sz w:val="16"/>
                <w:szCs w:val="16"/>
                <w:lang w:val="bg-BG"/>
              </w:rPr>
              <w:t>Етап на изпълнение:</w:t>
            </w:r>
          </w:p>
          <w:p w14:paraId="5BE8CFCE" w14:textId="2EB5E7F3" w:rsidR="00212E64" w:rsidRPr="007375EB" w:rsidRDefault="00212E64" w:rsidP="00417B73">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очертаване на работните зони преди започване на строителните работи, така че да се посочат границите, между които ще се извършват строително-монтажните дейности, и свеждане до минимум на засегнатите зони.</w:t>
            </w:r>
          </w:p>
          <w:p w14:paraId="0D78EF93" w14:textId="4A3C76FD" w:rsidR="00212E64" w:rsidRPr="007375EB" w:rsidRDefault="00212E64" w:rsidP="00417B73">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осигуряване на контролирано складиране на строителните материали и отпадъците, генерирани по време на етапа на изпълнение и извеждане от експлоатация, в специално обособени за целта места на площадката.</w:t>
            </w:r>
          </w:p>
          <w:p w14:paraId="738B96CB" w14:textId="453AD88D" w:rsidR="00212E64" w:rsidRPr="007375EB" w:rsidRDefault="00212E64" w:rsidP="00417B73">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да се избягва складирането на земята на материали, които, изложени на валежи, могат да предизвикат просмукване в почвата и подпочвените води (непропускливи складови площи).</w:t>
            </w:r>
          </w:p>
          <w:p w14:paraId="416D28DA" w14:textId="2351FCF2" w:rsidR="00212E64" w:rsidRPr="007375EB" w:rsidRDefault="00212E64" w:rsidP="00417B73">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Депата от плодородна почва и пръст, получени в резултат на изкопите, извършени за основите на сградите, трябва да се депонират в непосредствена близост до работните зони, от които произхождат, без да се засягат съседните земи.</w:t>
            </w:r>
          </w:p>
          <w:p w14:paraId="0BCE9ABF" w14:textId="158DCFAD" w:rsidR="00212E64" w:rsidRPr="007375EB" w:rsidRDefault="00212E64" w:rsidP="00417B73">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Отпадъците, генерирани по време на строителните дейности, ще бъдат управлявани в съответствие със съответните законови разпоредби (селективно събиране, повторна употреба и окончателно изхвърляне).</w:t>
            </w:r>
          </w:p>
          <w:p w14:paraId="10134B76" w14:textId="10FE9DB6" w:rsidR="00212E64" w:rsidRPr="007375EB" w:rsidRDefault="00212E64" w:rsidP="00417B73">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зареждането с гориво на транспортните средства ще се извършва в оторизирани бензиностанции.</w:t>
            </w:r>
          </w:p>
          <w:p w14:paraId="0D7AA174" w14:textId="77777777" w:rsidR="00212E64" w:rsidRPr="007375EB" w:rsidRDefault="00212E64" w:rsidP="00417B73">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поддръжката, ремонтът и измиването на използваните машини и транспортни средства ще се извършват от оторизирани фирми.</w:t>
            </w:r>
          </w:p>
          <w:p w14:paraId="34383395" w14:textId="77777777" w:rsidR="00212E64" w:rsidRPr="007375EB" w:rsidRDefault="00212E64" w:rsidP="00417B73">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възстановяване на растителността чрез екологична реконструкция в района на фундаментните платформи и технологичните платформи чрез покриване с горен почвен слой и възстановяване на растителността, характерна за местообитанията в района.</w:t>
            </w:r>
          </w:p>
          <w:p w14:paraId="254EE8C7" w14:textId="562E3FC6" w:rsidR="00212E64" w:rsidRPr="007375EB" w:rsidRDefault="00212E64" w:rsidP="00417B73">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xml:space="preserve">- </w:t>
            </w:r>
            <w:r w:rsidR="00417B73" w:rsidRPr="007375EB">
              <w:rPr>
                <w:rFonts w:asciiTheme="minorHAnsi" w:hAnsiTheme="minorHAnsi"/>
                <w:sz w:val="16"/>
                <w:szCs w:val="16"/>
                <w:lang w:val="bg-BG"/>
              </w:rPr>
              <w:t xml:space="preserve">на анализирания обект ще бъдат изградени пътища за достъп, за да се подобрят пътните участъци, както и да се възстанови инфраструктурата, така че да се осигури достъп на </w:t>
            </w:r>
            <w:r w:rsidR="00417B73" w:rsidRPr="007375EB">
              <w:rPr>
                <w:rFonts w:asciiTheme="minorHAnsi" w:hAnsiTheme="minorHAnsi"/>
                <w:sz w:val="16"/>
                <w:szCs w:val="16"/>
                <w:lang w:val="bg-BG"/>
              </w:rPr>
              <w:lastRenderedPageBreak/>
              <w:t>машините, участващи в строителството, както и лесна поддръжка за достъп на инспектиращия персонал през цялото времетраене на операцията</w:t>
            </w:r>
            <w:r w:rsidRPr="007375EB">
              <w:rPr>
                <w:rFonts w:asciiTheme="minorHAnsi" w:hAnsiTheme="minorHAnsi"/>
                <w:sz w:val="16"/>
                <w:szCs w:val="16"/>
                <w:lang w:val="bg-BG"/>
              </w:rPr>
              <w:t>;</w:t>
            </w:r>
          </w:p>
          <w:p w14:paraId="2107E950" w14:textId="7FCC1439" w:rsidR="00212E64" w:rsidRPr="007375EB" w:rsidRDefault="00212E64" w:rsidP="00417B73">
            <w:pPr>
              <w:pStyle w:val="ListParagraph"/>
              <w:spacing w:after="0" w:line="240" w:lineRule="auto"/>
              <w:ind w:left="0"/>
              <w:jc w:val="both"/>
              <w:rPr>
                <w:rFonts w:asciiTheme="minorHAnsi" w:hAnsiTheme="minorHAnsi"/>
                <w:b/>
                <w:bCs/>
                <w:sz w:val="16"/>
                <w:szCs w:val="16"/>
                <w:lang w:val="bg-BG"/>
              </w:rPr>
            </w:pPr>
            <w:r w:rsidRPr="007375EB">
              <w:rPr>
                <w:rFonts w:asciiTheme="minorHAnsi" w:hAnsiTheme="minorHAnsi"/>
                <w:b/>
                <w:bCs/>
                <w:sz w:val="16"/>
                <w:szCs w:val="16"/>
                <w:lang w:val="bg-BG"/>
              </w:rPr>
              <w:t xml:space="preserve">Етап на експлоатацията: </w:t>
            </w:r>
          </w:p>
          <w:p w14:paraId="478E7396" w14:textId="06A99E8C" w:rsidR="00212E64" w:rsidRPr="007375EB" w:rsidRDefault="00792950" w:rsidP="00417B73">
            <w:pPr>
              <w:pStyle w:val="ListParagraph"/>
              <w:numPr>
                <w:ilvl w:val="0"/>
                <w:numId w:val="82"/>
              </w:numPr>
              <w:spacing w:after="0" w:line="240" w:lineRule="auto"/>
              <w:ind w:left="0" w:hanging="142"/>
              <w:jc w:val="both"/>
              <w:rPr>
                <w:rFonts w:asciiTheme="minorHAnsi" w:hAnsiTheme="minorHAnsi"/>
                <w:sz w:val="16"/>
                <w:szCs w:val="16"/>
                <w:lang w:val="bg-BG"/>
              </w:rPr>
            </w:pPr>
            <w:r w:rsidRPr="007375EB">
              <w:rPr>
                <w:rFonts w:asciiTheme="minorHAnsi" w:hAnsiTheme="minorHAnsi"/>
                <w:sz w:val="16"/>
                <w:szCs w:val="16"/>
                <w:lang w:val="bg-BG"/>
              </w:rPr>
              <w:t>експлоатацията на вятърния парк не оказва отрицателно въздействие върху почвата и земните недра и не са необходими мерки за предотвратяване, свеждане до минимум и компенсиране на неблагоприятните въздействия върху околната среда</w:t>
            </w:r>
            <w:r w:rsidR="00212E64" w:rsidRPr="007375EB">
              <w:rPr>
                <w:rFonts w:asciiTheme="minorHAnsi" w:hAnsiTheme="minorHAnsi"/>
                <w:sz w:val="16"/>
                <w:szCs w:val="16"/>
                <w:lang w:val="bg-BG"/>
              </w:rPr>
              <w:t>.</w:t>
            </w:r>
          </w:p>
          <w:p w14:paraId="71E303DF" w14:textId="12A60EC9" w:rsidR="00212E64" w:rsidRPr="007375EB" w:rsidRDefault="00212E64" w:rsidP="00417B73">
            <w:pPr>
              <w:pStyle w:val="ListParagraph"/>
              <w:spacing w:after="0" w:line="240" w:lineRule="auto"/>
              <w:ind w:left="0"/>
              <w:jc w:val="both"/>
              <w:rPr>
                <w:rFonts w:asciiTheme="minorHAnsi" w:hAnsiTheme="minorHAnsi"/>
                <w:sz w:val="16"/>
                <w:szCs w:val="16"/>
                <w:lang w:val="bg-BG"/>
              </w:rPr>
            </w:pPr>
            <w:r w:rsidRPr="007375EB">
              <w:rPr>
                <w:rFonts w:asciiTheme="minorHAnsi" w:hAnsiTheme="minorHAnsi"/>
                <w:b/>
                <w:bCs/>
                <w:sz w:val="16"/>
                <w:szCs w:val="16"/>
                <w:lang w:val="bg-BG"/>
              </w:rPr>
              <w:t>Фаза на извеждане от експлоатация</w:t>
            </w:r>
            <w:r w:rsidRPr="007375EB">
              <w:rPr>
                <w:rFonts w:asciiTheme="minorHAnsi" w:hAnsiTheme="minorHAnsi"/>
                <w:sz w:val="16"/>
                <w:szCs w:val="16"/>
                <w:lang w:val="bg-BG"/>
              </w:rPr>
              <w:t xml:space="preserve">: </w:t>
            </w:r>
          </w:p>
          <w:p w14:paraId="29412960" w14:textId="5140BB30" w:rsidR="00212E64" w:rsidRPr="007375EB" w:rsidRDefault="00792950" w:rsidP="00417B73">
            <w:pPr>
              <w:pStyle w:val="ListParagraph"/>
              <w:numPr>
                <w:ilvl w:val="0"/>
                <w:numId w:val="82"/>
              </w:numPr>
              <w:spacing w:after="0" w:line="240" w:lineRule="auto"/>
              <w:ind w:left="0" w:hanging="142"/>
              <w:jc w:val="both"/>
              <w:rPr>
                <w:rFonts w:asciiTheme="minorHAnsi" w:hAnsiTheme="minorHAnsi"/>
                <w:sz w:val="16"/>
                <w:szCs w:val="16"/>
                <w:lang w:val="bg-BG"/>
              </w:rPr>
            </w:pPr>
            <w:r w:rsidRPr="007375EB">
              <w:rPr>
                <w:rFonts w:asciiTheme="minorHAnsi" w:hAnsiTheme="minorHAnsi"/>
                <w:sz w:val="16"/>
                <w:szCs w:val="16"/>
                <w:lang w:val="bg-BG"/>
              </w:rPr>
              <w:t>по време на периода на извеждане от експлоатация въздействието е подобно на периода на изпълнение, поради което ще бъдат предприети същите мерки по отношение на работните фронтове, извеждането от експлоатация и транспортното оборудване</w:t>
            </w:r>
            <w:r w:rsidR="00212E64" w:rsidRPr="007375EB">
              <w:rPr>
                <w:rFonts w:asciiTheme="minorHAnsi" w:hAnsiTheme="minorHAnsi"/>
                <w:sz w:val="16"/>
                <w:szCs w:val="16"/>
                <w:lang w:val="bg-BG"/>
              </w:rPr>
              <w:t>.</w:t>
            </w:r>
          </w:p>
        </w:tc>
        <w:tc>
          <w:tcPr>
            <w:tcW w:w="1577" w:type="dxa"/>
          </w:tcPr>
          <w:p w14:paraId="6AC14A1D" w14:textId="472942C4" w:rsidR="00212E64" w:rsidRPr="007375EB" w:rsidRDefault="00212E64" w:rsidP="00212E64">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lastRenderedPageBreak/>
              <w:t>Изпълнителят, отговорен за реализацията на вятърния парк</w:t>
            </w:r>
          </w:p>
        </w:tc>
      </w:tr>
      <w:tr w:rsidR="00417B73" w:rsidRPr="007375EB" w14:paraId="246A209B" w14:textId="1C2C516F" w:rsidTr="00417B73">
        <w:trPr>
          <w:trHeight w:val="671"/>
        </w:trPr>
        <w:tc>
          <w:tcPr>
            <w:tcW w:w="1781" w:type="dxa"/>
            <w:vMerge w:val="restart"/>
          </w:tcPr>
          <w:p w14:paraId="14EA8096" w14:textId="4024D3B2" w:rsidR="00417B73" w:rsidRPr="007375EB" w:rsidRDefault="00417B73" w:rsidP="00417B73">
            <w:pPr>
              <w:spacing w:after="0" w:line="240" w:lineRule="auto"/>
              <w:contextualSpacing/>
              <w:rPr>
                <w:rFonts w:asciiTheme="minorHAnsi" w:hAnsiTheme="minorHAnsi"/>
                <w:b/>
                <w:bCs/>
                <w:sz w:val="16"/>
                <w:szCs w:val="16"/>
                <w:lang w:val="bg-BG"/>
              </w:rPr>
            </w:pPr>
            <w:r w:rsidRPr="007375EB">
              <w:rPr>
                <w:rFonts w:asciiTheme="minorHAnsi" w:hAnsiTheme="minorHAnsi"/>
                <w:b/>
                <w:bCs/>
                <w:sz w:val="16"/>
                <w:szCs w:val="16"/>
                <w:lang w:val="bg-BG"/>
              </w:rPr>
              <w:t xml:space="preserve">Използване на природните ресурси </w:t>
            </w:r>
          </w:p>
        </w:tc>
        <w:tc>
          <w:tcPr>
            <w:tcW w:w="2836" w:type="dxa"/>
            <w:vAlign w:val="center"/>
          </w:tcPr>
          <w:p w14:paraId="0353C127" w14:textId="41AF74E7" w:rsidR="00417B73" w:rsidRPr="007375EB" w:rsidRDefault="00417B73" w:rsidP="00417B73">
            <w:pPr>
              <w:pStyle w:val="ListParagraph"/>
              <w:numPr>
                <w:ilvl w:val="0"/>
                <w:numId w:val="83"/>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Намаляване на експлоатацията на изчерпаемите ресурси и улесняване на експлоатацията на възобновяемите</w:t>
            </w:r>
          </w:p>
        </w:tc>
        <w:tc>
          <w:tcPr>
            <w:tcW w:w="8402" w:type="dxa"/>
          </w:tcPr>
          <w:p w14:paraId="28D43CF1" w14:textId="77777777" w:rsidR="00792950" w:rsidRPr="007375EB" w:rsidRDefault="00792950" w:rsidP="007929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използване на енергийно ефективно строително оборудване, за да се сведе до минимум потреблението на изкопаеми горива</w:t>
            </w:r>
          </w:p>
          <w:p w14:paraId="3F25B3A9" w14:textId="40BE64AF" w:rsidR="00417B73" w:rsidRPr="007375EB" w:rsidRDefault="00792950" w:rsidP="007929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На етапа на експлоатация вятърният парк насърчава използването на възобновяеми ресурси и оказва положително въздействие. Освен това реализацията на вятърния парк ще замени същото количество електроенергия, произведено от невъзобновяеми източници (изкопаеми горива), като по този начин ще намали тяхната експлоатация.</w:t>
            </w:r>
          </w:p>
        </w:tc>
        <w:tc>
          <w:tcPr>
            <w:tcW w:w="1577" w:type="dxa"/>
          </w:tcPr>
          <w:p w14:paraId="6B3CBF80" w14:textId="0F318E75" w:rsidR="00417B73" w:rsidRPr="007375EB" w:rsidRDefault="00417B73" w:rsidP="00417B73">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реализацията на вятърния парк</w:t>
            </w:r>
          </w:p>
        </w:tc>
      </w:tr>
      <w:tr w:rsidR="003A69DD" w:rsidRPr="007375EB" w14:paraId="0774DB42" w14:textId="006C286E" w:rsidTr="00417B73">
        <w:trPr>
          <w:trHeight w:val="542"/>
        </w:trPr>
        <w:tc>
          <w:tcPr>
            <w:tcW w:w="1781" w:type="dxa"/>
            <w:vMerge/>
          </w:tcPr>
          <w:p w14:paraId="1671AC5C" w14:textId="77777777" w:rsidR="003A69DD" w:rsidRPr="007375EB" w:rsidRDefault="003A69DD" w:rsidP="003A69DD">
            <w:pPr>
              <w:spacing w:after="0" w:line="240" w:lineRule="auto"/>
              <w:contextualSpacing/>
              <w:rPr>
                <w:rFonts w:asciiTheme="minorHAnsi" w:hAnsiTheme="minorHAnsi"/>
                <w:b/>
                <w:bCs/>
                <w:sz w:val="16"/>
                <w:szCs w:val="16"/>
                <w:lang w:val="bg-BG"/>
              </w:rPr>
            </w:pPr>
          </w:p>
        </w:tc>
        <w:tc>
          <w:tcPr>
            <w:tcW w:w="2836" w:type="dxa"/>
          </w:tcPr>
          <w:p w14:paraId="21EDF4EE" w14:textId="4618CFF9" w:rsidR="003A69DD" w:rsidRPr="007375EB" w:rsidRDefault="00792950" w:rsidP="003A69DD">
            <w:pPr>
              <w:pStyle w:val="ListParagraph"/>
              <w:numPr>
                <w:ilvl w:val="0"/>
                <w:numId w:val="83"/>
              </w:numPr>
              <w:tabs>
                <w:tab w:val="left" w:pos="746"/>
              </w:tabs>
              <w:spacing w:after="0" w:line="240" w:lineRule="auto"/>
              <w:ind w:left="607" w:hanging="567"/>
              <w:jc w:val="both"/>
              <w:rPr>
                <w:rFonts w:asciiTheme="minorHAnsi" w:hAnsiTheme="minorHAnsi"/>
                <w:sz w:val="16"/>
                <w:szCs w:val="16"/>
                <w:lang w:val="bg-BG"/>
              </w:rPr>
            </w:pPr>
            <w:r w:rsidRPr="007375EB">
              <w:rPr>
                <w:rFonts w:asciiTheme="minorHAnsi" w:hAnsiTheme="minorHAnsi"/>
                <w:sz w:val="16"/>
                <w:szCs w:val="16"/>
                <w:lang w:val="bg-BG"/>
              </w:rPr>
              <w:t>Насърчаване на прехода към кръгова и ресурсно ефективна икономика</w:t>
            </w:r>
          </w:p>
        </w:tc>
        <w:tc>
          <w:tcPr>
            <w:tcW w:w="8402" w:type="dxa"/>
          </w:tcPr>
          <w:p w14:paraId="3C090A5A" w14:textId="77777777" w:rsidR="00792950" w:rsidRPr="007375EB" w:rsidRDefault="00792950" w:rsidP="007929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използването на по-надеждни продукти, които могат да се използват повторно, да се модернизират и ремонтират, намалява отпадъците.</w:t>
            </w:r>
          </w:p>
          <w:p w14:paraId="40DA0815" w14:textId="61A58831" w:rsidR="003A69DD" w:rsidRPr="007375EB" w:rsidRDefault="00792950" w:rsidP="007929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вятърните турбини и трансформаторните станции, с които ще бъде оборудван вятърният парк, ще отговарят на принципите на кръговата икономика, като свеждат до минимум въздействието върху потреблението на ресурси</w:t>
            </w:r>
          </w:p>
        </w:tc>
        <w:tc>
          <w:tcPr>
            <w:tcW w:w="1577" w:type="dxa"/>
          </w:tcPr>
          <w:p w14:paraId="5057A29B" w14:textId="66B726FA" w:rsidR="003A69DD" w:rsidRPr="007375EB" w:rsidRDefault="003A69DD" w:rsidP="003A69DD">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реализацията на вятърния парк</w:t>
            </w:r>
          </w:p>
        </w:tc>
      </w:tr>
      <w:tr w:rsidR="00792950" w:rsidRPr="007375EB" w14:paraId="727D6E84" w14:textId="4D5C04A2" w:rsidTr="00BC40FC">
        <w:trPr>
          <w:trHeight w:val="603"/>
        </w:trPr>
        <w:tc>
          <w:tcPr>
            <w:tcW w:w="1781" w:type="dxa"/>
          </w:tcPr>
          <w:p w14:paraId="290C2D59" w14:textId="38401D29" w:rsidR="00792950" w:rsidRPr="007375EB" w:rsidRDefault="00792950" w:rsidP="00792950">
            <w:pPr>
              <w:spacing w:after="0" w:line="240" w:lineRule="auto"/>
              <w:contextualSpacing/>
              <w:rPr>
                <w:rFonts w:asciiTheme="minorHAnsi" w:hAnsiTheme="minorHAnsi"/>
                <w:b/>
                <w:bCs/>
                <w:sz w:val="16"/>
                <w:szCs w:val="16"/>
                <w:lang w:val="bg-BG"/>
              </w:rPr>
            </w:pPr>
            <w:r w:rsidRPr="007375EB">
              <w:rPr>
                <w:rFonts w:asciiTheme="minorHAnsi" w:hAnsiTheme="minorHAnsi"/>
                <w:b/>
                <w:bCs/>
                <w:sz w:val="16"/>
                <w:szCs w:val="16"/>
                <w:lang w:val="bg-BG"/>
              </w:rPr>
              <w:t>Управление на отпадъците</w:t>
            </w:r>
          </w:p>
        </w:tc>
        <w:tc>
          <w:tcPr>
            <w:tcW w:w="2836" w:type="dxa"/>
            <w:vAlign w:val="center"/>
          </w:tcPr>
          <w:p w14:paraId="533475EA" w14:textId="09DC934A" w:rsidR="00792950" w:rsidRPr="007375EB" w:rsidRDefault="00792950" w:rsidP="00792950">
            <w:pPr>
              <w:pStyle w:val="ListParagraph"/>
              <w:numPr>
                <w:ilvl w:val="0"/>
                <w:numId w:val="83"/>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Намаляване на количеството генерирани и изхвърлени отпадъци чрез съхранение (съответстващи депа за отпадъци)</w:t>
            </w:r>
          </w:p>
        </w:tc>
        <w:tc>
          <w:tcPr>
            <w:tcW w:w="8402" w:type="dxa"/>
          </w:tcPr>
          <w:p w14:paraId="60373E46" w14:textId="77777777" w:rsidR="00792950" w:rsidRPr="007375EB" w:rsidRDefault="00792950" w:rsidP="007929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Прилагане на план за управление на отпадъците, който включва рециклиране и безопасно изхвърляне на строителни материали.</w:t>
            </w:r>
          </w:p>
          <w:p w14:paraId="1E9C6FE5" w14:textId="3601E641" w:rsidR="00792950" w:rsidRPr="007375EB" w:rsidRDefault="00792950" w:rsidP="007929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Намаляване на генерирането на отпадъци чрез ефективно използване на ресурсите и повторна употреба на материалите.</w:t>
            </w:r>
          </w:p>
        </w:tc>
        <w:tc>
          <w:tcPr>
            <w:tcW w:w="1577" w:type="dxa"/>
          </w:tcPr>
          <w:p w14:paraId="5E2A89E6" w14:textId="2C757C11" w:rsidR="00792950" w:rsidRPr="007375EB" w:rsidRDefault="00792950" w:rsidP="00792950">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реализацията на вятърния парк</w:t>
            </w:r>
          </w:p>
        </w:tc>
      </w:tr>
      <w:tr w:rsidR="00792950" w:rsidRPr="007375EB" w14:paraId="5AD96BE3" w14:textId="70224DDB" w:rsidTr="0098456E">
        <w:trPr>
          <w:trHeight w:val="144"/>
        </w:trPr>
        <w:tc>
          <w:tcPr>
            <w:tcW w:w="1781" w:type="dxa"/>
            <w:vAlign w:val="center"/>
          </w:tcPr>
          <w:p w14:paraId="5105C559" w14:textId="032926D2" w:rsidR="00792950" w:rsidRPr="007375EB" w:rsidRDefault="00792950" w:rsidP="00792950">
            <w:pPr>
              <w:spacing w:after="0" w:line="240" w:lineRule="auto"/>
              <w:contextualSpacing/>
              <w:rPr>
                <w:rFonts w:asciiTheme="minorHAnsi" w:hAnsiTheme="minorHAnsi"/>
                <w:b/>
                <w:bCs/>
                <w:sz w:val="16"/>
                <w:szCs w:val="16"/>
                <w:lang w:val="bg-BG"/>
              </w:rPr>
            </w:pPr>
            <w:r w:rsidRPr="007375EB">
              <w:rPr>
                <w:rFonts w:asciiTheme="minorHAnsi" w:hAnsiTheme="minorHAnsi" w:cs="Calibri"/>
                <w:b/>
                <w:bCs/>
                <w:color w:val="000000"/>
                <w:sz w:val="16"/>
                <w:szCs w:val="16"/>
                <w:lang w:val="bg-BG" w:eastAsia="ro-RO"/>
              </w:rPr>
              <w:t>Шум и вибрации</w:t>
            </w:r>
          </w:p>
        </w:tc>
        <w:tc>
          <w:tcPr>
            <w:tcW w:w="2836" w:type="dxa"/>
            <w:vAlign w:val="center"/>
          </w:tcPr>
          <w:p w14:paraId="6570C9DC" w14:textId="104319E4" w:rsidR="00792950" w:rsidRPr="007375EB" w:rsidRDefault="00792950" w:rsidP="00792950">
            <w:pPr>
              <w:pStyle w:val="ListParagraph"/>
              <w:numPr>
                <w:ilvl w:val="0"/>
                <w:numId w:val="83"/>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Ограничаване на източника на шумово замърсяване в зони с чувствителни към шум рецептори. Ограничение на нивата на вибрации</w:t>
            </w:r>
          </w:p>
        </w:tc>
        <w:tc>
          <w:tcPr>
            <w:tcW w:w="8402" w:type="dxa"/>
          </w:tcPr>
          <w:p w14:paraId="62B23F40" w14:textId="4BD42E38" w:rsidR="00792950" w:rsidRPr="007375EB" w:rsidRDefault="00792950" w:rsidP="00792950">
            <w:pPr>
              <w:pStyle w:val="ListParagraph"/>
              <w:spacing w:after="0" w:line="240" w:lineRule="auto"/>
              <w:ind w:left="180"/>
              <w:jc w:val="both"/>
              <w:rPr>
                <w:rFonts w:asciiTheme="minorHAnsi" w:hAnsiTheme="minorHAnsi"/>
                <w:b/>
                <w:bCs/>
                <w:sz w:val="16"/>
                <w:szCs w:val="16"/>
                <w:lang w:val="bg-BG"/>
              </w:rPr>
            </w:pPr>
            <w:r w:rsidRPr="007375EB">
              <w:rPr>
                <w:rFonts w:asciiTheme="minorHAnsi" w:hAnsiTheme="minorHAnsi"/>
                <w:b/>
                <w:bCs/>
                <w:sz w:val="16"/>
                <w:szCs w:val="16"/>
                <w:lang w:val="bg-BG"/>
              </w:rPr>
              <w:t>Етап на изпълнение:</w:t>
            </w:r>
          </w:p>
          <w:p w14:paraId="6A24E02E" w14:textId="5682B596" w:rsidR="00792950" w:rsidRPr="007375EB" w:rsidRDefault="00792950" w:rsidP="007929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извършване на работите на етапи във времето и пространството, в съответствие с графика на работите, така че нивото на шума да бъде под максимално допустимите граници.</w:t>
            </w:r>
          </w:p>
          <w:p w14:paraId="23B927C5" w14:textId="275890C8" w:rsidR="00792950" w:rsidRPr="007375EB" w:rsidRDefault="00792950" w:rsidP="007929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планиране на дейностите по транспортиране на материалите по такъв начин, че движението на превозните средства да бъде ограничено до минимума, необходим за извършване на работите, за да се сведе до минимум дискомфортът, причинен на местното население.</w:t>
            </w:r>
          </w:p>
          <w:p w14:paraId="4BA6458A" w14:textId="77777777" w:rsidR="00792950" w:rsidRPr="007375EB" w:rsidRDefault="00792950" w:rsidP="007929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xml:space="preserve">- използване на подходящи системи за потискане на шума при източниците (двигатели, машини и др.); </w:t>
            </w:r>
          </w:p>
          <w:p w14:paraId="45287533" w14:textId="11CA9B6D" w:rsidR="00792950" w:rsidRPr="007375EB" w:rsidRDefault="00792950" w:rsidP="007929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поставяне на подвижни панели в непосредствена близост до дейността, генерираща шум, за да се защитят населените места</w:t>
            </w:r>
          </w:p>
          <w:p w14:paraId="68986493" w14:textId="3188ED52" w:rsidR="00792950" w:rsidRPr="007375EB" w:rsidRDefault="00792950" w:rsidP="007929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xml:space="preserve">- определяне и налагане на ограничения на скоростта за движение на транспортните средства в населените места и по технологичните пътища; </w:t>
            </w:r>
          </w:p>
          <w:p w14:paraId="39575204" w14:textId="6CB4E283" w:rsidR="00792950" w:rsidRPr="007375EB" w:rsidRDefault="00792950" w:rsidP="007929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извършване на работа през светлата част на денонощието (между 7:00 и 23:00 часа), като се спазват периодите на почивка на местните жители, или съответно изменение на маршрутите на движение.</w:t>
            </w:r>
          </w:p>
          <w:p w14:paraId="65F22B88" w14:textId="50859415" w:rsidR="00792950" w:rsidRPr="007375EB" w:rsidRDefault="00792950" w:rsidP="007929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lastRenderedPageBreak/>
              <w:t>- мониторинг на шумовите емисии с цел проверка на спазването на граничните стойности, наложени от законодателството, приложимо за конкретната ситуация.</w:t>
            </w:r>
          </w:p>
          <w:p w14:paraId="426C329F" w14:textId="1DE2C8D5" w:rsidR="00792950" w:rsidRPr="007375EB" w:rsidRDefault="00792950" w:rsidP="007929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Що се отнася до вибрациите, те обикновено са нискочестотни звуци и не могат да окажат неблагоприятно въздействие върху човешкото здраве или околната среда</w:t>
            </w:r>
          </w:p>
          <w:p w14:paraId="6527521C" w14:textId="124AD4B9" w:rsidR="00792950" w:rsidRPr="007375EB" w:rsidRDefault="00792950" w:rsidP="00792950">
            <w:pPr>
              <w:pStyle w:val="ListParagraph"/>
              <w:spacing w:after="0" w:line="240" w:lineRule="auto"/>
              <w:ind w:left="180"/>
              <w:jc w:val="both"/>
              <w:rPr>
                <w:rFonts w:asciiTheme="minorHAnsi" w:hAnsiTheme="minorHAnsi"/>
                <w:b/>
                <w:bCs/>
                <w:sz w:val="16"/>
                <w:szCs w:val="16"/>
                <w:lang w:val="bg-BG"/>
              </w:rPr>
            </w:pPr>
            <w:r w:rsidRPr="007375EB">
              <w:rPr>
                <w:rFonts w:asciiTheme="minorHAnsi" w:hAnsiTheme="minorHAnsi"/>
                <w:b/>
                <w:bCs/>
                <w:sz w:val="16"/>
                <w:szCs w:val="16"/>
                <w:lang w:val="bg-BG"/>
              </w:rPr>
              <w:t xml:space="preserve">Етап на експлоатацията: </w:t>
            </w:r>
          </w:p>
          <w:p w14:paraId="2B7C4E6D" w14:textId="6ED50FB6" w:rsidR="00792950" w:rsidRPr="007375EB" w:rsidRDefault="00C46941" w:rsidP="00792950">
            <w:pPr>
              <w:pStyle w:val="ListParagraph"/>
              <w:numPr>
                <w:ilvl w:val="0"/>
                <w:numId w:val="82"/>
              </w:numPr>
              <w:spacing w:after="0" w:line="240" w:lineRule="auto"/>
              <w:ind w:left="180" w:hanging="142"/>
              <w:jc w:val="both"/>
              <w:rPr>
                <w:rFonts w:asciiTheme="minorHAnsi" w:hAnsiTheme="minorHAnsi"/>
                <w:sz w:val="16"/>
                <w:szCs w:val="16"/>
                <w:lang w:val="bg-BG"/>
              </w:rPr>
            </w:pPr>
            <w:r w:rsidRPr="007375EB">
              <w:rPr>
                <w:rFonts w:asciiTheme="minorHAnsi" w:hAnsiTheme="minorHAnsi"/>
                <w:sz w:val="16"/>
                <w:szCs w:val="16"/>
                <w:lang w:val="bg-BG"/>
              </w:rPr>
              <w:t>следи се нивото на шума в съседство с районите, в които са предприети защитни мерки; ако се установи, че защитните мерки не са ефективни, се предприемат допълнителни мерки</w:t>
            </w:r>
            <w:r w:rsidR="00792950" w:rsidRPr="007375EB">
              <w:rPr>
                <w:rFonts w:asciiTheme="minorHAnsi" w:hAnsiTheme="minorHAnsi"/>
                <w:sz w:val="16"/>
                <w:szCs w:val="16"/>
                <w:lang w:val="bg-BG"/>
              </w:rPr>
              <w:t>.</w:t>
            </w:r>
          </w:p>
        </w:tc>
        <w:tc>
          <w:tcPr>
            <w:tcW w:w="1577" w:type="dxa"/>
          </w:tcPr>
          <w:p w14:paraId="6CBA608F" w14:textId="722D1054" w:rsidR="00792950" w:rsidRPr="007375EB" w:rsidRDefault="00792950" w:rsidP="00792950">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lastRenderedPageBreak/>
              <w:t>Изпълнителят, отговорен за реализацията на вятърния парк</w:t>
            </w:r>
          </w:p>
          <w:p w14:paraId="25BA1268" w14:textId="77777777" w:rsidR="00792950" w:rsidRPr="007375EB" w:rsidRDefault="00792950" w:rsidP="00792950">
            <w:pPr>
              <w:spacing w:after="0" w:line="240" w:lineRule="auto"/>
              <w:contextualSpacing/>
              <w:jc w:val="both"/>
              <w:rPr>
                <w:rFonts w:asciiTheme="minorHAnsi" w:hAnsiTheme="minorHAnsi"/>
                <w:sz w:val="16"/>
                <w:szCs w:val="16"/>
                <w:lang w:val="bg-BG"/>
              </w:rPr>
            </w:pPr>
          </w:p>
          <w:p w14:paraId="1946BB15" w14:textId="77777777" w:rsidR="00792950" w:rsidRPr="007375EB" w:rsidRDefault="00792950" w:rsidP="00792950">
            <w:pPr>
              <w:spacing w:after="0" w:line="240" w:lineRule="auto"/>
              <w:contextualSpacing/>
              <w:jc w:val="both"/>
              <w:rPr>
                <w:rFonts w:asciiTheme="minorHAnsi" w:hAnsiTheme="minorHAnsi"/>
                <w:sz w:val="16"/>
                <w:szCs w:val="16"/>
                <w:lang w:val="bg-BG"/>
              </w:rPr>
            </w:pPr>
          </w:p>
          <w:p w14:paraId="62A8A290" w14:textId="77777777" w:rsidR="00792950" w:rsidRPr="007375EB" w:rsidRDefault="00792950" w:rsidP="00792950">
            <w:pPr>
              <w:spacing w:after="0" w:line="240" w:lineRule="auto"/>
              <w:contextualSpacing/>
              <w:jc w:val="both"/>
              <w:rPr>
                <w:rFonts w:asciiTheme="minorHAnsi" w:hAnsiTheme="minorHAnsi"/>
                <w:sz w:val="16"/>
                <w:szCs w:val="16"/>
                <w:lang w:val="bg-BG"/>
              </w:rPr>
            </w:pPr>
          </w:p>
          <w:p w14:paraId="66D2D2DF" w14:textId="77777777" w:rsidR="00792950" w:rsidRPr="007375EB" w:rsidRDefault="00792950" w:rsidP="00792950">
            <w:pPr>
              <w:spacing w:after="0" w:line="240" w:lineRule="auto"/>
              <w:contextualSpacing/>
              <w:jc w:val="both"/>
              <w:rPr>
                <w:rFonts w:asciiTheme="minorHAnsi" w:hAnsiTheme="minorHAnsi"/>
                <w:sz w:val="16"/>
                <w:szCs w:val="16"/>
                <w:lang w:val="bg-BG"/>
              </w:rPr>
            </w:pPr>
          </w:p>
          <w:p w14:paraId="6C8A5A7B" w14:textId="77777777" w:rsidR="00792950" w:rsidRPr="007375EB" w:rsidRDefault="00792950" w:rsidP="00792950">
            <w:pPr>
              <w:spacing w:after="0" w:line="240" w:lineRule="auto"/>
              <w:contextualSpacing/>
              <w:jc w:val="both"/>
              <w:rPr>
                <w:rFonts w:asciiTheme="minorHAnsi" w:hAnsiTheme="minorHAnsi"/>
                <w:sz w:val="16"/>
                <w:szCs w:val="16"/>
                <w:lang w:val="bg-BG"/>
              </w:rPr>
            </w:pPr>
          </w:p>
          <w:p w14:paraId="1E20EE57" w14:textId="77777777" w:rsidR="00792950" w:rsidRPr="007375EB" w:rsidRDefault="00792950" w:rsidP="00792950">
            <w:pPr>
              <w:spacing w:after="0" w:line="240" w:lineRule="auto"/>
              <w:contextualSpacing/>
              <w:jc w:val="both"/>
              <w:rPr>
                <w:rFonts w:asciiTheme="minorHAnsi" w:hAnsiTheme="minorHAnsi"/>
                <w:sz w:val="16"/>
                <w:szCs w:val="16"/>
                <w:lang w:val="bg-BG"/>
              </w:rPr>
            </w:pPr>
          </w:p>
          <w:p w14:paraId="5394A9EC" w14:textId="77777777" w:rsidR="00792950" w:rsidRPr="007375EB" w:rsidRDefault="00792950" w:rsidP="00792950">
            <w:pPr>
              <w:spacing w:after="0" w:line="240" w:lineRule="auto"/>
              <w:contextualSpacing/>
              <w:jc w:val="both"/>
              <w:rPr>
                <w:rFonts w:asciiTheme="minorHAnsi" w:hAnsiTheme="minorHAnsi"/>
                <w:sz w:val="16"/>
                <w:szCs w:val="16"/>
                <w:lang w:val="bg-BG"/>
              </w:rPr>
            </w:pPr>
          </w:p>
          <w:p w14:paraId="1E176501" w14:textId="77777777" w:rsidR="00792950" w:rsidRPr="007375EB" w:rsidRDefault="00792950" w:rsidP="00792950">
            <w:pPr>
              <w:spacing w:after="0" w:line="240" w:lineRule="auto"/>
              <w:contextualSpacing/>
              <w:jc w:val="both"/>
              <w:rPr>
                <w:rFonts w:asciiTheme="minorHAnsi" w:hAnsiTheme="minorHAnsi"/>
                <w:sz w:val="16"/>
                <w:szCs w:val="16"/>
                <w:lang w:val="bg-BG"/>
              </w:rPr>
            </w:pPr>
          </w:p>
          <w:p w14:paraId="19FCD4C3" w14:textId="77777777" w:rsidR="00792950" w:rsidRPr="007375EB" w:rsidRDefault="00792950" w:rsidP="00792950">
            <w:pPr>
              <w:spacing w:after="0" w:line="240" w:lineRule="auto"/>
              <w:contextualSpacing/>
              <w:jc w:val="both"/>
              <w:rPr>
                <w:rFonts w:asciiTheme="minorHAnsi" w:hAnsiTheme="minorHAnsi"/>
                <w:sz w:val="16"/>
                <w:szCs w:val="16"/>
                <w:lang w:val="bg-BG"/>
              </w:rPr>
            </w:pPr>
          </w:p>
          <w:p w14:paraId="6D9EC4E4" w14:textId="77777777" w:rsidR="00792950" w:rsidRPr="007375EB" w:rsidRDefault="00792950" w:rsidP="00792950">
            <w:pPr>
              <w:spacing w:after="0" w:line="240" w:lineRule="auto"/>
              <w:contextualSpacing/>
              <w:jc w:val="both"/>
              <w:rPr>
                <w:rFonts w:asciiTheme="minorHAnsi" w:hAnsiTheme="minorHAnsi"/>
                <w:sz w:val="16"/>
                <w:szCs w:val="16"/>
                <w:lang w:val="bg-BG"/>
              </w:rPr>
            </w:pPr>
          </w:p>
          <w:p w14:paraId="0041E3D5" w14:textId="77777777" w:rsidR="00792950" w:rsidRPr="007375EB" w:rsidRDefault="00792950" w:rsidP="00792950">
            <w:pPr>
              <w:spacing w:after="0" w:line="240" w:lineRule="auto"/>
              <w:contextualSpacing/>
              <w:jc w:val="both"/>
              <w:rPr>
                <w:rFonts w:asciiTheme="minorHAnsi" w:hAnsiTheme="minorHAnsi"/>
                <w:sz w:val="16"/>
                <w:szCs w:val="16"/>
                <w:lang w:val="bg-BG"/>
              </w:rPr>
            </w:pPr>
          </w:p>
          <w:p w14:paraId="4E714C82" w14:textId="77777777" w:rsidR="00792950" w:rsidRPr="007375EB" w:rsidRDefault="00792950" w:rsidP="00792950">
            <w:pPr>
              <w:spacing w:after="0" w:line="240" w:lineRule="auto"/>
              <w:contextualSpacing/>
              <w:jc w:val="both"/>
              <w:rPr>
                <w:rFonts w:asciiTheme="minorHAnsi" w:hAnsiTheme="minorHAnsi"/>
                <w:sz w:val="16"/>
                <w:szCs w:val="16"/>
                <w:lang w:val="bg-BG"/>
              </w:rPr>
            </w:pPr>
          </w:p>
          <w:p w14:paraId="33DB9B12" w14:textId="77777777" w:rsidR="00792950" w:rsidRPr="007375EB" w:rsidRDefault="00792950" w:rsidP="00792950">
            <w:pPr>
              <w:spacing w:after="0" w:line="240" w:lineRule="auto"/>
              <w:contextualSpacing/>
              <w:jc w:val="both"/>
              <w:rPr>
                <w:rFonts w:asciiTheme="minorHAnsi" w:hAnsiTheme="minorHAnsi"/>
                <w:sz w:val="16"/>
                <w:szCs w:val="16"/>
                <w:lang w:val="bg-BG"/>
              </w:rPr>
            </w:pPr>
          </w:p>
          <w:p w14:paraId="6F11C510" w14:textId="69C12493" w:rsidR="00792950" w:rsidRPr="007375EB" w:rsidRDefault="00792950" w:rsidP="00792950">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Оператор на вятърен парк</w:t>
            </w:r>
          </w:p>
        </w:tc>
      </w:tr>
      <w:tr w:rsidR="00C46941" w:rsidRPr="007375EB" w14:paraId="625B6E4E" w14:textId="1E4903C3" w:rsidTr="006A7A46">
        <w:trPr>
          <w:trHeight w:val="226"/>
        </w:trPr>
        <w:tc>
          <w:tcPr>
            <w:tcW w:w="1781" w:type="dxa"/>
            <w:vMerge w:val="restart"/>
            <w:vAlign w:val="center"/>
          </w:tcPr>
          <w:p w14:paraId="620CB775" w14:textId="00C48C1B" w:rsidR="00C46941" w:rsidRPr="007375EB" w:rsidRDefault="00C46941" w:rsidP="00C46941">
            <w:pPr>
              <w:spacing w:after="0" w:line="240" w:lineRule="auto"/>
              <w:contextualSpacing/>
              <w:rPr>
                <w:rFonts w:asciiTheme="minorHAnsi" w:hAnsiTheme="minorHAnsi"/>
                <w:b/>
                <w:bCs/>
                <w:sz w:val="16"/>
                <w:szCs w:val="16"/>
                <w:lang w:val="bg-BG"/>
              </w:rPr>
            </w:pPr>
            <w:r w:rsidRPr="007375EB">
              <w:rPr>
                <w:rFonts w:asciiTheme="minorHAnsi" w:hAnsiTheme="minorHAnsi" w:cs="Calibri"/>
                <w:b/>
                <w:bCs/>
                <w:color w:val="000000"/>
                <w:sz w:val="16"/>
                <w:szCs w:val="16"/>
                <w:lang w:val="bg-BG" w:eastAsia="ro-RO"/>
              </w:rPr>
              <w:lastRenderedPageBreak/>
              <w:t xml:space="preserve">Биоразнообразие </w:t>
            </w:r>
          </w:p>
        </w:tc>
        <w:tc>
          <w:tcPr>
            <w:tcW w:w="2836" w:type="dxa"/>
            <w:vAlign w:val="center"/>
          </w:tcPr>
          <w:p w14:paraId="1CE6F519" w14:textId="75BDBD1C" w:rsidR="00C46941" w:rsidRPr="007375EB" w:rsidRDefault="00C46941" w:rsidP="00C46941">
            <w:pPr>
              <w:pStyle w:val="ListParagraph"/>
              <w:numPr>
                <w:ilvl w:val="0"/>
                <w:numId w:val="83"/>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Опазване на природни местообитания и видове от флората и фауната от обществено значение</w:t>
            </w:r>
          </w:p>
        </w:tc>
        <w:tc>
          <w:tcPr>
            <w:tcW w:w="8402" w:type="dxa"/>
            <w:vMerge w:val="restart"/>
          </w:tcPr>
          <w:p w14:paraId="7634E83C" w14:textId="520AC3DF" w:rsidR="00C46941" w:rsidRPr="007375EB" w:rsidRDefault="00C46941" w:rsidP="00C46941">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Мерките за опазване на биологичното разнообразие, предложени в проучването за подходяща оценка, са следните:</w:t>
            </w:r>
          </w:p>
          <w:p w14:paraId="29BE6BE9" w14:textId="42B04871" w:rsidR="00C46941" w:rsidRPr="007375EB" w:rsidRDefault="0066176E" w:rsidP="00C46941">
            <w:pPr>
              <w:pStyle w:val="ListParagraph"/>
              <w:numPr>
                <w:ilvl w:val="0"/>
                <w:numId w:val="176"/>
              </w:numPr>
              <w:spacing w:after="0" w:line="240" w:lineRule="auto"/>
              <w:ind w:left="0"/>
              <w:jc w:val="both"/>
              <w:rPr>
                <w:rFonts w:asciiTheme="minorHAnsi" w:hAnsiTheme="minorHAnsi"/>
                <w:b/>
                <w:bCs/>
                <w:sz w:val="16"/>
                <w:szCs w:val="16"/>
                <w:lang w:val="bg-BG"/>
              </w:rPr>
            </w:pPr>
            <w:r>
              <w:rPr>
                <w:rFonts w:asciiTheme="minorHAnsi" w:hAnsiTheme="minorHAnsi"/>
                <w:b/>
                <w:bCs/>
                <w:sz w:val="16"/>
                <w:szCs w:val="16"/>
                <w:lang w:val="bg-BG"/>
              </w:rPr>
              <w:t xml:space="preserve">а. </w:t>
            </w:r>
            <w:r w:rsidR="00C46941" w:rsidRPr="007375EB">
              <w:rPr>
                <w:rFonts w:asciiTheme="minorHAnsi" w:hAnsiTheme="minorHAnsi"/>
                <w:b/>
                <w:bCs/>
                <w:sz w:val="16"/>
                <w:szCs w:val="16"/>
                <w:lang w:val="bg-BG"/>
              </w:rPr>
              <w:t>Общи мерки</w:t>
            </w:r>
          </w:p>
          <w:p w14:paraId="3F79F34F" w14:textId="164585D9"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Провеждане на редовно обучение на целия персонал, участващ в строителните работи/извеждането от експлоатация, по общи въпроси на околната среда, защитени местообитания и видове и мерки за избягване и свеждане до минимум на въздействията. Особено внимание ще бъде отделено на въпросите, свързани със забраната за умишлено събиране на растения и животни или умишлено нараняване/убиване на защитени видове.</w:t>
            </w:r>
          </w:p>
          <w:p w14:paraId="7630BE8F" w14:textId="77777777"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Прилагането на системи за осветление с ниска атрактивност и само на земята (с изключение на осветителни тела с нажежаема жичка, генериращи топлина).</w:t>
            </w:r>
          </w:p>
          <w:p w14:paraId="48018A95" w14:textId="28B3EE66"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Спазване на предложения график на работите и периода, предложен в настоящия план.</w:t>
            </w:r>
          </w:p>
          <w:p w14:paraId="76FEEC3D" w14:textId="2AFD1B4E"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Спазване на периметъра на организацията на обекта, предложена да бъде разположена в непосредствена близост до работната зона.</w:t>
            </w:r>
          </w:p>
          <w:p w14:paraId="1788392D" w14:textId="0042B184"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дейностите в рамките на периметъра трябва да се извършват в строго необходимите зони.</w:t>
            </w:r>
          </w:p>
          <w:p w14:paraId="600640E6" w14:textId="3FA30E72"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складирането на строителни материали ще се извършва само на предвидените в плана площи в рамките на организацията на обекта и работните точки, без да се засягат съседните площи.</w:t>
            </w:r>
          </w:p>
          <w:p w14:paraId="6AF49151" w14:textId="28B9E3B1"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да се избягват всякакви разливи на течни горива, масла, бои и т.н. върху земята. в случай на случайни разливи те ще бъдат отстранени чрез прилагане на абсорбиращи материали и ще бъдат изнесени от площадката от фирми-изпълнители, специализирани в управлението на тези видове опасни отпадъци.</w:t>
            </w:r>
          </w:p>
          <w:p w14:paraId="4377C17E" w14:textId="770BC3DF"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Осигуряване на правилно управление на отпадъците с редовно изхвърляне на отпадъците без използване на междинни и несъответстващи на изискванията депа. Забранява се изоставянето на отпадъци в непосредствена близост до организацията на обекта и извън него.</w:t>
            </w:r>
          </w:p>
          <w:p w14:paraId="72C53416" w14:textId="360C2336"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Достъпът до работните точки ще се осъществява по съществуващите пътища за достъп, за да не се засягат допълнителни площи земя.</w:t>
            </w:r>
          </w:p>
          <w:p w14:paraId="39CB0AC3" w14:textId="77777777" w:rsidR="00C46941" w:rsidRPr="007375EB" w:rsidRDefault="00C46941" w:rsidP="00C46941">
            <w:pPr>
              <w:pStyle w:val="ListParagraph"/>
              <w:numPr>
                <w:ilvl w:val="0"/>
                <w:numId w:val="82"/>
              </w:numPr>
              <w:spacing w:after="0" w:line="240" w:lineRule="auto"/>
              <w:ind w:left="0"/>
              <w:jc w:val="both"/>
              <w:rPr>
                <w:rFonts w:asciiTheme="minorHAnsi" w:hAnsiTheme="minorHAnsi"/>
                <w:sz w:val="16"/>
                <w:szCs w:val="16"/>
                <w:lang w:val="bg-BG"/>
              </w:rPr>
            </w:pPr>
            <w:r w:rsidRPr="007375EB">
              <w:rPr>
                <w:rFonts w:asciiTheme="minorHAnsi" w:hAnsiTheme="minorHAnsi"/>
                <w:sz w:val="16"/>
                <w:szCs w:val="16"/>
                <w:lang w:val="bg-BG"/>
              </w:rPr>
              <w:t>- използване на машини и оборудване за извършване на работите, които намаляват до минимум шума и вибрациите, които са ефективни, не замърсяват околната среда и са тихи, така че да не се засягат видовете диви животни.</w:t>
            </w:r>
          </w:p>
          <w:p w14:paraId="5765AF3E" w14:textId="3D68AAA4" w:rsidR="00C46941" w:rsidRPr="0096647B" w:rsidRDefault="00C46941" w:rsidP="00C46941">
            <w:pPr>
              <w:pStyle w:val="ListParagraph"/>
              <w:numPr>
                <w:ilvl w:val="0"/>
                <w:numId w:val="82"/>
              </w:numPr>
              <w:spacing w:after="0" w:line="240" w:lineRule="auto"/>
              <w:ind w:left="0"/>
              <w:jc w:val="both"/>
              <w:rPr>
                <w:rFonts w:asciiTheme="minorHAnsi" w:hAnsiTheme="minorHAnsi"/>
                <w:sz w:val="16"/>
                <w:szCs w:val="16"/>
                <w:lang w:val="bg-BG"/>
              </w:rPr>
            </w:pPr>
            <w:r w:rsidRPr="007375EB">
              <w:rPr>
                <w:rFonts w:asciiTheme="minorHAnsi" w:hAnsiTheme="minorHAnsi"/>
                <w:sz w:val="16"/>
                <w:szCs w:val="16"/>
                <w:lang w:val="bg-BG"/>
              </w:rPr>
              <w:t xml:space="preserve">- Полученият в резултат на изкопните работи горен слой почва или почвен пласт ще се съхранява по подходящ начин и след това ще се използва повторно. Възстановяване на </w:t>
            </w:r>
            <w:r w:rsidRPr="0096647B">
              <w:rPr>
                <w:rFonts w:asciiTheme="minorHAnsi" w:hAnsiTheme="minorHAnsi"/>
                <w:sz w:val="16"/>
                <w:szCs w:val="16"/>
                <w:lang w:val="bg-BG"/>
              </w:rPr>
              <w:t>растителността на временно заетите площи.</w:t>
            </w:r>
          </w:p>
          <w:p w14:paraId="60C2F97D" w14:textId="4C82D9BA" w:rsidR="00C46941" w:rsidRPr="0096647B" w:rsidRDefault="0066176E" w:rsidP="00C46941">
            <w:pPr>
              <w:pStyle w:val="ListParagraph"/>
              <w:numPr>
                <w:ilvl w:val="0"/>
                <w:numId w:val="176"/>
              </w:numPr>
              <w:spacing w:after="0" w:line="240" w:lineRule="auto"/>
              <w:ind w:left="0"/>
              <w:jc w:val="both"/>
              <w:rPr>
                <w:rFonts w:asciiTheme="minorHAnsi" w:hAnsiTheme="minorHAnsi"/>
                <w:b/>
                <w:bCs/>
                <w:sz w:val="16"/>
                <w:szCs w:val="16"/>
                <w:lang w:val="bg-BG"/>
              </w:rPr>
            </w:pPr>
            <w:r w:rsidRPr="0096647B">
              <w:rPr>
                <w:rFonts w:asciiTheme="minorHAnsi" w:hAnsiTheme="minorHAnsi"/>
                <w:b/>
                <w:bCs/>
                <w:sz w:val="16"/>
                <w:szCs w:val="16"/>
                <w:lang w:val="bg-BG"/>
              </w:rPr>
              <w:t xml:space="preserve">b. </w:t>
            </w:r>
            <w:r w:rsidR="00C46941" w:rsidRPr="0096647B">
              <w:rPr>
                <w:rFonts w:asciiTheme="minorHAnsi" w:hAnsiTheme="minorHAnsi"/>
                <w:b/>
                <w:bCs/>
                <w:sz w:val="16"/>
                <w:szCs w:val="16"/>
                <w:lang w:val="bg-BG"/>
              </w:rPr>
              <w:t>Специфични мерки</w:t>
            </w:r>
            <w:r w:rsidRPr="0096647B">
              <w:rPr>
                <w:rFonts w:asciiTheme="minorHAnsi" w:hAnsiTheme="minorHAnsi"/>
                <w:b/>
                <w:bCs/>
                <w:sz w:val="16"/>
                <w:szCs w:val="16"/>
                <w:lang w:val="bg-BG"/>
              </w:rPr>
              <w:t>*</w:t>
            </w:r>
          </w:p>
          <w:p w14:paraId="6486C6AA" w14:textId="41D0FFCB" w:rsidR="00795960" w:rsidRPr="0096647B" w:rsidRDefault="00C46941" w:rsidP="00B92F80">
            <w:pPr>
              <w:pStyle w:val="ListParagraph"/>
              <w:spacing w:after="0" w:line="240" w:lineRule="auto"/>
              <w:ind w:left="0"/>
              <w:jc w:val="both"/>
              <w:rPr>
                <w:rFonts w:asciiTheme="minorHAnsi" w:hAnsiTheme="minorHAnsi"/>
                <w:sz w:val="16"/>
                <w:szCs w:val="16"/>
                <w:highlight w:val="lightGray"/>
                <w:lang w:val="bg-BG"/>
              </w:rPr>
            </w:pPr>
            <w:bookmarkStart w:id="41" w:name="_Hlk197443823"/>
            <w:r w:rsidRPr="0096647B">
              <w:rPr>
                <w:rFonts w:asciiTheme="minorHAnsi" w:hAnsiTheme="minorHAnsi"/>
                <w:sz w:val="16"/>
                <w:szCs w:val="16"/>
                <w:lang w:val="bg-BG"/>
              </w:rPr>
              <w:t xml:space="preserve">- </w:t>
            </w:r>
            <w:r w:rsidR="00795960" w:rsidRPr="0096647B">
              <w:rPr>
                <w:rFonts w:asciiTheme="minorHAnsi" w:hAnsiTheme="minorHAnsi"/>
                <w:sz w:val="16"/>
                <w:szCs w:val="16"/>
                <w:highlight w:val="lightGray"/>
                <w:lang w:val="bg-BG"/>
              </w:rPr>
              <w:t xml:space="preserve">Строителните и монтажни работи трябва да бъдат планирани така, че да се извършват извън периодите на размножаване и отглеждане на малките на видовете от общ интерес, независимо от наличието или липсата на гнезда на обекта. Планирането на дейностите трябва да отчита </w:t>
            </w:r>
            <w:r w:rsidR="00795960" w:rsidRPr="0096647B">
              <w:rPr>
                <w:rFonts w:asciiTheme="minorHAnsi" w:hAnsiTheme="minorHAnsi"/>
                <w:sz w:val="16"/>
                <w:szCs w:val="16"/>
                <w:highlight w:val="lightGray"/>
                <w:lang w:val="bg-BG"/>
              </w:rPr>
              <w:lastRenderedPageBreak/>
              <w:t xml:space="preserve">биологичния календар на съответните видове, така че да се предотврати всяко негативно въздействие върху тях. </w:t>
            </w:r>
          </w:p>
          <w:p w14:paraId="4B3F49B6" w14:textId="03135CA0" w:rsidR="00B92F80" w:rsidRPr="0096647B" w:rsidRDefault="00795960" w:rsidP="00795960">
            <w:pPr>
              <w:pStyle w:val="ListParagraph"/>
              <w:spacing w:line="240" w:lineRule="auto"/>
              <w:ind w:left="0"/>
              <w:jc w:val="both"/>
              <w:rPr>
                <w:rFonts w:asciiTheme="minorHAnsi" w:hAnsiTheme="minorHAnsi"/>
                <w:sz w:val="16"/>
                <w:szCs w:val="16"/>
                <w:highlight w:val="lightGray"/>
                <w:lang w:val="bg-BG"/>
              </w:rPr>
            </w:pPr>
            <w:r w:rsidRPr="0096647B">
              <w:rPr>
                <w:rFonts w:asciiTheme="minorHAnsi" w:hAnsiTheme="minorHAnsi"/>
                <w:sz w:val="16"/>
                <w:szCs w:val="16"/>
                <w:highlight w:val="lightGray"/>
                <w:lang w:val="bg-BG"/>
              </w:rPr>
              <w:t xml:space="preserve">- Турбините трябва да бъдат сигнализирани през нощта с мигаща светлина, с големи интервали между две последователни запалвания. </w:t>
            </w:r>
            <w:r w:rsidR="00B92F80" w:rsidRPr="0096647B">
              <w:rPr>
                <w:rFonts w:asciiTheme="minorHAnsi" w:hAnsiTheme="minorHAnsi"/>
                <w:sz w:val="16"/>
                <w:szCs w:val="16"/>
                <w:highlight w:val="lightGray"/>
                <w:lang w:val="bg-BG"/>
              </w:rPr>
              <w:t xml:space="preserve">Тези турбини се разпознават по-лесно от птиците, когато се използва мигаща, а не непрекъсната светлина. </w:t>
            </w:r>
          </w:p>
          <w:p w14:paraId="1B4BACA1" w14:textId="77777777" w:rsidR="00B92F80" w:rsidRPr="0096647B" w:rsidRDefault="00B92F80" w:rsidP="00FB13CE">
            <w:pPr>
              <w:pStyle w:val="ListParagraph"/>
              <w:spacing w:after="0" w:line="240" w:lineRule="auto"/>
              <w:ind w:left="0"/>
              <w:jc w:val="both"/>
              <w:rPr>
                <w:rFonts w:asciiTheme="minorHAnsi" w:hAnsiTheme="minorHAnsi"/>
                <w:sz w:val="16"/>
                <w:szCs w:val="16"/>
                <w:highlight w:val="lightGray"/>
                <w:lang w:val="bg-BG"/>
              </w:rPr>
            </w:pPr>
            <w:r w:rsidRPr="0096647B">
              <w:rPr>
                <w:rFonts w:asciiTheme="minorHAnsi" w:hAnsiTheme="minorHAnsi"/>
                <w:sz w:val="16"/>
                <w:szCs w:val="16"/>
                <w:highlight w:val="lightGray"/>
                <w:lang w:val="bg-BG"/>
              </w:rPr>
              <w:t xml:space="preserve">- Редовно косене на растителността около турбините, за да се поддържа ниска численост на видовете насекоми, които са източник на храна както за хироптерите, така и за птиците. </w:t>
            </w:r>
          </w:p>
          <w:p w14:paraId="447E6D2E" w14:textId="77777777" w:rsidR="00795960" w:rsidRPr="0096647B" w:rsidRDefault="00FB13CE" w:rsidP="00FB13CE">
            <w:pPr>
              <w:spacing w:after="0" w:line="240" w:lineRule="auto"/>
              <w:jc w:val="both"/>
              <w:rPr>
                <w:rFonts w:asciiTheme="minorHAnsi" w:hAnsiTheme="minorHAnsi"/>
                <w:sz w:val="16"/>
                <w:szCs w:val="16"/>
                <w:highlight w:val="lightGray"/>
                <w:lang w:val="bg-BG"/>
              </w:rPr>
            </w:pPr>
            <w:r w:rsidRPr="0096647B">
              <w:rPr>
                <w:rFonts w:asciiTheme="minorHAnsi" w:hAnsiTheme="minorHAnsi"/>
                <w:sz w:val="16"/>
                <w:szCs w:val="16"/>
                <w:highlight w:val="lightGray"/>
                <w:lang w:val="bg-BG"/>
              </w:rPr>
              <w:t xml:space="preserve">- </w:t>
            </w:r>
            <w:r w:rsidR="00795960" w:rsidRPr="0096647B">
              <w:rPr>
                <w:rFonts w:asciiTheme="minorHAnsi" w:hAnsiTheme="minorHAnsi"/>
                <w:sz w:val="16"/>
                <w:szCs w:val="16"/>
                <w:highlight w:val="lightGray"/>
                <w:lang w:val="bg-BG"/>
              </w:rPr>
              <w:t xml:space="preserve">Инсталиране на система за осветление с активиране при определени условия (Aircraft Detection Lighting System – ADLS) в случая на турбините T47, T46, T35, T36, T34 за намаляване на риска от смъртност на видове, чувствителни към изкуствена светлина (птици и прилепи). Мярката ще се прилага от първата година на експлоатация на проекта. </w:t>
            </w:r>
          </w:p>
          <w:p w14:paraId="1FCAFBCC" w14:textId="6080B3CB" w:rsidR="00795960" w:rsidRPr="0096647B" w:rsidRDefault="00795960" w:rsidP="00FB13CE">
            <w:pPr>
              <w:spacing w:after="0" w:line="240" w:lineRule="auto"/>
              <w:jc w:val="both"/>
              <w:rPr>
                <w:rFonts w:asciiTheme="minorHAnsi" w:hAnsiTheme="minorHAnsi"/>
                <w:sz w:val="16"/>
                <w:szCs w:val="16"/>
                <w:highlight w:val="lightGray"/>
                <w:lang w:val="bg-BG"/>
              </w:rPr>
            </w:pPr>
            <w:r w:rsidRPr="0096647B">
              <w:rPr>
                <w:rFonts w:asciiTheme="minorHAnsi" w:hAnsiTheme="minorHAnsi"/>
                <w:sz w:val="16"/>
                <w:szCs w:val="16"/>
                <w:highlight w:val="lightGray"/>
                <w:lang w:val="bg-BG"/>
              </w:rPr>
              <w:t>- За намаляване на риска от смъртност се предлагат: ограничаване на влизането в производство на турбините (T47, T46, T35, T36, T34) при скорост на вятъра от 6,5 m/s, в чувствителния период (миграция), започвайки половин час преди залез слънце до изгрев слънце и системи за защита на прилепите, които излъчват звукови сигнали за обезкуражаване с ултразвук, за да отдалечат прилепите от обхвата на ротора. Мярката ще се прилага от първата година на работа на вятърния парк.</w:t>
            </w:r>
          </w:p>
          <w:p w14:paraId="69652A2A" w14:textId="77777777" w:rsidR="0096647B" w:rsidRPr="0096647B" w:rsidRDefault="0096647B" w:rsidP="00FB13CE">
            <w:pPr>
              <w:spacing w:after="0" w:line="240" w:lineRule="auto"/>
              <w:jc w:val="both"/>
              <w:rPr>
                <w:rFonts w:asciiTheme="minorHAnsi" w:hAnsiTheme="minorHAnsi"/>
                <w:sz w:val="16"/>
                <w:szCs w:val="16"/>
                <w:highlight w:val="lightGray"/>
                <w:lang w:val="bg-BG"/>
              </w:rPr>
            </w:pPr>
            <w:r w:rsidRPr="0096647B">
              <w:rPr>
                <w:rFonts w:asciiTheme="minorHAnsi" w:hAnsiTheme="minorHAnsi"/>
                <w:sz w:val="16"/>
                <w:szCs w:val="16"/>
                <w:highlight w:val="lightGray"/>
                <w:lang w:val="bg-BG"/>
              </w:rPr>
              <w:t xml:space="preserve">- Инсталирането на системи за предотвратяване на риска от сблъсък ще бъде приложено от първата година на експлоатация на вятърния парк. Автоматична система за контрол на спиране/намаляване на скоростта на работа на турбините (напр. DTBird, IdentiFlight, Robin Radar Max, STRIX BirdTrack). Системата ще бъде насочена към видовете птици, за които е идентифицирано потенциално значително въздействие и ще бъде приложена от първата година на работа. </w:t>
            </w:r>
          </w:p>
          <w:p w14:paraId="3385E79B" w14:textId="77777777" w:rsidR="0096647B" w:rsidRPr="0096647B" w:rsidRDefault="0096647B" w:rsidP="00FB13CE">
            <w:pPr>
              <w:spacing w:after="0" w:line="240" w:lineRule="auto"/>
              <w:jc w:val="both"/>
              <w:rPr>
                <w:rFonts w:asciiTheme="minorHAnsi" w:hAnsiTheme="minorHAnsi"/>
                <w:sz w:val="16"/>
                <w:szCs w:val="16"/>
                <w:highlight w:val="lightGray"/>
                <w:lang w:val="bg-BG"/>
              </w:rPr>
            </w:pPr>
            <w:r w:rsidRPr="0096647B">
              <w:rPr>
                <w:rFonts w:asciiTheme="minorHAnsi" w:hAnsiTheme="minorHAnsi"/>
                <w:sz w:val="16"/>
                <w:szCs w:val="16"/>
                <w:highlight w:val="lightGray"/>
                <w:lang w:val="bg-BG"/>
              </w:rPr>
              <w:t xml:space="preserve">- Инсталиране на видеосистема за откриване на птици, на турбини T8, T18, T29. T32 и T37. Ще бъдат инсталирани системи от видеокамери с висока резолюция. Системата за излъчване на отклоняващи сигнали трябва да бъде инсталирана от първата година на експлоатация на вятърния парк. </w:t>
            </w:r>
          </w:p>
          <w:p w14:paraId="144B3E33" w14:textId="259DD876" w:rsidR="0096647B" w:rsidRPr="0096647B" w:rsidRDefault="0096647B" w:rsidP="00FB13CE">
            <w:pPr>
              <w:spacing w:after="0" w:line="240" w:lineRule="auto"/>
              <w:jc w:val="both"/>
              <w:rPr>
                <w:rFonts w:asciiTheme="minorHAnsi" w:hAnsiTheme="minorHAnsi"/>
                <w:sz w:val="16"/>
                <w:szCs w:val="16"/>
                <w:highlight w:val="lightGray"/>
                <w:lang w:val="bg-BG"/>
              </w:rPr>
            </w:pPr>
            <w:r w:rsidRPr="0096647B">
              <w:rPr>
                <w:rFonts w:asciiTheme="minorHAnsi" w:hAnsiTheme="minorHAnsi"/>
                <w:sz w:val="16"/>
                <w:szCs w:val="16"/>
                <w:highlight w:val="lightGray"/>
                <w:lang w:val="bg-BG"/>
              </w:rPr>
              <w:t xml:space="preserve">Камерната система открива птиците от разстояние до 600 м и излъчва звуци за прогонване. Ако птицата продължава да се приближава към турбината, след 300 метра лопатките започват да забавят до скорост от 3 об/мин, което елиминира риска от сблъсък. </w:t>
            </w:r>
          </w:p>
          <w:p w14:paraId="635581A4" w14:textId="52EB52EA" w:rsidR="00C46941" w:rsidRPr="0096647B" w:rsidRDefault="0096647B" w:rsidP="0096647B">
            <w:pPr>
              <w:spacing w:after="0" w:line="240" w:lineRule="auto"/>
              <w:jc w:val="both"/>
              <w:rPr>
                <w:rFonts w:asciiTheme="minorHAnsi" w:hAnsiTheme="minorHAnsi"/>
                <w:sz w:val="16"/>
                <w:szCs w:val="16"/>
              </w:rPr>
            </w:pPr>
            <w:r w:rsidRPr="0096647B">
              <w:rPr>
                <w:rFonts w:asciiTheme="minorHAnsi" w:hAnsiTheme="minorHAnsi"/>
                <w:sz w:val="16"/>
                <w:szCs w:val="16"/>
                <w:highlight w:val="lightGray"/>
                <w:lang w:val="bg-BG"/>
              </w:rPr>
              <w:t>- Инсталиране на радарни системи и дневни и нощни видеокамери (на турбини T8, T18, T29. T32 и T37), които да откриват и предотвратяват риска от сблъсък на прилепи със структурите на вятърния парк. Системата за излъчване на отклоняващи сигнали трябва да бъде инсталирана от първата година на експлоатация на вятърния парк.</w:t>
            </w:r>
            <w:bookmarkEnd w:id="41"/>
          </w:p>
        </w:tc>
        <w:tc>
          <w:tcPr>
            <w:tcW w:w="1577" w:type="dxa"/>
            <w:vMerge w:val="restart"/>
          </w:tcPr>
          <w:p w14:paraId="7F2CBE93" w14:textId="35A07172" w:rsidR="00C46941" w:rsidRPr="007375EB" w:rsidRDefault="00C46941" w:rsidP="00C46941">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lastRenderedPageBreak/>
              <w:t>Изпълнителят, отговорен за реализацията на вятърния парк</w:t>
            </w:r>
          </w:p>
          <w:p w14:paraId="7297FCE5" w14:textId="77777777" w:rsidR="00C46941" w:rsidRPr="007375EB" w:rsidRDefault="00C46941" w:rsidP="00C46941">
            <w:pPr>
              <w:spacing w:after="0" w:line="240" w:lineRule="auto"/>
              <w:contextualSpacing/>
              <w:jc w:val="both"/>
              <w:rPr>
                <w:rFonts w:asciiTheme="minorHAnsi" w:hAnsiTheme="minorHAnsi"/>
                <w:sz w:val="16"/>
                <w:szCs w:val="16"/>
                <w:lang w:val="bg-BG"/>
              </w:rPr>
            </w:pPr>
          </w:p>
          <w:p w14:paraId="4BCDC1D2" w14:textId="77777777" w:rsidR="00C46941" w:rsidRPr="007375EB" w:rsidRDefault="00C46941" w:rsidP="00C46941">
            <w:pPr>
              <w:spacing w:after="0" w:line="240" w:lineRule="auto"/>
              <w:contextualSpacing/>
              <w:jc w:val="both"/>
              <w:rPr>
                <w:rFonts w:asciiTheme="minorHAnsi" w:hAnsiTheme="minorHAnsi"/>
                <w:sz w:val="16"/>
                <w:szCs w:val="16"/>
                <w:lang w:val="bg-BG"/>
              </w:rPr>
            </w:pPr>
          </w:p>
          <w:p w14:paraId="2F916D08" w14:textId="77777777" w:rsidR="00C46941" w:rsidRPr="007375EB" w:rsidRDefault="00C46941" w:rsidP="00C46941">
            <w:pPr>
              <w:spacing w:after="0" w:line="240" w:lineRule="auto"/>
              <w:contextualSpacing/>
              <w:jc w:val="both"/>
              <w:rPr>
                <w:rFonts w:asciiTheme="minorHAnsi" w:hAnsiTheme="minorHAnsi"/>
                <w:sz w:val="16"/>
                <w:szCs w:val="16"/>
                <w:lang w:val="bg-BG"/>
              </w:rPr>
            </w:pPr>
          </w:p>
          <w:p w14:paraId="79109A47" w14:textId="77777777" w:rsidR="00C46941" w:rsidRPr="007375EB" w:rsidRDefault="00C46941" w:rsidP="00C46941">
            <w:pPr>
              <w:spacing w:after="0" w:line="240" w:lineRule="auto"/>
              <w:contextualSpacing/>
              <w:jc w:val="both"/>
              <w:rPr>
                <w:rFonts w:asciiTheme="minorHAnsi" w:hAnsiTheme="minorHAnsi"/>
                <w:sz w:val="16"/>
                <w:szCs w:val="16"/>
                <w:lang w:val="bg-BG"/>
              </w:rPr>
            </w:pPr>
          </w:p>
          <w:p w14:paraId="0CFB95D9" w14:textId="77777777" w:rsidR="00C46941" w:rsidRPr="007375EB" w:rsidRDefault="00C46941" w:rsidP="00C46941">
            <w:pPr>
              <w:spacing w:after="0" w:line="240" w:lineRule="auto"/>
              <w:contextualSpacing/>
              <w:jc w:val="both"/>
              <w:rPr>
                <w:rFonts w:asciiTheme="minorHAnsi" w:hAnsiTheme="minorHAnsi"/>
                <w:sz w:val="16"/>
                <w:szCs w:val="16"/>
                <w:lang w:val="bg-BG"/>
              </w:rPr>
            </w:pPr>
          </w:p>
          <w:p w14:paraId="2AB069A5" w14:textId="77777777" w:rsidR="00C46941" w:rsidRPr="007375EB" w:rsidRDefault="00C46941" w:rsidP="00C46941">
            <w:pPr>
              <w:spacing w:after="0" w:line="240" w:lineRule="auto"/>
              <w:contextualSpacing/>
              <w:jc w:val="both"/>
              <w:rPr>
                <w:rFonts w:asciiTheme="minorHAnsi" w:hAnsiTheme="minorHAnsi"/>
                <w:sz w:val="16"/>
                <w:szCs w:val="16"/>
                <w:lang w:val="bg-BG"/>
              </w:rPr>
            </w:pPr>
          </w:p>
          <w:p w14:paraId="4CD1A12D" w14:textId="77777777" w:rsidR="00C46941" w:rsidRPr="007375EB" w:rsidRDefault="00C46941" w:rsidP="00C46941">
            <w:pPr>
              <w:spacing w:after="0" w:line="240" w:lineRule="auto"/>
              <w:contextualSpacing/>
              <w:jc w:val="both"/>
              <w:rPr>
                <w:rFonts w:asciiTheme="minorHAnsi" w:hAnsiTheme="minorHAnsi"/>
                <w:sz w:val="16"/>
                <w:szCs w:val="16"/>
                <w:lang w:val="bg-BG"/>
              </w:rPr>
            </w:pPr>
          </w:p>
          <w:p w14:paraId="21212B11" w14:textId="77777777" w:rsidR="00C46941" w:rsidRPr="007375EB" w:rsidRDefault="00C46941" w:rsidP="00C46941">
            <w:pPr>
              <w:spacing w:after="0" w:line="240" w:lineRule="auto"/>
              <w:contextualSpacing/>
              <w:jc w:val="both"/>
              <w:rPr>
                <w:rFonts w:asciiTheme="minorHAnsi" w:hAnsiTheme="minorHAnsi"/>
                <w:sz w:val="16"/>
                <w:szCs w:val="16"/>
                <w:lang w:val="bg-BG"/>
              </w:rPr>
            </w:pPr>
          </w:p>
          <w:p w14:paraId="107DFE59" w14:textId="77777777" w:rsidR="00C46941" w:rsidRPr="007375EB" w:rsidRDefault="00C46941" w:rsidP="00C46941">
            <w:pPr>
              <w:spacing w:after="0" w:line="240" w:lineRule="auto"/>
              <w:contextualSpacing/>
              <w:jc w:val="both"/>
              <w:rPr>
                <w:rFonts w:asciiTheme="minorHAnsi" w:hAnsiTheme="minorHAnsi"/>
                <w:sz w:val="16"/>
                <w:szCs w:val="16"/>
                <w:lang w:val="bg-BG"/>
              </w:rPr>
            </w:pPr>
          </w:p>
          <w:p w14:paraId="4C9367A2" w14:textId="77777777" w:rsidR="00C46941" w:rsidRPr="007375EB" w:rsidRDefault="00C46941" w:rsidP="00C46941">
            <w:pPr>
              <w:spacing w:after="0" w:line="240" w:lineRule="auto"/>
              <w:contextualSpacing/>
              <w:jc w:val="both"/>
              <w:rPr>
                <w:rFonts w:asciiTheme="minorHAnsi" w:hAnsiTheme="minorHAnsi"/>
                <w:sz w:val="16"/>
                <w:szCs w:val="16"/>
                <w:lang w:val="bg-BG"/>
              </w:rPr>
            </w:pPr>
          </w:p>
          <w:p w14:paraId="4DFBA0BF" w14:textId="77777777" w:rsidR="00C46941" w:rsidRPr="007375EB" w:rsidRDefault="00C46941" w:rsidP="00C46941">
            <w:pPr>
              <w:spacing w:after="0" w:line="240" w:lineRule="auto"/>
              <w:contextualSpacing/>
              <w:jc w:val="both"/>
              <w:rPr>
                <w:rFonts w:asciiTheme="minorHAnsi" w:hAnsiTheme="minorHAnsi"/>
                <w:sz w:val="16"/>
                <w:szCs w:val="16"/>
                <w:lang w:val="bg-BG"/>
              </w:rPr>
            </w:pPr>
          </w:p>
          <w:p w14:paraId="495292A2" w14:textId="77777777" w:rsidR="00C46941" w:rsidRPr="007375EB" w:rsidRDefault="00C46941" w:rsidP="00C46941">
            <w:pPr>
              <w:spacing w:after="0" w:line="240" w:lineRule="auto"/>
              <w:contextualSpacing/>
              <w:jc w:val="both"/>
              <w:rPr>
                <w:rFonts w:asciiTheme="minorHAnsi" w:hAnsiTheme="minorHAnsi"/>
                <w:sz w:val="16"/>
                <w:szCs w:val="16"/>
                <w:lang w:val="bg-BG"/>
              </w:rPr>
            </w:pPr>
          </w:p>
          <w:p w14:paraId="7FD0231F" w14:textId="77777777" w:rsidR="00C46941" w:rsidRPr="007375EB" w:rsidRDefault="00C46941" w:rsidP="00C46941">
            <w:pPr>
              <w:spacing w:after="0" w:line="240" w:lineRule="auto"/>
              <w:contextualSpacing/>
              <w:jc w:val="both"/>
              <w:rPr>
                <w:rFonts w:asciiTheme="minorHAnsi" w:hAnsiTheme="minorHAnsi"/>
                <w:sz w:val="16"/>
                <w:szCs w:val="16"/>
                <w:lang w:val="bg-BG"/>
              </w:rPr>
            </w:pPr>
          </w:p>
          <w:p w14:paraId="722216F2" w14:textId="2A1BC46E" w:rsidR="00C46941" w:rsidRPr="007375EB" w:rsidRDefault="00C46941" w:rsidP="00C46941">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Оператор на вятърен парк</w:t>
            </w:r>
          </w:p>
        </w:tc>
      </w:tr>
      <w:tr w:rsidR="00C46941" w:rsidRPr="007375EB" w14:paraId="19A016CE" w14:textId="0B4BA94F" w:rsidTr="006A7A46">
        <w:trPr>
          <w:trHeight w:val="144"/>
        </w:trPr>
        <w:tc>
          <w:tcPr>
            <w:tcW w:w="1781" w:type="dxa"/>
            <w:vMerge/>
            <w:vAlign w:val="center"/>
          </w:tcPr>
          <w:p w14:paraId="68A39E98" w14:textId="77777777" w:rsidR="00C46941" w:rsidRPr="007375EB" w:rsidRDefault="00C46941" w:rsidP="00C46941">
            <w:pPr>
              <w:spacing w:after="0" w:line="240" w:lineRule="auto"/>
              <w:contextualSpacing/>
              <w:rPr>
                <w:rFonts w:asciiTheme="minorHAnsi" w:hAnsiTheme="minorHAnsi"/>
                <w:b/>
                <w:bCs/>
                <w:sz w:val="16"/>
                <w:szCs w:val="16"/>
                <w:lang w:val="bg-BG"/>
              </w:rPr>
            </w:pPr>
          </w:p>
        </w:tc>
        <w:tc>
          <w:tcPr>
            <w:tcW w:w="2836" w:type="dxa"/>
            <w:vAlign w:val="center"/>
          </w:tcPr>
          <w:p w14:paraId="68081B83" w14:textId="2FE66F79" w:rsidR="00C46941" w:rsidRPr="007375EB" w:rsidRDefault="00C46941" w:rsidP="00C46941">
            <w:pPr>
              <w:pStyle w:val="ListParagraph"/>
              <w:numPr>
                <w:ilvl w:val="0"/>
                <w:numId w:val="83"/>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Поддържане на мрежата от защитени зони Природа 2000.</w:t>
            </w:r>
          </w:p>
        </w:tc>
        <w:tc>
          <w:tcPr>
            <w:tcW w:w="8402" w:type="dxa"/>
            <w:vMerge/>
          </w:tcPr>
          <w:p w14:paraId="1A1458D1" w14:textId="11FD8F38" w:rsidR="00C46941" w:rsidRPr="007375EB" w:rsidRDefault="00C46941" w:rsidP="00C46941">
            <w:pPr>
              <w:spacing w:after="0" w:line="240" w:lineRule="auto"/>
              <w:contextualSpacing/>
              <w:jc w:val="both"/>
              <w:rPr>
                <w:rFonts w:asciiTheme="minorHAnsi" w:hAnsiTheme="minorHAnsi"/>
                <w:sz w:val="16"/>
                <w:szCs w:val="16"/>
                <w:lang w:val="bg-BG"/>
              </w:rPr>
            </w:pPr>
          </w:p>
        </w:tc>
        <w:tc>
          <w:tcPr>
            <w:tcW w:w="1577" w:type="dxa"/>
            <w:vMerge/>
          </w:tcPr>
          <w:p w14:paraId="70AB05A7" w14:textId="77777777" w:rsidR="00C46941" w:rsidRPr="007375EB" w:rsidRDefault="00C46941" w:rsidP="00C46941">
            <w:pPr>
              <w:spacing w:after="0" w:line="240" w:lineRule="auto"/>
              <w:contextualSpacing/>
              <w:jc w:val="both"/>
              <w:rPr>
                <w:rFonts w:asciiTheme="minorHAnsi" w:hAnsiTheme="minorHAnsi"/>
                <w:sz w:val="16"/>
                <w:szCs w:val="16"/>
                <w:lang w:val="bg-BG"/>
              </w:rPr>
            </w:pPr>
          </w:p>
        </w:tc>
      </w:tr>
      <w:tr w:rsidR="00C46941" w:rsidRPr="007375EB" w14:paraId="5E4B57AA" w14:textId="2FE9CC20" w:rsidTr="00BA37D4">
        <w:trPr>
          <w:trHeight w:val="62"/>
        </w:trPr>
        <w:tc>
          <w:tcPr>
            <w:tcW w:w="1781" w:type="dxa"/>
            <w:vMerge w:val="restart"/>
            <w:vAlign w:val="center"/>
          </w:tcPr>
          <w:p w14:paraId="2D979E40" w14:textId="7A53EF74" w:rsidR="00C46941" w:rsidRPr="007375EB" w:rsidRDefault="00C46941" w:rsidP="00C46941">
            <w:pPr>
              <w:spacing w:after="0" w:line="240" w:lineRule="auto"/>
              <w:contextualSpacing/>
              <w:rPr>
                <w:rFonts w:asciiTheme="minorHAnsi" w:hAnsiTheme="minorHAnsi"/>
                <w:b/>
                <w:bCs/>
                <w:sz w:val="16"/>
                <w:szCs w:val="16"/>
                <w:lang w:val="bg-BG"/>
              </w:rPr>
            </w:pPr>
            <w:r w:rsidRPr="007375EB">
              <w:rPr>
                <w:rFonts w:asciiTheme="minorHAnsi" w:hAnsiTheme="minorHAnsi" w:cs="Calibri"/>
                <w:b/>
                <w:bCs/>
                <w:color w:val="000000"/>
                <w:sz w:val="16"/>
                <w:szCs w:val="16"/>
                <w:lang w:val="bg-BG" w:eastAsia="ro-RO"/>
              </w:rPr>
              <w:t>Население и човешко здраве</w:t>
            </w:r>
          </w:p>
        </w:tc>
        <w:tc>
          <w:tcPr>
            <w:tcW w:w="2836" w:type="dxa"/>
            <w:vAlign w:val="center"/>
          </w:tcPr>
          <w:p w14:paraId="2C9EC6AE" w14:textId="75115620" w:rsidR="00C46941" w:rsidRPr="007375EB" w:rsidRDefault="00C46941" w:rsidP="00C46941">
            <w:pPr>
              <w:pStyle w:val="ListParagraph"/>
              <w:numPr>
                <w:ilvl w:val="0"/>
                <w:numId w:val="83"/>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Поддържане на качеството на факторите на околната среда в рамките на законовите разпоредби за опазване на околната среда и общественото здраве</w:t>
            </w:r>
          </w:p>
        </w:tc>
        <w:tc>
          <w:tcPr>
            <w:tcW w:w="8402" w:type="dxa"/>
          </w:tcPr>
          <w:p w14:paraId="57EEF6F4" w14:textId="7A82E902"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използване на най-съвременно оборудване и технологии, които генерират ниски нива на шум.</w:t>
            </w:r>
          </w:p>
          <w:p w14:paraId="0584C471" w14:textId="5D5CC64C"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xml:space="preserve">- По време на строителството, за да се предотвратят праховите емисии, особено в периоди на силен вятър, трябва да се следи за по-интензивно навлажняване на повърхностите под действието на работните машини или пътищата за достъп, особено неасфалтираните пътища. </w:t>
            </w:r>
          </w:p>
          <w:p w14:paraId="6B84BCC9" w14:textId="6337A928"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Прилагане на екологични строителни практики, които свеждат до минимум въздействието върху почвата, като например правилно управление на отпадъците и използване на устойчиви строителни материали.</w:t>
            </w:r>
          </w:p>
        </w:tc>
        <w:tc>
          <w:tcPr>
            <w:tcW w:w="1577" w:type="dxa"/>
          </w:tcPr>
          <w:p w14:paraId="3748C3CA" w14:textId="6879594A" w:rsidR="00C46941" w:rsidRPr="007375EB" w:rsidRDefault="00C46941" w:rsidP="00C46941">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реализацията на вятърния парк</w:t>
            </w:r>
          </w:p>
        </w:tc>
      </w:tr>
      <w:tr w:rsidR="00C46941" w:rsidRPr="007375EB" w14:paraId="1447D455" w14:textId="3110B136" w:rsidTr="00BA37D4">
        <w:trPr>
          <w:trHeight w:val="62"/>
        </w:trPr>
        <w:tc>
          <w:tcPr>
            <w:tcW w:w="1781" w:type="dxa"/>
            <w:vMerge/>
            <w:vAlign w:val="center"/>
          </w:tcPr>
          <w:p w14:paraId="0B6EFD49" w14:textId="77777777" w:rsidR="00C46941" w:rsidRPr="007375EB" w:rsidRDefault="00C46941" w:rsidP="00C46941">
            <w:pPr>
              <w:spacing w:after="0" w:line="240" w:lineRule="auto"/>
              <w:contextualSpacing/>
              <w:rPr>
                <w:rFonts w:asciiTheme="minorHAnsi" w:hAnsiTheme="minorHAnsi"/>
                <w:sz w:val="16"/>
                <w:szCs w:val="16"/>
                <w:lang w:val="bg-BG"/>
              </w:rPr>
            </w:pPr>
          </w:p>
        </w:tc>
        <w:tc>
          <w:tcPr>
            <w:tcW w:w="2836" w:type="dxa"/>
            <w:vAlign w:val="center"/>
          </w:tcPr>
          <w:p w14:paraId="3BF79BE8" w14:textId="2F3A0D66" w:rsidR="00C46941" w:rsidRPr="007375EB" w:rsidRDefault="00C46941" w:rsidP="00C46941">
            <w:pPr>
              <w:pStyle w:val="ListParagraph"/>
              <w:numPr>
                <w:ilvl w:val="0"/>
                <w:numId w:val="83"/>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Подобряване на жизнения стандарт и социалните условия на населението</w:t>
            </w:r>
          </w:p>
        </w:tc>
        <w:tc>
          <w:tcPr>
            <w:tcW w:w="8402" w:type="dxa"/>
          </w:tcPr>
          <w:p w14:paraId="4C0347E1" w14:textId="77777777"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наемане на местна работна ръка за изграждането, поддръжката и експлоатацията на вятърния парк.</w:t>
            </w:r>
          </w:p>
          <w:p w14:paraId="027BA135" w14:textId="77777777"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изграждане на местна инфраструктура (пътища), необходима за изграждането на вятърния парк, която ще остане в полза на общността.</w:t>
            </w:r>
          </w:p>
          <w:p w14:paraId="2524EA93" w14:textId="56CD2AD6"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предоставяне на финансова компенсация или преки ползи на собствениците на земя, засегнати от изграждането и експлоатацията на вятърния парк.</w:t>
            </w:r>
          </w:p>
        </w:tc>
        <w:tc>
          <w:tcPr>
            <w:tcW w:w="1577" w:type="dxa"/>
          </w:tcPr>
          <w:p w14:paraId="1C4113DE" w14:textId="5C9AEDF6" w:rsidR="00C46941" w:rsidRPr="007375EB" w:rsidRDefault="00C46941" w:rsidP="00C46941">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реализацията на вятърния парк</w:t>
            </w:r>
          </w:p>
          <w:p w14:paraId="686B365D" w14:textId="0417D3A5" w:rsidR="00C46941" w:rsidRPr="007375EB" w:rsidRDefault="00C46941" w:rsidP="00C46941">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Оператор на вятърен парк</w:t>
            </w:r>
          </w:p>
        </w:tc>
      </w:tr>
      <w:tr w:rsidR="00C46941" w:rsidRPr="007375EB" w14:paraId="4B2B5BE2" w14:textId="3B4E0610" w:rsidTr="00D308C8">
        <w:trPr>
          <w:trHeight w:val="368"/>
        </w:trPr>
        <w:tc>
          <w:tcPr>
            <w:tcW w:w="1781" w:type="dxa"/>
            <w:vAlign w:val="center"/>
          </w:tcPr>
          <w:p w14:paraId="22A98CEF" w14:textId="42C9AABB" w:rsidR="00C46941" w:rsidRPr="007375EB" w:rsidRDefault="00C46941" w:rsidP="00C46941">
            <w:pPr>
              <w:spacing w:after="0" w:line="240" w:lineRule="auto"/>
              <w:contextualSpacing/>
              <w:rPr>
                <w:rFonts w:asciiTheme="minorHAnsi" w:hAnsiTheme="minorHAnsi"/>
                <w:b/>
                <w:bCs/>
                <w:sz w:val="16"/>
                <w:szCs w:val="16"/>
                <w:lang w:val="bg-BG"/>
              </w:rPr>
            </w:pPr>
            <w:r w:rsidRPr="007375EB">
              <w:rPr>
                <w:rFonts w:asciiTheme="minorHAnsi" w:hAnsiTheme="minorHAnsi" w:cs="Calibri"/>
                <w:b/>
                <w:bCs/>
                <w:color w:val="000000"/>
                <w:sz w:val="16"/>
                <w:szCs w:val="16"/>
                <w:lang w:val="bg-BG" w:eastAsia="ro-RO"/>
              </w:rPr>
              <w:t>Ландшафт</w:t>
            </w:r>
          </w:p>
        </w:tc>
        <w:tc>
          <w:tcPr>
            <w:tcW w:w="2836" w:type="dxa"/>
            <w:vAlign w:val="center"/>
          </w:tcPr>
          <w:p w14:paraId="5D906E4F" w14:textId="0AB7D913" w:rsidR="00C46941" w:rsidRPr="007375EB" w:rsidRDefault="00C46941" w:rsidP="00C46941">
            <w:pPr>
              <w:pStyle w:val="ListParagraph"/>
              <w:numPr>
                <w:ilvl w:val="0"/>
                <w:numId w:val="83"/>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Осигуряване на защита на естествения ландшафт и свеждане до минимум на въздействието върху естествения ландшафт</w:t>
            </w:r>
          </w:p>
        </w:tc>
        <w:tc>
          <w:tcPr>
            <w:tcW w:w="8402" w:type="dxa"/>
          </w:tcPr>
          <w:p w14:paraId="28369F42" w14:textId="3229B402"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xml:space="preserve">- използване на цветове, които намаляват контраста между структурите на турбините и пейзажа. </w:t>
            </w:r>
          </w:p>
          <w:p w14:paraId="52886B4F" w14:textId="668E0EFC"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използване на матови завършващи бои, за да се намали отразяването на слънчевата светлина.</w:t>
            </w:r>
          </w:p>
          <w:p w14:paraId="5689A8B7" w14:textId="066BC3FF"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Възстановяване на увредени участъци от земята - поддържане на растителни площи и пътища за достъп до обекта.</w:t>
            </w:r>
          </w:p>
          <w:p w14:paraId="08E4C377" w14:textId="6BE2CFDB" w:rsidR="00C46941" w:rsidRPr="007375EB" w:rsidRDefault="00C46941" w:rsidP="00C4694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проектиране и изграждане на подстанции в съответствие с площта на обекта.</w:t>
            </w:r>
          </w:p>
        </w:tc>
        <w:tc>
          <w:tcPr>
            <w:tcW w:w="1577" w:type="dxa"/>
          </w:tcPr>
          <w:p w14:paraId="3B4B633D" w14:textId="3641D8D3" w:rsidR="00C46941" w:rsidRPr="007375EB" w:rsidRDefault="00C46941" w:rsidP="00C46941">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реализацията на вятърния парк</w:t>
            </w:r>
          </w:p>
        </w:tc>
      </w:tr>
      <w:tr w:rsidR="00792950" w:rsidRPr="007375EB" w14:paraId="69545CA5" w14:textId="56864BAD" w:rsidTr="00271811">
        <w:trPr>
          <w:trHeight w:val="62"/>
        </w:trPr>
        <w:tc>
          <w:tcPr>
            <w:tcW w:w="1781" w:type="dxa"/>
            <w:vMerge w:val="restart"/>
            <w:vAlign w:val="center"/>
          </w:tcPr>
          <w:p w14:paraId="5970DB05" w14:textId="41F8DEBF" w:rsidR="00792950" w:rsidRPr="007375EB" w:rsidRDefault="00792950" w:rsidP="00792950">
            <w:pPr>
              <w:spacing w:after="0" w:line="240" w:lineRule="auto"/>
              <w:contextualSpacing/>
              <w:rPr>
                <w:rFonts w:asciiTheme="minorHAnsi" w:hAnsiTheme="minorHAnsi"/>
                <w:b/>
                <w:bCs/>
                <w:sz w:val="16"/>
                <w:szCs w:val="16"/>
                <w:lang w:val="bg-BG"/>
              </w:rPr>
            </w:pPr>
            <w:r w:rsidRPr="007375EB">
              <w:rPr>
                <w:rFonts w:asciiTheme="minorHAnsi" w:hAnsiTheme="minorHAnsi" w:cs="Calibri"/>
                <w:b/>
                <w:bCs/>
                <w:color w:val="000000"/>
                <w:sz w:val="16"/>
                <w:szCs w:val="16"/>
                <w:lang w:val="bg-BG" w:eastAsia="ro-RO"/>
              </w:rPr>
              <w:t>Изменение на климата </w:t>
            </w:r>
          </w:p>
        </w:tc>
        <w:tc>
          <w:tcPr>
            <w:tcW w:w="2836" w:type="dxa"/>
            <w:vAlign w:val="center"/>
          </w:tcPr>
          <w:p w14:paraId="598F3A90" w14:textId="01E2A9B1" w:rsidR="00792950" w:rsidRPr="007375EB" w:rsidRDefault="00792950" w:rsidP="00792950">
            <w:pPr>
              <w:pStyle w:val="ListParagraph"/>
              <w:numPr>
                <w:ilvl w:val="0"/>
                <w:numId w:val="83"/>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Намаляване на емисиите на парникови газове от енергийния сектор</w:t>
            </w:r>
          </w:p>
        </w:tc>
        <w:tc>
          <w:tcPr>
            <w:tcW w:w="8402" w:type="dxa"/>
          </w:tcPr>
          <w:p w14:paraId="66C687CB" w14:textId="5B80CC1A" w:rsidR="00792950" w:rsidRPr="007375EB" w:rsidRDefault="00792950" w:rsidP="00C46941">
            <w:pPr>
              <w:pStyle w:val="ListParagraph"/>
              <w:numPr>
                <w:ilvl w:val="0"/>
                <w:numId w:val="82"/>
              </w:numPr>
              <w:spacing w:after="0" w:line="240" w:lineRule="auto"/>
              <w:ind w:left="142" w:hanging="142"/>
              <w:jc w:val="both"/>
              <w:rPr>
                <w:rFonts w:asciiTheme="minorHAnsi" w:hAnsiTheme="minorHAnsi"/>
                <w:sz w:val="16"/>
                <w:szCs w:val="16"/>
                <w:lang w:val="bg-BG"/>
              </w:rPr>
            </w:pPr>
            <w:r w:rsidRPr="007375EB">
              <w:rPr>
                <w:rFonts w:asciiTheme="minorHAnsi" w:hAnsiTheme="minorHAnsi"/>
                <w:sz w:val="16"/>
                <w:szCs w:val="16"/>
                <w:lang w:val="bg-BG"/>
              </w:rPr>
              <w:t>Самото изграждане на вятърния парк е ефективна мярка за намаляване на емисиите на парникови газове (ПГ) чрез замяна на изкопаемите енергийни източници с чиста и устойчива възобновяема енергия.</w:t>
            </w:r>
          </w:p>
        </w:tc>
        <w:tc>
          <w:tcPr>
            <w:tcW w:w="1577" w:type="dxa"/>
          </w:tcPr>
          <w:p w14:paraId="791214BE" w14:textId="730B1A64" w:rsidR="00792950" w:rsidRPr="007375EB" w:rsidRDefault="00792950" w:rsidP="00792950">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реализацията на вятърния парк</w:t>
            </w:r>
          </w:p>
        </w:tc>
      </w:tr>
      <w:tr w:rsidR="00792950" w:rsidRPr="007375EB" w14:paraId="237DE592" w14:textId="4EF6B0AA" w:rsidTr="00271811">
        <w:trPr>
          <w:trHeight w:val="62"/>
        </w:trPr>
        <w:tc>
          <w:tcPr>
            <w:tcW w:w="1781" w:type="dxa"/>
            <w:vMerge/>
            <w:vAlign w:val="center"/>
          </w:tcPr>
          <w:p w14:paraId="64732757" w14:textId="77777777" w:rsidR="00792950" w:rsidRPr="007375EB" w:rsidRDefault="00792950" w:rsidP="00792950">
            <w:pPr>
              <w:tabs>
                <w:tab w:val="left" w:pos="746"/>
              </w:tabs>
              <w:spacing w:after="0" w:line="240" w:lineRule="auto"/>
              <w:contextualSpacing/>
              <w:jc w:val="both"/>
              <w:rPr>
                <w:rFonts w:asciiTheme="minorHAnsi" w:hAnsiTheme="minorHAnsi"/>
                <w:sz w:val="16"/>
                <w:szCs w:val="16"/>
                <w:lang w:val="bg-BG"/>
              </w:rPr>
            </w:pPr>
          </w:p>
        </w:tc>
        <w:tc>
          <w:tcPr>
            <w:tcW w:w="2836" w:type="dxa"/>
            <w:vAlign w:val="center"/>
          </w:tcPr>
          <w:p w14:paraId="30B9290C" w14:textId="609CCFD0" w:rsidR="00792950" w:rsidRPr="007375EB" w:rsidRDefault="00792950" w:rsidP="00792950">
            <w:pPr>
              <w:pStyle w:val="ListParagraph"/>
              <w:numPr>
                <w:ilvl w:val="0"/>
                <w:numId w:val="83"/>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Намаляване на рисковете от изменението на климата (адаптация)</w:t>
            </w:r>
          </w:p>
        </w:tc>
        <w:tc>
          <w:tcPr>
            <w:tcW w:w="8402" w:type="dxa"/>
          </w:tcPr>
          <w:p w14:paraId="1119D0A1" w14:textId="77CBB6A0" w:rsidR="00792950" w:rsidRPr="007375EB" w:rsidRDefault="00792950" w:rsidP="00792950">
            <w:pPr>
              <w:spacing w:line="240" w:lineRule="auto"/>
              <w:jc w:val="both"/>
              <w:rPr>
                <w:rFonts w:asciiTheme="minorHAnsi" w:hAnsiTheme="minorHAnsi"/>
                <w:sz w:val="16"/>
                <w:szCs w:val="16"/>
                <w:lang w:val="bg-BG"/>
              </w:rPr>
            </w:pPr>
            <w:r w:rsidRPr="007375EB">
              <w:rPr>
                <w:rFonts w:asciiTheme="minorHAnsi" w:hAnsiTheme="minorHAnsi"/>
                <w:sz w:val="16"/>
                <w:szCs w:val="16"/>
                <w:lang w:val="bg-BG"/>
              </w:rPr>
              <w:t>- използване на турбини, проектирани да издържат на силни ветрове и бури.</w:t>
            </w:r>
          </w:p>
          <w:p w14:paraId="266578CC" w14:textId="077AA01A" w:rsidR="00792950" w:rsidRPr="007375EB" w:rsidRDefault="00792950" w:rsidP="00792950">
            <w:pPr>
              <w:spacing w:line="240" w:lineRule="auto"/>
              <w:jc w:val="both"/>
              <w:rPr>
                <w:rFonts w:asciiTheme="minorHAnsi" w:hAnsiTheme="minorHAnsi"/>
                <w:sz w:val="16"/>
                <w:szCs w:val="16"/>
                <w:lang w:val="bg-BG"/>
              </w:rPr>
            </w:pPr>
            <w:r w:rsidRPr="007375EB">
              <w:rPr>
                <w:rFonts w:asciiTheme="minorHAnsi" w:hAnsiTheme="minorHAnsi"/>
                <w:sz w:val="16"/>
                <w:szCs w:val="16"/>
                <w:lang w:val="bg-BG"/>
              </w:rPr>
              <w:t>- Използване на турбини, изработени от материали и компоненти, които могат да издържат на големи температурни колебания и екстремни метеорологични условия.</w:t>
            </w:r>
          </w:p>
          <w:p w14:paraId="1DD7E874" w14:textId="616EEAE9" w:rsidR="00792950" w:rsidRPr="007375EB" w:rsidRDefault="00792950" w:rsidP="00792950">
            <w:pPr>
              <w:spacing w:line="240" w:lineRule="auto"/>
              <w:jc w:val="both"/>
              <w:rPr>
                <w:rFonts w:asciiTheme="minorHAnsi" w:hAnsiTheme="minorHAnsi"/>
                <w:sz w:val="16"/>
                <w:szCs w:val="16"/>
                <w:lang w:val="bg-BG"/>
              </w:rPr>
            </w:pPr>
            <w:r w:rsidRPr="007375EB">
              <w:rPr>
                <w:rFonts w:asciiTheme="minorHAnsi" w:hAnsiTheme="minorHAnsi"/>
                <w:sz w:val="16"/>
                <w:szCs w:val="16"/>
                <w:lang w:val="bg-BG"/>
              </w:rPr>
              <w:t>- проектиране на основи, които да са устойчиви на ерозия и нарушаване на земните условия</w:t>
            </w:r>
          </w:p>
          <w:p w14:paraId="4A686F2D" w14:textId="5AF96E48" w:rsidR="00792950" w:rsidRPr="007375EB" w:rsidRDefault="00792950" w:rsidP="00792950">
            <w:pPr>
              <w:spacing w:line="240" w:lineRule="auto"/>
              <w:jc w:val="both"/>
              <w:rPr>
                <w:rFonts w:asciiTheme="minorHAnsi" w:hAnsiTheme="minorHAnsi"/>
                <w:sz w:val="16"/>
                <w:szCs w:val="16"/>
                <w:lang w:val="bg-BG"/>
              </w:rPr>
            </w:pPr>
            <w:r w:rsidRPr="007375EB">
              <w:rPr>
                <w:rFonts w:asciiTheme="minorHAnsi" w:hAnsiTheme="minorHAnsi"/>
                <w:sz w:val="16"/>
                <w:szCs w:val="16"/>
                <w:lang w:val="bg-BG"/>
              </w:rPr>
              <w:t>- интегриране на усъвършенствано прогнозиране на времето за предвиждане и управление на въздействието на екстремни метеорологични условия с цел установяване на подходящ режим на работа за тези условия.</w:t>
            </w:r>
          </w:p>
        </w:tc>
        <w:tc>
          <w:tcPr>
            <w:tcW w:w="1577" w:type="dxa"/>
          </w:tcPr>
          <w:p w14:paraId="68E44697" w14:textId="27656CE2" w:rsidR="00792950" w:rsidRPr="007375EB" w:rsidRDefault="00792950" w:rsidP="00792950">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Оператор на вятърен парк</w:t>
            </w:r>
          </w:p>
        </w:tc>
      </w:tr>
      <w:tr w:rsidR="00C46941" w:rsidRPr="007375EB" w14:paraId="50A28836" w14:textId="1E799DB4" w:rsidTr="007D207C">
        <w:trPr>
          <w:trHeight w:val="408"/>
        </w:trPr>
        <w:tc>
          <w:tcPr>
            <w:tcW w:w="1781" w:type="dxa"/>
            <w:vAlign w:val="center"/>
          </w:tcPr>
          <w:p w14:paraId="2FDCCBCF" w14:textId="0A83C4BD" w:rsidR="00C46941" w:rsidRPr="007375EB" w:rsidRDefault="00C46941" w:rsidP="00C46941">
            <w:pPr>
              <w:spacing w:after="0" w:line="240" w:lineRule="auto"/>
              <w:contextualSpacing/>
              <w:rPr>
                <w:rFonts w:asciiTheme="minorHAnsi" w:hAnsiTheme="minorHAnsi"/>
                <w:b/>
                <w:bCs/>
                <w:sz w:val="16"/>
                <w:szCs w:val="16"/>
                <w:lang w:val="bg-BG"/>
              </w:rPr>
            </w:pPr>
            <w:r w:rsidRPr="007375EB">
              <w:rPr>
                <w:rFonts w:asciiTheme="minorHAnsi" w:hAnsiTheme="minorHAnsi" w:cs="Calibri"/>
                <w:b/>
                <w:bCs/>
                <w:color w:val="000000"/>
                <w:sz w:val="16"/>
                <w:szCs w:val="16"/>
                <w:lang w:val="bg-BG" w:eastAsia="ro-RO"/>
              </w:rPr>
              <w:t>Културно наследство</w:t>
            </w:r>
          </w:p>
        </w:tc>
        <w:tc>
          <w:tcPr>
            <w:tcW w:w="2836" w:type="dxa"/>
            <w:vAlign w:val="center"/>
          </w:tcPr>
          <w:p w14:paraId="44839FC3" w14:textId="5948E97A" w:rsidR="00C46941" w:rsidRPr="007375EB" w:rsidRDefault="00C46941" w:rsidP="00C46941">
            <w:pPr>
              <w:pStyle w:val="ListParagraph"/>
              <w:numPr>
                <w:ilvl w:val="0"/>
                <w:numId w:val="83"/>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Защита и опазване на културното наследство</w:t>
            </w:r>
          </w:p>
        </w:tc>
        <w:tc>
          <w:tcPr>
            <w:tcW w:w="8402" w:type="dxa"/>
          </w:tcPr>
          <w:p w14:paraId="35FB910C" w14:textId="0A8420B3" w:rsidR="00C46941" w:rsidRPr="007375EB" w:rsidRDefault="00C46941" w:rsidP="00C46941">
            <w:pPr>
              <w:spacing w:line="240" w:lineRule="auto"/>
              <w:jc w:val="both"/>
              <w:rPr>
                <w:rFonts w:asciiTheme="minorHAnsi" w:hAnsiTheme="minorHAnsi"/>
                <w:sz w:val="16"/>
                <w:szCs w:val="16"/>
                <w:lang w:val="bg-BG"/>
              </w:rPr>
            </w:pPr>
            <w:r w:rsidRPr="007375EB">
              <w:rPr>
                <w:rFonts w:asciiTheme="minorHAnsi" w:hAnsiTheme="minorHAnsi"/>
                <w:sz w:val="16"/>
                <w:szCs w:val="16"/>
                <w:lang w:val="bg-BG"/>
              </w:rPr>
              <w:t>- наблюдение на строителните дейности, за да се гарантира, че те не оказват неблагоприятно въздействие върху обектите на културното наследство.</w:t>
            </w:r>
          </w:p>
          <w:p w14:paraId="0894D455" w14:textId="508ADCD7" w:rsidR="00C46941" w:rsidRPr="007375EB" w:rsidRDefault="00C46941" w:rsidP="00C46941">
            <w:pPr>
              <w:spacing w:after="0" w:line="240" w:lineRule="auto"/>
              <w:contextualSpacing/>
              <w:jc w:val="both"/>
              <w:rPr>
                <w:rFonts w:asciiTheme="minorHAnsi" w:hAnsiTheme="minorHAnsi"/>
                <w:sz w:val="16"/>
                <w:szCs w:val="16"/>
                <w:lang w:val="bg-BG"/>
              </w:rPr>
            </w:pPr>
          </w:p>
        </w:tc>
        <w:tc>
          <w:tcPr>
            <w:tcW w:w="1577" w:type="dxa"/>
          </w:tcPr>
          <w:p w14:paraId="3AA3B45E" w14:textId="59CF7B3B" w:rsidR="00C46941" w:rsidRPr="007375EB" w:rsidRDefault="00C46941" w:rsidP="00C46941">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реализацията на вятърния парк</w:t>
            </w:r>
          </w:p>
        </w:tc>
      </w:tr>
    </w:tbl>
    <w:p w14:paraId="7A77394B" w14:textId="77777777" w:rsidR="00EA76D6" w:rsidRPr="007375EB" w:rsidRDefault="00EA76D6" w:rsidP="006E5B3F">
      <w:pPr>
        <w:spacing w:after="120" w:line="360" w:lineRule="auto"/>
        <w:jc w:val="both"/>
        <w:rPr>
          <w:lang w:val="bg-BG" w:eastAsia="ro-RO"/>
        </w:rPr>
        <w:sectPr w:rsidR="00EA76D6" w:rsidRPr="007375EB" w:rsidSect="00DE7A67">
          <w:pgSz w:w="16838" w:h="11906" w:orient="landscape" w:code="9"/>
          <w:pgMar w:top="1191" w:right="2013" w:bottom="1416" w:left="1418" w:header="839" w:footer="680" w:gutter="0"/>
          <w:cols w:space="708"/>
          <w:docGrid w:linePitch="360"/>
        </w:sectPr>
      </w:pPr>
    </w:p>
    <w:bookmarkEnd w:id="40"/>
    <w:p w14:paraId="0A5206B9" w14:textId="23D02D37" w:rsidR="00FE0A2E" w:rsidRDefault="00FE0A2E" w:rsidP="00FE0A2E">
      <w:pPr>
        <w:spacing w:after="120" w:line="360" w:lineRule="auto"/>
        <w:jc w:val="both"/>
        <w:rPr>
          <w:sz w:val="20"/>
          <w:szCs w:val="20"/>
          <w:lang w:eastAsia="ro-RO"/>
        </w:rPr>
      </w:pPr>
      <w:r w:rsidRPr="000F3A4F">
        <w:rPr>
          <w:sz w:val="20"/>
          <w:szCs w:val="20"/>
          <w:lang w:eastAsia="ro-RO"/>
        </w:rPr>
        <w:lastRenderedPageBreak/>
        <w:t>*</w:t>
      </w:r>
      <w:r w:rsidRPr="00FE0A2E">
        <w:t xml:space="preserve"> </w:t>
      </w:r>
      <w:r w:rsidRPr="00FE0A2E">
        <w:rPr>
          <w:sz w:val="20"/>
          <w:szCs w:val="20"/>
          <w:lang w:eastAsia="ro-RO"/>
        </w:rPr>
        <w:t>Ще се прилагат предимно за</w:t>
      </w:r>
      <w:r w:rsidRPr="000F3A4F">
        <w:rPr>
          <w:sz w:val="20"/>
          <w:szCs w:val="20"/>
          <w:lang w:eastAsia="ro-RO"/>
        </w:rPr>
        <w:t>:</w:t>
      </w:r>
    </w:p>
    <w:p w14:paraId="07D89C90" w14:textId="242482F2" w:rsidR="00FE0A2E" w:rsidRPr="0035249B" w:rsidRDefault="00FE0A2E">
      <w:pPr>
        <w:pStyle w:val="ListParagraph"/>
        <w:numPr>
          <w:ilvl w:val="0"/>
          <w:numId w:val="184"/>
        </w:numPr>
        <w:spacing w:after="120" w:line="360" w:lineRule="auto"/>
        <w:jc w:val="both"/>
        <w:rPr>
          <w:color w:val="009DF0"/>
          <w:sz w:val="20"/>
          <w:szCs w:val="20"/>
          <w:lang w:eastAsia="ro-RO"/>
        </w:rPr>
      </w:pPr>
      <w:r w:rsidRPr="00FE0A2E">
        <w:rPr>
          <w:b/>
          <w:bCs/>
          <w:color w:val="009DF0"/>
          <w:lang w:val="bg-BG"/>
        </w:rPr>
        <w:t>идове птици</w:t>
      </w:r>
      <w:r w:rsidRPr="00442FE4">
        <w:rPr>
          <w:b/>
          <w:bCs/>
          <w:color w:val="009DF0"/>
        </w:rPr>
        <w:t xml:space="preserve">: </w:t>
      </w:r>
      <w:r w:rsidRPr="00442FE4">
        <w:rPr>
          <w:rFonts w:asciiTheme="minorHAnsi" w:eastAsia="Times New Roman" w:hAnsiTheme="minorHAnsi" w:cs="Calibri"/>
          <w:i/>
          <w:iCs/>
          <w:color w:val="009DF0"/>
          <w:lang w:eastAsia="ro-RO"/>
        </w:rPr>
        <w:t xml:space="preserve">Aquila pomarina,  Falco peregrinus, Hieraaetus pennatus,  Lanius minor, Milvus migrans, Accipiter brevipes, Accipiter nisus, Acrocephalus arundinaceus, Acrocephalus palustris, Acrocephalus schoenobaenus, Acrocephalus scirpaceus, Alauda arvensis, Alcedo atthis, Anser albifrons, Anser anser, Anthus campestris, Aquila heliaca,Aquila pomarina, Bubo bubo, Burhinus oedicnemus, Buteo buteo, Buteo lagopus, Buteo rufinus, Calandrella brachydactyla, Caprimulgus europaeus, Carduelis cannabina, Carduelis carduelis, Carduelis chloris, Carduelis spinus, Ciconia ciconia, Circaetus gallicus, Circus aeruginosus, Circus cyaneus, Circus macrourus, Circus pygargus, Coccothraustes coccothraustes, Coracias garrulus, Coturnix coturnix, Cygnus olor, Emberiza melanocephala, Falco cherrug, Falco columbarius, Falco peregrinus, Falco subbuteo, Falco tinnunculus, Falco vespertinus, Ficedula hypoleuca, Fringilla coelebs, Fringilla montifringilla, Galerida cristata, Gallinago gallinago, Hieraaetus pennatus, Hirundo daurica, Hirundo rustica, Jynx torquilla, Lanius collurio,  Lanius excubitor, Lanius minor, Lanius senator, Larus cachinnans, Larus melanocephalus, Larus minutus, Locustella fluviatilis, Locustella luscinioides, Lullula arborea, Melanocorypha calandra, Merops apiaster, Miliaria calandra, Milvus migrans, Monticola saxatilis, Motacilla alba, Motacilla </w:t>
      </w:r>
      <w:r w:rsidRPr="0035249B">
        <w:rPr>
          <w:rFonts w:asciiTheme="minorHAnsi" w:eastAsia="Times New Roman" w:hAnsiTheme="minorHAnsi" w:cs="Calibri"/>
          <w:i/>
          <w:iCs/>
          <w:color w:val="009DF0"/>
          <w:lang w:eastAsia="ro-RO"/>
        </w:rPr>
        <w:t>flava, Muscicapa striata, Nycticorax nycticorax, Oenanthe isabellina, Oenanthe oenanthe, Oenanthe pleschanka, Oriolus oriolus, Pelecanus crispus, Pernis apivorus, Philomachus pugnax, Phylloscopus collybita, Phylloscopus sibilatrix, Phylloscopus trochilus, Porzana porzana/Calidris pugnax, Pyrrhula pyrrhula, Recurvirostra avosetta, Regulus ignicapillus, Regulus regulus, Riparia riparia, Saxicola torquata, Serinus serinus, Streptopelia turtur, Sturnus roseus, Sturnus vulgaris, Sylvia atricapilla, Sylvia curruca, Tadorna ferruginea, Turdus iliacus, Turdus merula, Turdus philomelos, Turdus pilaris, Turdus viscivorus, Upupa epops</w:t>
      </w:r>
    </w:p>
    <w:p w14:paraId="1BFAE584" w14:textId="4461A444" w:rsidR="00FE0A2E" w:rsidRPr="0035249B" w:rsidRDefault="00FE0A2E">
      <w:pPr>
        <w:pStyle w:val="ListParagraph"/>
        <w:numPr>
          <w:ilvl w:val="0"/>
          <w:numId w:val="184"/>
        </w:numPr>
        <w:spacing w:after="120" w:line="360" w:lineRule="auto"/>
        <w:jc w:val="both"/>
        <w:rPr>
          <w:color w:val="009DF0"/>
          <w:sz w:val="20"/>
          <w:szCs w:val="20"/>
          <w:lang w:eastAsia="ro-RO"/>
        </w:rPr>
      </w:pPr>
      <w:r w:rsidRPr="00FE0A2E">
        <w:rPr>
          <w:b/>
          <w:bCs/>
          <w:color w:val="009DF0"/>
          <w:lang w:val="bg-BG"/>
        </w:rPr>
        <w:t>видове хироптери</w:t>
      </w:r>
      <w:r w:rsidRPr="0035249B">
        <w:rPr>
          <w:b/>
          <w:bCs/>
          <w:color w:val="009DF0"/>
          <w:sz w:val="20"/>
          <w:szCs w:val="20"/>
          <w:lang w:eastAsia="ro-RO"/>
        </w:rPr>
        <w:t>:</w:t>
      </w:r>
      <w:r w:rsidRPr="0035249B">
        <w:rPr>
          <w:color w:val="009DF0"/>
          <w:sz w:val="20"/>
          <w:szCs w:val="20"/>
          <w:lang w:eastAsia="ro-RO"/>
        </w:rPr>
        <w:t xml:space="preserve"> </w:t>
      </w:r>
      <w:r w:rsidRPr="0035249B">
        <w:rPr>
          <w:i/>
          <w:iCs/>
          <w:color w:val="009DF0"/>
          <w:sz w:val="20"/>
          <w:szCs w:val="20"/>
          <w:lang w:eastAsia="ro-RO"/>
        </w:rPr>
        <w:t>Miniopterus schreibersii, Rhinolophus mehelyi, Rhinolophus ferrumequinum, Myotis capaccinii, Nyctalus noctula, Pipistrellus pipistrellus</w:t>
      </w:r>
    </w:p>
    <w:p w14:paraId="01A74D6D" w14:textId="216F66FC" w:rsidR="00FE0A2E" w:rsidRPr="00FE0A2E" w:rsidRDefault="00FE0A2E">
      <w:pPr>
        <w:pStyle w:val="Heading1"/>
        <w:numPr>
          <w:ilvl w:val="0"/>
          <w:numId w:val="184"/>
        </w:numPr>
        <w:suppressAutoHyphens w:val="0"/>
        <w:spacing w:before="0" w:after="240" w:line="360" w:lineRule="auto"/>
        <w:contextualSpacing w:val="0"/>
        <w:jc w:val="both"/>
        <w:rPr>
          <w:b/>
          <w:bCs w:val="0"/>
          <w:sz w:val="20"/>
          <w:szCs w:val="20"/>
          <w:lang w:val="bg-BG" w:eastAsia="ro-RO"/>
        </w:rPr>
      </w:pPr>
      <w:r w:rsidRPr="00FE0A2E">
        <w:rPr>
          <w:b/>
          <w:color w:val="009DF0"/>
          <w:sz w:val="18"/>
          <w:szCs w:val="18"/>
          <w:lang w:val="bg-BG"/>
        </w:rPr>
        <w:t>видове сухоземни бозайници</w:t>
      </w:r>
      <w:r>
        <w:rPr>
          <w:b/>
          <w:color w:val="009DF0"/>
          <w:sz w:val="20"/>
          <w:szCs w:val="20"/>
          <w:lang w:eastAsia="ro-RO"/>
        </w:rPr>
        <w:t>:</w:t>
      </w:r>
      <w:r>
        <w:rPr>
          <w:color w:val="009DF0"/>
          <w:sz w:val="20"/>
          <w:szCs w:val="20"/>
          <w:lang w:eastAsia="ro-RO"/>
        </w:rPr>
        <w:t xml:space="preserve"> </w:t>
      </w:r>
      <w:r w:rsidRPr="00F85AED">
        <w:rPr>
          <w:i/>
          <w:iCs/>
          <w:color w:val="009DF0"/>
          <w:sz w:val="20"/>
          <w:szCs w:val="20"/>
          <w:lang w:eastAsia="ro-RO"/>
        </w:rPr>
        <w:t>Spermophilus citellus, Mustela eversmanii</w:t>
      </w:r>
      <w:r>
        <w:rPr>
          <w:i/>
          <w:iCs/>
          <w:color w:val="009DF0"/>
          <w:sz w:val="20"/>
          <w:szCs w:val="20"/>
          <w:lang w:eastAsia="ro-RO"/>
        </w:rPr>
        <w:t>.</w:t>
      </w:r>
    </w:p>
    <w:p w14:paraId="3F86F2B7" w14:textId="69912E3A" w:rsidR="006B59ED" w:rsidRPr="007375EB" w:rsidRDefault="0075402B" w:rsidP="0041531F">
      <w:pPr>
        <w:pStyle w:val="Heading1"/>
        <w:numPr>
          <w:ilvl w:val="0"/>
          <w:numId w:val="77"/>
        </w:numPr>
        <w:suppressAutoHyphens w:val="0"/>
        <w:spacing w:before="0" w:after="240" w:line="360" w:lineRule="auto"/>
        <w:ind w:left="567" w:hanging="567"/>
        <w:contextualSpacing w:val="0"/>
        <w:jc w:val="both"/>
        <w:rPr>
          <w:b/>
          <w:bCs w:val="0"/>
          <w:sz w:val="20"/>
          <w:szCs w:val="20"/>
          <w:lang w:val="bg-BG" w:eastAsia="ro-RO"/>
        </w:rPr>
      </w:pPr>
      <w:r w:rsidRPr="007375EB">
        <w:rPr>
          <w:b/>
          <w:bCs w:val="0"/>
          <w:sz w:val="20"/>
          <w:szCs w:val="20"/>
          <w:lang w:val="bg-BG" w:eastAsia="ro-RO"/>
        </w:rPr>
        <w:t>Изложение на причините, довели до избора на избраните варианти, и описание на начина, по който е извършена оценката, включително всички трудности (като технически недостатъци или липса на ноу-хау), срещнати при обработката на необходимата информация</w:t>
      </w:r>
    </w:p>
    <w:p w14:paraId="1F09FCD9" w14:textId="5F44A2AB" w:rsidR="006676AA" w:rsidRPr="007375EB" w:rsidRDefault="0075402B" w:rsidP="00C53031">
      <w:pPr>
        <w:pStyle w:val="ListParagraph"/>
        <w:numPr>
          <w:ilvl w:val="1"/>
          <w:numId w:val="77"/>
        </w:numPr>
        <w:spacing w:after="120" w:line="360" w:lineRule="auto"/>
        <w:contextualSpacing w:val="0"/>
        <w:outlineLvl w:val="1"/>
        <w:rPr>
          <w:b/>
          <w:bCs/>
          <w:i/>
          <w:iCs/>
          <w:color w:val="009DF0"/>
          <w:lang w:val="bg-BG" w:eastAsia="ro-RO"/>
        </w:rPr>
      </w:pPr>
      <w:bookmarkStart w:id="42" w:name="_Hlk169086799"/>
      <w:r w:rsidRPr="007375EB">
        <w:rPr>
          <w:b/>
          <w:bCs/>
          <w:i/>
          <w:iCs/>
          <w:color w:val="009DF0"/>
          <w:lang w:val="bg-BG" w:eastAsia="ro-RO"/>
        </w:rPr>
        <w:t>Анализ на алтернативите</w:t>
      </w:r>
    </w:p>
    <w:bookmarkEnd w:id="42"/>
    <w:p w14:paraId="2BB55902" w14:textId="3580E9E4" w:rsidR="00412D79" w:rsidRPr="007375EB" w:rsidRDefault="0075402B" w:rsidP="00BA4CEC">
      <w:pPr>
        <w:spacing w:after="120" w:line="360" w:lineRule="auto"/>
        <w:jc w:val="both"/>
        <w:rPr>
          <w:lang w:val="bg-BG"/>
        </w:rPr>
      </w:pPr>
      <w:r w:rsidRPr="007375EB">
        <w:rPr>
          <w:lang w:val="bg-BG"/>
        </w:rPr>
        <w:t>В процеса на реализиране на PUZ бяха проучени 4 алтернативи</w:t>
      </w:r>
      <w:r w:rsidR="00412D79" w:rsidRPr="007375EB">
        <w:rPr>
          <w:lang w:val="bg-BG"/>
        </w:rPr>
        <w:t>:</w:t>
      </w:r>
    </w:p>
    <w:p w14:paraId="67247532" w14:textId="1D6B54F4" w:rsidR="00412D79" w:rsidRPr="007375EB" w:rsidRDefault="0075402B" w:rsidP="00BA4CEC">
      <w:pPr>
        <w:pStyle w:val="ListParagraph"/>
        <w:numPr>
          <w:ilvl w:val="0"/>
          <w:numId w:val="66"/>
        </w:numPr>
        <w:spacing w:after="120" w:line="360" w:lineRule="auto"/>
        <w:contextualSpacing w:val="0"/>
        <w:jc w:val="both"/>
        <w:rPr>
          <w:lang w:val="bg-BG"/>
        </w:rPr>
      </w:pPr>
      <w:r w:rsidRPr="007375EB">
        <w:rPr>
          <w:b/>
          <w:bCs/>
          <w:lang w:val="bg-BG"/>
        </w:rPr>
        <w:t xml:space="preserve">Нулева алтернатива - без изпълнение на </w:t>
      </w:r>
      <w:r w:rsidR="00412D79" w:rsidRPr="007375EB">
        <w:rPr>
          <w:lang w:val="bg-BG"/>
        </w:rPr>
        <w:t xml:space="preserve">PUZ </w:t>
      </w:r>
    </w:p>
    <w:p w14:paraId="7CB0E656" w14:textId="45E63D9D" w:rsidR="00412D79" w:rsidRPr="007375EB" w:rsidRDefault="0075402B" w:rsidP="00BA4CEC">
      <w:pPr>
        <w:pStyle w:val="ListParagraph"/>
        <w:numPr>
          <w:ilvl w:val="0"/>
          <w:numId w:val="65"/>
        </w:numPr>
        <w:spacing w:after="120" w:line="360" w:lineRule="auto"/>
        <w:contextualSpacing w:val="0"/>
        <w:jc w:val="both"/>
        <w:rPr>
          <w:lang w:val="bg-BG"/>
        </w:rPr>
      </w:pPr>
      <w:r w:rsidRPr="007375EB">
        <w:rPr>
          <w:b/>
          <w:bCs/>
          <w:lang w:val="bg-BG"/>
        </w:rPr>
        <w:t xml:space="preserve">Алтернатива I </w:t>
      </w:r>
      <w:r w:rsidRPr="007375EB">
        <w:rPr>
          <w:lang w:val="bg-BG"/>
        </w:rPr>
        <w:t>- стартира през 2011 г. (състои се от 3 вятърни парка) - 117 ветрови централи с обща установена мощност 351 МВт</w:t>
      </w:r>
    </w:p>
    <w:p w14:paraId="29817604" w14:textId="43E41430" w:rsidR="00412D79" w:rsidRPr="007375EB" w:rsidRDefault="0075402B" w:rsidP="00BA4CEC">
      <w:pPr>
        <w:pStyle w:val="ListParagraph"/>
        <w:numPr>
          <w:ilvl w:val="0"/>
          <w:numId w:val="65"/>
        </w:numPr>
        <w:spacing w:after="120" w:line="360" w:lineRule="auto"/>
        <w:contextualSpacing w:val="0"/>
        <w:jc w:val="both"/>
        <w:rPr>
          <w:lang w:val="bg-BG"/>
        </w:rPr>
      </w:pPr>
      <w:r w:rsidRPr="007375EB">
        <w:rPr>
          <w:b/>
          <w:bCs/>
          <w:lang w:val="bg-BG"/>
        </w:rPr>
        <w:t xml:space="preserve">Алтернатива </w:t>
      </w:r>
      <w:r w:rsidR="00412D79" w:rsidRPr="007375EB">
        <w:rPr>
          <w:b/>
          <w:bCs/>
          <w:lang w:val="bg-BG"/>
        </w:rPr>
        <w:t>II</w:t>
      </w:r>
      <w:r w:rsidR="00412D79" w:rsidRPr="007375EB">
        <w:rPr>
          <w:lang w:val="bg-BG"/>
        </w:rPr>
        <w:t xml:space="preserve"> - </w:t>
      </w:r>
      <w:r w:rsidRPr="007375EB">
        <w:rPr>
          <w:lang w:val="bg-BG"/>
        </w:rPr>
        <w:t>е започнат през 2022 г. - 48 вятърни централи с обща установена мощност 316,8 МВт</w:t>
      </w:r>
    </w:p>
    <w:p w14:paraId="66994C32" w14:textId="6A1FBBCF" w:rsidR="00412D79" w:rsidRPr="007375EB" w:rsidRDefault="0075402B" w:rsidP="00BA4CEC">
      <w:pPr>
        <w:pStyle w:val="ListParagraph"/>
        <w:numPr>
          <w:ilvl w:val="0"/>
          <w:numId w:val="65"/>
        </w:numPr>
        <w:spacing w:after="120" w:line="360" w:lineRule="auto"/>
        <w:contextualSpacing w:val="0"/>
        <w:jc w:val="both"/>
        <w:rPr>
          <w:lang w:val="bg-BG"/>
        </w:rPr>
      </w:pPr>
      <w:r w:rsidRPr="007375EB">
        <w:rPr>
          <w:b/>
          <w:bCs/>
          <w:lang w:val="bg-BG"/>
        </w:rPr>
        <w:lastRenderedPageBreak/>
        <w:t xml:space="preserve">Алтернатива </w:t>
      </w:r>
      <w:r w:rsidR="00412D79" w:rsidRPr="007375EB">
        <w:rPr>
          <w:b/>
          <w:bCs/>
          <w:lang w:val="bg-BG"/>
        </w:rPr>
        <w:t>III</w:t>
      </w:r>
      <w:r w:rsidR="00412D79" w:rsidRPr="007375EB">
        <w:rPr>
          <w:lang w:val="bg-BG"/>
        </w:rPr>
        <w:t xml:space="preserve"> - </w:t>
      </w:r>
      <w:r w:rsidRPr="007375EB">
        <w:rPr>
          <w:lang w:val="bg-BG"/>
        </w:rPr>
        <w:t>стартира през 2023 г. след получаване на съгласие от TRANSGAZ SA № 34618/948/10.05.2023 г., след което 2 централи T17 и T23 бяха отказани, като по този начин новият вятърен парк ще включва 46 вятърни електроцентрали с обща установена мощност от 303,6 МВт</w:t>
      </w:r>
      <w:r w:rsidR="00412D79" w:rsidRPr="007375EB">
        <w:rPr>
          <w:rFonts w:eastAsia="Verdana" w:cs="Verdana"/>
          <w:lang w:val="bg-BG"/>
        </w:rPr>
        <w:t xml:space="preserve"> </w:t>
      </w:r>
    </w:p>
    <w:p w14:paraId="3597305E" w14:textId="729D7F95" w:rsidR="00185670" w:rsidRPr="007375EB" w:rsidRDefault="0075402B" w:rsidP="00BA4CEC">
      <w:pPr>
        <w:spacing w:after="120" w:line="360" w:lineRule="auto"/>
        <w:jc w:val="both"/>
        <w:rPr>
          <w:lang w:val="bg-BG" w:eastAsia="ro-RO"/>
        </w:rPr>
      </w:pPr>
      <w:r w:rsidRPr="007375EB">
        <w:rPr>
          <w:lang w:val="bg-BG" w:eastAsia="ro-RO"/>
        </w:rPr>
        <w:t xml:space="preserve">В глави 6.2 и 6.3 са оценени ефектите от неизпълнението и изпълнението на </w:t>
      </w:r>
      <w:r w:rsidR="003B745F" w:rsidRPr="007375EB">
        <w:rPr>
          <w:lang w:val="bg-BG" w:eastAsia="ro-RO"/>
        </w:rPr>
        <w:t>PUZ</w:t>
      </w:r>
      <w:r w:rsidRPr="007375EB">
        <w:rPr>
          <w:lang w:val="bg-BG" w:eastAsia="ro-RO"/>
        </w:rPr>
        <w:t xml:space="preserve"> в трите алтернативи съответно върху целите на околната среда, а в таблицата по-долу е представена окончателната оценка на значимостта на въздействията за всяка анализирана алтернатива.</w:t>
      </w:r>
    </w:p>
    <w:p w14:paraId="05CF397A" w14:textId="130540BE" w:rsidR="00BA4CEC" w:rsidRPr="007375EB" w:rsidRDefault="0075402B" w:rsidP="00591291">
      <w:pPr>
        <w:pStyle w:val="Caption"/>
        <w:spacing w:before="0" w:after="0" w:line="240" w:lineRule="auto"/>
        <w:ind w:right="-198"/>
        <w:jc w:val="both"/>
        <w:rPr>
          <w:sz w:val="16"/>
          <w:szCs w:val="16"/>
          <w:lang w:val="bg-BG"/>
        </w:rPr>
      </w:pPr>
      <w:r w:rsidRPr="007375EB">
        <w:rPr>
          <w:sz w:val="16"/>
          <w:szCs w:val="16"/>
          <w:lang w:val="bg-BG"/>
        </w:rPr>
        <w:t>Таблица</w:t>
      </w:r>
      <w:r w:rsidR="00BA4CEC" w:rsidRPr="007375EB">
        <w:rPr>
          <w:sz w:val="16"/>
          <w:szCs w:val="16"/>
          <w:lang w:val="bg-BG"/>
        </w:rPr>
        <w:t xml:space="preserve"> 9- </w:t>
      </w:r>
      <w:r w:rsidR="00BA4CEC" w:rsidRPr="007375EB">
        <w:rPr>
          <w:sz w:val="16"/>
          <w:szCs w:val="16"/>
          <w:lang w:val="bg-BG"/>
        </w:rPr>
        <w:fldChar w:fldCharType="begin"/>
      </w:r>
      <w:r w:rsidR="00BA4CEC" w:rsidRPr="007375EB">
        <w:rPr>
          <w:sz w:val="16"/>
          <w:szCs w:val="16"/>
          <w:lang w:val="bg-BG"/>
        </w:rPr>
        <w:instrText xml:space="preserve"> SEQ Tabel_9- \* ARABIC </w:instrText>
      </w:r>
      <w:r w:rsidR="00BA4CEC" w:rsidRPr="007375EB">
        <w:rPr>
          <w:sz w:val="16"/>
          <w:szCs w:val="16"/>
          <w:lang w:val="bg-BG"/>
        </w:rPr>
        <w:fldChar w:fldCharType="separate"/>
      </w:r>
      <w:r w:rsidR="00BA4CEC" w:rsidRPr="007375EB">
        <w:rPr>
          <w:sz w:val="16"/>
          <w:szCs w:val="16"/>
          <w:lang w:val="bg-BG"/>
        </w:rPr>
        <w:t>1</w:t>
      </w:r>
      <w:r w:rsidR="00BA4CEC" w:rsidRPr="007375EB">
        <w:rPr>
          <w:sz w:val="16"/>
          <w:szCs w:val="16"/>
          <w:lang w:val="bg-BG"/>
        </w:rPr>
        <w:fldChar w:fldCharType="end"/>
      </w:r>
      <w:r w:rsidR="00BA4CEC" w:rsidRPr="007375EB">
        <w:rPr>
          <w:sz w:val="16"/>
          <w:szCs w:val="16"/>
          <w:lang w:val="bg-BG"/>
        </w:rPr>
        <w:t xml:space="preserve"> </w:t>
      </w:r>
      <w:r w:rsidRPr="007375EB">
        <w:rPr>
          <w:sz w:val="16"/>
          <w:szCs w:val="16"/>
          <w:lang w:val="bg-BG"/>
        </w:rPr>
        <w:t>Оценка на въздействието на анализираните алтернативи</w:t>
      </w:r>
    </w:p>
    <w:tbl>
      <w:tblPr>
        <w:tblpPr w:leftFromText="180" w:rightFromText="180" w:vertAnchor="text" w:tblpY="215"/>
        <w:tblW w:w="9634"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1856"/>
        <w:gridCol w:w="2811"/>
        <w:gridCol w:w="468"/>
        <w:gridCol w:w="626"/>
        <w:gridCol w:w="588"/>
        <w:gridCol w:w="594"/>
        <w:gridCol w:w="416"/>
        <w:gridCol w:w="465"/>
        <w:gridCol w:w="465"/>
        <w:gridCol w:w="449"/>
        <w:gridCol w:w="448"/>
        <w:gridCol w:w="448"/>
      </w:tblGrid>
      <w:tr w:rsidR="0075402B" w:rsidRPr="007375EB" w14:paraId="42B17D5B" w14:textId="77777777" w:rsidTr="00C46941">
        <w:trPr>
          <w:trHeight w:val="300"/>
          <w:tblHeader/>
        </w:trPr>
        <w:tc>
          <w:tcPr>
            <w:tcW w:w="1856" w:type="dxa"/>
            <w:vMerge w:val="restart"/>
            <w:shd w:val="clear" w:color="000000" w:fill="00B0F0"/>
            <w:vAlign w:val="center"/>
            <w:hideMark/>
          </w:tcPr>
          <w:p w14:paraId="234C8A58" w14:textId="45130C5B" w:rsidR="0075402B" w:rsidRPr="007375EB" w:rsidRDefault="0075402B" w:rsidP="0075402B">
            <w:pPr>
              <w:spacing w:line="240" w:lineRule="auto"/>
              <w:jc w:val="center"/>
              <w:rPr>
                <w:rFonts w:asciiTheme="minorHAnsi" w:eastAsia="Times New Roman" w:hAnsiTheme="minorHAnsi" w:cs="Calibri"/>
                <w:b/>
                <w:bCs/>
                <w:color w:val="FFFFFF"/>
                <w:sz w:val="16"/>
                <w:szCs w:val="16"/>
                <w:lang w:val="bg-BG" w:eastAsia="ro-RO"/>
              </w:rPr>
            </w:pPr>
            <w:r w:rsidRPr="007375EB">
              <w:rPr>
                <w:rFonts w:asciiTheme="minorHAnsi" w:hAnsiTheme="minorHAnsi"/>
                <w:b/>
                <w:bCs/>
                <w:color w:val="FFFFFF" w:themeColor="background1"/>
                <w:sz w:val="16"/>
                <w:szCs w:val="16"/>
                <w:lang w:val="bg-BG"/>
              </w:rPr>
              <w:t>Съответни екологични аспекти</w:t>
            </w:r>
          </w:p>
        </w:tc>
        <w:tc>
          <w:tcPr>
            <w:tcW w:w="2811" w:type="dxa"/>
            <w:vMerge w:val="restart"/>
            <w:shd w:val="clear" w:color="000000" w:fill="00B0F0"/>
            <w:vAlign w:val="center"/>
            <w:hideMark/>
          </w:tcPr>
          <w:p w14:paraId="4A640DB0" w14:textId="21FE219E" w:rsidR="0075402B" w:rsidRPr="007375EB" w:rsidRDefault="0075402B" w:rsidP="0075402B">
            <w:pPr>
              <w:spacing w:line="240" w:lineRule="auto"/>
              <w:jc w:val="center"/>
              <w:rPr>
                <w:rFonts w:asciiTheme="minorHAnsi" w:eastAsia="Times New Roman" w:hAnsiTheme="minorHAnsi" w:cs="Calibri"/>
                <w:b/>
                <w:bCs/>
                <w:color w:val="FFFFFF"/>
                <w:sz w:val="16"/>
                <w:szCs w:val="16"/>
                <w:lang w:val="bg-BG" w:eastAsia="ro-RO"/>
              </w:rPr>
            </w:pPr>
            <w:r w:rsidRPr="007375EB">
              <w:rPr>
                <w:rFonts w:asciiTheme="minorHAnsi" w:hAnsiTheme="minorHAnsi"/>
                <w:b/>
                <w:color w:val="FFFFFF" w:themeColor="background1"/>
                <w:sz w:val="16"/>
                <w:szCs w:val="16"/>
                <w:lang w:val="bg-BG"/>
              </w:rPr>
              <w:t>Екологични цели, свързани с PUZ</w:t>
            </w:r>
          </w:p>
        </w:tc>
        <w:tc>
          <w:tcPr>
            <w:tcW w:w="4967" w:type="dxa"/>
            <w:gridSpan w:val="10"/>
            <w:shd w:val="clear" w:color="000000" w:fill="00B0F0"/>
            <w:vAlign w:val="center"/>
          </w:tcPr>
          <w:p w14:paraId="7B6DE9DB" w14:textId="1C67D63F" w:rsidR="0075402B" w:rsidRPr="007375EB" w:rsidRDefault="0075402B" w:rsidP="0075402B">
            <w:pPr>
              <w:spacing w:line="240" w:lineRule="auto"/>
              <w:jc w:val="center"/>
              <w:rPr>
                <w:rFonts w:asciiTheme="minorHAnsi" w:eastAsia="Times New Roman" w:hAnsiTheme="minorHAnsi" w:cs="Calibri"/>
                <w:b/>
                <w:bCs/>
                <w:color w:val="FFFFFF"/>
                <w:sz w:val="16"/>
                <w:szCs w:val="16"/>
                <w:lang w:val="bg-BG" w:eastAsia="ro-RO"/>
              </w:rPr>
            </w:pPr>
            <w:r w:rsidRPr="007375EB">
              <w:rPr>
                <w:rFonts w:asciiTheme="minorHAnsi" w:eastAsia="Times New Roman" w:hAnsiTheme="minorHAnsi" w:cs="Calibri"/>
                <w:b/>
                <w:bCs/>
                <w:color w:val="FFFFFF"/>
                <w:sz w:val="16"/>
                <w:szCs w:val="16"/>
                <w:lang w:val="bg-BG" w:eastAsia="ro-RO"/>
              </w:rPr>
              <w:t>Оценка на въздействието</w:t>
            </w:r>
          </w:p>
        </w:tc>
      </w:tr>
      <w:tr w:rsidR="0075402B" w:rsidRPr="007375EB" w14:paraId="7B1D49C9" w14:textId="77777777" w:rsidTr="00C46941">
        <w:trPr>
          <w:trHeight w:val="300"/>
          <w:tblHeader/>
        </w:trPr>
        <w:tc>
          <w:tcPr>
            <w:tcW w:w="1856" w:type="dxa"/>
            <w:vMerge/>
            <w:shd w:val="clear" w:color="000000" w:fill="00B0F0"/>
            <w:vAlign w:val="center"/>
          </w:tcPr>
          <w:p w14:paraId="2E22DD35" w14:textId="77777777" w:rsidR="0075402B" w:rsidRPr="007375EB" w:rsidRDefault="0075402B" w:rsidP="0075402B">
            <w:pPr>
              <w:spacing w:line="240" w:lineRule="auto"/>
              <w:jc w:val="center"/>
              <w:rPr>
                <w:rFonts w:asciiTheme="minorHAnsi" w:eastAsia="Times New Roman" w:hAnsiTheme="minorHAnsi" w:cs="Calibri"/>
                <w:b/>
                <w:bCs/>
                <w:color w:val="FFFFFF"/>
                <w:sz w:val="16"/>
                <w:szCs w:val="16"/>
                <w:lang w:val="bg-BG" w:eastAsia="ro-RO"/>
              </w:rPr>
            </w:pPr>
          </w:p>
        </w:tc>
        <w:tc>
          <w:tcPr>
            <w:tcW w:w="2811" w:type="dxa"/>
            <w:vMerge/>
            <w:shd w:val="clear" w:color="000000" w:fill="00B0F0"/>
            <w:vAlign w:val="center"/>
          </w:tcPr>
          <w:p w14:paraId="0A8D093B" w14:textId="77777777" w:rsidR="0075402B" w:rsidRPr="007375EB" w:rsidRDefault="0075402B" w:rsidP="0075402B">
            <w:pPr>
              <w:spacing w:line="240" w:lineRule="auto"/>
              <w:jc w:val="center"/>
              <w:rPr>
                <w:rFonts w:asciiTheme="minorHAnsi" w:eastAsia="Times New Roman" w:hAnsiTheme="minorHAnsi" w:cs="Calibri"/>
                <w:b/>
                <w:bCs/>
                <w:color w:val="FFFFFF"/>
                <w:sz w:val="16"/>
                <w:szCs w:val="16"/>
                <w:lang w:val="bg-BG" w:eastAsia="ro-RO"/>
              </w:rPr>
            </w:pPr>
          </w:p>
        </w:tc>
        <w:tc>
          <w:tcPr>
            <w:tcW w:w="468" w:type="dxa"/>
            <w:vMerge w:val="restart"/>
            <w:shd w:val="clear" w:color="000000" w:fill="00B0F0"/>
            <w:textDirection w:val="btLr"/>
            <w:vAlign w:val="center"/>
          </w:tcPr>
          <w:p w14:paraId="5FA7E124" w14:textId="101978ED" w:rsidR="0075402B" w:rsidRPr="007375EB" w:rsidRDefault="0075402B" w:rsidP="0075402B">
            <w:pPr>
              <w:spacing w:line="240" w:lineRule="auto"/>
              <w:ind w:left="113" w:right="113"/>
              <w:jc w:val="center"/>
              <w:rPr>
                <w:rFonts w:asciiTheme="minorHAnsi" w:eastAsia="Times New Roman" w:hAnsiTheme="minorHAnsi" w:cs="Calibri"/>
                <w:b/>
                <w:bCs/>
                <w:color w:val="FFFFFF"/>
                <w:sz w:val="14"/>
                <w:szCs w:val="14"/>
                <w:lang w:val="bg-BG" w:eastAsia="ro-RO"/>
              </w:rPr>
            </w:pPr>
            <w:r w:rsidRPr="007375EB">
              <w:rPr>
                <w:rFonts w:asciiTheme="minorHAnsi" w:eastAsia="Times New Roman" w:hAnsiTheme="minorHAnsi" w:cs="Calibri"/>
                <w:b/>
                <w:bCs/>
                <w:color w:val="FFFFFF"/>
                <w:sz w:val="14"/>
                <w:szCs w:val="14"/>
                <w:lang w:val="bg-BG" w:eastAsia="ro-RO"/>
              </w:rPr>
              <w:t>Нулева алтернатива</w:t>
            </w:r>
          </w:p>
        </w:tc>
        <w:tc>
          <w:tcPr>
            <w:tcW w:w="1808" w:type="dxa"/>
            <w:gridSpan w:val="3"/>
            <w:shd w:val="clear" w:color="000000" w:fill="00B0F0"/>
            <w:noWrap/>
          </w:tcPr>
          <w:p w14:paraId="46751192" w14:textId="4A20C1F1" w:rsidR="0075402B" w:rsidRPr="007375EB" w:rsidRDefault="0075402B" w:rsidP="0075402B">
            <w:pPr>
              <w:spacing w:line="240" w:lineRule="auto"/>
              <w:jc w:val="center"/>
              <w:rPr>
                <w:rFonts w:asciiTheme="minorHAnsi" w:eastAsia="Times New Roman" w:hAnsiTheme="minorHAnsi" w:cs="Calibri"/>
                <w:b/>
                <w:bCs/>
                <w:color w:val="F8F8F8"/>
                <w:sz w:val="14"/>
                <w:szCs w:val="14"/>
                <w:lang w:val="bg-BG" w:eastAsia="ro-RO"/>
              </w:rPr>
            </w:pPr>
            <w:r w:rsidRPr="007375EB">
              <w:rPr>
                <w:b/>
                <w:bCs/>
                <w:color w:val="F8F8F8"/>
                <w:sz w:val="14"/>
                <w:szCs w:val="14"/>
                <w:lang w:val="bg-BG"/>
              </w:rPr>
              <w:t xml:space="preserve">Изпълнение </w:t>
            </w:r>
          </w:p>
        </w:tc>
        <w:tc>
          <w:tcPr>
            <w:tcW w:w="1346" w:type="dxa"/>
            <w:gridSpan w:val="3"/>
            <w:shd w:val="clear" w:color="000000" w:fill="00B0F0"/>
            <w:noWrap/>
          </w:tcPr>
          <w:p w14:paraId="142FF2AC" w14:textId="172A8D14" w:rsidR="0075402B" w:rsidRPr="007375EB" w:rsidRDefault="0075402B" w:rsidP="0075402B">
            <w:pPr>
              <w:spacing w:line="240" w:lineRule="auto"/>
              <w:jc w:val="center"/>
              <w:rPr>
                <w:rFonts w:asciiTheme="minorHAnsi" w:eastAsia="Times New Roman" w:hAnsiTheme="minorHAnsi" w:cs="Calibri"/>
                <w:b/>
                <w:bCs/>
                <w:color w:val="F8F8F8"/>
                <w:sz w:val="14"/>
                <w:szCs w:val="14"/>
                <w:lang w:val="bg-BG" w:eastAsia="ro-RO"/>
              </w:rPr>
            </w:pPr>
            <w:r w:rsidRPr="007375EB">
              <w:rPr>
                <w:b/>
                <w:bCs/>
                <w:color w:val="F8F8F8"/>
                <w:sz w:val="14"/>
                <w:szCs w:val="14"/>
                <w:lang w:val="bg-BG"/>
              </w:rPr>
              <w:t>Експлоатация</w:t>
            </w:r>
          </w:p>
        </w:tc>
        <w:tc>
          <w:tcPr>
            <w:tcW w:w="1345" w:type="dxa"/>
            <w:gridSpan w:val="3"/>
            <w:shd w:val="clear" w:color="000000" w:fill="00B0F0"/>
            <w:noWrap/>
          </w:tcPr>
          <w:p w14:paraId="0E7D61CA" w14:textId="5672EBE4" w:rsidR="0075402B" w:rsidRPr="007375EB" w:rsidRDefault="0075402B" w:rsidP="0075402B">
            <w:pPr>
              <w:spacing w:line="240" w:lineRule="auto"/>
              <w:jc w:val="center"/>
              <w:rPr>
                <w:rFonts w:asciiTheme="minorHAnsi" w:eastAsia="Times New Roman" w:hAnsiTheme="minorHAnsi" w:cs="Calibri"/>
                <w:b/>
                <w:bCs/>
                <w:color w:val="F8F8F8"/>
                <w:sz w:val="14"/>
                <w:szCs w:val="14"/>
                <w:lang w:val="bg-BG" w:eastAsia="ro-RO"/>
              </w:rPr>
            </w:pPr>
            <w:r w:rsidRPr="007375EB">
              <w:rPr>
                <w:b/>
                <w:bCs/>
                <w:color w:val="F8F8F8"/>
                <w:sz w:val="14"/>
                <w:szCs w:val="14"/>
                <w:lang w:val="bg-BG"/>
              </w:rPr>
              <w:t>Извеждане от експлоатация</w:t>
            </w:r>
          </w:p>
        </w:tc>
      </w:tr>
      <w:tr w:rsidR="00B92F80" w:rsidRPr="007375EB" w14:paraId="0C922B79" w14:textId="77777777" w:rsidTr="00C46941">
        <w:trPr>
          <w:cantSplit/>
          <w:trHeight w:val="1475"/>
          <w:tblHeader/>
        </w:trPr>
        <w:tc>
          <w:tcPr>
            <w:tcW w:w="1856" w:type="dxa"/>
            <w:vMerge/>
            <w:vAlign w:val="center"/>
            <w:hideMark/>
          </w:tcPr>
          <w:p w14:paraId="2DA4A832" w14:textId="77777777" w:rsidR="0075402B" w:rsidRPr="007375EB" w:rsidRDefault="0075402B" w:rsidP="0075402B">
            <w:pPr>
              <w:spacing w:line="240" w:lineRule="auto"/>
              <w:rPr>
                <w:rFonts w:asciiTheme="minorHAnsi" w:eastAsia="Times New Roman" w:hAnsiTheme="minorHAnsi" w:cs="Calibri"/>
                <w:b/>
                <w:bCs/>
                <w:color w:val="FFFFFF"/>
                <w:sz w:val="16"/>
                <w:szCs w:val="16"/>
                <w:lang w:val="bg-BG" w:eastAsia="ro-RO"/>
              </w:rPr>
            </w:pPr>
          </w:p>
        </w:tc>
        <w:tc>
          <w:tcPr>
            <w:tcW w:w="2811" w:type="dxa"/>
            <w:vMerge/>
            <w:vAlign w:val="center"/>
            <w:hideMark/>
          </w:tcPr>
          <w:p w14:paraId="20D54987" w14:textId="77777777" w:rsidR="0075402B" w:rsidRPr="007375EB" w:rsidRDefault="0075402B" w:rsidP="0075402B">
            <w:pPr>
              <w:spacing w:line="240" w:lineRule="auto"/>
              <w:rPr>
                <w:rFonts w:asciiTheme="minorHAnsi" w:eastAsia="Times New Roman" w:hAnsiTheme="minorHAnsi" w:cs="Calibri"/>
                <w:b/>
                <w:bCs/>
                <w:color w:val="FFFFFF"/>
                <w:sz w:val="16"/>
                <w:szCs w:val="16"/>
                <w:lang w:val="bg-BG" w:eastAsia="ro-RO"/>
              </w:rPr>
            </w:pPr>
          </w:p>
        </w:tc>
        <w:tc>
          <w:tcPr>
            <w:tcW w:w="468" w:type="dxa"/>
            <w:vMerge/>
            <w:shd w:val="clear" w:color="000000" w:fill="00B0F0"/>
            <w:vAlign w:val="center"/>
            <w:hideMark/>
          </w:tcPr>
          <w:p w14:paraId="31727ED6" w14:textId="77777777" w:rsidR="0075402B" w:rsidRPr="007375EB" w:rsidRDefault="0075402B" w:rsidP="0075402B">
            <w:pPr>
              <w:spacing w:line="240" w:lineRule="auto"/>
              <w:rPr>
                <w:rFonts w:asciiTheme="minorHAnsi" w:eastAsia="Times New Roman" w:hAnsiTheme="minorHAnsi" w:cs="Calibri"/>
                <w:b/>
                <w:bCs/>
                <w:color w:val="FFFFFF"/>
                <w:sz w:val="14"/>
                <w:szCs w:val="14"/>
                <w:lang w:val="bg-BG" w:eastAsia="ro-RO"/>
              </w:rPr>
            </w:pPr>
          </w:p>
        </w:tc>
        <w:tc>
          <w:tcPr>
            <w:tcW w:w="626" w:type="dxa"/>
            <w:shd w:val="clear" w:color="000000" w:fill="00B0F0"/>
            <w:textDirection w:val="btLr"/>
            <w:vAlign w:val="bottom"/>
            <w:hideMark/>
          </w:tcPr>
          <w:p w14:paraId="10789377" w14:textId="2DE7D5CD" w:rsidR="0075402B" w:rsidRPr="007375EB" w:rsidRDefault="0075402B" w:rsidP="0075402B">
            <w:pPr>
              <w:spacing w:line="240" w:lineRule="auto"/>
              <w:ind w:left="113" w:right="113"/>
              <w:rPr>
                <w:rFonts w:asciiTheme="minorHAnsi" w:eastAsia="Times New Roman" w:hAnsiTheme="minorHAnsi" w:cs="Calibri"/>
                <w:b/>
                <w:bCs/>
                <w:color w:val="FFFFFF"/>
                <w:sz w:val="14"/>
                <w:szCs w:val="14"/>
                <w:lang w:val="bg-BG" w:eastAsia="ro-RO"/>
              </w:rPr>
            </w:pPr>
            <w:r w:rsidRPr="007375EB">
              <w:rPr>
                <w:rFonts w:asciiTheme="minorHAnsi" w:eastAsia="Times New Roman" w:hAnsiTheme="minorHAnsi" w:cs="Calibri"/>
                <w:b/>
                <w:bCs/>
                <w:color w:val="FFFFFF"/>
                <w:sz w:val="14"/>
                <w:szCs w:val="14"/>
                <w:lang w:val="bg-BG" w:eastAsia="ro-RO"/>
              </w:rPr>
              <w:t>Алтернатива I</w:t>
            </w:r>
          </w:p>
        </w:tc>
        <w:tc>
          <w:tcPr>
            <w:tcW w:w="588" w:type="dxa"/>
            <w:shd w:val="clear" w:color="000000" w:fill="00B0F0"/>
            <w:textDirection w:val="btLr"/>
            <w:vAlign w:val="bottom"/>
            <w:hideMark/>
          </w:tcPr>
          <w:p w14:paraId="7CBDE6C9" w14:textId="0C17EDEC" w:rsidR="0075402B" w:rsidRPr="007375EB" w:rsidRDefault="0075402B" w:rsidP="0075402B">
            <w:pPr>
              <w:spacing w:line="240" w:lineRule="auto"/>
              <w:ind w:left="113" w:right="113"/>
              <w:rPr>
                <w:rFonts w:asciiTheme="minorHAnsi" w:eastAsia="Times New Roman" w:hAnsiTheme="minorHAnsi" w:cs="Calibri"/>
                <w:b/>
                <w:bCs/>
                <w:color w:val="FFFFFF"/>
                <w:sz w:val="14"/>
                <w:szCs w:val="14"/>
                <w:lang w:val="bg-BG" w:eastAsia="ro-RO"/>
              </w:rPr>
            </w:pPr>
            <w:r w:rsidRPr="007375EB">
              <w:rPr>
                <w:rFonts w:asciiTheme="minorHAnsi" w:eastAsia="Times New Roman" w:hAnsiTheme="minorHAnsi" w:cs="Calibri"/>
                <w:b/>
                <w:bCs/>
                <w:color w:val="FFFFFF"/>
                <w:sz w:val="14"/>
                <w:szCs w:val="14"/>
                <w:lang w:val="bg-BG" w:eastAsia="ro-RO"/>
              </w:rPr>
              <w:t>Алтернатива II</w:t>
            </w:r>
          </w:p>
        </w:tc>
        <w:tc>
          <w:tcPr>
            <w:tcW w:w="594" w:type="dxa"/>
            <w:shd w:val="clear" w:color="000000" w:fill="00B0F0"/>
            <w:textDirection w:val="btLr"/>
            <w:vAlign w:val="bottom"/>
          </w:tcPr>
          <w:p w14:paraId="1C4BB3D1" w14:textId="1604E433" w:rsidR="0075402B" w:rsidRPr="007375EB" w:rsidRDefault="0075402B" w:rsidP="0075402B">
            <w:pPr>
              <w:spacing w:line="240" w:lineRule="auto"/>
              <w:ind w:left="113" w:right="113"/>
              <w:rPr>
                <w:rFonts w:asciiTheme="minorHAnsi" w:eastAsia="Times New Roman" w:hAnsiTheme="minorHAnsi" w:cs="Calibri"/>
                <w:b/>
                <w:bCs/>
                <w:color w:val="FFFFFF"/>
                <w:sz w:val="14"/>
                <w:szCs w:val="14"/>
                <w:lang w:val="bg-BG" w:eastAsia="ro-RO"/>
              </w:rPr>
            </w:pPr>
            <w:r w:rsidRPr="007375EB">
              <w:rPr>
                <w:rFonts w:asciiTheme="minorHAnsi" w:eastAsia="Times New Roman" w:hAnsiTheme="minorHAnsi" w:cs="Calibri"/>
                <w:b/>
                <w:bCs/>
                <w:color w:val="FFFFFF"/>
                <w:sz w:val="14"/>
                <w:szCs w:val="14"/>
                <w:lang w:val="bg-BG" w:eastAsia="ro-RO"/>
              </w:rPr>
              <w:t>Алтернатива III</w:t>
            </w:r>
          </w:p>
        </w:tc>
        <w:tc>
          <w:tcPr>
            <w:tcW w:w="416" w:type="dxa"/>
            <w:shd w:val="clear" w:color="000000" w:fill="00B0F0"/>
            <w:textDirection w:val="btLr"/>
            <w:vAlign w:val="bottom"/>
            <w:hideMark/>
          </w:tcPr>
          <w:p w14:paraId="1F3E2A13" w14:textId="7741623A" w:rsidR="0075402B" w:rsidRPr="007375EB" w:rsidRDefault="0075402B" w:rsidP="0075402B">
            <w:pPr>
              <w:spacing w:line="240" w:lineRule="auto"/>
              <w:ind w:left="113" w:right="113"/>
              <w:rPr>
                <w:rFonts w:asciiTheme="minorHAnsi" w:eastAsia="Times New Roman" w:hAnsiTheme="minorHAnsi" w:cs="Calibri"/>
                <w:b/>
                <w:bCs/>
                <w:color w:val="FFFFFF"/>
                <w:sz w:val="14"/>
                <w:szCs w:val="14"/>
                <w:lang w:val="bg-BG" w:eastAsia="ro-RO"/>
              </w:rPr>
            </w:pPr>
            <w:r w:rsidRPr="007375EB">
              <w:rPr>
                <w:rFonts w:asciiTheme="minorHAnsi" w:eastAsia="Times New Roman" w:hAnsiTheme="minorHAnsi" w:cs="Calibri"/>
                <w:b/>
                <w:bCs/>
                <w:color w:val="FFFFFF"/>
                <w:sz w:val="14"/>
                <w:szCs w:val="14"/>
                <w:lang w:val="bg-BG" w:eastAsia="ro-RO"/>
              </w:rPr>
              <w:t>Алтернатива I</w:t>
            </w:r>
          </w:p>
        </w:tc>
        <w:tc>
          <w:tcPr>
            <w:tcW w:w="465" w:type="dxa"/>
            <w:shd w:val="clear" w:color="000000" w:fill="00B0F0"/>
            <w:textDirection w:val="btLr"/>
            <w:vAlign w:val="bottom"/>
            <w:hideMark/>
          </w:tcPr>
          <w:p w14:paraId="2EE0E9E1" w14:textId="7B5FAB5D" w:rsidR="0075402B" w:rsidRPr="007375EB" w:rsidRDefault="0075402B" w:rsidP="0075402B">
            <w:pPr>
              <w:spacing w:line="240" w:lineRule="auto"/>
              <w:ind w:left="113" w:right="113"/>
              <w:rPr>
                <w:rFonts w:asciiTheme="minorHAnsi" w:eastAsia="Times New Roman" w:hAnsiTheme="minorHAnsi" w:cs="Calibri"/>
                <w:b/>
                <w:bCs/>
                <w:color w:val="FFFFFF"/>
                <w:sz w:val="14"/>
                <w:szCs w:val="14"/>
                <w:lang w:val="bg-BG" w:eastAsia="ro-RO"/>
              </w:rPr>
            </w:pPr>
            <w:r w:rsidRPr="007375EB">
              <w:rPr>
                <w:rFonts w:asciiTheme="minorHAnsi" w:eastAsia="Times New Roman" w:hAnsiTheme="minorHAnsi" w:cs="Calibri"/>
                <w:b/>
                <w:bCs/>
                <w:color w:val="FFFFFF"/>
                <w:sz w:val="14"/>
                <w:szCs w:val="14"/>
                <w:lang w:val="bg-BG" w:eastAsia="ro-RO"/>
              </w:rPr>
              <w:t>Алтернатива II</w:t>
            </w:r>
          </w:p>
        </w:tc>
        <w:tc>
          <w:tcPr>
            <w:tcW w:w="465" w:type="dxa"/>
            <w:shd w:val="clear" w:color="000000" w:fill="00B0F0"/>
            <w:textDirection w:val="btLr"/>
            <w:vAlign w:val="bottom"/>
            <w:hideMark/>
          </w:tcPr>
          <w:p w14:paraId="05792174" w14:textId="5896A6A2" w:rsidR="0075402B" w:rsidRPr="007375EB" w:rsidRDefault="0075402B" w:rsidP="0075402B">
            <w:pPr>
              <w:spacing w:line="240" w:lineRule="auto"/>
              <w:ind w:left="113" w:right="113"/>
              <w:rPr>
                <w:rFonts w:asciiTheme="minorHAnsi" w:eastAsia="Times New Roman" w:hAnsiTheme="minorHAnsi" w:cs="Calibri"/>
                <w:b/>
                <w:bCs/>
                <w:color w:val="FFFFFF"/>
                <w:sz w:val="14"/>
                <w:szCs w:val="14"/>
                <w:lang w:val="bg-BG" w:eastAsia="ro-RO"/>
              </w:rPr>
            </w:pPr>
            <w:r w:rsidRPr="007375EB">
              <w:rPr>
                <w:rFonts w:asciiTheme="minorHAnsi" w:eastAsia="Times New Roman" w:hAnsiTheme="minorHAnsi" w:cs="Calibri"/>
                <w:b/>
                <w:bCs/>
                <w:color w:val="FFFFFF"/>
                <w:sz w:val="14"/>
                <w:szCs w:val="14"/>
                <w:lang w:val="bg-BG" w:eastAsia="ro-RO"/>
              </w:rPr>
              <w:t>Алтернатива III</w:t>
            </w:r>
          </w:p>
        </w:tc>
        <w:tc>
          <w:tcPr>
            <w:tcW w:w="449" w:type="dxa"/>
            <w:shd w:val="clear" w:color="000000" w:fill="00B0F0"/>
            <w:textDirection w:val="btLr"/>
            <w:vAlign w:val="bottom"/>
            <w:hideMark/>
          </w:tcPr>
          <w:p w14:paraId="130501E9" w14:textId="205605B7" w:rsidR="0075402B" w:rsidRPr="007375EB" w:rsidRDefault="0075402B" w:rsidP="0075402B">
            <w:pPr>
              <w:spacing w:line="240" w:lineRule="auto"/>
              <w:ind w:left="113" w:right="113"/>
              <w:rPr>
                <w:rFonts w:asciiTheme="minorHAnsi" w:eastAsia="Times New Roman" w:hAnsiTheme="minorHAnsi" w:cs="Calibri"/>
                <w:b/>
                <w:bCs/>
                <w:color w:val="FFFFFF"/>
                <w:sz w:val="14"/>
                <w:szCs w:val="14"/>
                <w:lang w:val="bg-BG" w:eastAsia="ro-RO"/>
              </w:rPr>
            </w:pPr>
            <w:r w:rsidRPr="007375EB">
              <w:rPr>
                <w:rFonts w:asciiTheme="minorHAnsi" w:eastAsia="Times New Roman" w:hAnsiTheme="minorHAnsi" w:cs="Calibri"/>
                <w:b/>
                <w:bCs/>
                <w:color w:val="FFFFFF"/>
                <w:sz w:val="14"/>
                <w:szCs w:val="14"/>
                <w:lang w:val="bg-BG" w:eastAsia="ro-RO"/>
              </w:rPr>
              <w:t>Алтернатива I</w:t>
            </w:r>
          </w:p>
        </w:tc>
        <w:tc>
          <w:tcPr>
            <w:tcW w:w="448" w:type="dxa"/>
            <w:shd w:val="clear" w:color="000000" w:fill="00B0F0"/>
            <w:textDirection w:val="btLr"/>
            <w:vAlign w:val="bottom"/>
            <w:hideMark/>
          </w:tcPr>
          <w:p w14:paraId="422705E9" w14:textId="0E8E0DB0" w:rsidR="0075402B" w:rsidRPr="007375EB" w:rsidRDefault="0075402B" w:rsidP="0075402B">
            <w:pPr>
              <w:spacing w:line="240" w:lineRule="auto"/>
              <w:ind w:left="113" w:right="113"/>
              <w:rPr>
                <w:rFonts w:asciiTheme="minorHAnsi" w:eastAsia="Times New Roman" w:hAnsiTheme="minorHAnsi" w:cs="Calibri"/>
                <w:b/>
                <w:bCs/>
                <w:color w:val="FFFFFF"/>
                <w:sz w:val="14"/>
                <w:szCs w:val="14"/>
                <w:lang w:val="bg-BG" w:eastAsia="ro-RO"/>
              </w:rPr>
            </w:pPr>
            <w:r w:rsidRPr="007375EB">
              <w:rPr>
                <w:rFonts w:asciiTheme="minorHAnsi" w:eastAsia="Times New Roman" w:hAnsiTheme="minorHAnsi" w:cs="Calibri"/>
                <w:b/>
                <w:bCs/>
                <w:color w:val="FFFFFF"/>
                <w:sz w:val="14"/>
                <w:szCs w:val="14"/>
                <w:lang w:val="bg-BG" w:eastAsia="ro-RO"/>
              </w:rPr>
              <w:t>Алтернатива II</w:t>
            </w:r>
          </w:p>
        </w:tc>
        <w:tc>
          <w:tcPr>
            <w:tcW w:w="448" w:type="dxa"/>
            <w:shd w:val="clear" w:color="000000" w:fill="00B0F0"/>
            <w:textDirection w:val="btLr"/>
            <w:vAlign w:val="bottom"/>
            <w:hideMark/>
          </w:tcPr>
          <w:p w14:paraId="6E1A934F" w14:textId="446FF99F" w:rsidR="0075402B" w:rsidRPr="007375EB" w:rsidRDefault="0075402B" w:rsidP="0075402B">
            <w:pPr>
              <w:spacing w:line="240" w:lineRule="auto"/>
              <w:ind w:left="113" w:right="113"/>
              <w:rPr>
                <w:rFonts w:asciiTheme="minorHAnsi" w:eastAsia="Times New Roman" w:hAnsiTheme="minorHAnsi" w:cs="Calibri"/>
                <w:b/>
                <w:bCs/>
                <w:color w:val="FFFFFF"/>
                <w:sz w:val="14"/>
                <w:szCs w:val="14"/>
                <w:lang w:val="bg-BG" w:eastAsia="ro-RO"/>
              </w:rPr>
            </w:pPr>
            <w:r w:rsidRPr="007375EB">
              <w:rPr>
                <w:rFonts w:asciiTheme="minorHAnsi" w:eastAsia="Times New Roman" w:hAnsiTheme="minorHAnsi" w:cs="Calibri"/>
                <w:b/>
                <w:bCs/>
                <w:color w:val="FFFFFF"/>
                <w:sz w:val="14"/>
                <w:szCs w:val="14"/>
                <w:lang w:val="bg-BG" w:eastAsia="ro-RO"/>
              </w:rPr>
              <w:t>Алтернатива III</w:t>
            </w:r>
          </w:p>
        </w:tc>
      </w:tr>
      <w:tr w:rsidR="00B92F80" w:rsidRPr="007375EB" w14:paraId="6E1C669E" w14:textId="77777777" w:rsidTr="00C46941">
        <w:trPr>
          <w:trHeight w:val="855"/>
        </w:trPr>
        <w:tc>
          <w:tcPr>
            <w:tcW w:w="1856" w:type="dxa"/>
            <w:shd w:val="clear" w:color="auto" w:fill="auto"/>
            <w:vAlign w:val="center"/>
            <w:hideMark/>
          </w:tcPr>
          <w:p w14:paraId="5E9A787A" w14:textId="6B6DE919" w:rsidR="0075402B" w:rsidRPr="007375EB" w:rsidRDefault="0075402B" w:rsidP="0075402B">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Вода</w:t>
            </w:r>
          </w:p>
        </w:tc>
        <w:tc>
          <w:tcPr>
            <w:tcW w:w="2811" w:type="dxa"/>
            <w:shd w:val="clear" w:color="auto" w:fill="auto"/>
            <w:vAlign w:val="center"/>
            <w:hideMark/>
          </w:tcPr>
          <w:p w14:paraId="670CD103" w14:textId="7C9CDB47" w:rsidR="0075402B" w:rsidRPr="007375EB" w:rsidRDefault="00C46941" w:rsidP="0075402B">
            <w:pPr>
              <w:spacing w:line="240" w:lineRule="auto"/>
              <w:jc w:val="both"/>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 xml:space="preserve">OM1. </w:t>
            </w:r>
            <w:r w:rsidR="0075402B" w:rsidRPr="007375EB">
              <w:rPr>
                <w:rFonts w:asciiTheme="minorHAnsi" w:hAnsiTheme="minorHAnsi"/>
                <w:sz w:val="16"/>
                <w:szCs w:val="16"/>
                <w:lang w:val="bg-BG"/>
              </w:rPr>
              <w:t>Поддържане и подобряване на екологичното състояние/екологичния потенциал и химичното състояние на повърхностните и подземните водни тела</w:t>
            </w:r>
          </w:p>
        </w:tc>
        <w:tc>
          <w:tcPr>
            <w:tcW w:w="468" w:type="dxa"/>
            <w:shd w:val="clear" w:color="000000" w:fill="FFFF00"/>
            <w:vAlign w:val="center"/>
            <w:hideMark/>
          </w:tcPr>
          <w:p w14:paraId="71BB411F" w14:textId="77777777"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626" w:type="dxa"/>
            <w:shd w:val="clear" w:color="000000" w:fill="F8CBAD"/>
            <w:noWrap/>
            <w:vAlign w:val="center"/>
            <w:hideMark/>
          </w:tcPr>
          <w:p w14:paraId="37BE24B8" w14:textId="77777777"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88" w:type="dxa"/>
            <w:shd w:val="clear" w:color="auto" w:fill="F8CBB2"/>
            <w:noWrap/>
            <w:vAlign w:val="center"/>
            <w:hideMark/>
          </w:tcPr>
          <w:p w14:paraId="14937466" w14:textId="1E4AFFAD"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94" w:type="dxa"/>
            <w:shd w:val="clear" w:color="000000" w:fill="F8CBAD"/>
            <w:noWrap/>
            <w:vAlign w:val="center"/>
          </w:tcPr>
          <w:p w14:paraId="77E52074" w14:textId="35919F42"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416" w:type="dxa"/>
            <w:shd w:val="clear" w:color="auto" w:fill="FFFF00"/>
            <w:noWrap/>
            <w:vAlign w:val="center"/>
            <w:hideMark/>
          </w:tcPr>
          <w:p w14:paraId="2C1AF335" w14:textId="7C54FAC5"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65" w:type="dxa"/>
            <w:shd w:val="clear" w:color="000000" w:fill="FFFF00"/>
            <w:noWrap/>
            <w:vAlign w:val="center"/>
            <w:hideMark/>
          </w:tcPr>
          <w:p w14:paraId="20F115D7" w14:textId="4ED0DD6B"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65" w:type="dxa"/>
            <w:shd w:val="clear" w:color="auto" w:fill="FFFF00"/>
            <w:noWrap/>
            <w:vAlign w:val="center"/>
            <w:hideMark/>
          </w:tcPr>
          <w:p w14:paraId="5BDFADEC" w14:textId="4960A7B2"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49" w:type="dxa"/>
            <w:shd w:val="clear" w:color="000000" w:fill="F8CBAD"/>
            <w:noWrap/>
            <w:vAlign w:val="center"/>
            <w:hideMark/>
          </w:tcPr>
          <w:p w14:paraId="2F202841" w14:textId="147A2A27"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auto" w:fill="F8CBB2"/>
            <w:noWrap/>
            <w:vAlign w:val="center"/>
            <w:hideMark/>
          </w:tcPr>
          <w:p w14:paraId="7FB50034" w14:textId="55829DC7"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000000" w:fill="F8CBAD"/>
            <w:noWrap/>
            <w:vAlign w:val="center"/>
            <w:hideMark/>
          </w:tcPr>
          <w:p w14:paraId="5DD5CCBD" w14:textId="77777777"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r>
      <w:tr w:rsidR="00B92F80" w:rsidRPr="007375EB" w14:paraId="2EA8F065" w14:textId="77777777" w:rsidTr="00C46941">
        <w:trPr>
          <w:trHeight w:val="645"/>
        </w:trPr>
        <w:tc>
          <w:tcPr>
            <w:tcW w:w="1856" w:type="dxa"/>
            <w:shd w:val="clear" w:color="auto" w:fill="auto"/>
            <w:vAlign w:val="center"/>
            <w:hideMark/>
          </w:tcPr>
          <w:p w14:paraId="5299B42F" w14:textId="51F2D080" w:rsidR="0075402B" w:rsidRPr="007375EB" w:rsidRDefault="0075402B" w:rsidP="0075402B">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Въздух</w:t>
            </w:r>
          </w:p>
        </w:tc>
        <w:tc>
          <w:tcPr>
            <w:tcW w:w="2811" w:type="dxa"/>
            <w:shd w:val="clear" w:color="auto" w:fill="auto"/>
            <w:vAlign w:val="center"/>
            <w:hideMark/>
          </w:tcPr>
          <w:p w14:paraId="6DA2416B" w14:textId="19C652BB" w:rsidR="0075402B" w:rsidRPr="007375EB" w:rsidRDefault="00C46941" w:rsidP="0075402B">
            <w:pPr>
              <w:spacing w:line="240" w:lineRule="auto"/>
              <w:jc w:val="both"/>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 xml:space="preserve">OM2. </w:t>
            </w:r>
            <w:r w:rsidR="0075402B" w:rsidRPr="007375EB">
              <w:rPr>
                <w:rFonts w:asciiTheme="minorHAnsi" w:eastAsia="Times New Roman" w:hAnsiTheme="minorHAnsi" w:cs="Calibri"/>
                <w:color w:val="000000"/>
                <w:sz w:val="16"/>
                <w:szCs w:val="16"/>
                <w:lang w:val="bg-BG" w:eastAsia="ro-RO"/>
              </w:rPr>
              <w:t>Поддържане на качеството на въздуха чрез намаляване на емисиите, генерирани от дейности в енергийния сектор</w:t>
            </w:r>
          </w:p>
        </w:tc>
        <w:tc>
          <w:tcPr>
            <w:tcW w:w="468" w:type="dxa"/>
            <w:shd w:val="clear" w:color="000000" w:fill="F8CBAD"/>
            <w:vAlign w:val="center"/>
            <w:hideMark/>
          </w:tcPr>
          <w:p w14:paraId="04B4979E" w14:textId="77777777"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626" w:type="dxa"/>
            <w:shd w:val="clear" w:color="000000" w:fill="FF0000"/>
            <w:noWrap/>
            <w:vAlign w:val="center"/>
            <w:hideMark/>
          </w:tcPr>
          <w:p w14:paraId="1F2931B0" w14:textId="77777777"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588" w:type="dxa"/>
            <w:shd w:val="clear" w:color="auto" w:fill="F8CBB2"/>
            <w:noWrap/>
            <w:vAlign w:val="center"/>
            <w:hideMark/>
          </w:tcPr>
          <w:p w14:paraId="0A63E3A4" w14:textId="1D3D0ADC"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94" w:type="dxa"/>
            <w:shd w:val="clear" w:color="auto" w:fill="F8CBB2"/>
            <w:noWrap/>
            <w:vAlign w:val="center"/>
            <w:hideMark/>
          </w:tcPr>
          <w:p w14:paraId="3520AE9F" w14:textId="060A5A08"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416" w:type="dxa"/>
            <w:shd w:val="clear" w:color="auto" w:fill="00B050"/>
            <w:noWrap/>
            <w:vAlign w:val="center"/>
            <w:hideMark/>
          </w:tcPr>
          <w:p w14:paraId="41D7CB66" w14:textId="66E46388"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465" w:type="dxa"/>
            <w:shd w:val="clear" w:color="000000" w:fill="00B050"/>
            <w:noWrap/>
            <w:vAlign w:val="center"/>
            <w:hideMark/>
          </w:tcPr>
          <w:p w14:paraId="0EA2E665" w14:textId="34E027BB"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65" w:type="dxa"/>
            <w:shd w:val="clear" w:color="auto" w:fill="00B050"/>
            <w:noWrap/>
            <w:vAlign w:val="center"/>
            <w:hideMark/>
          </w:tcPr>
          <w:p w14:paraId="1A6D581B" w14:textId="6A7951E8"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49" w:type="dxa"/>
            <w:shd w:val="clear" w:color="auto" w:fill="FF0000"/>
            <w:noWrap/>
            <w:vAlign w:val="center"/>
            <w:hideMark/>
          </w:tcPr>
          <w:p w14:paraId="6FD9CC1D" w14:textId="509E5481"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448" w:type="dxa"/>
            <w:shd w:val="clear" w:color="auto" w:fill="F8CBB2"/>
            <w:noWrap/>
            <w:vAlign w:val="center"/>
            <w:hideMark/>
          </w:tcPr>
          <w:p w14:paraId="1178593E" w14:textId="055C9656"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000000" w:fill="F8CBAD"/>
            <w:noWrap/>
            <w:vAlign w:val="center"/>
            <w:hideMark/>
          </w:tcPr>
          <w:p w14:paraId="510457CB" w14:textId="77777777" w:rsidR="0075402B" w:rsidRPr="007375EB" w:rsidRDefault="0075402B" w:rsidP="0075402B">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r>
      <w:tr w:rsidR="00B92F80" w:rsidRPr="007375EB" w14:paraId="79207F62" w14:textId="77777777" w:rsidTr="00C46941">
        <w:trPr>
          <w:trHeight w:val="435"/>
        </w:trPr>
        <w:tc>
          <w:tcPr>
            <w:tcW w:w="1856" w:type="dxa"/>
            <w:shd w:val="clear" w:color="auto" w:fill="auto"/>
            <w:vAlign w:val="center"/>
            <w:hideMark/>
          </w:tcPr>
          <w:p w14:paraId="221B30E1" w14:textId="33A20DDC"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Почва/подпочва</w:t>
            </w:r>
          </w:p>
        </w:tc>
        <w:tc>
          <w:tcPr>
            <w:tcW w:w="2811" w:type="dxa"/>
            <w:shd w:val="clear" w:color="auto" w:fill="auto"/>
            <w:vAlign w:val="center"/>
            <w:hideMark/>
          </w:tcPr>
          <w:p w14:paraId="082EE795" w14:textId="58100C4B"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 xml:space="preserve">OM3. </w:t>
            </w:r>
            <w:r w:rsidRPr="007375EB">
              <w:rPr>
                <w:rFonts w:asciiTheme="minorHAnsi" w:eastAsia="Times New Roman" w:hAnsiTheme="minorHAnsi" w:cs="Calibri"/>
                <w:color w:val="000000"/>
                <w:sz w:val="16"/>
                <w:szCs w:val="16"/>
                <w:lang w:val="bg-BG" w:eastAsia="ro-RO"/>
              </w:rPr>
              <w:t>Ограничаване на замърсяването на почвата и деградацията на земните повърхности</w:t>
            </w:r>
          </w:p>
        </w:tc>
        <w:tc>
          <w:tcPr>
            <w:tcW w:w="468" w:type="dxa"/>
            <w:shd w:val="clear" w:color="000000" w:fill="FFFF00"/>
            <w:vAlign w:val="center"/>
            <w:hideMark/>
          </w:tcPr>
          <w:p w14:paraId="0A76E951"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626" w:type="dxa"/>
            <w:shd w:val="clear" w:color="000000" w:fill="FF0000"/>
            <w:noWrap/>
            <w:vAlign w:val="center"/>
            <w:hideMark/>
          </w:tcPr>
          <w:p w14:paraId="0EE18605"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588" w:type="dxa"/>
            <w:shd w:val="clear" w:color="auto" w:fill="FF0000"/>
            <w:noWrap/>
            <w:vAlign w:val="center"/>
            <w:hideMark/>
          </w:tcPr>
          <w:p w14:paraId="7CDF2D21" w14:textId="3F9D3A1F"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594" w:type="dxa"/>
            <w:shd w:val="clear" w:color="auto" w:fill="FF0000"/>
            <w:noWrap/>
            <w:vAlign w:val="center"/>
            <w:hideMark/>
          </w:tcPr>
          <w:p w14:paraId="18D3377D" w14:textId="081836B1"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16" w:type="dxa"/>
            <w:shd w:val="clear" w:color="auto" w:fill="FFFF00"/>
            <w:noWrap/>
            <w:vAlign w:val="center"/>
            <w:hideMark/>
          </w:tcPr>
          <w:p w14:paraId="7A046A7B" w14:textId="151A665E"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65" w:type="dxa"/>
            <w:shd w:val="clear" w:color="auto" w:fill="FFFF00"/>
            <w:noWrap/>
            <w:vAlign w:val="center"/>
            <w:hideMark/>
          </w:tcPr>
          <w:p w14:paraId="1675FA1B" w14:textId="6E9B4736"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65" w:type="dxa"/>
            <w:shd w:val="clear" w:color="auto" w:fill="FFFF00"/>
            <w:noWrap/>
            <w:vAlign w:val="center"/>
            <w:hideMark/>
          </w:tcPr>
          <w:p w14:paraId="47089661" w14:textId="648C2BFC"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49" w:type="dxa"/>
            <w:shd w:val="clear" w:color="auto" w:fill="F8CBB2"/>
            <w:noWrap/>
            <w:vAlign w:val="center"/>
            <w:hideMark/>
          </w:tcPr>
          <w:p w14:paraId="2F7DE666" w14:textId="1928B341"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auto" w:fill="F8CBB2"/>
            <w:noWrap/>
            <w:vAlign w:val="center"/>
            <w:hideMark/>
          </w:tcPr>
          <w:p w14:paraId="0BFCA4C2" w14:textId="390275B5"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000000" w:fill="F8CBAD"/>
            <w:noWrap/>
            <w:vAlign w:val="center"/>
            <w:hideMark/>
          </w:tcPr>
          <w:p w14:paraId="764967D0"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r>
      <w:tr w:rsidR="00B92F80" w:rsidRPr="007375EB" w14:paraId="0446CC66" w14:textId="77777777" w:rsidTr="00C46941">
        <w:trPr>
          <w:trHeight w:val="645"/>
        </w:trPr>
        <w:tc>
          <w:tcPr>
            <w:tcW w:w="1856" w:type="dxa"/>
            <w:vMerge w:val="restart"/>
            <w:shd w:val="clear" w:color="auto" w:fill="auto"/>
            <w:hideMark/>
          </w:tcPr>
          <w:p w14:paraId="6EC3D74C" w14:textId="2629295A"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hAnsiTheme="minorHAnsi"/>
                <w:b/>
                <w:bCs/>
                <w:sz w:val="16"/>
                <w:szCs w:val="16"/>
                <w:lang w:val="bg-BG"/>
              </w:rPr>
              <w:t xml:space="preserve">Използване на природните ресурси </w:t>
            </w:r>
          </w:p>
        </w:tc>
        <w:tc>
          <w:tcPr>
            <w:tcW w:w="2811" w:type="dxa"/>
            <w:shd w:val="clear" w:color="auto" w:fill="auto"/>
            <w:vAlign w:val="center"/>
            <w:hideMark/>
          </w:tcPr>
          <w:p w14:paraId="6A2772D2" w14:textId="40ED4676"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 xml:space="preserve">OM4. </w:t>
            </w:r>
            <w:r w:rsidRPr="007375EB">
              <w:rPr>
                <w:rFonts w:asciiTheme="minorHAnsi" w:eastAsia="Times New Roman" w:hAnsiTheme="minorHAnsi" w:cs="Calibri"/>
                <w:color w:val="000000"/>
                <w:sz w:val="16"/>
                <w:szCs w:val="16"/>
                <w:lang w:val="bg-BG" w:eastAsia="ro-RO"/>
              </w:rPr>
              <w:t>Намаляване на експлоатацията на изчерпаемите ресурси и улесняване на експлоатацията на възобновяемите</w:t>
            </w:r>
          </w:p>
        </w:tc>
        <w:tc>
          <w:tcPr>
            <w:tcW w:w="468" w:type="dxa"/>
            <w:shd w:val="clear" w:color="000000" w:fill="FF0000"/>
            <w:vAlign w:val="center"/>
            <w:hideMark/>
          </w:tcPr>
          <w:p w14:paraId="066CD801"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626" w:type="dxa"/>
            <w:shd w:val="clear" w:color="000000" w:fill="FF0000"/>
            <w:noWrap/>
            <w:vAlign w:val="center"/>
            <w:hideMark/>
          </w:tcPr>
          <w:p w14:paraId="18A75F8E"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588" w:type="dxa"/>
            <w:shd w:val="clear" w:color="auto" w:fill="F8CBB2"/>
            <w:noWrap/>
            <w:vAlign w:val="center"/>
            <w:hideMark/>
          </w:tcPr>
          <w:p w14:paraId="68097F1C" w14:textId="53EC76BD"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94" w:type="dxa"/>
            <w:shd w:val="clear" w:color="000000" w:fill="F8CBAD"/>
            <w:noWrap/>
            <w:vAlign w:val="center"/>
            <w:hideMark/>
          </w:tcPr>
          <w:p w14:paraId="4F5E3BAC" w14:textId="4ED50992"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416" w:type="dxa"/>
            <w:shd w:val="clear" w:color="auto" w:fill="00B050"/>
            <w:noWrap/>
            <w:vAlign w:val="center"/>
            <w:hideMark/>
          </w:tcPr>
          <w:p w14:paraId="6D2421E7" w14:textId="1AE856D2"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65" w:type="dxa"/>
            <w:shd w:val="clear" w:color="000000" w:fill="00B050"/>
            <w:noWrap/>
            <w:vAlign w:val="center"/>
            <w:hideMark/>
          </w:tcPr>
          <w:p w14:paraId="1E3594C1" w14:textId="25ECD7C1"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65" w:type="dxa"/>
            <w:shd w:val="clear" w:color="auto" w:fill="00B050"/>
            <w:noWrap/>
            <w:vAlign w:val="center"/>
            <w:hideMark/>
          </w:tcPr>
          <w:p w14:paraId="08987114" w14:textId="3164791B"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49" w:type="dxa"/>
            <w:shd w:val="clear" w:color="000000" w:fill="F8CBAD"/>
            <w:noWrap/>
            <w:vAlign w:val="center"/>
            <w:hideMark/>
          </w:tcPr>
          <w:p w14:paraId="5B36D23F" w14:textId="23E1BBF5"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auto" w:fill="F8CBB2"/>
            <w:noWrap/>
            <w:vAlign w:val="center"/>
            <w:hideMark/>
          </w:tcPr>
          <w:p w14:paraId="612CADC0" w14:textId="459D6E83"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000000" w:fill="F8CBAD"/>
            <w:noWrap/>
            <w:vAlign w:val="center"/>
            <w:hideMark/>
          </w:tcPr>
          <w:p w14:paraId="0A128A0D"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r>
      <w:tr w:rsidR="00B92F80" w:rsidRPr="007375EB" w14:paraId="03DA67FA" w14:textId="77777777" w:rsidTr="00C46941">
        <w:trPr>
          <w:trHeight w:val="517"/>
        </w:trPr>
        <w:tc>
          <w:tcPr>
            <w:tcW w:w="1856" w:type="dxa"/>
            <w:vMerge/>
            <w:hideMark/>
          </w:tcPr>
          <w:p w14:paraId="2B1C16F5" w14:textId="77777777"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p>
        </w:tc>
        <w:tc>
          <w:tcPr>
            <w:tcW w:w="2811" w:type="dxa"/>
            <w:shd w:val="clear" w:color="auto" w:fill="auto"/>
            <w:hideMark/>
          </w:tcPr>
          <w:p w14:paraId="6FA98DCB" w14:textId="2E5B8688"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 xml:space="preserve">OM5. </w:t>
            </w:r>
            <w:r w:rsidRPr="007375EB">
              <w:rPr>
                <w:rFonts w:asciiTheme="minorHAnsi" w:hAnsiTheme="minorHAnsi"/>
                <w:sz w:val="16"/>
                <w:szCs w:val="16"/>
                <w:lang w:val="bg-BG"/>
              </w:rPr>
              <w:t>Насърчаване на прехода към кръгова и ресурсно ефективна икономика</w:t>
            </w:r>
          </w:p>
        </w:tc>
        <w:tc>
          <w:tcPr>
            <w:tcW w:w="468" w:type="dxa"/>
            <w:shd w:val="clear" w:color="000000" w:fill="F8CBAD"/>
            <w:vAlign w:val="center"/>
            <w:hideMark/>
          </w:tcPr>
          <w:p w14:paraId="56B187F3"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626" w:type="dxa"/>
            <w:shd w:val="clear" w:color="000000" w:fill="F8CBAD"/>
            <w:noWrap/>
            <w:vAlign w:val="center"/>
            <w:hideMark/>
          </w:tcPr>
          <w:p w14:paraId="73B961FF"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88" w:type="dxa"/>
            <w:shd w:val="clear" w:color="auto" w:fill="F8CBB2"/>
            <w:noWrap/>
            <w:vAlign w:val="center"/>
            <w:hideMark/>
          </w:tcPr>
          <w:p w14:paraId="29F162FB" w14:textId="1A0443EA"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94" w:type="dxa"/>
            <w:shd w:val="clear" w:color="auto" w:fill="F8CBB2"/>
            <w:noWrap/>
            <w:vAlign w:val="center"/>
            <w:hideMark/>
          </w:tcPr>
          <w:p w14:paraId="2C6F0E07" w14:textId="012639DD"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416" w:type="dxa"/>
            <w:shd w:val="clear" w:color="auto" w:fill="00B050"/>
            <w:noWrap/>
            <w:vAlign w:val="center"/>
            <w:hideMark/>
          </w:tcPr>
          <w:p w14:paraId="3B79EA06" w14:textId="5B47ACF3"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65" w:type="dxa"/>
            <w:shd w:val="clear" w:color="000000" w:fill="00B050"/>
            <w:noWrap/>
            <w:vAlign w:val="center"/>
            <w:hideMark/>
          </w:tcPr>
          <w:p w14:paraId="4F13CCF5" w14:textId="36127069"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65" w:type="dxa"/>
            <w:shd w:val="clear" w:color="auto" w:fill="00B050"/>
            <w:noWrap/>
            <w:vAlign w:val="center"/>
            <w:hideMark/>
          </w:tcPr>
          <w:p w14:paraId="45AAB89B" w14:textId="2DCCC300"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49" w:type="dxa"/>
            <w:shd w:val="clear" w:color="auto" w:fill="FFFF00"/>
            <w:noWrap/>
            <w:vAlign w:val="center"/>
            <w:hideMark/>
          </w:tcPr>
          <w:p w14:paraId="4178F7D6" w14:textId="2C193E56"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48" w:type="dxa"/>
            <w:shd w:val="clear" w:color="auto" w:fill="FFFF00"/>
            <w:noWrap/>
            <w:vAlign w:val="center"/>
            <w:hideMark/>
          </w:tcPr>
          <w:p w14:paraId="58C8AB4D" w14:textId="3CF79AE4"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48" w:type="dxa"/>
            <w:shd w:val="clear" w:color="000000" w:fill="FFFF00"/>
            <w:noWrap/>
            <w:vAlign w:val="center"/>
            <w:hideMark/>
          </w:tcPr>
          <w:p w14:paraId="25608BA8"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r>
      <w:tr w:rsidR="00B92F80" w:rsidRPr="007375EB" w14:paraId="0F5FE128" w14:textId="77777777" w:rsidTr="00C46941">
        <w:trPr>
          <w:trHeight w:val="199"/>
        </w:trPr>
        <w:tc>
          <w:tcPr>
            <w:tcW w:w="1856" w:type="dxa"/>
            <w:shd w:val="clear" w:color="auto" w:fill="auto"/>
            <w:hideMark/>
          </w:tcPr>
          <w:p w14:paraId="6CD3A148" w14:textId="4CBC4C10"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hAnsiTheme="minorHAnsi"/>
                <w:b/>
                <w:bCs/>
                <w:sz w:val="16"/>
                <w:szCs w:val="16"/>
                <w:lang w:val="bg-BG"/>
              </w:rPr>
              <w:t>Управление на отпадъците</w:t>
            </w:r>
          </w:p>
        </w:tc>
        <w:tc>
          <w:tcPr>
            <w:tcW w:w="2811" w:type="dxa"/>
            <w:shd w:val="clear" w:color="auto" w:fill="auto"/>
            <w:vAlign w:val="center"/>
            <w:hideMark/>
          </w:tcPr>
          <w:p w14:paraId="0DDF4198" w14:textId="541DD86E" w:rsidR="00C46941" w:rsidRPr="007375EB" w:rsidRDefault="00C46941" w:rsidP="00C46941">
            <w:pPr>
              <w:spacing w:line="240" w:lineRule="auto"/>
              <w:jc w:val="both"/>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 xml:space="preserve">OM6. </w:t>
            </w:r>
            <w:r w:rsidRPr="007375EB">
              <w:rPr>
                <w:rFonts w:asciiTheme="minorHAnsi" w:eastAsia="Times New Roman" w:hAnsiTheme="minorHAnsi" w:cs="Calibri"/>
                <w:color w:val="000000"/>
                <w:sz w:val="16"/>
                <w:szCs w:val="16"/>
                <w:lang w:val="bg-BG" w:eastAsia="ro-RO"/>
              </w:rPr>
              <w:t>Намаляване на количеството генерирани и изхвърлени отпадъци чрез съхранение (съответстващи депа за отпадъци)</w:t>
            </w:r>
          </w:p>
        </w:tc>
        <w:tc>
          <w:tcPr>
            <w:tcW w:w="468" w:type="dxa"/>
            <w:shd w:val="clear" w:color="000000" w:fill="FFFF00"/>
            <w:vAlign w:val="center"/>
            <w:hideMark/>
          </w:tcPr>
          <w:p w14:paraId="48E41034"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626" w:type="dxa"/>
            <w:shd w:val="clear" w:color="000000" w:fill="F8CBAD"/>
            <w:noWrap/>
            <w:vAlign w:val="center"/>
            <w:hideMark/>
          </w:tcPr>
          <w:p w14:paraId="704E6644"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88" w:type="dxa"/>
            <w:shd w:val="clear" w:color="auto" w:fill="F8CBB2"/>
            <w:noWrap/>
            <w:vAlign w:val="center"/>
            <w:hideMark/>
          </w:tcPr>
          <w:p w14:paraId="0AB63492" w14:textId="2186BF8D"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94" w:type="dxa"/>
            <w:shd w:val="clear" w:color="auto" w:fill="F8CBB2"/>
            <w:noWrap/>
            <w:vAlign w:val="center"/>
            <w:hideMark/>
          </w:tcPr>
          <w:p w14:paraId="0B0B6DE1" w14:textId="6ED86DE8"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416" w:type="dxa"/>
            <w:shd w:val="clear" w:color="auto" w:fill="FFFF00"/>
            <w:noWrap/>
            <w:vAlign w:val="center"/>
            <w:hideMark/>
          </w:tcPr>
          <w:p w14:paraId="508303FD" w14:textId="38A10A6B"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65" w:type="dxa"/>
            <w:shd w:val="clear" w:color="000000" w:fill="FFFF00"/>
            <w:noWrap/>
            <w:vAlign w:val="center"/>
            <w:hideMark/>
          </w:tcPr>
          <w:p w14:paraId="4D3CE40A" w14:textId="521F1A43"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65" w:type="dxa"/>
            <w:shd w:val="clear" w:color="auto" w:fill="FFFF00"/>
            <w:noWrap/>
            <w:vAlign w:val="center"/>
            <w:hideMark/>
          </w:tcPr>
          <w:p w14:paraId="34053963" w14:textId="726BA093"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49" w:type="dxa"/>
            <w:shd w:val="clear" w:color="auto" w:fill="FF0000"/>
            <w:noWrap/>
            <w:vAlign w:val="center"/>
            <w:hideMark/>
          </w:tcPr>
          <w:p w14:paraId="47775811" w14:textId="494BD718"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448" w:type="dxa"/>
            <w:shd w:val="clear" w:color="auto" w:fill="FF0000"/>
            <w:noWrap/>
            <w:vAlign w:val="center"/>
            <w:hideMark/>
          </w:tcPr>
          <w:p w14:paraId="487A5A7E" w14:textId="0817C259"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448" w:type="dxa"/>
            <w:shd w:val="clear" w:color="000000" w:fill="FF0000"/>
            <w:noWrap/>
            <w:vAlign w:val="center"/>
            <w:hideMark/>
          </w:tcPr>
          <w:p w14:paraId="18EE7735"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r>
      <w:tr w:rsidR="00B92F80" w:rsidRPr="007375EB" w14:paraId="22ABC837" w14:textId="77777777" w:rsidTr="00C46941">
        <w:trPr>
          <w:trHeight w:val="462"/>
        </w:trPr>
        <w:tc>
          <w:tcPr>
            <w:tcW w:w="1856" w:type="dxa"/>
            <w:shd w:val="clear" w:color="auto" w:fill="auto"/>
            <w:vAlign w:val="center"/>
            <w:hideMark/>
          </w:tcPr>
          <w:p w14:paraId="6C4D7825" w14:textId="2AF7A79A"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Шум и вибрации</w:t>
            </w:r>
          </w:p>
        </w:tc>
        <w:tc>
          <w:tcPr>
            <w:tcW w:w="2811" w:type="dxa"/>
            <w:shd w:val="clear" w:color="auto" w:fill="auto"/>
            <w:vAlign w:val="center"/>
            <w:hideMark/>
          </w:tcPr>
          <w:p w14:paraId="7307219E" w14:textId="291F8421"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 xml:space="preserve">OM7. </w:t>
            </w:r>
            <w:r w:rsidRPr="007375EB">
              <w:rPr>
                <w:rFonts w:asciiTheme="minorHAnsi" w:eastAsia="Times New Roman" w:hAnsiTheme="minorHAnsi" w:cs="Calibri"/>
                <w:color w:val="000000"/>
                <w:sz w:val="16"/>
                <w:szCs w:val="16"/>
                <w:lang w:val="bg-BG" w:eastAsia="ro-RO"/>
              </w:rPr>
              <w:t>Ограничаване на източника на шумово замърсяване в зони с чувствителни към шум рецептори. Ограничение на нивата на вибрации</w:t>
            </w:r>
          </w:p>
        </w:tc>
        <w:tc>
          <w:tcPr>
            <w:tcW w:w="468" w:type="dxa"/>
            <w:shd w:val="clear" w:color="000000" w:fill="FFFF00"/>
            <w:vAlign w:val="center"/>
            <w:hideMark/>
          </w:tcPr>
          <w:p w14:paraId="73A1A61A"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626" w:type="dxa"/>
            <w:shd w:val="clear" w:color="000000" w:fill="F8CBAD"/>
            <w:noWrap/>
            <w:vAlign w:val="center"/>
            <w:hideMark/>
          </w:tcPr>
          <w:p w14:paraId="1B6E2F74"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88" w:type="dxa"/>
            <w:shd w:val="clear" w:color="auto" w:fill="F8CBB2"/>
            <w:noWrap/>
            <w:vAlign w:val="center"/>
            <w:hideMark/>
          </w:tcPr>
          <w:p w14:paraId="6D1F404B" w14:textId="4B98D59D"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94" w:type="dxa"/>
            <w:shd w:val="clear" w:color="000000" w:fill="F8CBAD"/>
            <w:noWrap/>
            <w:vAlign w:val="center"/>
            <w:hideMark/>
          </w:tcPr>
          <w:p w14:paraId="62F25E34" w14:textId="32FA224C"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416" w:type="dxa"/>
            <w:shd w:val="clear" w:color="auto" w:fill="F8CBB2"/>
            <w:noWrap/>
            <w:vAlign w:val="center"/>
            <w:hideMark/>
          </w:tcPr>
          <w:p w14:paraId="0714CC88" w14:textId="10BCD801"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465" w:type="dxa"/>
            <w:shd w:val="clear" w:color="000000" w:fill="FFFF00"/>
            <w:noWrap/>
            <w:vAlign w:val="center"/>
            <w:hideMark/>
          </w:tcPr>
          <w:p w14:paraId="43F73680" w14:textId="3288C9F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65" w:type="dxa"/>
            <w:shd w:val="clear" w:color="auto" w:fill="FFFF00"/>
            <w:noWrap/>
            <w:vAlign w:val="center"/>
            <w:hideMark/>
          </w:tcPr>
          <w:p w14:paraId="7DF2B612" w14:textId="5104AB0B"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49" w:type="dxa"/>
            <w:shd w:val="clear" w:color="000000" w:fill="F8CBAD"/>
            <w:noWrap/>
            <w:vAlign w:val="center"/>
            <w:hideMark/>
          </w:tcPr>
          <w:p w14:paraId="633FCE1E" w14:textId="55FDA539"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auto" w:fill="F8CBB2"/>
            <w:noWrap/>
            <w:vAlign w:val="center"/>
            <w:hideMark/>
          </w:tcPr>
          <w:p w14:paraId="21D33F39" w14:textId="72CA5105"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000000" w:fill="F8CBAD"/>
            <w:noWrap/>
            <w:vAlign w:val="center"/>
            <w:hideMark/>
          </w:tcPr>
          <w:p w14:paraId="402D3DE1"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r>
      <w:tr w:rsidR="00B92F80" w:rsidRPr="007375EB" w14:paraId="4CA99914" w14:textId="77777777" w:rsidTr="00C46941">
        <w:trPr>
          <w:trHeight w:val="428"/>
        </w:trPr>
        <w:tc>
          <w:tcPr>
            <w:tcW w:w="1856" w:type="dxa"/>
            <w:vMerge w:val="restart"/>
            <w:shd w:val="clear" w:color="auto" w:fill="auto"/>
            <w:vAlign w:val="center"/>
            <w:hideMark/>
          </w:tcPr>
          <w:p w14:paraId="332CB9E7" w14:textId="738E5D74"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 xml:space="preserve">Биоразнообразие </w:t>
            </w:r>
          </w:p>
        </w:tc>
        <w:tc>
          <w:tcPr>
            <w:tcW w:w="2811" w:type="dxa"/>
            <w:shd w:val="clear" w:color="auto" w:fill="auto"/>
            <w:vAlign w:val="center"/>
            <w:hideMark/>
          </w:tcPr>
          <w:p w14:paraId="55E4972D" w14:textId="17B29D5D" w:rsidR="00C46941" w:rsidRPr="007375EB" w:rsidRDefault="00B92F80"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 xml:space="preserve">OM8. </w:t>
            </w:r>
            <w:r w:rsidR="00C46941" w:rsidRPr="007375EB">
              <w:rPr>
                <w:rFonts w:asciiTheme="minorHAnsi" w:eastAsia="Times New Roman" w:hAnsiTheme="minorHAnsi" w:cs="Calibri"/>
                <w:color w:val="000000"/>
                <w:sz w:val="16"/>
                <w:szCs w:val="16"/>
                <w:lang w:val="bg-BG" w:eastAsia="ro-RO"/>
              </w:rPr>
              <w:t>Опазване на природни местообитания и видове от флората и фауната от обществено значение</w:t>
            </w:r>
          </w:p>
        </w:tc>
        <w:tc>
          <w:tcPr>
            <w:tcW w:w="468" w:type="dxa"/>
            <w:shd w:val="clear" w:color="000000" w:fill="FFFF00"/>
            <w:vAlign w:val="center"/>
            <w:hideMark/>
          </w:tcPr>
          <w:p w14:paraId="3D888565"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626" w:type="dxa"/>
            <w:shd w:val="clear" w:color="000000" w:fill="F8CBAD"/>
            <w:noWrap/>
            <w:vAlign w:val="center"/>
            <w:hideMark/>
          </w:tcPr>
          <w:p w14:paraId="39724AAF"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88" w:type="dxa"/>
            <w:shd w:val="clear" w:color="auto" w:fill="F8CBB2"/>
            <w:noWrap/>
            <w:vAlign w:val="center"/>
            <w:hideMark/>
          </w:tcPr>
          <w:p w14:paraId="70A7F0FD" w14:textId="76A699E9"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94" w:type="dxa"/>
            <w:shd w:val="clear" w:color="000000" w:fill="F8CBAD"/>
            <w:noWrap/>
            <w:vAlign w:val="center"/>
            <w:hideMark/>
          </w:tcPr>
          <w:p w14:paraId="75D51CCF" w14:textId="1AD7EFB2"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416" w:type="dxa"/>
            <w:shd w:val="clear" w:color="auto" w:fill="F8CBB2"/>
            <w:noWrap/>
            <w:vAlign w:val="center"/>
            <w:hideMark/>
          </w:tcPr>
          <w:p w14:paraId="0BBF17A1" w14:textId="11F8F22E"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465" w:type="dxa"/>
            <w:shd w:val="clear" w:color="000000" w:fill="FFFF00"/>
            <w:noWrap/>
            <w:vAlign w:val="center"/>
            <w:hideMark/>
          </w:tcPr>
          <w:p w14:paraId="3CFA3AA7" w14:textId="026E9D03"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65" w:type="dxa"/>
            <w:shd w:val="clear" w:color="auto" w:fill="FFFF00"/>
            <w:noWrap/>
            <w:vAlign w:val="center"/>
            <w:hideMark/>
          </w:tcPr>
          <w:p w14:paraId="66A8F73A" w14:textId="3C3C9202"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49" w:type="dxa"/>
            <w:shd w:val="clear" w:color="000000" w:fill="F8CBAD"/>
            <w:noWrap/>
            <w:vAlign w:val="center"/>
            <w:hideMark/>
          </w:tcPr>
          <w:p w14:paraId="7B214EBF" w14:textId="7FFEB5CE"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auto" w:fill="F8CBB2"/>
            <w:noWrap/>
            <w:vAlign w:val="center"/>
            <w:hideMark/>
          </w:tcPr>
          <w:p w14:paraId="47D6FE0E" w14:textId="640C9EE0"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000000" w:fill="F8CBAD"/>
            <w:noWrap/>
            <w:vAlign w:val="center"/>
            <w:hideMark/>
          </w:tcPr>
          <w:p w14:paraId="1DDD44EA"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r>
      <w:tr w:rsidR="00B92F80" w:rsidRPr="007375EB" w14:paraId="72765581" w14:textId="77777777" w:rsidTr="00C46941">
        <w:trPr>
          <w:trHeight w:val="435"/>
        </w:trPr>
        <w:tc>
          <w:tcPr>
            <w:tcW w:w="1856" w:type="dxa"/>
            <w:vMerge/>
            <w:vAlign w:val="center"/>
            <w:hideMark/>
          </w:tcPr>
          <w:p w14:paraId="21626677" w14:textId="77777777"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p>
        </w:tc>
        <w:tc>
          <w:tcPr>
            <w:tcW w:w="2811" w:type="dxa"/>
            <w:shd w:val="clear" w:color="auto" w:fill="auto"/>
            <w:vAlign w:val="center"/>
            <w:hideMark/>
          </w:tcPr>
          <w:p w14:paraId="5701A0AC" w14:textId="06CB7179" w:rsidR="00C46941" w:rsidRPr="007375EB" w:rsidRDefault="00B92F80"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 xml:space="preserve">OM9. </w:t>
            </w:r>
            <w:r w:rsidR="00C46941" w:rsidRPr="007375EB">
              <w:rPr>
                <w:rFonts w:asciiTheme="minorHAnsi" w:eastAsia="Times New Roman" w:hAnsiTheme="minorHAnsi" w:cs="Calibri"/>
                <w:color w:val="000000"/>
                <w:sz w:val="16"/>
                <w:szCs w:val="16"/>
                <w:lang w:val="bg-BG" w:eastAsia="ro-RO"/>
              </w:rPr>
              <w:t>Поддържане на мрежата от защитени зони Природа 2000.</w:t>
            </w:r>
          </w:p>
        </w:tc>
        <w:tc>
          <w:tcPr>
            <w:tcW w:w="468" w:type="dxa"/>
            <w:shd w:val="clear" w:color="000000" w:fill="FFFF00"/>
            <w:vAlign w:val="center"/>
            <w:hideMark/>
          </w:tcPr>
          <w:p w14:paraId="747DBE39"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626" w:type="dxa"/>
            <w:shd w:val="clear" w:color="000000" w:fill="FFFF00"/>
            <w:noWrap/>
            <w:vAlign w:val="center"/>
            <w:hideMark/>
          </w:tcPr>
          <w:p w14:paraId="16F78573"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88" w:type="dxa"/>
            <w:shd w:val="clear" w:color="auto" w:fill="FFFF00"/>
            <w:noWrap/>
            <w:vAlign w:val="center"/>
            <w:hideMark/>
          </w:tcPr>
          <w:p w14:paraId="30C74041" w14:textId="640C5C7F"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94" w:type="dxa"/>
            <w:shd w:val="clear" w:color="000000" w:fill="FFFF00"/>
            <w:noWrap/>
            <w:vAlign w:val="center"/>
            <w:hideMark/>
          </w:tcPr>
          <w:p w14:paraId="66F8CF48" w14:textId="20A37D7E"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16" w:type="dxa"/>
            <w:shd w:val="clear" w:color="auto" w:fill="FFFF00"/>
            <w:noWrap/>
            <w:vAlign w:val="center"/>
            <w:hideMark/>
          </w:tcPr>
          <w:p w14:paraId="7234FCE8" w14:textId="27FDCEFD"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65" w:type="dxa"/>
            <w:shd w:val="clear" w:color="auto" w:fill="FFFF00"/>
            <w:noWrap/>
            <w:vAlign w:val="center"/>
            <w:hideMark/>
          </w:tcPr>
          <w:p w14:paraId="75D744DE" w14:textId="7C094D8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65" w:type="dxa"/>
            <w:shd w:val="clear" w:color="auto" w:fill="FFFF00"/>
            <w:noWrap/>
            <w:vAlign w:val="center"/>
            <w:hideMark/>
          </w:tcPr>
          <w:p w14:paraId="5E79EAC3" w14:textId="16200885"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49" w:type="dxa"/>
            <w:shd w:val="clear" w:color="000000" w:fill="FFFF00"/>
            <w:noWrap/>
            <w:vAlign w:val="center"/>
            <w:hideMark/>
          </w:tcPr>
          <w:p w14:paraId="06302D42" w14:textId="11F1FA2D"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48" w:type="dxa"/>
            <w:shd w:val="clear" w:color="auto" w:fill="FFFF00"/>
            <w:noWrap/>
            <w:vAlign w:val="center"/>
            <w:hideMark/>
          </w:tcPr>
          <w:p w14:paraId="0144FE78" w14:textId="21A3C2A9"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48" w:type="dxa"/>
            <w:shd w:val="clear" w:color="000000" w:fill="FFFF00"/>
            <w:noWrap/>
            <w:vAlign w:val="center"/>
            <w:hideMark/>
          </w:tcPr>
          <w:p w14:paraId="4EE2EBA1"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r>
      <w:tr w:rsidR="00B92F80" w:rsidRPr="007375EB" w14:paraId="29964EEB" w14:textId="77777777" w:rsidTr="00C46941">
        <w:trPr>
          <w:trHeight w:val="245"/>
        </w:trPr>
        <w:tc>
          <w:tcPr>
            <w:tcW w:w="1856" w:type="dxa"/>
            <w:vMerge w:val="restart"/>
            <w:shd w:val="clear" w:color="auto" w:fill="auto"/>
            <w:vAlign w:val="center"/>
            <w:hideMark/>
          </w:tcPr>
          <w:p w14:paraId="40BB2F3F" w14:textId="2F172C9D"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Население и човешко здраве</w:t>
            </w:r>
          </w:p>
        </w:tc>
        <w:tc>
          <w:tcPr>
            <w:tcW w:w="2811" w:type="dxa"/>
            <w:shd w:val="clear" w:color="auto" w:fill="auto"/>
            <w:vAlign w:val="center"/>
            <w:hideMark/>
          </w:tcPr>
          <w:p w14:paraId="6810679D" w14:textId="0251495A" w:rsidR="00C46941" w:rsidRPr="007375EB" w:rsidRDefault="00B92F80"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 xml:space="preserve">OM10. </w:t>
            </w:r>
            <w:r w:rsidR="00C46941" w:rsidRPr="007375EB">
              <w:rPr>
                <w:rFonts w:asciiTheme="minorHAnsi" w:eastAsia="Times New Roman" w:hAnsiTheme="minorHAnsi" w:cs="Calibri"/>
                <w:color w:val="000000"/>
                <w:sz w:val="16"/>
                <w:szCs w:val="16"/>
                <w:lang w:val="bg-BG" w:eastAsia="ro-RO"/>
              </w:rPr>
              <w:t xml:space="preserve">Поддържане на качеството на факторите на </w:t>
            </w:r>
            <w:r w:rsidR="00C46941" w:rsidRPr="007375EB">
              <w:rPr>
                <w:rFonts w:asciiTheme="minorHAnsi" w:eastAsia="Times New Roman" w:hAnsiTheme="minorHAnsi" w:cs="Calibri"/>
                <w:color w:val="000000"/>
                <w:sz w:val="16"/>
                <w:szCs w:val="16"/>
                <w:lang w:val="bg-BG" w:eastAsia="ro-RO"/>
              </w:rPr>
              <w:lastRenderedPageBreak/>
              <w:t>околната среда в рамките на законовите разпоредби за опазване на околната среда и общественото здраве</w:t>
            </w:r>
          </w:p>
        </w:tc>
        <w:tc>
          <w:tcPr>
            <w:tcW w:w="468" w:type="dxa"/>
            <w:shd w:val="clear" w:color="000000" w:fill="FFFF00"/>
            <w:vAlign w:val="center"/>
            <w:hideMark/>
          </w:tcPr>
          <w:p w14:paraId="5863E92C"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lastRenderedPageBreak/>
              <w:t>0</w:t>
            </w:r>
          </w:p>
        </w:tc>
        <w:tc>
          <w:tcPr>
            <w:tcW w:w="626" w:type="dxa"/>
            <w:shd w:val="clear" w:color="000000" w:fill="F8CBAD"/>
            <w:noWrap/>
            <w:vAlign w:val="center"/>
            <w:hideMark/>
          </w:tcPr>
          <w:p w14:paraId="0BF50F7C"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88" w:type="dxa"/>
            <w:shd w:val="clear" w:color="000000" w:fill="F8CBAD"/>
            <w:noWrap/>
            <w:vAlign w:val="center"/>
            <w:hideMark/>
          </w:tcPr>
          <w:p w14:paraId="535FBAFF" w14:textId="03CFF5DB"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94" w:type="dxa"/>
            <w:shd w:val="clear" w:color="000000" w:fill="F8CBAD"/>
            <w:noWrap/>
            <w:vAlign w:val="center"/>
            <w:hideMark/>
          </w:tcPr>
          <w:p w14:paraId="1A95B642" w14:textId="40C5FBB6"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416" w:type="dxa"/>
            <w:shd w:val="clear" w:color="auto" w:fill="F8CBB2"/>
            <w:noWrap/>
            <w:vAlign w:val="center"/>
            <w:hideMark/>
          </w:tcPr>
          <w:p w14:paraId="7C7DD1D9" w14:textId="525A9392"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465" w:type="dxa"/>
            <w:shd w:val="clear" w:color="000000" w:fill="FFFF00"/>
            <w:noWrap/>
            <w:vAlign w:val="center"/>
            <w:hideMark/>
          </w:tcPr>
          <w:p w14:paraId="01E863CD" w14:textId="35427841"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65" w:type="dxa"/>
            <w:shd w:val="clear" w:color="auto" w:fill="FFFF00"/>
            <w:noWrap/>
            <w:vAlign w:val="center"/>
            <w:hideMark/>
          </w:tcPr>
          <w:p w14:paraId="4B496D96" w14:textId="04D25710"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49" w:type="dxa"/>
            <w:shd w:val="clear" w:color="000000" w:fill="F8CBAD"/>
            <w:noWrap/>
            <w:vAlign w:val="center"/>
            <w:hideMark/>
          </w:tcPr>
          <w:p w14:paraId="5AFE0396" w14:textId="194C47E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auto" w:fill="F8CBB2"/>
            <w:noWrap/>
            <w:vAlign w:val="center"/>
            <w:hideMark/>
          </w:tcPr>
          <w:p w14:paraId="5DDC7824" w14:textId="2CF7426F"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000000" w:fill="F8CBAD"/>
            <w:noWrap/>
            <w:vAlign w:val="center"/>
            <w:hideMark/>
          </w:tcPr>
          <w:p w14:paraId="6DF9F76F"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r>
      <w:tr w:rsidR="00B92F80" w:rsidRPr="007375EB" w14:paraId="6514BB14" w14:textId="77777777" w:rsidTr="00C46941">
        <w:trPr>
          <w:trHeight w:val="435"/>
        </w:trPr>
        <w:tc>
          <w:tcPr>
            <w:tcW w:w="1856" w:type="dxa"/>
            <w:vMerge/>
            <w:vAlign w:val="center"/>
            <w:hideMark/>
          </w:tcPr>
          <w:p w14:paraId="065E4EF0" w14:textId="77777777"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p>
        </w:tc>
        <w:tc>
          <w:tcPr>
            <w:tcW w:w="2811" w:type="dxa"/>
            <w:shd w:val="clear" w:color="auto" w:fill="auto"/>
            <w:vAlign w:val="center"/>
            <w:hideMark/>
          </w:tcPr>
          <w:p w14:paraId="6B06FE30" w14:textId="295E1268" w:rsidR="00C46941" w:rsidRPr="007375EB" w:rsidRDefault="00B92F80"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 xml:space="preserve">OM11. </w:t>
            </w:r>
            <w:r w:rsidR="00C46941" w:rsidRPr="007375EB">
              <w:rPr>
                <w:rFonts w:asciiTheme="minorHAnsi" w:eastAsia="Times New Roman" w:hAnsiTheme="minorHAnsi" w:cs="Calibri"/>
                <w:color w:val="000000"/>
                <w:sz w:val="16"/>
                <w:szCs w:val="16"/>
                <w:lang w:val="bg-BG" w:eastAsia="ro-RO"/>
              </w:rPr>
              <w:t>Подобряване на жизнения стандарт и социалните условия на населението</w:t>
            </w:r>
          </w:p>
        </w:tc>
        <w:tc>
          <w:tcPr>
            <w:tcW w:w="468" w:type="dxa"/>
            <w:shd w:val="clear" w:color="000000" w:fill="F8CBAD"/>
            <w:vAlign w:val="center"/>
            <w:hideMark/>
          </w:tcPr>
          <w:p w14:paraId="06526FB4"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626" w:type="dxa"/>
            <w:shd w:val="clear" w:color="000000" w:fill="C6E0B4"/>
            <w:noWrap/>
            <w:vAlign w:val="center"/>
            <w:hideMark/>
          </w:tcPr>
          <w:p w14:paraId="2393EE09"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88" w:type="dxa"/>
            <w:shd w:val="clear" w:color="auto" w:fill="C6E0B4"/>
            <w:noWrap/>
            <w:vAlign w:val="center"/>
            <w:hideMark/>
          </w:tcPr>
          <w:p w14:paraId="7D1F9819" w14:textId="0F5543BC"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94" w:type="dxa"/>
            <w:shd w:val="clear" w:color="000000" w:fill="C6E0B4"/>
            <w:noWrap/>
            <w:vAlign w:val="center"/>
            <w:hideMark/>
          </w:tcPr>
          <w:p w14:paraId="401AE633" w14:textId="34F54326"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416" w:type="dxa"/>
            <w:shd w:val="clear" w:color="auto" w:fill="00B050"/>
            <w:noWrap/>
            <w:vAlign w:val="center"/>
            <w:hideMark/>
          </w:tcPr>
          <w:p w14:paraId="62FE1AC0" w14:textId="530F71BE"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65" w:type="dxa"/>
            <w:shd w:val="clear" w:color="000000" w:fill="00B050"/>
            <w:noWrap/>
            <w:vAlign w:val="center"/>
            <w:hideMark/>
          </w:tcPr>
          <w:p w14:paraId="49552AFD" w14:textId="38D2E352"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65" w:type="dxa"/>
            <w:shd w:val="clear" w:color="auto" w:fill="00B050"/>
            <w:noWrap/>
            <w:vAlign w:val="center"/>
            <w:hideMark/>
          </w:tcPr>
          <w:p w14:paraId="635F13AF" w14:textId="292CD23F"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49" w:type="dxa"/>
            <w:shd w:val="clear" w:color="000000" w:fill="C6E0B4"/>
            <w:noWrap/>
            <w:vAlign w:val="center"/>
            <w:hideMark/>
          </w:tcPr>
          <w:p w14:paraId="5183105E" w14:textId="26F787FF"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auto" w:fill="C6E0B4"/>
            <w:noWrap/>
            <w:vAlign w:val="center"/>
            <w:hideMark/>
          </w:tcPr>
          <w:p w14:paraId="2C17C04A" w14:textId="6859911D"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000000" w:fill="C6E0B4"/>
            <w:noWrap/>
            <w:vAlign w:val="center"/>
            <w:hideMark/>
          </w:tcPr>
          <w:p w14:paraId="26389E11"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r>
      <w:tr w:rsidR="00B92F80" w:rsidRPr="007375EB" w14:paraId="6F77C681" w14:textId="77777777" w:rsidTr="00C46941">
        <w:trPr>
          <w:trHeight w:val="645"/>
        </w:trPr>
        <w:tc>
          <w:tcPr>
            <w:tcW w:w="1856" w:type="dxa"/>
            <w:shd w:val="clear" w:color="auto" w:fill="auto"/>
            <w:vAlign w:val="center"/>
            <w:hideMark/>
          </w:tcPr>
          <w:p w14:paraId="6759E45A" w14:textId="46A06B8E"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Ландшафт</w:t>
            </w:r>
          </w:p>
        </w:tc>
        <w:tc>
          <w:tcPr>
            <w:tcW w:w="2811" w:type="dxa"/>
            <w:shd w:val="clear" w:color="auto" w:fill="auto"/>
            <w:vAlign w:val="center"/>
            <w:hideMark/>
          </w:tcPr>
          <w:p w14:paraId="7E9A34B9" w14:textId="350B232E" w:rsidR="00C46941" w:rsidRPr="007375EB" w:rsidRDefault="00B92F80"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 xml:space="preserve">OM12. </w:t>
            </w:r>
            <w:r w:rsidR="00C46941" w:rsidRPr="007375EB">
              <w:rPr>
                <w:rFonts w:asciiTheme="minorHAnsi" w:hAnsiTheme="minorHAnsi" w:cs="Calibri"/>
                <w:color w:val="000000"/>
                <w:sz w:val="16"/>
                <w:szCs w:val="16"/>
                <w:lang w:val="bg-BG" w:eastAsia="ro-RO"/>
              </w:rPr>
              <w:t>О</w:t>
            </w:r>
            <w:r w:rsidR="00C46941" w:rsidRPr="007375EB">
              <w:rPr>
                <w:rFonts w:asciiTheme="minorHAnsi" w:eastAsia="Times New Roman" w:hAnsiTheme="minorHAnsi" w:cs="Calibri"/>
                <w:color w:val="000000"/>
                <w:sz w:val="16"/>
                <w:szCs w:val="16"/>
                <w:lang w:val="bg-BG" w:eastAsia="ro-RO"/>
              </w:rPr>
              <w:t>сигуряване на защита на естествения ландшафт и свеждане до минимум на въздействието върху естествения ландшафт</w:t>
            </w:r>
          </w:p>
        </w:tc>
        <w:tc>
          <w:tcPr>
            <w:tcW w:w="468" w:type="dxa"/>
            <w:shd w:val="clear" w:color="000000" w:fill="FFFF00"/>
            <w:vAlign w:val="center"/>
            <w:hideMark/>
          </w:tcPr>
          <w:p w14:paraId="7CE589DA"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626" w:type="dxa"/>
            <w:shd w:val="clear" w:color="000000" w:fill="F8CBAD"/>
            <w:noWrap/>
            <w:vAlign w:val="center"/>
            <w:hideMark/>
          </w:tcPr>
          <w:p w14:paraId="0CE658B9"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88" w:type="dxa"/>
            <w:shd w:val="clear" w:color="auto" w:fill="F8CBB2"/>
            <w:noWrap/>
            <w:vAlign w:val="center"/>
            <w:hideMark/>
          </w:tcPr>
          <w:p w14:paraId="7BE673AA" w14:textId="05A84309"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94" w:type="dxa"/>
            <w:shd w:val="clear" w:color="auto" w:fill="F8CBB2"/>
            <w:noWrap/>
            <w:vAlign w:val="center"/>
            <w:hideMark/>
          </w:tcPr>
          <w:p w14:paraId="52F04561" w14:textId="516AD534"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416" w:type="dxa"/>
            <w:shd w:val="clear" w:color="auto" w:fill="FFFF00"/>
            <w:noWrap/>
            <w:vAlign w:val="center"/>
            <w:hideMark/>
          </w:tcPr>
          <w:p w14:paraId="66A2878E" w14:textId="0BC64679"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65" w:type="dxa"/>
            <w:shd w:val="clear" w:color="000000" w:fill="FFFF00"/>
            <w:noWrap/>
            <w:vAlign w:val="center"/>
            <w:hideMark/>
          </w:tcPr>
          <w:p w14:paraId="04375351" w14:textId="5B253E5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65" w:type="dxa"/>
            <w:shd w:val="clear" w:color="auto" w:fill="FFFF00"/>
            <w:noWrap/>
            <w:vAlign w:val="center"/>
            <w:hideMark/>
          </w:tcPr>
          <w:p w14:paraId="59840026" w14:textId="58D4C81F"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49" w:type="dxa"/>
            <w:shd w:val="clear" w:color="auto" w:fill="00B050"/>
            <w:noWrap/>
            <w:vAlign w:val="center"/>
            <w:hideMark/>
          </w:tcPr>
          <w:p w14:paraId="380694B6" w14:textId="1D30359D"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448" w:type="dxa"/>
            <w:shd w:val="clear" w:color="auto" w:fill="C6E0B4"/>
            <w:noWrap/>
            <w:vAlign w:val="center"/>
            <w:hideMark/>
          </w:tcPr>
          <w:p w14:paraId="6F83DAF6" w14:textId="40E31576"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000000" w:fill="C6E0B4"/>
            <w:noWrap/>
            <w:vAlign w:val="center"/>
            <w:hideMark/>
          </w:tcPr>
          <w:p w14:paraId="30740F32"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r>
      <w:tr w:rsidR="00B92F80" w:rsidRPr="007375EB" w14:paraId="43DDCD8D" w14:textId="77777777" w:rsidTr="00C46941">
        <w:trPr>
          <w:trHeight w:val="241"/>
        </w:trPr>
        <w:tc>
          <w:tcPr>
            <w:tcW w:w="1856" w:type="dxa"/>
            <w:vMerge w:val="restart"/>
            <w:shd w:val="clear" w:color="auto" w:fill="auto"/>
            <w:vAlign w:val="center"/>
            <w:hideMark/>
          </w:tcPr>
          <w:p w14:paraId="61073ECB" w14:textId="3FDD8173"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Изменение на климата </w:t>
            </w:r>
          </w:p>
        </w:tc>
        <w:tc>
          <w:tcPr>
            <w:tcW w:w="2811" w:type="dxa"/>
            <w:shd w:val="clear" w:color="auto" w:fill="auto"/>
            <w:vAlign w:val="center"/>
            <w:hideMark/>
          </w:tcPr>
          <w:p w14:paraId="6E00DC5E" w14:textId="61F46BC8" w:rsidR="00C46941" w:rsidRPr="007375EB" w:rsidRDefault="00B92F80"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 xml:space="preserve">OM13. </w:t>
            </w:r>
            <w:r w:rsidR="00C46941" w:rsidRPr="007375EB">
              <w:rPr>
                <w:rFonts w:asciiTheme="minorHAnsi" w:eastAsia="Times New Roman" w:hAnsiTheme="minorHAnsi" w:cs="Calibri"/>
                <w:color w:val="000000"/>
                <w:sz w:val="16"/>
                <w:szCs w:val="16"/>
                <w:lang w:val="bg-BG" w:eastAsia="ro-RO"/>
              </w:rPr>
              <w:t>Намаляване на емисиите на парникови газове от енергийния сектор</w:t>
            </w:r>
          </w:p>
        </w:tc>
        <w:tc>
          <w:tcPr>
            <w:tcW w:w="468" w:type="dxa"/>
            <w:shd w:val="clear" w:color="000000" w:fill="FF0000"/>
            <w:vAlign w:val="center"/>
            <w:hideMark/>
          </w:tcPr>
          <w:p w14:paraId="3212EE32"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-2</w:t>
            </w:r>
          </w:p>
        </w:tc>
        <w:tc>
          <w:tcPr>
            <w:tcW w:w="626" w:type="dxa"/>
            <w:shd w:val="clear" w:color="000000" w:fill="F8CBAD"/>
            <w:noWrap/>
            <w:vAlign w:val="center"/>
            <w:hideMark/>
          </w:tcPr>
          <w:p w14:paraId="1B48CB4F"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88" w:type="dxa"/>
            <w:shd w:val="clear" w:color="auto" w:fill="F8CBB2"/>
            <w:noWrap/>
            <w:vAlign w:val="center"/>
            <w:hideMark/>
          </w:tcPr>
          <w:p w14:paraId="52AC52B1" w14:textId="2A3283FF"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94" w:type="dxa"/>
            <w:shd w:val="clear" w:color="000000" w:fill="F8CBAD"/>
            <w:noWrap/>
            <w:vAlign w:val="center"/>
            <w:hideMark/>
          </w:tcPr>
          <w:p w14:paraId="37ED2499" w14:textId="3C1F4635"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416" w:type="dxa"/>
            <w:shd w:val="clear" w:color="auto" w:fill="00B050"/>
            <w:noWrap/>
            <w:vAlign w:val="center"/>
            <w:hideMark/>
          </w:tcPr>
          <w:p w14:paraId="1FA1C253" w14:textId="637D88AB"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65" w:type="dxa"/>
            <w:shd w:val="clear" w:color="000000" w:fill="00B050"/>
            <w:noWrap/>
            <w:vAlign w:val="center"/>
            <w:hideMark/>
          </w:tcPr>
          <w:p w14:paraId="1BA89B3C" w14:textId="1D1E21DF"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65" w:type="dxa"/>
            <w:shd w:val="clear" w:color="auto" w:fill="00B050"/>
            <w:noWrap/>
            <w:vAlign w:val="center"/>
            <w:hideMark/>
          </w:tcPr>
          <w:p w14:paraId="2E57FF4D" w14:textId="1BDBB5A2"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49" w:type="dxa"/>
            <w:shd w:val="clear" w:color="000000" w:fill="F8CBAD"/>
            <w:noWrap/>
            <w:vAlign w:val="center"/>
            <w:hideMark/>
          </w:tcPr>
          <w:p w14:paraId="00E9F0C9" w14:textId="65280A8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auto" w:fill="F8CBB2"/>
            <w:noWrap/>
            <w:vAlign w:val="center"/>
            <w:hideMark/>
          </w:tcPr>
          <w:p w14:paraId="29C71142" w14:textId="41C8B01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000000" w:fill="F8CBAD"/>
            <w:noWrap/>
            <w:vAlign w:val="center"/>
            <w:hideMark/>
          </w:tcPr>
          <w:p w14:paraId="54EDDA55"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r>
      <w:tr w:rsidR="00B92F80" w:rsidRPr="007375EB" w14:paraId="612261D9" w14:textId="77777777" w:rsidTr="00C46941">
        <w:trPr>
          <w:trHeight w:val="435"/>
        </w:trPr>
        <w:tc>
          <w:tcPr>
            <w:tcW w:w="1856" w:type="dxa"/>
            <w:vMerge/>
            <w:shd w:val="clear" w:color="auto" w:fill="auto"/>
            <w:vAlign w:val="center"/>
            <w:hideMark/>
          </w:tcPr>
          <w:p w14:paraId="2F237423" w14:textId="77777777"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p>
        </w:tc>
        <w:tc>
          <w:tcPr>
            <w:tcW w:w="2811" w:type="dxa"/>
            <w:shd w:val="clear" w:color="auto" w:fill="auto"/>
            <w:vAlign w:val="center"/>
            <w:hideMark/>
          </w:tcPr>
          <w:p w14:paraId="7E2B3B5A" w14:textId="4E1CC814" w:rsidR="00C46941" w:rsidRPr="007375EB" w:rsidRDefault="00B92F80"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 xml:space="preserve">OM14. </w:t>
            </w:r>
            <w:r w:rsidR="00C46941" w:rsidRPr="007375EB">
              <w:rPr>
                <w:rFonts w:asciiTheme="minorHAnsi" w:eastAsia="Times New Roman" w:hAnsiTheme="minorHAnsi" w:cs="Calibri"/>
                <w:color w:val="000000"/>
                <w:sz w:val="16"/>
                <w:szCs w:val="16"/>
                <w:lang w:val="bg-BG" w:eastAsia="ro-RO"/>
              </w:rPr>
              <w:t>Намаляване на рисковете от изменението на климата (адаптация)</w:t>
            </w:r>
          </w:p>
        </w:tc>
        <w:tc>
          <w:tcPr>
            <w:tcW w:w="468" w:type="dxa"/>
            <w:shd w:val="clear" w:color="000000" w:fill="F8CBAD"/>
            <w:vAlign w:val="center"/>
            <w:hideMark/>
          </w:tcPr>
          <w:p w14:paraId="5B90E753"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626" w:type="dxa"/>
            <w:shd w:val="clear" w:color="000000" w:fill="FFFF00"/>
            <w:noWrap/>
            <w:vAlign w:val="center"/>
            <w:hideMark/>
          </w:tcPr>
          <w:p w14:paraId="61075043"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88" w:type="dxa"/>
            <w:shd w:val="clear" w:color="auto" w:fill="FFFF00"/>
            <w:noWrap/>
            <w:vAlign w:val="center"/>
            <w:hideMark/>
          </w:tcPr>
          <w:p w14:paraId="709F16DE" w14:textId="35C5BA89"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594" w:type="dxa"/>
            <w:shd w:val="clear" w:color="000000" w:fill="FFFF00"/>
            <w:noWrap/>
            <w:vAlign w:val="center"/>
            <w:hideMark/>
          </w:tcPr>
          <w:p w14:paraId="223D3E82" w14:textId="099DC631"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16" w:type="dxa"/>
            <w:shd w:val="clear" w:color="auto" w:fill="00B050"/>
            <w:noWrap/>
            <w:vAlign w:val="center"/>
            <w:hideMark/>
          </w:tcPr>
          <w:p w14:paraId="2293BE72" w14:textId="7169E86A"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65" w:type="dxa"/>
            <w:shd w:val="clear" w:color="000000" w:fill="00B050"/>
            <w:noWrap/>
            <w:vAlign w:val="center"/>
            <w:hideMark/>
          </w:tcPr>
          <w:p w14:paraId="18FDDE41" w14:textId="103C1AD9"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65" w:type="dxa"/>
            <w:shd w:val="clear" w:color="auto" w:fill="00B050"/>
            <w:noWrap/>
            <w:vAlign w:val="center"/>
            <w:hideMark/>
          </w:tcPr>
          <w:p w14:paraId="5E4417FD" w14:textId="13FFD49B"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2</w:t>
            </w:r>
          </w:p>
        </w:tc>
        <w:tc>
          <w:tcPr>
            <w:tcW w:w="449" w:type="dxa"/>
            <w:shd w:val="clear" w:color="000000" w:fill="FFFF00"/>
            <w:noWrap/>
            <w:vAlign w:val="center"/>
            <w:hideMark/>
          </w:tcPr>
          <w:p w14:paraId="75591D79" w14:textId="54EDC061"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48" w:type="dxa"/>
            <w:shd w:val="clear" w:color="auto" w:fill="FFFF00"/>
            <w:noWrap/>
            <w:vAlign w:val="center"/>
            <w:hideMark/>
          </w:tcPr>
          <w:p w14:paraId="76CC9F9E" w14:textId="7A34CE11"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448" w:type="dxa"/>
            <w:shd w:val="clear" w:color="000000" w:fill="FFFF00"/>
            <w:noWrap/>
            <w:vAlign w:val="center"/>
            <w:hideMark/>
          </w:tcPr>
          <w:p w14:paraId="2314698F"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r>
      <w:tr w:rsidR="00B92F80" w:rsidRPr="007375EB" w14:paraId="6DF39F0D" w14:textId="77777777" w:rsidTr="00C46941">
        <w:trPr>
          <w:trHeight w:val="435"/>
        </w:trPr>
        <w:tc>
          <w:tcPr>
            <w:tcW w:w="1856" w:type="dxa"/>
            <w:shd w:val="clear" w:color="auto" w:fill="auto"/>
            <w:vAlign w:val="center"/>
            <w:hideMark/>
          </w:tcPr>
          <w:p w14:paraId="7F10A5EF" w14:textId="593A7EDA"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Културно наследство</w:t>
            </w:r>
          </w:p>
        </w:tc>
        <w:tc>
          <w:tcPr>
            <w:tcW w:w="2811" w:type="dxa"/>
            <w:shd w:val="clear" w:color="auto" w:fill="auto"/>
            <w:vAlign w:val="center"/>
            <w:hideMark/>
          </w:tcPr>
          <w:p w14:paraId="3CBAB570" w14:textId="68B1578B" w:rsidR="00C46941" w:rsidRPr="007375EB" w:rsidRDefault="00B92F80"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 xml:space="preserve">OM15 </w:t>
            </w:r>
            <w:r w:rsidR="00C46941" w:rsidRPr="007375EB">
              <w:rPr>
                <w:rFonts w:asciiTheme="minorHAnsi" w:eastAsia="Times New Roman" w:hAnsiTheme="minorHAnsi" w:cs="Calibri"/>
                <w:color w:val="000000"/>
                <w:sz w:val="16"/>
                <w:szCs w:val="16"/>
                <w:lang w:val="bg-BG" w:eastAsia="ro-RO"/>
              </w:rPr>
              <w:t>Защита и опазване на културното наследство</w:t>
            </w:r>
          </w:p>
        </w:tc>
        <w:tc>
          <w:tcPr>
            <w:tcW w:w="468" w:type="dxa"/>
            <w:shd w:val="clear" w:color="000000" w:fill="FFFF00"/>
            <w:vAlign w:val="center"/>
            <w:hideMark/>
          </w:tcPr>
          <w:p w14:paraId="61CF6E04"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0</w:t>
            </w:r>
          </w:p>
        </w:tc>
        <w:tc>
          <w:tcPr>
            <w:tcW w:w="626" w:type="dxa"/>
            <w:shd w:val="clear" w:color="000000" w:fill="F8CBAD"/>
            <w:noWrap/>
            <w:vAlign w:val="center"/>
            <w:hideMark/>
          </w:tcPr>
          <w:p w14:paraId="6DBC719B"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88" w:type="dxa"/>
            <w:shd w:val="clear" w:color="auto" w:fill="F8CBB2"/>
            <w:noWrap/>
            <w:vAlign w:val="center"/>
            <w:hideMark/>
          </w:tcPr>
          <w:p w14:paraId="715F458F" w14:textId="60221D09"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594" w:type="dxa"/>
            <w:shd w:val="clear" w:color="000000" w:fill="F8CBAD"/>
            <w:noWrap/>
            <w:vAlign w:val="center"/>
            <w:hideMark/>
          </w:tcPr>
          <w:p w14:paraId="6EFC81B2" w14:textId="2E4C1C3E"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-1</w:t>
            </w:r>
          </w:p>
        </w:tc>
        <w:tc>
          <w:tcPr>
            <w:tcW w:w="416" w:type="dxa"/>
            <w:shd w:val="clear" w:color="auto" w:fill="FFFF00"/>
            <w:noWrap/>
            <w:vAlign w:val="center"/>
            <w:hideMark/>
          </w:tcPr>
          <w:p w14:paraId="68088884" w14:textId="12849B29"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65" w:type="dxa"/>
            <w:shd w:val="clear" w:color="000000" w:fill="FFFF00"/>
            <w:noWrap/>
            <w:vAlign w:val="center"/>
            <w:hideMark/>
          </w:tcPr>
          <w:p w14:paraId="2A6A1DBA" w14:textId="3768F12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65" w:type="dxa"/>
            <w:shd w:val="clear" w:color="auto" w:fill="FFFF00"/>
            <w:noWrap/>
            <w:vAlign w:val="center"/>
            <w:hideMark/>
          </w:tcPr>
          <w:p w14:paraId="44032004" w14:textId="0ADBC84D"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hAnsiTheme="minorHAnsi" w:cs="Calibri"/>
                <w:color w:val="000000"/>
                <w:sz w:val="16"/>
                <w:szCs w:val="16"/>
                <w:lang w:val="bg-BG"/>
              </w:rPr>
              <w:t>0</w:t>
            </w:r>
          </w:p>
        </w:tc>
        <w:tc>
          <w:tcPr>
            <w:tcW w:w="449" w:type="dxa"/>
            <w:shd w:val="clear" w:color="000000" w:fill="F8CBAD"/>
            <w:noWrap/>
            <w:vAlign w:val="center"/>
            <w:hideMark/>
          </w:tcPr>
          <w:p w14:paraId="46F0232D" w14:textId="7BC1552F"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auto" w:fill="F8CBB2"/>
            <w:noWrap/>
            <w:vAlign w:val="center"/>
            <w:hideMark/>
          </w:tcPr>
          <w:p w14:paraId="05825A81" w14:textId="60DB4BFC"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c>
          <w:tcPr>
            <w:tcW w:w="448" w:type="dxa"/>
            <w:shd w:val="clear" w:color="000000" w:fill="F8CBAD"/>
            <w:noWrap/>
            <w:vAlign w:val="center"/>
            <w:hideMark/>
          </w:tcPr>
          <w:p w14:paraId="74D6C294" w14:textId="77777777" w:rsidR="00C46941" w:rsidRPr="007375EB" w:rsidRDefault="00C46941" w:rsidP="00C46941">
            <w:pPr>
              <w:spacing w:line="240" w:lineRule="auto"/>
              <w:jc w:val="center"/>
              <w:rPr>
                <w:rFonts w:asciiTheme="minorHAnsi" w:eastAsia="Times New Roman" w:hAnsiTheme="minorHAnsi" w:cs="Calibri"/>
                <w:color w:val="000000"/>
                <w:sz w:val="16"/>
                <w:szCs w:val="16"/>
                <w:lang w:val="bg-BG" w:eastAsia="ro-RO"/>
              </w:rPr>
            </w:pPr>
            <w:r w:rsidRPr="007375EB">
              <w:rPr>
                <w:rFonts w:asciiTheme="minorHAnsi" w:eastAsia="Times New Roman" w:hAnsiTheme="minorHAnsi" w:cs="Calibri"/>
                <w:color w:val="000000"/>
                <w:sz w:val="16"/>
                <w:szCs w:val="16"/>
                <w:lang w:val="bg-BG" w:eastAsia="ro-RO"/>
              </w:rPr>
              <w:t>-1</w:t>
            </w:r>
          </w:p>
        </w:tc>
      </w:tr>
      <w:tr w:rsidR="00C46941" w:rsidRPr="007375EB" w14:paraId="37888564" w14:textId="77777777" w:rsidTr="00C46941">
        <w:trPr>
          <w:trHeight w:val="435"/>
        </w:trPr>
        <w:tc>
          <w:tcPr>
            <w:tcW w:w="4667" w:type="dxa"/>
            <w:gridSpan w:val="2"/>
            <w:shd w:val="clear" w:color="auto" w:fill="auto"/>
            <w:vAlign w:val="center"/>
          </w:tcPr>
          <w:p w14:paraId="74724DAD" w14:textId="79D1259E" w:rsidR="00C46941" w:rsidRPr="007375EB" w:rsidRDefault="00C46941" w:rsidP="00C46941">
            <w:pPr>
              <w:spacing w:line="240" w:lineRule="auto"/>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Общо</w:t>
            </w:r>
          </w:p>
        </w:tc>
        <w:tc>
          <w:tcPr>
            <w:tcW w:w="468" w:type="dxa"/>
            <w:shd w:val="clear" w:color="auto" w:fill="FFFFFF" w:themeFill="background1"/>
            <w:vAlign w:val="center"/>
          </w:tcPr>
          <w:p w14:paraId="601ADB2F" w14:textId="2831E14C" w:rsidR="00C46941" w:rsidRPr="007375EB" w:rsidRDefault="00C46941" w:rsidP="00C46941">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-8</w:t>
            </w:r>
          </w:p>
        </w:tc>
        <w:tc>
          <w:tcPr>
            <w:tcW w:w="626" w:type="dxa"/>
            <w:shd w:val="clear" w:color="auto" w:fill="FFFFFF" w:themeFill="background1"/>
            <w:noWrap/>
            <w:vAlign w:val="center"/>
          </w:tcPr>
          <w:p w14:paraId="0157854D" w14:textId="4E825451" w:rsidR="00C46941" w:rsidRPr="007375EB" w:rsidRDefault="00C46941" w:rsidP="00C46941">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-14</w:t>
            </w:r>
          </w:p>
        </w:tc>
        <w:tc>
          <w:tcPr>
            <w:tcW w:w="588" w:type="dxa"/>
            <w:shd w:val="clear" w:color="auto" w:fill="FFFFFF" w:themeFill="background1"/>
            <w:noWrap/>
            <w:vAlign w:val="center"/>
          </w:tcPr>
          <w:p w14:paraId="15A18BAE" w14:textId="42C96D88" w:rsidR="00C46941" w:rsidRPr="007375EB" w:rsidRDefault="00C46941" w:rsidP="00C46941">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-12</w:t>
            </w:r>
          </w:p>
        </w:tc>
        <w:tc>
          <w:tcPr>
            <w:tcW w:w="594" w:type="dxa"/>
            <w:shd w:val="clear" w:color="auto" w:fill="FFFFFF" w:themeFill="background1"/>
            <w:noWrap/>
            <w:vAlign w:val="center"/>
          </w:tcPr>
          <w:p w14:paraId="7178483C" w14:textId="342FF7A4" w:rsidR="00C46941" w:rsidRPr="007375EB" w:rsidRDefault="00C46941" w:rsidP="00C46941">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-12</w:t>
            </w:r>
          </w:p>
        </w:tc>
        <w:tc>
          <w:tcPr>
            <w:tcW w:w="416" w:type="dxa"/>
            <w:shd w:val="clear" w:color="auto" w:fill="FFFFFF" w:themeFill="background1"/>
            <w:noWrap/>
            <w:vAlign w:val="center"/>
          </w:tcPr>
          <w:p w14:paraId="2E7809B7" w14:textId="58343230" w:rsidR="00C46941" w:rsidRPr="007375EB" w:rsidRDefault="00C46941" w:rsidP="00C46941">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9</w:t>
            </w:r>
          </w:p>
        </w:tc>
        <w:tc>
          <w:tcPr>
            <w:tcW w:w="465" w:type="dxa"/>
            <w:shd w:val="clear" w:color="auto" w:fill="FFFFFF" w:themeFill="background1"/>
            <w:noWrap/>
            <w:vAlign w:val="center"/>
          </w:tcPr>
          <w:p w14:paraId="4E198087" w14:textId="052E3C37" w:rsidR="00C46941" w:rsidRPr="007375EB" w:rsidRDefault="00C46941" w:rsidP="00C46941">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12</w:t>
            </w:r>
          </w:p>
        </w:tc>
        <w:tc>
          <w:tcPr>
            <w:tcW w:w="465" w:type="dxa"/>
            <w:shd w:val="clear" w:color="auto" w:fill="FFFFFF" w:themeFill="background1"/>
            <w:noWrap/>
            <w:vAlign w:val="center"/>
          </w:tcPr>
          <w:p w14:paraId="4364AD15" w14:textId="06245727" w:rsidR="00C46941" w:rsidRPr="007375EB" w:rsidRDefault="00C46941" w:rsidP="00C46941">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12</w:t>
            </w:r>
          </w:p>
        </w:tc>
        <w:tc>
          <w:tcPr>
            <w:tcW w:w="449" w:type="dxa"/>
            <w:shd w:val="clear" w:color="auto" w:fill="FFFFFF" w:themeFill="background1"/>
            <w:noWrap/>
            <w:vAlign w:val="center"/>
          </w:tcPr>
          <w:p w14:paraId="0850EA01" w14:textId="64FBB58C" w:rsidR="00C46941" w:rsidRPr="007375EB" w:rsidRDefault="00C46941" w:rsidP="00C46941">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-9</w:t>
            </w:r>
          </w:p>
        </w:tc>
        <w:tc>
          <w:tcPr>
            <w:tcW w:w="448" w:type="dxa"/>
            <w:shd w:val="clear" w:color="auto" w:fill="FFFFFF" w:themeFill="background1"/>
            <w:noWrap/>
            <w:vAlign w:val="center"/>
          </w:tcPr>
          <w:p w14:paraId="232DE701" w14:textId="6AECC157" w:rsidR="00C46941" w:rsidRPr="007375EB" w:rsidRDefault="00C46941" w:rsidP="00C46941">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-9</w:t>
            </w:r>
          </w:p>
        </w:tc>
        <w:tc>
          <w:tcPr>
            <w:tcW w:w="448" w:type="dxa"/>
            <w:shd w:val="clear" w:color="auto" w:fill="FFFFFF" w:themeFill="background1"/>
            <w:noWrap/>
            <w:vAlign w:val="center"/>
          </w:tcPr>
          <w:p w14:paraId="3303E582" w14:textId="0D914DF3" w:rsidR="00C46941" w:rsidRPr="007375EB" w:rsidRDefault="00C46941" w:rsidP="00C46941">
            <w:pPr>
              <w:spacing w:line="240" w:lineRule="auto"/>
              <w:jc w:val="center"/>
              <w:rPr>
                <w:rFonts w:asciiTheme="minorHAnsi" w:eastAsia="Times New Roman" w:hAnsiTheme="minorHAnsi" w:cs="Calibri"/>
                <w:b/>
                <w:bCs/>
                <w:color w:val="000000"/>
                <w:sz w:val="16"/>
                <w:szCs w:val="16"/>
                <w:lang w:val="bg-BG" w:eastAsia="ro-RO"/>
              </w:rPr>
            </w:pPr>
            <w:r w:rsidRPr="007375EB">
              <w:rPr>
                <w:rFonts w:asciiTheme="minorHAnsi" w:eastAsia="Times New Roman" w:hAnsiTheme="minorHAnsi" w:cs="Calibri"/>
                <w:b/>
                <w:bCs/>
                <w:color w:val="000000"/>
                <w:sz w:val="16"/>
                <w:szCs w:val="16"/>
                <w:lang w:val="bg-BG" w:eastAsia="ro-RO"/>
              </w:rPr>
              <w:t>-9</w:t>
            </w:r>
          </w:p>
        </w:tc>
      </w:tr>
    </w:tbl>
    <w:p w14:paraId="72899601" w14:textId="77777777" w:rsidR="004A5BE9" w:rsidRPr="007375EB" w:rsidRDefault="004A5BE9" w:rsidP="00185670">
      <w:pPr>
        <w:spacing w:after="120" w:line="360" w:lineRule="auto"/>
        <w:rPr>
          <w:lang w:val="bg-BG" w:eastAsia="ro-RO"/>
        </w:rPr>
      </w:pPr>
    </w:p>
    <w:p w14:paraId="58263813" w14:textId="06BB6137" w:rsidR="00C46941" w:rsidRPr="007375EB" w:rsidRDefault="00C46941" w:rsidP="00C46941">
      <w:pPr>
        <w:spacing w:after="120" w:line="360" w:lineRule="auto"/>
        <w:jc w:val="both"/>
        <w:rPr>
          <w:lang w:val="bg-BG" w:eastAsia="ro-RO"/>
        </w:rPr>
      </w:pPr>
      <w:r w:rsidRPr="007375EB">
        <w:rPr>
          <w:lang w:val="bg-BG" w:eastAsia="ro-RO"/>
        </w:rPr>
        <w:t>От оценката на трите алтернативи по отношение на екологичните цели, установени за оценката на въздействието на прилагането на PUZ, може да се заключи, че алтернативи II и III имат най-слабо въздействие.</w:t>
      </w:r>
    </w:p>
    <w:p w14:paraId="14F660A0" w14:textId="4D42160E" w:rsidR="00CD3AEA" w:rsidRPr="007375EB" w:rsidRDefault="00C46941" w:rsidP="00C46941">
      <w:pPr>
        <w:spacing w:after="120" w:line="360" w:lineRule="auto"/>
        <w:jc w:val="both"/>
        <w:rPr>
          <w:lang w:val="bg-BG" w:eastAsia="ro-RO"/>
        </w:rPr>
      </w:pPr>
      <w:r w:rsidRPr="007375EB">
        <w:rPr>
          <w:lang w:val="bg-BG" w:eastAsia="ro-RO"/>
        </w:rPr>
        <w:t>По-долу са представени предимствата и недостатъците на всяка от алтернативите и обосновката за избора на оптималната алтернатива</w:t>
      </w:r>
      <w:r w:rsidR="00D62752" w:rsidRPr="007375EB">
        <w:rPr>
          <w:lang w:val="bg-BG" w:eastAsia="ro-RO"/>
        </w:rPr>
        <w:t>.</w:t>
      </w:r>
      <w:r w:rsidR="00B61FEE" w:rsidRPr="007375EB">
        <w:rPr>
          <w:lang w:val="bg-BG" w:eastAsia="ro-RO"/>
        </w:rPr>
        <w:t xml:space="preserve"> </w:t>
      </w:r>
    </w:p>
    <w:p w14:paraId="785C6ACC" w14:textId="27E40692" w:rsidR="000A0EB3" w:rsidRPr="007375EB" w:rsidRDefault="00C07C91" w:rsidP="000A0EB3">
      <w:pPr>
        <w:spacing w:after="120" w:line="360" w:lineRule="auto"/>
        <w:jc w:val="both"/>
        <w:rPr>
          <w:lang w:val="bg-BG" w:eastAsia="ro-RO"/>
        </w:rPr>
      </w:pPr>
      <w:r w:rsidRPr="007375EB">
        <w:rPr>
          <w:b/>
          <w:bCs/>
          <w:color w:val="00B0F0"/>
          <w:lang w:val="bg-BG" w:eastAsia="ro-RO"/>
        </w:rPr>
        <w:t xml:space="preserve">„Нулевата“ алтернатива </w:t>
      </w:r>
      <w:r w:rsidRPr="007375EB">
        <w:rPr>
          <w:lang w:val="bg-BG" w:eastAsia="ro-RO"/>
        </w:rPr>
        <w:t>е разгледана като референтен елемент, спрямо който да се сравнят другите алтернативи за различните елементи на анализираната PUZ, предмет на анализирания зонален градоустройствен план. Основните форми на въздействие, свързани с приемането на „нулевата“ алтернатива, са</w:t>
      </w:r>
      <w:r w:rsidR="000A0EB3" w:rsidRPr="007375EB">
        <w:rPr>
          <w:lang w:val="bg-BG" w:eastAsia="ro-RO"/>
        </w:rPr>
        <w:t xml:space="preserve">: </w:t>
      </w:r>
    </w:p>
    <w:p w14:paraId="42D37A71" w14:textId="77777777" w:rsidR="00C07C91" w:rsidRPr="007375EB" w:rsidRDefault="00C07C91" w:rsidP="00B80BB8">
      <w:pPr>
        <w:pStyle w:val="ListParagraph"/>
        <w:numPr>
          <w:ilvl w:val="0"/>
          <w:numId w:val="86"/>
        </w:numPr>
        <w:spacing w:after="120" w:line="360" w:lineRule="auto"/>
        <w:jc w:val="both"/>
        <w:rPr>
          <w:lang w:val="bg-BG" w:eastAsia="ro-RO"/>
        </w:rPr>
      </w:pPr>
      <w:r w:rsidRPr="007375EB">
        <w:rPr>
          <w:lang w:val="bg-BG" w:eastAsia="ro-RO"/>
        </w:rPr>
        <w:t>загуба на възможността за използване на високия потенциал на вятъра в района;</w:t>
      </w:r>
    </w:p>
    <w:p w14:paraId="0C79FF2F" w14:textId="460D1352" w:rsidR="000A0EB3" w:rsidRPr="007375EB" w:rsidRDefault="00C07C91" w:rsidP="00B80BB8">
      <w:pPr>
        <w:pStyle w:val="ListParagraph"/>
        <w:numPr>
          <w:ilvl w:val="0"/>
          <w:numId w:val="86"/>
        </w:numPr>
        <w:spacing w:after="120" w:line="360" w:lineRule="auto"/>
        <w:jc w:val="both"/>
        <w:rPr>
          <w:lang w:val="bg-BG" w:eastAsia="ro-RO"/>
        </w:rPr>
      </w:pPr>
      <w:r w:rsidRPr="007375EB">
        <w:rPr>
          <w:lang w:val="bg-BG" w:eastAsia="ro-RO"/>
        </w:rPr>
        <w:t>загуба на възможности за работа (приблизително 30 ÷ 75 преки работни места в етапите преди и по време на строителството)</w:t>
      </w:r>
      <w:r w:rsidR="000A0EB3" w:rsidRPr="007375EB">
        <w:rPr>
          <w:lang w:val="bg-BG" w:eastAsia="ro-RO"/>
        </w:rPr>
        <w:t xml:space="preserve">; </w:t>
      </w:r>
    </w:p>
    <w:p w14:paraId="520E5C88" w14:textId="77777777" w:rsidR="00C07C91" w:rsidRPr="007375EB" w:rsidRDefault="00C07C91" w:rsidP="00B80BB8">
      <w:pPr>
        <w:pStyle w:val="ListParagraph"/>
        <w:numPr>
          <w:ilvl w:val="0"/>
          <w:numId w:val="86"/>
        </w:numPr>
        <w:spacing w:after="120" w:line="360" w:lineRule="auto"/>
        <w:jc w:val="both"/>
        <w:rPr>
          <w:lang w:val="bg-BG" w:eastAsia="ro-RO"/>
        </w:rPr>
      </w:pPr>
      <w:r w:rsidRPr="007375EB">
        <w:rPr>
          <w:lang w:val="bg-BG" w:eastAsia="ro-RO"/>
        </w:rPr>
        <w:t xml:space="preserve">загуба на икономически възможности, които биха подпомогнали местната общност в социално-икономическото развитие, което би спомогнало за решаването на екологичните проблеми - загуба на интерес от страна на частни инвеститори към бъдещи проекти за индустриално развитие в региона и в Румъния; </w:t>
      </w:r>
    </w:p>
    <w:p w14:paraId="6E014F68" w14:textId="77777777" w:rsidR="00C07C91" w:rsidRPr="007375EB" w:rsidRDefault="00C07C91" w:rsidP="00B80BB8">
      <w:pPr>
        <w:pStyle w:val="ListParagraph"/>
        <w:numPr>
          <w:ilvl w:val="0"/>
          <w:numId w:val="86"/>
        </w:numPr>
        <w:spacing w:after="120" w:line="360" w:lineRule="auto"/>
        <w:jc w:val="both"/>
        <w:rPr>
          <w:lang w:val="bg-BG" w:eastAsia="ro-RO"/>
        </w:rPr>
      </w:pPr>
      <w:r w:rsidRPr="007375EB">
        <w:rPr>
          <w:lang w:val="bg-BG" w:eastAsia="ro-RO"/>
        </w:rPr>
        <w:lastRenderedPageBreak/>
        <w:t xml:space="preserve">загуба на подкрепа за разработването на надеждна алтернатива за производство на електроенергия в съответствие с политиките, разработени на европейско и национално равнище; </w:t>
      </w:r>
    </w:p>
    <w:p w14:paraId="37D6435C" w14:textId="4FEA63BE" w:rsidR="000847E1" w:rsidRPr="007375EB" w:rsidRDefault="00C07C91" w:rsidP="00B80BB8">
      <w:pPr>
        <w:pStyle w:val="ListParagraph"/>
        <w:numPr>
          <w:ilvl w:val="0"/>
          <w:numId w:val="86"/>
        </w:numPr>
        <w:spacing w:after="120" w:line="360" w:lineRule="auto"/>
        <w:jc w:val="both"/>
        <w:rPr>
          <w:lang w:val="bg-BG" w:eastAsia="ro-RO"/>
        </w:rPr>
      </w:pPr>
      <w:r w:rsidRPr="007375EB">
        <w:rPr>
          <w:lang w:val="bg-BG" w:eastAsia="ro-RO"/>
        </w:rPr>
        <w:t>невъзможност за постигане на целите, заложени на национално равнище по отношение на декарбонизацията на енергийния сектор, насърчаване на производството на енергия от възобновяеми източници за постигане на неутрална по отношение на парниковите газове Румъния до 2050 г.</w:t>
      </w:r>
      <w:r w:rsidR="00BD53C7" w:rsidRPr="007375EB">
        <w:rPr>
          <w:lang w:val="bg-BG" w:eastAsia="ro-RO"/>
        </w:rPr>
        <w:t>.</w:t>
      </w:r>
      <w:r w:rsidR="004559A0" w:rsidRPr="007375EB">
        <w:rPr>
          <w:lang w:val="bg-BG" w:eastAsia="ro-RO"/>
        </w:rPr>
        <w:t xml:space="preserve"> </w:t>
      </w:r>
    </w:p>
    <w:p w14:paraId="4A18A7B8" w14:textId="3FA0D514" w:rsidR="00C07C91" w:rsidRPr="007375EB" w:rsidRDefault="00C07C91" w:rsidP="00C07C91">
      <w:pPr>
        <w:spacing w:after="120" w:line="360" w:lineRule="auto"/>
        <w:jc w:val="both"/>
        <w:rPr>
          <w:lang w:val="bg-BG" w:eastAsia="ro-RO"/>
        </w:rPr>
      </w:pPr>
      <w:r w:rsidRPr="007375EB">
        <w:rPr>
          <w:b/>
          <w:bCs/>
          <w:color w:val="00B0F0"/>
          <w:lang w:val="bg-BG" w:eastAsia="ro-RO"/>
        </w:rPr>
        <w:t>Алтернатива</w:t>
      </w:r>
      <w:r w:rsidR="0020122B" w:rsidRPr="007375EB">
        <w:rPr>
          <w:b/>
          <w:bCs/>
          <w:color w:val="00B0F0"/>
          <w:lang w:val="bg-BG" w:eastAsia="ro-RO"/>
        </w:rPr>
        <w:t xml:space="preserve"> I</w:t>
      </w:r>
      <w:r w:rsidR="0020122B" w:rsidRPr="007375EB">
        <w:rPr>
          <w:lang w:val="bg-BG" w:eastAsia="ro-RO"/>
        </w:rPr>
        <w:t xml:space="preserve"> </w:t>
      </w:r>
      <w:r w:rsidRPr="007375EB">
        <w:rPr>
          <w:lang w:val="bg-BG" w:eastAsia="ro-RO"/>
        </w:rPr>
        <w:t xml:space="preserve">се състои от реализацията на три вятърни парка, състоящи се от 117 вятърни турбини с мощност 3 MW/турбина, като общата мощност на вятърния парк е 351 МВт, и 3 трансформаторни станции. </w:t>
      </w:r>
    </w:p>
    <w:p w14:paraId="0A6B8E90" w14:textId="424290D0" w:rsidR="0020122B" w:rsidRPr="007375EB" w:rsidRDefault="00C07C91" w:rsidP="00C07C91">
      <w:pPr>
        <w:spacing w:after="120" w:line="360" w:lineRule="auto"/>
        <w:jc w:val="both"/>
        <w:rPr>
          <w:lang w:val="bg-BG" w:eastAsia="ro-RO"/>
        </w:rPr>
      </w:pPr>
      <w:r w:rsidRPr="007375EB">
        <w:rPr>
          <w:lang w:val="bg-BG" w:eastAsia="ro-RO"/>
        </w:rPr>
        <w:t>За този вариант е необходима обща площ от 473,09 ha (съгласно решенията от етапа на категоризация, издадени през 2013 г.: DEI 14866/29.04.2013 г., DEI 14867/22.04.2013 г., DEI 14868/22.04.2013 г.), от които 3,90 ха са трайно заети от строителството, а 469,19 ха са временно заети от строителните работи. В този вариант земята, която понастоящем се използва за земеделие - обработваема земя, трябва да бъде преобразувана от земеделска в „технически и инфраструктурни съоръжения“, което предполага изваждането на 5 ха обработваема земя от земеделската земя</w:t>
      </w:r>
      <w:r w:rsidR="00EA5F45" w:rsidRPr="007375EB">
        <w:rPr>
          <w:lang w:val="bg-BG" w:eastAsia="ro-RO"/>
        </w:rPr>
        <w:t>.</w:t>
      </w:r>
    </w:p>
    <w:p w14:paraId="1F7EC227" w14:textId="77777777" w:rsidR="00C07C91" w:rsidRPr="007375EB" w:rsidRDefault="00C07C91" w:rsidP="00C07C91">
      <w:pPr>
        <w:spacing w:after="120" w:line="360" w:lineRule="auto"/>
        <w:jc w:val="both"/>
        <w:rPr>
          <w:lang w:val="bg-BG" w:eastAsia="ro-RO"/>
        </w:rPr>
      </w:pPr>
      <w:r w:rsidRPr="007375EB">
        <w:rPr>
          <w:b/>
          <w:bCs/>
          <w:i/>
          <w:iCs/>
          <w:color w:val="00B0F0"/>
          <w:lang w:val="bg-BG" w:eastAsia="ro-RO"/>
        </w:rPr>
        <w:t xml:space="preserve">Предимството </w:t>
      </w:r>
      <w:r w:rsidRPr="007375EB">
        <w:rPr>
          <w:lang w:val="bg-BG" w:eastAsia="ro-RO"/>
        </w:rPr>
        <w:t xml:space="preserve">на тази алтернатива е общата мощност от 351 МВт на трите вятърни парка, която ще замени еквивалентно количество електроенергия, произведена от изкопаеми горива, като по този начин ще допринесе за изпълнението на националните и европейските ангажименти за декарбонизация на енергийната система и диверсификация на източниците за производство на енергия, осигурявайки енергийна независимост. </w:t>
      </w:r>
    </w:p>
    <w:p w14:paraId="575B564F" w14:textId="1B7BDEA5" w:rsidR="008C0302" w:rsidRPr="007375EB" w:rsidRDefault="00C07C91" w:rsidP="00C07C91">
      <w:pPr>
        <w:spacing w:after="120" w:line="360" w:lineRule="auto"/>
        <w:jc w:val="both"/>
        <w:rPr>
          <w:lang w:val="bg-BG" w:eastAsia="ro-RO"/>
        </w:rPr>
      </w:pPr>
      <w:r w:rsidRPr="007375EB">
        <w:rPr>
          <w:b/>
          <w:bCs/>
          <w:i/>
          <w:iCs/>
          <w:color w:val="00B0F0"/>
          <w:lang w:val="bg-BG" w:eastAsia="ro-RO"/>
        </w:rPr>
        <w:t xml:space="preserve">Недостатъкът на Алтернатива I </w:t>
      </w:r>
      <w:r w:rsidRPr="007375EB">
        <w:rPr>
          <w:lang w:val="bg-BG" w:eastAsia="ro-RO"/>
        </w:rPr>
        <w:t>се състои в големия брой вятърни турбини, предвидени в PUZ, което предполага висока гъстота на турбините с въздействие върху населените места чрез повишаване на нивата на шума, засилване на засенчването, агломерация на естествения ландшафт</w:t>
      </w:r>
      <w:r w:rsidR="006E115C" w:rsidRPr="007375EB">
        <w:rPr>
          <w:lang w:val="bg-BG" w:eastAsia="ro-RO"/>
        </w:rPr>
        <w:t>.</w:t>
      </w:r>
    </w:p>
    <w:p w14:paraId="5AB243A1" w14:textId="72244E77" w:rsidR="00BA3F96" w:rsidRPr="007375EB" w:rsidRDefault="00C07C91" w:rsidP="00BA4CEC">
      <w:pPr>
        <w:spacing w:after="120" w:line="360" w:lineRule="auto"/>
        <w:ind w:left="284"/>
        <w:jc w:val="both"/>
        <w:rPr>
          <w:lang w:val="bg-BG" w:eastAsia="ro-RO"/>
        </w:rPr>
      </w:pPr>
      <w:r w:rsidRPr="007375EB">
        <w:rPr>
          <w:lang w:val="bg-BG" w:eastAsia="ro-RO"/>
        </w:rPr>
        <w:t>Освен това площта на земята, засегната от изграждането на нови пътища, фундаменти и платформи за 117 вятърни турбини и 3 трансформаторни станции</w:t>
      </w:r>
      <w:r w:rsidR="00413B5A" w:rsidRPr="007375EB">
        <w:rPr>
          <w:lang w:val="bg-BG" w:eastAsia="ro-RO"/>
        </w:rPr>
        <w:t>.</w:t>
      </w:r>
    </w:p>
    <w:p w14:paraId="2538368B" w14:textId="7F5D1E6E" w:rsidR="00855F24" w:rsidRPr="007375EB" w:rsidRDefault="00C07C91" w:rsidP="00855F24">
      <w:pPr>
        <w:spacing w:after="120" w:line="360" w:lineRule="auto"/>
        <w:ind w:left="284"/>
        <w:jc w:val="both"/>
        <w:rPr>
          <w:lang w:val="bg-BG" w:eastAsia="ro-RO"/>
        </w:rPr>
      </w:pPr>
      <w:r w:rsidRPr="007375EB">
        <w:rPr>
          <w:lang w:val="bg-BG" w:eastAsia="ro-RO"/>
        </w:rPr>
        <w:t>Освен това през 2011 г., датата на проучването за адекватна оценка на трите парка около Cerchezu, от които е взета анализираната PUZ, обектът ROSPA0166 не е бил обявен за защитена зона и проучването за адекватна оценка не се е основавало на оценка във връзка с целите за опазване на обектите по „Природа 2000“, тъй като по това време не са били определени конкретните цели за опазване. Основното заключение на това проучване за адекватна оценка е, че разполагането на вятърни турбини в района от интерес, който вече е антропогенизиран, ще има незначително въздействие върху местната растителност, флора и фауна</w:t>
      </w:r>
      <w:r w:rsidR="00855F24" w:rsidRPr="007375EB">
        <w:rPr>
          <w:lang w:val="bg-BG" w:eastAsia="ro-RO"/>
        </w:rPr>
        <w:t>.</w:t>
      </w:r>
    </w:p>
    <w:p w14:paraId="2085D792" w14:textId="118A94E1" w:rsidR="00330163" w:rsidRPr="007375EB" w:rsidRDefault="00C07C91" w:rsidP="00C07C91">
      <w:pPr>
        <w:spacing w:after="120" w:line="360" w:lineRule="auto"/>
        <w:jc w:val="both"/>
        <w:rPr>
          <w:lang w:val="bg-BG" w:eastAsia="ro-RO"/>
        </w:rPr>
      </w:pPr>
      <w:r w:rsidRPr="007375EB">
        <w:rPr>
          <w:b/>
          <w:bCs/>
          <w:color w:val="00B0F0"/>
          <w:lang w:val="bg-BG" w:eastAsia="ro-RO"/>
        </w:rPr>
        <w:t>Алтернатива</w:t>
      </w:r>
      <w:r w:rsidR="00330163" w:rsidRPr="007375EB">
        <w:rPr>
          <w:b/>
          <w:bCs/>
          <w:color w:val="00B0F0"/>
          <w:lang w:val="bg-BG" w:eastAsia="ro-RO"/>
        </w:rPr>
        <w:t xml:space="preserve"> II</w:t>
      </w:r>
      <w:r w:rsidR="00330163" w:rsidRPr="007375EB">
        <w:rPr>
          <w:lang w:val="bg-BG" w:eastAsia="ro-RO"/>
        </w:rPr>
        <w:t xml:space="preserve"> </w:t>
      </w:r>
      <w:r w:rsidRPr="007375EB">
        <w:rPr>
          <w:lang w:val="bg-BG" w:eastAsia="ro-RO"/>
        </w:rPr>
        <w:t xml:space="preserve">се състои в реализирането на вятърен парк, състоящ се от 48 вятърни турбини с мощност 6,6 МВт/турбина, като общата мощност на вятърния парк е 316,8 МВт, и 4 трансформаторни станции. За този вариант е необходима обща площ от 3 027,77 ха, от които 309,34 ха са постоянно заети от строителството, а 2 718,43 ха са временно заети от строителните работи. При този вариант земята, която в момента се използва за земеделие - обработваема земя, </w:t>
      </w:r>
      <w:r w:rsidRPr="007375EB">
        <w:rPr>
          <w:lang w:val="bg-BG" w:eastAsia="ro-RO"/>
        </w:rPr>
        <w:lastRenderedPageBreak/>
        <w:t>ще трябва да се преобразува от земеделска в „технически и инфраструктурни съоръжения“, което означава 309,34 ха обработваема земя да се извади от земеделско ползване</w:t>
      </w:r>
      <w:r w:rsidR="00330163" w:rsidRPr="007375EB">
        <w:rPr>
          <w:lang w:val="bg-BG" w:eastAsia="ro-RO"/>
        </w:rPr>
        <w:t>.</w:t>
      </w:r>
    </w:p>
    <w:p w14:paraId="4668B95D" w14:textId="3921D123" w:rsidR="00737D0F" w:rsidRPr="007375EB" w:rsidRDefault="006453CE" w:rsidP="00DC2A4D">
      <w:pPr>
        <w:spacing w:after="120" w:line="360" w:lineRule="auto"/>
        <w:ind w:left="284"/>
        <w:jc w:val="both"/>
        <w:rPr>
          <w:lang w:val="bg-BG" w:eastAsia="ro-RO"/>
        </w:rPr>
      </w:pPr>
      <w:r w:rsidRPr="007375EB">
        <w:rPr>
          <w:b/>
          <w:bCs/>
          <w:i/>
          <w:iCs/>
          <w:color w:val="00B0F0"/>
          <w:lang w:val="bg-BG" w:eastAsia="ro-RO"/>
        </w:rPr>
        <w:t xml:space="preserve">Предимството </w:t>
      </w:r>
      <w:r w:rsidRPr="007375EB">
        <w:rPr>
          <w:lang w:val="bg-BG" w:eastAsia="ro-RO"/>
        </w:rPr>
        <w:t>на тази алтернатива е значително по-малкият брой турбини, което свежда до минимум недостатъците на първата алтернатива, и разположението на турбините на по-голямо разстояние една от друга. Намаляването на броя на турбините, предвидени в PUZ, увеличава разстоянието между вятърните паркове до повече от 600 м в сравнение с около 350 м в ситуацията, одобрена през 2011 г., а по-ниската плътност води до по-балансирано използване на природните ресурси и намалява натиска върху биологичното разнообразие както през периода на изпълнение на проекта, така и по време на експлоатацията на вятърния парк</w:t>
      </w:r>
      <w:r w:rsidR="00737D0F" w:rsidRPr="007375EB">
        <w:rPr>
          <w:lang w:val="bg-BG" w:eastAsia="ro-RO"/>
        </w:rPr>
        <w:t>.</w:t>
      </w:r>
    </w:p>
    <w:p w14:paraId="0A8946EF" w14:textId="4C06747D" w:rsidR="00175138" w:rsidRPr="007375EB" w:rsidRDefault="006453CE" w:rsidP="00BA4CEC">
      <w:pPr>
        <w:spacing w:after="120" w:line="360" w:lineRule="auto"/>
        <w:ind w:left="284"/>
        <w:jc w:val="both"/>
        <w:rPr>
          <w:lang w:val="bg-BG" w:eastAsia="ro-RO"/>
        </w:rPr>
      </w:pPr>
      <w:r w:rsidRPr="007375EB">
        <w:rPr>
          <w:b/>
          <w:bCs/>
          <w:i/>
          <w:iCs/>
          <w:color w:val="00B0F0"/>
          <w:lang w:val="bg-BG" w:eastAsia="ro-RO"/>
        </w:rPr>
        <w:t xml:space="preserve">Недостатъкът </w:t>
      </w:r>
      <w:r w:rsidRPr="007375EB">
        <w:rPr>
          <w:lang w:val="bg-BG" w:eastAsia="ro-RO"/>
        </w:rPr>
        <w:t>на алтернатива II е по-ниската мощност на енергийния парк и несъвместимостта на турбините T17 и T23 с газопреносната мрежа, което доведе до появата на алтернатива III.</w:t>
      </w:r>
    </w:p>
    <w:p w14:paraId="492952F0" w14:textId="79AC3754" w:rsidR="00816891" w:rsidRPr="007375EB" w:rsidRDefault="006453CE" w:rsidP="006453CE">
      <w:pPr>
        <w:spacing w:after="120" w:line="360" w:lineRule="auto"/>
        <w:jc w:val="both"/>
        <w:rPr>
          <w:lang w:val="bg-BG" w:eastAsia="ro-RO"/>
        </w:rPr>
      </w:pPr>
      <w:r w:rsidRPr="007375EB">
        <w:rPr>
          <w:b/>
          <w:bCs/>
          <w:color w:val="00B0F0"/>
          <w:lang w:val="bg-BG" w:eastAsia="ro-RO"/>
        </w:rPr>
        <w:t xml:space="preserve">Алтернатива </w:t>
      </w:r>
      <w:r w:rsidR="00816891" w:rsidRPr="007375EB">
        <w:rPr>
          <w:b/>
          <w:bCs/>
          <w:color w:val="00B0F0"/>
          <w:lang w:val="bg-BG" w:eastAsia="ro-RO"/>
        </w:rPr>
        <w:t>III</w:t>
      </w:r>
      <w:r w:rsidR="00816891" w:rsidRPr="007375EB">
        <w:rPr>
          <w:lang w:val="bg-BG" w:eastAsia="ro-RO"/>
        </w:rPr>
        <w:t xml:space="preserve"> </w:t>
      </w:r>
      <w:r w:rsidRPr="007375EB">
        <w:rPr>
          <w:lang w:val="bg-BG" w:eastAsia="ro-RO"/>
        </w:rPr>
        <w:t>се състои в изграждането на вятърен парк, състоящ се от 46 вятърни турбини с мощност 6,6 МВт/турбина, като общата мощност на вятърния парк е 303,6 МВт, и 2 трансформаторни станции. За този вариант е необходима обща площ от 3 027,77 ха, от които 292,52 ха са постоянно заети от строителството, а 2 735,25 ха са временно заети от строителството. При този вариант земята, която понастоящем се използва за земеделски цели - обработваема земя, ще изисква промяна на категорията на земеползване в „технически и инфраструктурни съоръжения“, което ще включва извеждането на 100 ха обработваема земя от земеделско ползване</w:t>
      </w:r>
      <w:r w:rsidR="00816891" w:rsidRPr="007375EB">
        <w:rPr>
          <w:lang w:val="bg-BG" w:eastAsia="ro-RO"/>
        </w:rPr>
        <w:t>.</w:t>
      </w:r>
    </w:p>
    <w:p w14:paraId="515FA092" w14:textId="391F99E7" w:rsidR="00816891" w:rsidRPr="007375EB" w:rsidRDefault="006453CE" w:rsidP="00BA4CEC">
      <w:pPr>
        <w:spacing w:after="120" w:line="360" w:lineRule="auto"/>
        <w:ind w:left="284"/>
        <w:jc w:val="both"/>
        <w:rPr>
          <w:lang w:val="bg-BG" w:eastAsia="ro-RO"/>
        </w:rPr>
      </w:pPr>
      <w:r w:rsidRPr="007375EB">
        <w:rPr>
          <w:b/>
          <w:bCs/>
          <w:i/>
          <w:iCs/>
          <w:color w:val="00B0F0"/>
          <w:lang w:val="bg-BG" w:eastAsia="ro-RO"/>
        </w:rPr>
        <w:t xml:space="preserve">Предимството </w:t>
      </w:r>
      <w:r w:rsidRPr="007375EB">
        <w:rPr>
          <w:lang w:val="bg-BG" w:eastAsia="ro-RO"/>
        </w:rPr>
        <w:t>на тази алтернатива е съвместимостта с преносната мрежа за природен газ, както и предимствата на алтернатива II, свързани с по-малък брой вятърни турбини и по-ниска плътност.</w:t>
      </w:r>
    </w:p>
    <w:p w14:paraId="5C9FE3A5" w14:textId="068C0FB3" w:rsidR="00816891" w:rsidRPr="007375EB" w:rsidRDefault="006453CE" w:rsidP="00BA4CEC">
      <w:pPr>
        <w:spacing w:after="120" w:line="360" w:lineRule="auto"/>
        <w:ind w:left="284"/>
        <w:jc w:val="both"/>
        <w:rPr>
          <w:lang w:val="bg-BG" w:eastAsia="ro-RO"/>
        </w:rPr>
      </w:pPr>
      <w:r w:rsidRPr="007375EB">
        <w:rPr>
          <w:b/>
          <w:bCs/>
          <w:i/>
          <w:iCs/>
          <w:color w:val="00B0F0"/>
          <w:lang w:val="bg-BG" w:eastAsia="ro-RO"/>
        </w:rPr>
        <w:t xml:space="preserve">Недостатъкът </w:t>
      </w:r>
      <w:r w:rsidRPr="007375EB">
        <w:rPr>
          <w:lang w:val="bg-BG" w:eastAsia="ro-RO"/>
        </w:rPr>
        <w:t xml:space="preserve">на алтернатива </w:t>
      </w:r>
      <w:r w:rsidR="00816891" w:rsidRPr="007375EB">
        <w:rPr>
          <w:lang w:val="bg-BG" w:eastAsia="ro-RO"/>
        </w:rPr>
        <w:t>II</w:t>
      </w:r>
      <w:r w:rsidR="001D7D2B" w:rsidRPr="007375EB">
        <w:rPr>
          <w:lang w:val="bg-BG" w:eastAsia="ro-RO"/>
        </w:rPr>
        <w:t>I</w:t>
      </w:r>
      <w:r w:rsidR="00816891" w:rsidRPr="007375EB">
        <w:rPr>
          <w:lang w:val="bg-BG" w:eastAsia="ro-RO"/>
        </w:rPr>
        <w:t xml:space="preserve"> </w:t>
      </w:r>
      <w:r w:rsidR="00447350" w:rsidRPr="007375EB">
        <w:rPr>
          <w:lang w:val="bg-BG" w:eastAsia="ro-RO"/>
        </w:rPr>
        <w:t>е по-ниската мощност на произведената електроенергия</w:t>
      </w:r>
      <w:r w:rsidR="0001013B" w:rsidRPr="007375EB">
        <w:rPr>
          <w:lang w:val="bg-BG" w:eastAsia="ro-RO"/>
        </w:rPr>
        <w:t>.</w:t>
      </w:r>
    </w:p>
    <w:p w14:paraId="1224BE3A" w14:textId="00A2827D" w:rsidR="00720A53" w:rsidRPr="007375EB" w:rsidRDefault="00447350" w:rsidP="005F731D">
      <w:pPr>
        <w:pStyle w:val="ListParagraph"/>
        <w:numPr>
          <w:ilvl w:val="0"/>
          <w:numId w:val="65"/>
        </w:numPr>
        <w:spacing w:after="120" w:line="360" w:lineRule="auto"/>
        <w:jc w:val="both"/>
        <w:rPr>
          <w:lang w:val="bg-BG"/>
        </w:rPr>
      </w:pPr>
      <w:r w:rsidRPr="007375EB">
        <w:rPr>
          <w:lang w:val="bg-BG" w:eastAsia="ro-RO"/>
        </w:rPr>
        <w:t xml:space="preserve">След анализа на алтернативите </w:t>
      </w:r>
      <w:r w:rsidRPr="007375EB">
        <w:rPr>
          <w:b/>
          <w:bCs/>
          <w:color w:val="0070C0"/>
          <w:lang w:val="bg-BG" w:eastAsia="ro-RO"/>
        </w:rPr>
        <w:t>алтернатива III</w:t>
      </w:r>
      <w:r w:rsidRPr="007375EB">
        <w:rPr>
          <w:lang w:val="bg-BG" w:eastAsia="ro-RO"/>
        </w:rPr>
        <w:t xml:space="preserve"> се счита за оптимална поради следните причини: </w:t>
      </w:r>
      <w:r w:rsidRPr="007375EB">
        <w:rPr>
          <w:lang w:val="bg-BG"/>
        </w:rPr>
        <w:t>свеждане до минимум на отрицателните въздействия върху околната среда чрез намаляване на броя на вятърните турбини;</w:t>
      </w:r>
    </w:p>
    <w:p w14:paraId="52F16797" w14:textId="3B325EF1" w:rsidR="00413B5A" w:rsidRPr="007375EB" w:rsidRDefault="00DC6FF5" w:rsidP="005F731D">
      <w:pPr>
        <w:pStyle w:val="ListParagraph"/>
        <w:numPr>
          <w:ilvl w:val="0"/>
          <w:numId w:val="65"/>
        </w:numPr>
        <w:spacing w:after="120" w:line="360" w:lineRule="auto"/>
        <w:jc w:val="both"/>
        <w:rPr>
          <w:lang w:val="bg-BG"/>
        </w:rPr>
      </w:pPr>
      <w:r w:rsidRPr="007375EB">
        <w:rPr>
          <w:lang w:val="bg-BG"/>
        </w:rPr>
        <w:t>по-ефективно използване на въздушните течения чрез оптимално позициониране на турбините една спрямо друга, на по-големи разстояния, което води до работата им при най-добри условия и до повишаване на ефективността на вятърния парк</w:t>
      </w:r>
      <w:r w:rsidR="00720A53" w:rsidRPr="007375EB">
        <w:rPr>
          <w:lang w:val="bg-BG"/>
        </w:rPr>
        <w:t>.</w:t>
      </w:r>
    </w:p>
    <w:p w14:paraId="71C7A442" w14:textId="77777777" w:rsidR="00C53031" w:rsidRPr="007375EB" w:rsidRDefault="00C53031" w:rsidP="00C53031">
      <w:pPr>
        <w:pStyle w:val="ListParagraph"/>
        <w:spacing w:after="120" w:line="360" w:lineRule="auto"/>
        <w:jc w:val="both"/>
        <w:rPr>
          <w:lang w:val="bg-BG"/>
        </w:rPr>
      </w:pPr>
    </w:p>
    <w:p w14:paraId="2F181A07" w14:textId="4F62F1B6" w:rsidR="00C53031" w:rsidRPr="007375EB" w:rsidRDefault="00DC6FF5" w:rsidP="00DC6FF5">
      <w:pPr>
        <w:pStyle w:val="ListParagraph"/>
        <w:numPr>
          <w:ilvl w:val="1"/>
          <w:numId w:val="77"/>
        </w:numPr>
        <w:spacing w:after="120" w:line="360" w:lineRule="auto"/>
        <w:contextualSpacing w:val="0"/>
        <w:jc w:val="both"/>
        <w:outlineLvl w:val="1"/>
        <w:rPr>
          <w:b/>
          <w:bCs/>
          <w:i/>
          <w:iCs/>
          <w:color w:val="009DF0"/>
          <w:lang w:val="bg-BG" w:eastAsia="ro-RO"/>
        </w:rPr>
      </w:pPr>
      <w:r w:rsidRPr="007375EB">
        <w:rPr>
          <w:b/>
          <w:bCs/>
          <w:i/>
          <w:iCs/>
          <w:color w:val="009DF0"/>
          <w:lang w:val="bg-BG" w:eastAsia="ro-RO"/>
        </w:rPr>
        <w:t>Трудности, възникнали при обработката на исканата информация</w:t>
      </w:r>
    </w:p>
    <w:p w14:paraId="559C2FE4" w14:textId="5E1D19AC" w:rsidR="00DC6FF5" w:rsidRPr="007375EB" w:rsidRDefault="00DC6FF5" w:rsidP="00DC6FF5">
      <w:pPr>
        <w:spacing w:after="120" w:line="360" w:lineRule="auto"/>
        <w:jc w:val="both"/>
        <w:rPr>
          <w:lang w:val="bg-BG" w:eastAsia="ro-RO"/>
        </w:rPr>
      </w:pPr>
      <w:r w:rsidRPr="007375EB">
        <w:rPr>
          <w:lang w:val="bg-BG" w:eastAsia="ro-RO"/>
        </w:rPr>
        <w:t>По време на създаването на Доклад на околната среда за анализираните P.U.Z, срещнатите трудности се състоят в липсата на данни на местно ниво относно качеството на въздуха, икономическите дейности, извършвани на ниво АТЕ, трудния достъп до данните от България.</w:t>
      </w:r>
    </w:p>
    <w:p w14:paraId="3607378A" w14:textId="63E6229B" w:rsidR="008B4EB9" w:rsidRPr="007375EB" w:rsidRDefault="00DC6FF5" w:rsidP="00DC6FF5">
      <w:pPr>
        <w:spacing w:after="120" w:line="360" w:lineRule="auto"/>
        <w:jc w:val="both"/>
        <w:rPr>
          <w:lang w:val="bg-BG" w:eastAsia="ro-RO"/>
        </w:rPr>
      </w:pPr>
      <w:r w:rsidRPr="007375EB">
        <w:rPr>
          <w:lang w:val="bg-BG" w:eastAsia="ro-RO"/>
        </w:rPr>
        <w:t>Към това се добавя липсата на данни относно оценката на въздействието на съществуващи и/или предложени проекти, които е вероятно да имат кумулативно въздействие с предложения план</w:t>
      </w:r>
      <w:r w:rsidR="00A10440" w:rsidRPr="007375EB">
        <w:rPr>
          <w:lang w:val="bg-BG" w:eastAsia="ro-RO"/>
        </w:rPr>
        <w:t>.</w:t>
      </w:r>
    </w:p>
    <w:p w14:paraId="0767FD06" w14:textId="77777777" w:rsidR="00666937" w:rsidRPr="007375EB" w:rsidRDefault="00666937" w:rsidP="00185670">
      <w:pPr>
        <w:spacing w:after="120" w:line="360" w:lineRule="auto"/>
        <w:jc w:val="both"/>
        <w:rPr>
          <w:lang w:val="bg-BG" w:eastAsia="ro-RO"/>
        </w:rPr>
        <w:sectPr w:rsidR="00666937" w:rsidRPr="007375EB" w:rsidSect="004F25D1">
          <w:pgSz w:w="11906" w:h="16838" w:code="9"/>
          <w:pgMar w:top="1560" w:right="1416" w:bottom="1418" w:left="1191" w:header="839" w:footer="680" w:gutter="0"/>
          <w:cols w:space="708"/>
          <w:docGrid w:linePitch="360"/>
        </w:sectPr>
      </w:pPr>
    </w:p>
    <w:p w14:paraId="1DDA9784" w14:textId="423ABF4F" w:rsidR="006B59ED" w:rsidRPr="007375EB" w:rsidRDefault="00C07C91" w:rsidP="0041531F">
      <w:pPr>
        <w:pStyle w:val="Heading1"/>
        <w:numPr>
          <w:ilvl w:val="0"/>
          <w:numId w:val="77"/>
        </w:numPr>
        <w:suppressAutoHyphens w:val="0"/>
        <w:spacing w:before="0" w:after="240" w:line="360" w:lineRule="auto"/>
        <w:ind w:left="567" w:hanging="567"/>
        <w:contextualSpacing w:val="0"/>
        <w:jc w:val="both"/>
        <w:rPr>
          <w:b/>
          <w:bCs w:val="0"/>
          <w:sz w:val="20"/>
          <w:szCs w:val="20"/>
          <w:lang w:val="bg-BG" w:eastAsia="ro-RO"/>
        </w:rPr>
      </w:pPr>
      <w:bookmarkStart w:id="43" w:name="_Toc167697423"/>
      <w:r w:rsidRPr="007375EB">
        <w:rPr>
          <w:b/>
          <w:bCs w:val="0"/>
          <w:sz w:val="20"/>
          <w:szCs w:val="20"/>
          <w:lang w:val="bg-BG" w:eastAsia="ro-RO"/>
        </w:rPr>
        <w:lastRenderedPageBreak/>
        <w:t xml:space="preserve">Описание на мерките, предвидени за наблюдение на значителните последици от прилагането на </w:t>
      </w:r>
      <w:r w:rsidR="00347315" w:rsidRPr="007375EB">
        <w:rPr>
          <w:b/>
          <w:bCs w:val="0"/>
          <w:sz w:val="20"/>
          <w:szCs w:val="20"/>
          <w:lang w:val="bg-BG" w:eastAsia="ro-RO"/>
        </w:rPr>
        <w:t>PUZ</w:t>
      </w:r>
      <w:bookmarkEnd w:id="43"/>
    </w:p>
    <w:p w14:paraId="04A7728B" w14:textId="1E8942FC" w:rsidR="00DC6FF5" w:rsidRPr="007375EB" w:rsidRDefault="00DC6FF5" w:rsidP="00DC6FF5">
      <w:pPr>
        <w:spacing w:after="120" w:line="360" w:lineRule="auto"/>
        <w:jc w:val="both"/>
        <w:rPr>
          <w:lang w:val="bg-BG" w:eastAsia="ro-RO"/>
        </w:rPr>
      </w:pPr>
      <w:r w:rsidRPr="007375EB">
        <w:rPr>
          <w:lang w:val="bg-BG" w:eastAsia="ro-RO"/>
        </w:rPr>
        <w:t>Съгласно разпоредбите на ПР № 1076/2004, наблюдението на изпълнението на плана, въз основа на програмата, предложена от собственика, има за цел да идентифицира от самото начало неговите значителни въздействия върху околната среда, както и непредвидени неблагоприятни въздействия, за да може да предприеме подходящо отстраняване действия. Изпълнението и изпълнението на програмата за мониторинг на въздействието върху околната среда е задължение на собственика на PUZ.</w:t>
      </w:r>
    </w:p>
    <w:p w14:paraId="3211DEEF" w14:textId="3F67F778" w:rsidR="004E75B0" w:rsidRPr="007375EB" w:rsidRDefault="00DC6FF5" w:rsidP="00DC6FF5">
      <w:pPr>
        <w:spacing w:after="120" w:line="360" w:lineRule="auto"/>
        <w:jc w:val="both"/>
        <w:rPr>
          <w:lang w:val="bg-BG" w:eastAsia="ro-RO"/>
        </w:rPr>
      </w:pPr>
      <w:r w:rsidRPr="007375EB">
        <w:rPr>
          <w:lang w:val="bg-BG" w:eastAsia="ro-RO"/>
        </w:rPr>
        <w:t>Както става ясно от оценката на потенциалните въздействия върху околната среда, разпоредбите на PUZ няма да генерират значителни отрицателни въздействия върху околната среда (виж глава 7). В същото време прилагането на PUZ може да доведе до промени от икономическо или социално естество на ниво община Черкезу</w:t>
      </w:r>
      <w:r w:rsidR="004E75B0" w:rsidRPr="007375EB">
        <w:rPr>
          <w:lang w:val="bg-BG" w:eastAsia="ro-RO"/>
        </w:rPr>
        <w:t>.</w:t>
      </w:r>
    </w:p>
    <w:p w14:paraId="7172BD89" w14:textId="353B10E0" w:rsidR="00DC6FF5" w:rsidRPr="007375EB" w:rsidRDefault="00DC6FF5" w:rsidP="00DC6FF5">
      <w:pPr>
        <w:spacing w:after="120" w:line="360" w:lineRule="auto"/>
        <w:jc w:val="both"/>
        <w:rPr>
          <w:lang w:val="bg-BG" w:eastAsia="ro-RO"/>
        </w:rPr>
      </w:pPr>
      <w:r w:rsidRPr="007375EB">
        <w:rPr>
          <w:lang w:val="bg-BG" w:eastAsia="ro-RO"/>
        </w:rPr>
        <w:t xml:space="preserve">Мониторингът на ефектите от изпълнението на плана ще се извършва съгласно разпоредбите на чл. 27, на ПР № 1076/2004, отнасящи се до значителните въздействия върху околната среда, съответно до всички видове въздействия, положителни, неблагоприятни, предвидени или непредвидени. Трябва да се следят не само преки, но и косвени, синергични и кумулативни ефекти. Мониторингът на други ефекти (неоценени като значими) може да бъде оправдан и полезен, ако се вземе предвид количественото определяне на глобалните ефекти от прилагането на PUZ. </w:t>
      </w:r>
    </w:p>
    <w:p w14:paraId="727501AF" w14:textId="59DE1BC4" w:rsidR="004E75B0" w:rsidRPr="007375EB" w:rsidRDefault="00DC6FF5" w:rsidP="00DC6FF5">
      <w:pPr>
        <w:spacing w:after="120" w:line="360" w:lineRule="auto"/>
        <w:jc w:val="both"/>
        <w:rPr>
          <w:lang w:val="bg-BG" w:eastAsia="ro-RO"/>
        </w:rPr>
      </w:pPr>
      <w:r w:rsidRPr="007375EB">
        <w:rPr>
          <w:lang w:val="bg-BG" w:eastAsia="ro-RO"/>
        </w:rPr>
        <w:t>Мониторингът на качеството на факторите на околната среда във времето ще трябва да се извършва в сътрудничество с органите, участващи в процеса на одобрение на PUZ. Мониторингът на собственика на плана ще се отнася само за онези дейности, които могат да бъдат количествено определени по отношение на стойности, количества и срок на изпълнение, ще включва периода на изпълнение на строителните работи и периода на експлоатация</w:t>
      </w:r>
      <w:r w:rsidR="004E75B0" w:rsidRPr="007375EB">
        <w:rPr>
          <w:lang w:val="bg-BG" w:eastAsia="ro-RO"/>
        </w:rPr>
        <w:t>.</w:t>
      </w:r>
    </w:p>
    <w:p w14:paraId="15111BF7" w14:textId="7C6CDA79" w:rsidR="00154E02" w:rsidRPr="007375EB" w:rsidRDefault="00DC6FF5" w:rsidP="00154E02">
      <w:pPr>
        <w:spacing w:after="160" w:line="259" w:lineRule="auto"/>
        <w:jc w:val="both"/>
        <w:rPr>
          <w:rFonts w:eastAsia="Calibri"/>
          <w:lang w:val="bg-BG"/>
        </w:rPr>
      </w:pPr>
      <w:r w:rsidRPr="007375EB">
        <w:rPr>
          <w:rFonts w:eastAsia="Calibri"/>
          <w:lang w:val="bg-BG"/>
        </w:rPr>
        <w:t>Компетентните институции оказват подкрепа при изпълнението и спазването на Програмата за мониторинг</w:t>
      </w:r>
      <w:r w:rsidR="00154E02" w:rsidRPr="007375EB">
        <w:rPr>
          <w:rFonts w:eastAsia="Calibri"/>
          <w:lang w:val="bg-BG"/>
        </w:rPr>
        <w:t>:</w:t>
      </w:r>
    </w:p>
    <w:p w14:paraId="4C6A8BE6" w14:textId="3F015775" w:rsidR="00154E02" w:rsidRPr="007375EB" w:rsidRDefault="00DC6FF5" w:rsidP="00A83AD5">
      <w:pPr>
        <w:numPr>
          <w:ilvl w:val="0"/>
          <w:numId w:val="84"/>
        </w:numPr>
        <w:spacing w:line="360" w:lineRule="auto"/>
        <w:jc w:val="both"/>
        <w:rPr>
          <w:lang w:val="bg-BG"/>
        </w:rPr>
      </w:pPr>
      <w:r w:rsidRPr="007375EB">
        <w:rPr>
          <w:lang w:val="bg-BG"/>
        </w:rPr>
        <w:t>Местна публична администрация (AL) (Кметството на Община Черкезу</w:t>
      </w:r>
      <w:r w:rsidR="00154E02" w:rsidRPr="007375EB">
        <w:rPr>
          <w:lang w:val="bg-BG"/>
        </w:rPr>
        <w:t>);</w:t>
      </w:r>
    </w:p>
    <w:p w14:paraId="25A7C7E3" w14:textId="7FCF1D48" w:rsidR="00DC6FF5" w:rsidRPr="007375EB" w:rsidRDefault="00DC6FF5" w:rsidP="00DC6FF5">
      <w:pPr>
        <w:numPr>
          <w:ilvl w:val="0"/>
          <w:numId w:val="84"/>
        </w:numPr>
        <w:spacing w:line="360" w:lineRule="auto"/>
        <w:jc w:val="both"/>
        <w:rPr>
          <w:lang w:val="bg-BG"/>
        </w:rPr>
      </w:pPr>
      <w:r w:rsidRPr="007375EB">
        <w:rPr>
          <w:lang w:val="bg-BG"/>
        </w:rPr>
        <w:t>Окръжен съвет Констанца</w:t>
      </w:r>
    </w:p>
    <w:p w14:paraId="30AC051D" w14:textId="5D495E9E" w:rsidR="00DC6FF5" w:rsidRPr="007375EB" w:rsidRDefault="00DC6FF5" w:rsidP="00DC6FF5">
      <w:pPr>
        <w:numPr>
          <w:ilvl w:val="0"/>
          <w:numId w:val="84"/>
        </w:numPr>
        <w:spacing w:line="360" w:lineRule="auto"/>
        <w:jc w:val="both"/>
        <w:rPr>
          <w:lang w:val="bg-BG"/>
        </w:rPr>
      </w:pPr>
      <w:r w:rsidRPr="007375EB">
        <w:rPr>
          <w:lang w:val="bg-BG"/>
        </w:rPr>
        <w:t>Агенция за опазване на околната среда (APM Констанца)</w:t>
      </w:r>
    </w:p>
    <w:p w14:paraId="524D0579" w14:textId="730339AD" w:rsidR="00DC6FF5" w:rsidRPr="007375EB" w:rsidRDefault="00DC6FF5" w:rsidP="00DC6FF5">
      <w:pPr>
        <w:numPr>
          <w:ilvl w:val="0"/>
          <w:numId w:val="84"/>
        </w:numPr>
        <w:spacing w:line="360" w:lineRule="auto"/>
        <w:jc w:val="both"/>
        <w:rPr>
          <w:lang w:val="bg-BG"/>
        </w:rPr>
      </w:pPr>
      <w:r w:rsidRPr="007375EB">
        <w:rPr>
          <w:lang w:val="bg-BG"/>
        </w:rPr>
        <w:t>Национална агенция за защитени територии</w:t>
      </w:r>
    </w:p>
    <w:p w14:paraId="6FD7C7EC" w14:textId="740F0920" w:rsidR="00DC6FF5" w:rsidRPr="007375EB" w:rsidRDefault="00DC6FF5" w:rsidP="00DC6FF5">
      <w:pPr>
        <w:numPr>
          <w:ilvl w:val="0"/>
          <w:numId w:val="84"/>
        </w:numPr>
        <w:spacing w:line="360" w:lineRule="auto"/>
        <w:jc w:val="both"/>
        <w:rPr>
          <w:lang w:val="bg-BG"/>
        </w:rPr>
      </w:pPr>
      <w:r w:rsidRPr="007375EB">
        <w:rPr>
          <w:lang w:val="bg-BG"/>
        </w:rPr>
        <w:t>Охрана на околната среда (Полицейски участък в Констанца)</w:t>
      </w:r>
    </w:p>
    <w:p w14:paraId="01D1E33E" w14:textId="77777777" w:rsidR="00DC6FF5" w:rsidRPr="007375EB" w:rsidRDefault="00DC6FF5" w:rsidP="005170B9">
      <w:pPr>
        <w:numPr>
          <w:ilvl w:val="0"/>
          <w:numId w:val="84"/>
        </w:numPr>
        <w:spacing w:line="360" w:lineRule="auto"/>
        <w:jc w:val="both"/>
        <w:rPr>
          <w:lang w:val="bg-BG"/>
        </w:rPr>
      </w:pPr>
      <w:r w:rsidRPr="007375EB">
        <w:rPr>
          <w:lang w:val="bg-BG"/>
        </w:rPr>
        <w:t xml:space="preserve">Администрация на водния басейн Крайбрежна Добруджа </w:t>
      </w:r>
    </w:p>
    <w:p w14:paraId="291B1470" w14:textId="77777777" w:rsidR="00DC6FF5" w:rsidRPr="007375EB" w:rsidRDefault="00DC6FF5" w:rsidP="005170B9">
      <w:pPr>
        <w:numPr>
          <w:ilvl w:val="0"/>
          <w:numId w:val="84"/>
        </w:numPr>
        <w:spacing w:line="360" w:lineRule="auto"/>
        <w:jc w:val="both"/>
        <w:rPr>
          <w:lang w:val="bg-BG"/>
        </w:rPr>
      </w:pPr>
      <w:r w:rsidRPr="007375EB">
        <w:rPr>
          <w:lang w:val="bg-BG"/>
        </w:rPr>
        <w:t xml:space="preserve">Горска охрана Букурещ </w:t>
      </w:r>
    </w:p>
    <w:p w14:paraId="0AA43E78" w14:textId="77777777" w:rsidR="00DC6FF5" w:rsidRPr="007375EB" w:rsidRDefault="00DC6FF5" w:rsidP="005170B9">
      <w:pPr>
        <w:numPr>
          <w:ilvl w:val="0"/>
          <w:numId w:val="84"/>
        </w:numPr>
        <w:spacing w:line="360" w:lineRule="auto"/>
        <w:jc w:val="both"/>
        <w:rPr>
          <w:lang w:val="bg-BG"/>
        </w:rPr>
      </w:pPr>
      <w:r w:rsidRPr="007375EB">
        <w:rPr>
          <w:lang w:val="bg-BG"/>
        </w:rPr>
        <w:t>Министерство на вътрешните работи</w:t>
      </w:r>
    </w:p>
    <w:p w14:paraId="5454E2CE" w14:textId="4515CAEB" w:rsidR="00DC6FF5" w:rsidRPr="007375EB" w:rsidRDefault="00DC6FF5" w:rsidP="00DC6FF5">
      <w:pPr>
        <w:numPr>
          <w:ilvl w:val="0"/>
          <w:numId w:val="84"/>
        </w:numPr>
        <w:spacing w:line="360" w:lineRule="auto"/>
        <w:jc w:val="both"/>
        <w:rPr>
          <w:lang w:val="bg-BG"/>
        </w:rPr>
      </w:pPr>
      <w:r w:rsidRPr="007375EB">
        <w:rPr>
          <w:lang w:val="bg-BG"/>
        </w:rPr>
        <w:t>Националната компания за транспорт на природен газ "TRANSGAZ SA"</w:t>
      </w:r>
    </w:p>
    <w:p w14:paraId="578DE807" w14:textId="275A5B49" w:rsidR="00DC6FF5" w:rsidRPr="007375EB" w:rsidRDefault="00DC6FF5" w:rsidP="00DC6FF5">
      <w:pPr>
        <w:numPr>
          <w:ilvl w:val="0"/>
          <w:numId w:val="84"/>
        </w:numPr>
        <w:spacing w:line="360" w:lineRule="auto"/>
        <w:jc w:val="both"/>
        <w:rPr>
          <w:lang w:val="bg-BG"/>
        </w:rPr>
      </w:pPr>
      <w:r w:rsidRPr="007375EB">
        <w:rPr>
          <w:lang w:val="bg-BG"/>
        </w:rPr>
        <w:t>Национална компания за електропренос – TRANSELECTRICA SA</w:t>
      </w:r>
    </w:p>
    <w:p w14:paraId="74511C17" w14:textId="75CDEA4A" w:rsidR="00A242DC" w:rsidRPr="007375EB" w:rsidRDefault="00DC6FF5" w:rsidP="00DC6FF5">
      <w:pPr>
        <w:numPr>
          <w:ilvl w:val="0"/>
          <w:numId w:val="84"/>
        </w:numPr>
        <w:spacing w:line="360" w:lineRule="auto"/>
        <w:jc w:val="both"/>
        <w:rPr>
          <w:lang w:val="bg-BG"/>
        </w:rPr>
      </w:pPr>
      <w:r w:rsidRPr="007375EB">
        <w:rPr>
          <w:lang w:val="bg-BG"/>
        </w:rPr>
        <w:t>Дирекция за култура на окръг Констанца</w:t>
      </w:r>
      <w:r w:rsidR="00FC3614" w:rsidRPr="007375EB">
        <w:rPr>
          <w:lang w:val="bg-BG"/>
        </w:rPr>
        <w:t xml:space="preserve">Direcția pentru </w:t>
      </w:r>
      <w:r w:rsidR="00FA4E49" w:rsidRPr="007375EB">
        <w:rPr>
          <w:lang w:val="bg-BG"/>
        </w:rPr>
        <w:t>A</w:t>
      </w:r>
      <w:r w:rsidR="00FC3614" w:rsidRPr="007375EB">
        <w:rPr>
          <w:lang w:val="bg-BG"/>
        </w:rPr>
        <w:t>gricultură</w:t>
      </w:r>
      <w:r w:rsidR="00FA4E49" w:rsidRPr="007375EB">
        <w:rPr>
          <w:lang w:val="bg-BG"/>
        </w:rPr>
        <w:t xml:space="preserve"> Județeană Constanța</w:t>
      </w:r>
    </w:p>
    <w:p w14:paraId="0C509622" w14:textId="2764ABBA" w:rsidR="00DC6FF5" w:rsidRPr="007375EB" w:rsidRDefault="00DC6FF5" w:rsidP="00A83AD5">
      <w:pPr>
        <w:numPr>
          <w:ilvl w:val="0"/>
          <w:numId w:val="84"/>
        </w:numPr>
        <w:spacing w:line="360" w:lineRule="auto"/>
        <w:jc w:val="both"/>
        <w:rPr>
          <w:lang w:val="bg-BG"/>
        </w:rPr>
      </w:pPr>
      <w:r w:rsidRPr="007375EB">
        <w:rPr>
          <w:lang w:val="bg-BG"/>
        </w:rPr>
        <w:t>Дирекция по горите</w:t>
      </w:r>
    </w:p>
    <w:p w14:paraId="07FFE894" w14:textId="66D395DF" w:rsidR="00112E93" w:rsidRPr="007375EB" w:rsidRDefault="00DC6FF5">
      <w:pPr>
        <w:rPr>
          <w:lang w:val="bg-BG"/>
        </w:rPr>
      </w:pPr>
      <w:r w:rsidRPr="007375EB">
        <w:rPr>
          <w:lang w:val="bg-BG"/>
        </w:rPr>
        <w:lastRenderedPageBreak/>
        <w:t>• Други субекти: Регионална дирекция по пътищата/CNAIR, Санитарен оператор, Икономически оператори, които предлагат проекти в района/извършват дейности в района</w:t>
      </w:r>
    </w:p>
    <w:p w14:paraId="3B34E1A4" w14:textId="77777777" w:rsidR="00CF0576" w:rsidRPr="007375EB" w:rsidRDefault="00CF0576">
      <w:pPr>
        <w:rPr>
          <w:lang w:val="bg-BG"/>
        </w:rPr>
        <w:sectPr w:rsidR="00CF0576" w:rsidRPr="007375EB" w:rsidSect="00023D68">
          <w:pgSz w:w="11906" w:h="16838" w:code="9"/>
          <w:pgMar w:top="2013" w:right="1416" w:bottom="1418" w:left="1191" w:header="839" w:footer="680" w:gutter="0"/>
          <w:cols w:space="708"/>
          <w:docGrid w:linePitch="360"/>
        </w:sectPr>
      </w:pPr>
    </w:p>
    <w:p w14:paraId="016CF6B3" w14:textId="77777777" w:rsidR="00CF0576" w:rsidRPr="007375EB" w:rsidRDefault="00CF0576">
      <w:pPr>
        <w:rPr>
          <w:lang w:val="bg-BG"/>
        </w:rPr>
      </w:pPr>
    </w:p>
    <w:p w14:paraId="1274122B" w14:textId="6CCD0F00" w:rsidR="005765BA" w:rsidRPr="007375EB" w:rsidRDefault="00C07C91" w:rsidP="005765BA">
      <w:pPr>
        <w:spacing w:line="360" w:lineRule="auto"/>
        <w:ind w:left="360"/>
        <w:jc w:val="both"/>
        <w:rPr>
          <w:lang w:val="bg-BG"/>
        </w:rPr>
      </w:pPr>
      <w:r w:rsidRPr="007375EB">
        <w:rPr>
          <w:lang w:val="bg-BG"/>
        </w:rPr>
        <w:t xml:space="preserve">В таблицата по-долу са представени предложенията за мониторинг на въздействието на изпълнението на анализирания план върху екологичните аспекти, оценени за тази </w:t>
      </w:r>
      <w:r w:rsidR="00140396" w:rsidRPr="007375EB">
        <w:rPr>
          <w:lang w:val="bg-BG"/>
        </w:rPr>
        <w:t>PUZ.</w:t>
      </w:r>
    </w:p>
    <w:p w14:paraId="5FC1E4F3" w14:textId="0A5CC539" w:rsidR="003D12A2" w:rsidRPr="007375EB" w:rsidRDefault="00C07C91" w:rsidP="00204D53">
      <w:pPr>
        <w:pStyle w:val="Caption"/>
        <w:spacing w:before="0" w:after="0" w:line="240" w:lineRule="auto"/>
        <w:ind w:right="-198"/>
        <w:jc w:val="both"/>
        <w:rPr>
          <w:sz w:val="16"/>
          <w:szCs w:val="16"/>
          <w:lang w:val="bg-BG"/>
        </w:rPr>
      </w:pPr>
      <w:r w:rsidRPr="007375EB">
        <w:rPr>
          <w:sz w:val="16"/>
          <w:szCs w:val="16"/>
          <w:lang w:val="bg-BG"/>
        </w:rPr>
        <w:t>Таблица</w:t>
      </w:r>
      <w:r w:rsidR="003D12A2" w:rsidRPr="007375EB">
        <w:rPr>
          <w:sz w:val="16"/>
          <w:szCs w:val="16"/>
          <w:lang w:val="bg-BG"/>
        </w:rPr>
        <w:t xml:space="preserve"> 10- </w:t>
      </w:r>
      <w:r w:rsidR="003D12A2" w:rsidRPr="007375EB">
        <w:rPr>
          <w:sz w:val="16"/>
          <w:szCs w:val="16"/>
          <w:lang w:val="bg-BG"/>
        </w:rPr>
        <w:fldChar w:fldCharType="begin"/>
      </w:r>
      <w:r w:rsidR="003D12A2" w:rsidRPr="007375EB">
        <w:rPr>
          <w:sz w:val="16"/>
          <w:szCs w:val="16"/>
          <w:lang w:val="bg-BG"/>
        </w:rPr>
        <w:instrText xml:space="preserve"> SEQ Tabel_10- \* ARABIC </w:instrText>
      </w:r>
      <w:r w:rsidR="003D12A2" w:rsidRPr="007375EB">
        <w:rPr>
          <w:sz w:val="16"/>
          <w:szCs w:val="16"/>
          <w:lang w:val="bg-BG"/>
        </w:rPr>
        <w:fldChar w:fldCharType="separate"/>
      </w:r>
      <w:r w:rsidR="003D12A2" w:rsidRPr="007375EB">
        <w:rPr>
          <w:sz w:val="16"/>
          <w:szCs w:val="16"/>
          <w:lang w:val="bg-BG"/>
        </w:rPr>
        <w:t>1</w:t>
      </w:r>
      <w:r w:rsidR="003D12A2" w:rsidRPr="007375EB">
        <w:rPr>
          <w:sz w:val="16"/>
          <w:szCs w:val="16"/>
          <w:lang w:val="bg-BG"/>
        </w:rPr>
        <w:fldChar w:fldCharType="end"/>
      </w:r>
      <w:r w:rsidR="00204D53" w:rsidRPr="007375EB">
        <w:rPr>
          <w:sz w:val="16"/>
          <w:szCs w:val="16"/>
          <w:lang w:val="bg-BG"/>
        </w:rPr>
        <w:t xml:space="preserve"> </w:t>
      </w:r>
      <w:r w:rsidRPr="007375EB">
        <w:rPr>
          <w:sz w:val="16"/>
          <w:szCs w:val="16"/>
          <w:lang w:val="bg-BG"/>
        </w:rPr>
        <w:t xml:space="preserve">Предложения за мониторинг на ефекта от изпълнението </w:t>
      </w:r>
      <w:r w:rsidR="00204D53" w:rsidRPr="007375EB">
        <w:rPr>
          <w:sz w:val="16"/>
          <w:szCs w:val="16"/>
          <w:lang w:val="bg-BG"/>
        </w:rPr>
        <w:t>PUZ</w:t>
      </w:r>
    </w:p>
    <w:tbl>
      <w:tblPr>
        <w:tblStyle w:val="LightGrid-Accent112"/>
        <w:tblW w:w="14596" w:type="dxa"/>
        <w:tblInd w:w="0"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1856"/>
        <w:gridCol w:w="3510"/>
        <w:gridCol w:w="6793"/>
        <w:gridCol w:w="2437"/>
      </w:tblGrid>
      <w:tr w:rsidR="00B92F80" w:rsidRPr="007375EB" w14:paraId="7D5E3DB6" w14:textId="77777777" w:rsidTr="00C07C91">
        <w:trPr>
          <w:trHeight w:val="533"/>
          <w:tblHeader/>
        </w:trPr>
        <w:tc>
          <w:tcPr>
            <w:tcW w:w="1856" w:type="dxa"/>
            <w:shd w:val="clear" w:color="auto" w:fill="00B0F0"/>
            <w:vAlign w:val="center"/>
          </w:tcPr>
          <w:p w14:paraId="66514FC5" w14:textId="15669C87" w:rsidR="00B92F80" w:rsidRPr="007375EB" w:rsidRDefault="00B92F80" w:rsidP="00B92F80">
            <w:pPr>
              <w:spacing w:after="0" w:line="240" w:lineRule="auto"/>
              <w:contextualSpacing/>
              <w:jc w:val="center"/>
              <w:rPr>
                <w:rFonts w:asciiTheme="minorHAnsi" w:hAnsiTheme="minorHAnsi"/>
                <w:b/>
                <w:color w:val="FFFFFF" w:themeColor="background1"/>
                <w:sz w:val="16"/>
                <w:szCs w:val="16"/>
                <w:lang w:val="bg-BG"/>
              </w:rPr>
            </w:pPr>
            <w:r w:rsidRPr="007375EB">
              <w:rPr>
                <w:rFonts w:asciiTheme="minorHAnsi" w:hAnsiTheme="minorHAnsi"/>
                <w:b/>
                <w:bCs/>
                <w:color w:val="FFFFFF" w:themeColor="background1"/>
                <w:sz w:val="16"/>
                <w:szCs w:val="16"/>
                <w:lang w:val="bg-BG"/>
              </w:rPr>
              <w:t>Съответни екологични аспекти</w:t>
            </w:r>
          </w:p>
        </w:tc>
        <w:tc>
          <w:tcPr>
            <w:tcW w:w="3515" w:type="dxa"/>
            <w:shd w:val="clear" w:color="auto" w:fill="00B0F0"/>
            <w:vAlign w:val="center"/>
          </w:tcPr>
          <w:p w14:paraId="586E14A7" w14:textId="4D47250E" w:rsidR="00B92F80" w:rsidRPr="007375EB" w:rsidRDefault="00B92F80" w:rsidP="00B92F80">
            <w:pPr>
              <w:spacing w:after="0" w:line="240" w:lineRule="auto"/>
              <w:contextualSpacing/>
              <w:jc w:val="center"/>
              <w:rPr>
                <w:rFonts w:asciiTheme="minorHAnsi" w:hAnsiTheme="minorHAnsi"/>
                <w:b/>
                <w:color w:val="FFFFFF" w:themeColor="background1"/>
                <w:sz w:val="16"/>
                <w:szCs w:val="16"/>
                <w:lang w:val="bg-BG"/>
              </w:rPr>
            </w:pPr>
            <w:r w:rsidRPr="007375EB">
              <w:rPr>
                <w:rFonts w:asciiTheme="minorHAnsi" w:hAnsiTheme="minorHAnsi"/>
                <w:b/>
                <w:color w:val="FFFFFF" w:themeColor="background1"/>
                <w:sz w:val="16"/>
                <w:szCs w:val="16"/>
                <w:lang w:val="bg-BG"/>
              </w:rPr>
              <w:t>Екологични цели, свързани с PUZ</w:t>
            </w:r>
          </w:p>
        </w:tc>
        <w:tc>
          <w:tcPr>
            <w:tcW w:w="6818" w:type="dxa"/>
            <w:shd w:val="clear" w:color="auto" w:fill="00B0F0"/>
            <w:vAlign w:val="center"/>
          </w:tcPr>
          <w:p w14:paraId="121B2D94" w14:textId="1FF931E3" w:rsidR="00B92F80" w:rsidRPr="007375EB" w:rsidRDefault="00B92F80" w:rsidP="00B92F80">
            <w:pPr>
              <w:spacing w:after="0" w:line="240" w:lineRule="auto"/>
              <w:contextualSpacing/>
              <w:jc w:val="center"/>
              <w:rPr>
                <w:rFonts w:asciiTheme="minorHAnsi" w:hAnsiTheme="minorHAnsi"/>
                <w:b/>
                <w:color w:val="FFFFFF" w:themeColor="background1"/>
                <w:sz w:val="16"/>
                <w:szCs w:val="16"/>
                <w:lang w:val="bg-BG"/>
              </w:rPr>
            </w:pPr>
            <w:r w:rsidRPr="007375EB">
              <w:rPr>
                <w:rFonts w:asciiTheme="minorHAnsi" w:hAnsiTheme="minorHAnsi"/>
                <w:b/>
                <w:color w:val="FFFFFF" w:themeColor="background1"/>
                <w:sz w:val="16"/>
                <w:szCs w:val="16"/>
                <w:lang w:val="bg-BG"/>
              </w:rPr>
              <w:t>Параметри</w:t>
            </w:r>
          </w:p>
        </w:tc>
        <w:tc>
          <w:tcPr>
            <w:tcW w:w="2407" w:type="dxa"/>
            <w:shd w:val="clear" w:color="auto" w:fill="00B0F0"/>
            <w:vAlign w:val="center"/>
          </w:tcPr>
          <w:p w14:paraId="37B03140" w14:textId="571FD0DA" w:rsidR="00B92F80" w:rsidRPr="007375EB" w:rsidRDefault="00B92F80" w:rsidP="00B92F80">
            <w:pPr>
              <w:spacing w:after="0" w:line="240" w:lineRule="auto"/>
              <w:contextualSpacing/>
              <w:jc w:val="center"/>
              <w:rPr>
                <w:rFonts w:asciiTheme="minorHAnsi" w:hAnsiTheme="minorHAnsi"/>
                <w:b/>
                <w:color w:val="FFFFFF" w:themeColor="background1"/>
                <w:sz w:val="16"/>
                <w:szCs w:val="16"/>
                <w:lang w:val="bg-BG"/>
              </w:rPr>
            </w:pPr>
            <w:r w:rsidRPr="007375EB">
              <w:rPr>
                <w:rFonts w:asciiTheme="minorHAnsi" w:hAnsiTheme="minorHAnsi"/>
                <w:b/>
                <w:color w:val="FFFFFF" w:themeColor="background1"/>
                <w:sz w:val="16"/>
                <w:szCs w:val="16"/>
                <w:lang w:val="bg-BG"/>
              </w:rPr>
              <w:t>Отговорно лице</w:t>
            </w:r>
          </w:p>
        </w:tc>
      </w:tr>
      <w:tr w:rsidR="00B92F80" w:rsidRPr="007375EB" w14:paraId="2915DA0A" w14:textId="77777777" w:rsidTr="00C07C91">
        <w:trPr>
          <w:trHeight w:val="990"/>
        </w:trPr>
        <w:tc>
          <w:tcPr>
            <w:tcW w:w="1856" w:type="dxa"/>
            <w:vAlign w:val="center"/>
          </w:tcPr>
          <w:p w14:paraId="23726AAD" w14:textId="1562C9E3" w:rsidR="00B92F80" w:rsidRPr="007375EB" w:rsidRDefault="00B92F80" w:rsidP="00B92F80">
            <w:pPr>
              <w:spacing w:after="0" w:line="240" w:lineRule="auto"/>
              <w:contextualSpacing/>
              <w:rPr>
                <w:rFonts w:asciiTheme="minorHAnsi" w:hAnsiTheme="minorHAnsi"/>
                <w:b/>
                <w:sz w:val="16"/>
                <w:szCs w:val="16"/>
                <w:lang w:val="bg-BG"/>
              </w:rPr>
            </w:pPr>
            <w:r w:rsidRPr="007375EB">
              <w:rPr>
                <w:rFonts w:asciiTheme="minorHAnsi" w:hAnsiTheme="minorHAnsi" w:cs="Calibri"/>
                <w:b/>
                <w:bCs/>
                <w:color w:val="000000"/>
                <w:sz w:val="16"/>
                <w:szCs w:val="16"/>
                <w:lang w:val="bg-BG" w:eastAsia="ro-RO"/>
              </w:rPr>
              <w:t>Вода</w:t>
            </w:r>
          </w:p>
        </w:tc>
        <w:tc>
          <w:tcPr>
            <w:tcW w:w="3515" w:type="dxa"/>
            <w:vAlign w:val="center"/>
          </w:tcPr>
          <w:p w14:paraId="7773368D" w14:textId="21AEAB3F" w:rsidR="00B92F80" w:rsidRPr="007375EB" w:rsidRDefault="00B92F80" w:rsidP="00B92F80">
            <w:pPr>
              <w:pStyle w:val="ListParagraph"/>
              <w:numPr>
                <w:ilvl w:val="0"/>
                <w:numId w:val="85"/>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sz w:val="16"/>
                <w:szCs w:val="16"/>
                <w:lang w:val="bg-BG"/>
              </w:rPr>
              <w:t>Поддържане и подобряване на екологичното състояние/екологичния потенциал и химичното състояние на повърхностните и подземните водни тела</w:t>
            </w:r>
          </w:p>
        </w:tc>
        <w:tc>
          <w:tcPr>
            <w:tcW w:w="6818" w:type="dxa"/>
          </w:tcPr>
          <w:p w14:paraId="4A948D09" w14:textId="06AEC40D" w:rsidR="00DC6FF5" w:rsidRPr="007375EB" w:rsidRDefault="00DC6FF5" w:rsidP="00DC6FF5">
            <w:pPr>
              <w:spacing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Периодична визуална оценка на качеството на повърхностните води в близост до обекта (водоток Мъгура и Черкез).</w:t>
            </w:r>
          </w:p>
          <w:p w14:paraId="3FF37ED7" w14:textId="77777777" w:rsidR="00DC6FF5" w:rsidRPr="007375EB" w:rsidRDefault="00DC6FF5" w:rsidP="00DC6FF5">
            <w:pPr>
              <w:spacing w:line="240" w:lineRule="auto"/>
              <w:contextualSpacing/>
              <w:jc w:val="both"/>
              <w:rPr>
                <w:rFonts w:asciiTheme="minorHAnsi" w:hAnsiTheme="minorHAnsi"/>
                <w:sz w:val="16"/>
                <w:szCs w:val="16"/>
                <w:lang w:val="bg-BG"/>
              </w:rPr>
            </w:pPr>
          </w:p>
          <w:p w14:paraId="3F99B85E" w14:textId="7B55DF82" w:rsidR="00B92F80" w:rsidRPr="007375EB" w:rsidRDefault="00DC6FF5" w:rsidP="00DC6FF5">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Визуална проверка за потенциални течове на масла или други химикали от оборудването и записване на проверките</w:t>
            </w:r>
            <w:r w:rsidR="00B92F80" w:rsidRPr="007375EB">
              <w:rPr>
                <w:rFonts w:asciiTheme="minorHAnsi" w:hAnsiTheme="minorHAnsi"/>
                <w:sz w:val="16"/>
                <w:szCs w:val="16"/>
                <w:lang w:val="bg-BG"/>
              </w:rPr>
              <w:t>.</w:t>
            </w:r>
          </w:p>
        </w:tc>
        <w:tc>
          <w:tcPr>
            <w:tcW w:w="2407" w:type="dxa"/>
          </w:tcPr>
          <w:p w14:paraId="631D5820" w14:textId="6DA6D9E4" w:rsidR="00B92F80" w:rsidRPr="007375EB" w:rsidRDefault="00447350" w:rsidP="00B92F80">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изпълнението на вятърния парк</w:t>
            </w:r>
            <w:r w:rsidR="00B92F80" w:rsidRPr="007375EB">
              <w:rPr>
                <w:rFonts w:asciiTheme="minorHAnsi" w:hAnsiTheme="minorHAnsi"/>
                <w:sz w:val="16"/>
                <w:szCs w:val="16"/>
                <w:lang w:val="bg-BG"/>
              </w:rPr>
              <w:t>.</w:t>
            </w:r>
          </w:p>
          <w:p w14:paraId="77CAA46E" w14:textId="77777777" w:rsidR="00B92F80" w:rsidRPr="007375EB" w:rsidRDefault="00B92F80" w:rsidP="00B92F80">
            <w:pPr>
              <w:spacing w:after="0" w:line="240" w:lineRule="auto"/>
              <w:contextualSpacing/>
              <w:jc w:val="both"/>
              <w:rPr>
                <w:rFonts w:asciiTheme="minorHAnsi" w:hAnsiTheme="minorHAnsi"/>
                <w:sz w:val="16"/>
                <w:szCs w:val="16"/>
                <w:lang w:val="bg-BG"/>
              </w:rPr>
            </w:pPr>
          </w:p>
          <w:p w14:paraId="0742CF42" w14:textId="60B0D64D" w:rsidR="00B92F80" w:rsidRPr="007375EB" w:rsidRDefault="00447350" w:rsidP="00B92F80">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изпълнението на вятърния парк</w:t>
            </w:r>
            <w:r w:rsidR="00B92F80" w:rsidRPr="007375EB">
              <w:rPr>
                <w:rFonts w:asciiTheme="minorHAnsi" w:hAnsiTheme="minorHAnsi"/>
                <w:sz w:val="16"/>
                <w:szCs w:val="16"/>
                <w:lang w:val="bg-BG"/>
              </w:rPr>
              <w:t>.</w:t>
            </w:r>
          </w:p>
        </w:tc>
      </w:tr>
      <w:tr w:rsidR="00447350" w:rsidRPr="007375EB" w14:paraId="3336ED07" w14:textId="77777777" w:rsidTr="00C07C91">
        <w:trPr>
          <w:trHeight w:val="821"/>
        </w:trPr>
        <w:tc>
          <w:tcPr>
            <w:tcW w:w="1856" w:type="dxa"/>
            <w:vAlign w:val="center"/>
          </w:tcPr>
          <w:p w14:paraId="465A7AEA" w14:textId="0809FAD1" w:rsidR="00447350" w:rsidRPr="007375EB" w:rsidRDefault="00447350" w:rsidP="00447350">
            <w:pPr>
              <w:spacing w:after="0" w:line="240" w:lineRule="auto"/>
              <w:contextualSpacing/>
              <w:rPr>
                <w:rFonts w:asciiTheme="minorHAnsi" w:hAnsiTheme="minorHAnsi"/>
                <w:b/>
                <w:sz w:val="16"/>
                <w:szCs w:val="16"/>
                <w:lang w:val="bg-BG"/>
              </w:rPr>
            </w:pPr>
            <w:r w:rsidRPr="007375EB">
              <w:rPr>
                <w:rFonts w:asciiTheme="minorHAnsi" w:hAnsiTheme="minorHAnsi" w:cs="Calibri"/>
                <w:b/>
                <w:bCs/>
                <w:color w:val="000000"/>
                <w:sz w:val="16"/>
                <w:szCs w:val="16"/>
                <w:lang w:val="bg-BG" w:eastAsia="ro-RO"/>
              </w:rPr>
              <w:t>Въздух</w:t>
            </w:r>
          </w:p>
        </w:tc>
        <w:tc>
          <w:tcPr>
            <w:tcW w:w="3515" w:type="dxa"/>
            <w:vAlign w:val="center"/>
          </w:tcPr>
          <w:p w14:paraId="182A2F36" w14:textId="2F46FD92" w:rsidR="00447350" w:rsidRPr="007375EB" w:rsidRDefault="00447350" w:rsidP="00447350">
            <w:pPr>
              <w:pStyle w:val="ListParagraph"/>
              <w:numPr>
                <w:ilvl w:val="0"/>
                <w:numId w:val="85"/>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Поддържане на качеството на въздуха чрез намаляване на емисиите, генерирани от дейности в енергийния сектор</w:t>
            </w:r>
          </w:p>
        </w:tc>
        <w:tc>
          <w:tcPr>
            <w:tcW w:w="6818" w:type="dxa"/>
          </w:tcPr>
          <w:p w14:paraId="2FF0500B" w14:textId="21DFC7A6" w:rsidR="00941AA2" w:rsidRPr="007375EB" w:rsidRDefault="00941AA2" w:rsidP="004473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xml:space="preserve">Нивото на емисиите на замърсители на въздуха (CO, NO2, SO2, PM10, PM2,5, COV) по време на строителния период е свързано с машините/съоръженията/оборудването, включени в работите, но е ниско. </w:t>
            </w:r>
          </w:p>
          <w:p w14:paraId="2A612C71" w14:textId="5268D765" w:rsidR="00447350" w:rsidRPr="007375EB" w:rsidRDefault="00941AA2" w:rsidP="004473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По време на експлоатацията на вятърния парк няма емисии на замърсители, с изключение на машините, участващи в дейностите по поддръжка и интервенция, но свързаните с тях емисии са незначителни и не могат да повлияят на екологичния фактор на въздуха.</w:t>
            </w:r>
          </w:p>
        </w:tc>
        <w:tc>
          <w:tcPr>
            <w:tcW w:w="2407" w:type="dxa"/>
          </w:tcPr>
          <w:p w14:paraId="6CF2A1D2" w14:textId="148D7884" w:rsidR="00447350" w:rsidRPr="007375EB" w:rsidRDefault="00447350" w:rsidP="00447350">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изпълнението на вятърния парк</w:t>
            </w:r>
          </w:p>
        </w:tc>
      </w:tr>
      <w:tr w:rsidR="00447350" w:rsidRPr="007375EB" w14:paraId="4F0AEE2C" w14:textId="77777777" w:rsidTr="00C07C91">
        <w:trPr>
          <w:trHeight w:val="215"/>
        </w:trPr>
        <w:tc>
          <w:tcPr>
            <w:tcW w:w="1856" w:type="dxa"/>
            <w:vAlign w:val="center"/>
          </w:tcPr>
          <w:p w14:paraId="5D2FE335" w14:textId="4A8D1DA4" w:rsidR="00447350" w:rsidRPr="007375EB" w:rsidRDefault="00447350" w:rsidP="00447350">
            <w:pPr>
              <w:spacing w:after="0" w:line="240" w:lineRule="auto"/>
              <w:contextualSpacing/>
              <w:rPr>
                <w:rFonts w:asciiTheme="minorHAnsi" w:hAnsiTheme="minorHAnsi"/>
                <w:b/>
                <w:sz w:val="16"/>
                <w:szCs w:val="16"/>
                <w:lang w:val="bg-BG"/>
              </w:rPr>
            </w:pPr>
            <w:r w:rsidRPr="007375EB">
              <w:rPr>
                <w:rFonts w:asciiTheme="minorHAnsi" w:hAnsiTheme="minorHAnsi" w:cs="Calibri"/>
                <w:b/>
                <w:bCs/>
                <w:color w:val="000000"/>
                <w:sz w:val="16"/>
                <w:szCs w:val="16"/>
                <w:lang w:val="bg-BG" w:eastAsia="ro-RO"/>
              </w:rPr>
              <w:t>Почва/подпочва</w:t>
            </w:r>
          </w:p>
        </w:tc>
        <w:tc>
          <w:tcPr>
            <w:tcW w:w="3515" w:type="dxa"/>
            <w:vAlign w:val="center"/>
          </w:tcPr>
          <w:p w14:paraId="112C54E7" w14:textId="6D28A4C4" w:rsidR="00447350" w:rsidRPr="007375EB" w:rsidRDefault="00447350" w:rsidP="00447350">
            <w:pPr>
              <w:pStyle w:val="ListParagraph"/>
              <w:numPr>
                <w:ilvl w:val="0"/>
                <w:numId w:val="85"/>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Ограничаване на замърсяването на почвата и деградацията на земните повърхности</w:t>
            </w:r>
          </w:p>
        </w:tc>
        <w:tc>
          <w:tcPr>
            <w:tcW w:w="6818" w:type="dxa"/>
          </w:tcPr>
          <w:p w14:paraId="779E194A" w14:textId="2B080F76" w:rsidR="00447350" w:rsidRPr="007375EB" w:rsidRDefault="00941AA2" w:rsidP="004473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Мониторинг на управлението на отпадъци и опасни материали с цел предотвратяване на замърсяването на почвата</w:t>
            </w:r>
            <w:r w:rsidR="00447350" w:rsidRPr="007375EB">
              <w:rPr>
                <w:rFonts w:asciiTheme="minorHAnsi" w:hAnsiTheme="minorHAnsi"/>
                <w:sz w:val="16"/>
                <w:szCs w:val="16"/>
                <w:lang w:val="bg-BG"/>
              </w:rPr>
              <w:t>.</w:t>
            </w:r>
          </w:p>
        </w:tc>
        <w:tc>
          <w:tcPr>
            <w:tcW w:w="2407" w:type="dxa"/>
          </w:tcPr>
          <w:p w14:paraId="073D2040" w14:textId="64CE9505" w:rsidR="00447350" w:rsidRPr="007375EB" w:rsidRDefault="00447350" w:rsidP="00447350">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изпълнението на вятърния парк</w:t>
            </w:r>
          </w:p>
        </w:tc>
      </w:tr>
      <w:tr w:rsidR="00447350" w:rsidRPr="007375EB" w14:paraId="0E43EBB9" w14:textId="77777777" w:rsidTr="00C07C91">
        <w:trPr>
          <w:trHeight w:val="671"/>
        </w:trPr>
        <w:tc>
          <w:tcPr>
            <w:tcW w:w="1856" w:type="dxa"/>
            <w:vMerge w:val="restart"/>
          </w:tcPr>
          <w:p w14:paraId="715FED4A" w14:textId="7685A8AF" w:rsidR="00447350" w:rsidRPr="007375EB" w:rsidRDefault="00447350" w:rsidP="00447350">
            <w:pPr>
              <w:spacing w:after="0" w:line="240" w:lineRule="auto"/>
              <w:contextualSpacing/>
              <w:rPr>
                <w:rFonts w:asciiTheme="minorHAnsi" w:hAnsiTheme="minorHAnsi"/>
                <w:b/>
                <w:sz w:val="16"/>
                <w:szCs w:val="16"/>
                <w:lang w:val="bg-BG"/>
              </w:rPr>
            </w:pPr>
            <w:r w:rsidRPr="007375EB">
              <w:rPr>
                <w:rFonts w:asciiTheme="minorHAnsi" w:hAnsiTheme="minorHAnsi"/>
                <w:b/>
                <w:bCs/>
                <w:sz w:val="16"/>
                <w:szCs w:val="16"/>
                <w:lang w:val="bg-BG"/>
              </w:rPr>
              <w:t xml:space="preserve">Използване на природните ресурси </w:t>
            </w:r>
          </w:p>
        </w:tc>
        <w:tc>
          <w:tcPr>
            <w:tcW w:w="3515" w:type="dxa"/>
            <w:vAlign w:val="center"/>
          </w:tcPr>
          <w:p w14:paraId="081F31E3" w14:textId="339C00B9" w:rsidR="00447350" w:rsidRPr="007375EB" w:rsidRDefault="00447350" w:rsidP="00447350">
            <w:pPr>
              <w:pStyle w:val="ListParagraph"/>
              <w:numPr>
                <w:ilvl w:val="0"/>
                <w:numId w:val="85"/>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Намаляване на експлоатацията на изчерпаемите ресурси и улесняване на експлоатацията на възобновяемите</w:t>
            </w:r>
          </w:p>
        </w:tc>
        <w:tc>
          <w:tcPr>
            <w:tcW w:w="6818" w:type="dxa"/>
          </w:tcPr>
          <w:p w14:paraId="5BB6F754" w14:textId="77777777" w:rsidR="00941AA2" w:rsidRPr="007375EB" w:rsidRDefault="00941AA2" w:rsidP="004473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xml:space="preserve">Мониторинг на потреблението на изчерпаеми ресурси в етапа на изпълнение на PUZ </w:t>
            </w:r>
          </w:p>
          <w:p w14:paraId="61D85964" w14:textId="44D287F7" w:rsidR="00447350" w:rsidRPr="007375EB" w:rsidRDefault="00941AA2" w:rsidP="004473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Мониторинг на производството на електроенергия от възобновяеми източници</w:t>
            </w:r>
            <w:r w:rsidR="00447350" w:rsidRPr="007375EB">
              <w:rPr>
                <w:rFonts w:asciiTheme="minorHAnsi" w:hAnsiTheme="minorHAnsi"/>
                <w:sz w:val="16"/>
                <w:szCs w:val="16"/>
                <w:lang w:val="bg-BG"/>
              </w:rPr>
              <w:t>.</w:t>
            </w:r>
          </w:p>
        </w:tc>
        <w:tc>
          <w:tcPr>
            <w:tcW w:w="2407" w:type="dxa"/>
          </w:tcPr>
          <w:p w14:paraId="43EA4AC9" w14:textId="6437C691" w:rsidR="00447350" w:rsidRPr="007375EB" w:rsidRDefault="00447350" w:rsidP="00447350">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изпълнението на вятърния парк</w:t>
            </w:r>
          </w:p>
        </w:tc>
      </w:tr>
      <w:tr w:rsidR="00447350" w:rsidRPr="007375EB" w14:paraId="4B83014B" w14:textId="77777777" w:rsidTr="00C07C91">
        <w:trPr>
          <w:trHeight w:val="542"/>
        </w:trPr>
        <w:tc>
          <w:tcPr>
            <w:tcW w:w="1856" w:type="dxa"/>
            <w:vMerge/>
          </w:tcPr>
          <w:p w14:paraId="5EB6BE7E" w14:textId="77777777" w:rsidR="00447350" w:rsidRPr="007375EB" w:rsidRDefault="00447350" w:rsidP="00447350">
            <w:pPr>
              <w:spacing w:after="0" w:line="240" w:lineRule="auto"/>
              <w:contextualSpacing/>
              <w:rPr>
                <w:rFonts w:asciiTheme="minorHAnsi" w:hAnsiTheme="minorHAnsi"/>
                <w:b/>
                <w:sz w:val="16"/>
                <w:szCs w:val="16"/>
                <w:lang w:val="bg-BG"/>
              </w:rPr>
            </w:pPr>
          </w:p>
        </w:tc>
        <w:tc>
          <w:tcPr>
            <w:tcW w:w="3515" w:type="dxa"/>
          </w:tcPr>
          <w:p w14:paraId="23B6E102" w14:textId="41E6E445" w:rsidR="00447350" w:rsidRPr="007375EB" w:rsidRDefault="00447350" w:rsidP="00447350">
            <w:pPr>
              <w:pStyle w:val="ListParagraph"/>
              <w:numPr>
                <w:ilvl w:val="0"/>
                <w:numId w:val="85"/>
              </w:numPr>
              <w:tabs>
                <w:tab w:val="left" w:pos="746"/>
              </w:tabs>
              <w:spacing w:after="0" w:line="240" w:lineRule="auto"/>
              <w:ind w:left="607" w:hanging="567"/>
              <w:jc w:val="both"/>
              <w:rPr>
                <w:rFonts w:asciiTheme="minorHAnsi" w:hAnsiTheme="minorHAnsi"/>
                <w:sz w:val="16"/>
                <w:szCs w:val="16"/>
                <w:lang w:val="bg-BG"/>
              </w:rPr>
            </w:pPr>
            <w:r w:rsidRPr="007375EB">
              <w:rPr>
                <w:rFonts w:asciiTheme="minorHAnsi" w:hAnsiTheme="minorHAnsi"/>
                <w:sz w:val="16"/>
                <w:szCs w:val="16"/>
                <w:lang w:val="bg-BG"/>
              </w:rPr>
              <w:t>Насърчаване на прехода към кръгова и ресурсно ефективна икономика</w:t>
            </w:r>
          </w:p>
        </w:tc>
        <w:tc>
          <w:tcPr>
            <w:tcW w:w="6818" w:type="dxa"/>
          </w:tcPr>
          <w:p w14:paraId="63CF0A7B" w14:textId="50FFE099" w:rsidR="00447350" w:rsidRPr="007375EB" w:rsidRDefault="00941AA2" w:rsidP="00447350">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Мониторинг на използването на възобновяеми материали в проекта</w:t>
            </w:r>
            <w:r w:rsidR="00447350" w:rsidRPr="007375EB">
              <w:rPr>
                <w:rFonts w:asciiTheme="minorHAnsi" w:hAnsiTheme="minorHAnsi"/>
                <w:sz w:val="16"/>
                <w:szCs w:val="16"/>
                <w:lang w:val="bg-BG"/>
              </w:rPr>
              <w:t>.</w:t>
            </w:r>
          </w:p>
        </w:tc>
        <w:tc>
          <w:tcPr>
            <w:tcW w:w="2407" w:type="dxa"/>
          </w:tcPr>
          <w:p w14:paraId="18D20127" w14:textId="4AC99C24" w:rsidR="00447350" w:rsidRPr="007375EB" w:rsidRDefault="00447350" w:rsidP="00447350">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изпълнението на вятърния парк</w:t>
            </w:r>
          </w:p>
        </w:tc>
      </w:tr>
      <w:tr w:rsidR="00447350" w:rsidRPr="007375EB" w14:paraId="769E6394" w14:textId="77777777" w:rsidTr="00C07C91">
        <w:trPr>
          <w:trHeight w:val="603"/>
        </w:trPr>
        <w:tc>
          <w:tcPr>
            <w:tcW w:w="1856" w:type="dxa"/>
          </w:tcPr>
          <w:p w14:paraId="7BD58910" w14:textId="418E18B7" w:rsidR="00447350" w:rsidRPr="007375EB" w:rsidRDefault="00447350" w:rsidP="00447350">
            <w:pPr>
              <w:spacing w:after="0" w:line="240" w:lineRule="auto"/>
              <w:contextualSpacing/>
              <w:rPr>
                <w:rFonts w:asciiTheme="minorHAnsi" w:hAnsiTheme="minorHAnsi"/>
                <w:b/>
                <w:sz w:val="16"/>
                <w:szCs w:val="16"/>
                <w:lang w:val="bg-BG"/>
              </w:rPr>
            </w:pPr>
            <w:r w:rsidRPr="007375EB">
              <w:rPr>
                <w:rFonts w:asciiTheme="minorHAnsi" w:hAnsiTheme="minorHAnsi"/>
                <w:b/>
                <w:bCs/>
                <w:sz w:val="16"/>
                <w:szCs w:val="16"/>
                <w:lang w:val="bg-BG"/>
              </w:rPr>
              <w:t>Управление на отпадъците</w:t>
            </w:r>
          </w:p>
        </w:tc>
        <w:tc>
          <w:tcPr>
            <w:tcW w:w="3515" w:type="dxa"/>
            <w:vAlign w:val="center"/>
          </w:tcPr>
          <w:p w14:paraId="49F81D74" w14:textId="571DE93E" w:rsidR="00447350" w:rsidRPr="007375EB" w:rsidRDefault="00447350" w:rsidP="00447350">
            <w:pPr>
              <w:pStyle w:val="ListParagraph"/>
              <w:numPr>
                <w:ilvl w:val="0"/>
                <w:numId w:val="85"/>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Намаляване на количеството генерирани и изхвърлени отпадъци чрез съхранение (съответстващи депа за отпадъци)</w:t>
            </w:r>
          </w:p>
        </w:tc>
        <w:tc>
          <w:tcPr>
            <w:tcW w:w="6818" w:type="dxa"/>
          </w:tcPr>
          <w:p w14:paraId="69E52A10" w14:textId="77777777" w:rsidR="00941AA2" w:rsidRPr="007375EB" w:rsidRDefault="00941AA2" w:rsidP="004473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 xml:space="preserve">Мониторинг на количествата отпадъци, генерирани по време на строителството и експлоатацията. </w:t>
            </w:r>
          </w:p>
          <w:p w14:paraId="55A9288B" w14:textId="149D196D" w:rsidR="00447350" w:rsidRPr="007375EB" w:rsidRDefault="00941AA2" w:rsidP="0044735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Изпълнение и редовна оценка на плана за управление на отпадъците</w:t>
            </w:r>
            <w:r w:rsidR="00447350" w:rsidRPr="007375EB">
              <w:rPr>
                <w:rFonts w:asciiTheme="minorHAnsi" w:hAnsiTheme="minorHAnsi"/>
                <w:sz w:val="16"/>
                <w:szCs w:val="16"/>
                <w:lang w:val="bg-BG"/>
              </w:rPr>
              <w:t>.</w:t>
            </w:r>
          </w:p>
        </w:tc>
        <w:tc>
          <w:tcPr>
            <w:tcW w:w="2407" w:type="dxa"/>
          </w:tcPr>
          <w:p w14:paraId="558551C2" w14:textId="3377E766" w:rsidR="00447350" w:rsidRPr="007375EB" w:rsidRDefault="00447350" w:rsidP="00447350">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изпълнението на вятърния парк</w:t>
            </w:r>
          </w:p>
        </w:tc>
      </w:tr>
      <w:tr w:rsidR="00C07C91" w:rsidRPr="007375EB" w14:paraId="3815E0D5" w14:textId="77777777" w:rsidTr="00C07C91">
        <w:trPr>
          <w:trHeight w:val="144"/>
        </w:trPr>
        <w:tc>
          <w:tcPr>
            <w:tcW w:w="1856" w:type="dxa"/>
            <w:vAlign w:val="center"/>
          </w:tcPr>
          <w:p w14:paraId="355F1862" w14:textId="730C2E13" w:rsidR="00C07C91" w:rsidRPr="007375EB" w:rsidRDefault="00C07C91" w:rsidP="00C07C91">
            <w:pPr>
              <w:spacing w:after="0" w:line="240" w:lineRule="auto"/>
              <w:contextualSpacing/>
              <w:rPr>
                <w:rFonts w:asciiTheme="minorHAnsi" w:hAnsiTheme="minorHAnsi"/>
                <w:b/>
                <w:sz w:val="16"/>
                <w:szCs w:val="16"/>
                <w:lang w:val="bg-BG"/>
              </w:rPr>
            </w:pPr>
            <w:r w:rsidRPr="007375EB">
              <w:rPr>
                <w:rFonts w:asciiTheme="minorHAnsi" w:hAnsiTheme="minorHAnsi" w:cs="Calibri"/>
                <w:b/>
                <w:bCs/>
                <w:color w:val="000000"/>
                <w:sz w:val="16"/>
                <w:szCs w:val="16"/>
                <w:lang w:val="bg-BG" w:eastAsia="ro-RO"/>
              </w:rPr>
              <w:t>Шум и вибрации</w:t>
            </w:r>
          </w:p>
        </w:tc>
        <w:tc>
          <w:tcPr>
            <w:tcW w:w="3515" w:type="dxa"/>
            <w:vAlign w:val="center"/>
          </w:tcPr>
          <w:p w14:paraId="1C372592" w14:textId="584CE5F3" w:rsidR="00C07C91" w:rsidRPr="007375EB" w:rsidRDefault="00C07C91" w:rsidP="00C07C91">
            <w:pPr>
              <w:pStyle w:val="ListParagraph"/>
              <w:numPr>
                <w:ilvl w:val="0"/>
                <w:numId w:val="85"/>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Ограничаване на източника на шумово замърсяване в зони с чувствителни към шум рецептори. Ограничение на нивата на вибрации</w:t>
            </w:r>
          </w:p>
        </w:tc>
        <w:tc>
          <w:tcPr>
            <w:tcW w:w="6818" w:type="dxa"/>
          </w:tcPr>
          <w:p w14:paraId="01E2DA93" w14:textId="414AB806" w:rsidR="00C07C91" w:rsidRPr="007375EB" w:rsidRDefault="00941AA2" w:rsidP="00C07C9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Мониторинг на нивата на шума и вибрациите в близост до жилищни райони и други чувствителни рецептори</w:t>
            </w:r>
            <w:r w:rsidR="00C07C91" w:rsidRPr="007375EB">
              <w:rPr>
                <w:rFonts w:asciiTheme="minorHAnsi" w:hAnsiTheme="minorHAnsi"/>
                <w:sz w:val="16"/>
                <w:szCs w:val="16"/>
                <w:lang w:val="bg-BG"/>
              </w:rPr>
              <w:t>.</w:t>
            </w:r>
          </w:p>
        </w:tc>
        <w:tc>
          <w:tcPr>
            <w:tcW w:w="2407" w:type="dxa"/>
          </w:tcPr>
          <w:p w14:paraId="76E7DCFE" w14:textId="25193A9D" w:rsidR="00C07C91" w:rsidRPr="007375EB" w:rsidRDefault="00447350" w:rsidP="00C07C91">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Изпълнителят, отговорен за изпълнението на вятърния парк</w:t>
            </w:r>
          </w:p>
        </w:tc>
      </w:tr>
      <w:tr w:rsidR="00C07C91" w:rsidRPr="007375EB" w14:paraId="05E3EEFB" w14:textId="77777777" w:rsidTr="00C07C91">
        <w:trPr>
          <w:trHeight w:val="504"/>
        </w:trPr>
        <w:tc>
          <w:tcPr>
            <w:tcW w:w="1856" w:type="dxa"/>
            <w:vMerge w:val="restart"/>
            <w:vAlign w:val="center"/>
          </w:tcPr>
          <w:p w14:paraId="3A5F0CCB" w14:textId="5FC9C82B" w:rsidR="00C07C91" w:rsidRPr="007375EB" w:rsidRDefault="00C07C91" w:rsidP="00C07C91">
            <w:pPr>
              <w:spacing w:after="0" w:line="240" w:lineRule="auto"/>
              <w:contextualSpacing/>
              <w:rPr>
                <w:rFonts w:asciiTheme="minorHAnsi" w:hAnsiTheme="minorHAnsi"/>
                <w:b/>
                <w:sz w:val="16"/>
                <w:szCs w:val="16"/>
                <w:lang w:val="bg-BG"/>
              </w:rPr>
            </w:pPr>
            <w:r w:rsidRPr="007375EB">
              <w:rPr>
                <w:rFonts w:asciiTheme="minorHAnsi" w:hAnsiTheme="minorHAnsi" w:cs="Calibri"/>
                <w:b/>
                <w:bCs/>
                <w:color w:val="000000"/>
                <w:sz w:val="16"/>
                <w:szCs w:val="16"/>
                <w:lang w:val="bg-BG" w:eastAsia="ro-RO"/>
              </w:rPr>
              <w:t xml:space="preserve">Биоразнообразие </w:t>
            </w:r>
          </w:p>
        </w:tc>
        <w:tc>
          <w:tcPr>
            <w:tcW w:w="3515" w:type="dxa"/>
            <w:vAlign w:val="center"/>
          </w:tcPr>
          <w:p w14:paraId="6B7A912C" w14:textId="537CE89D" w:rsidR="00C07C91" w:rsidRPr="007375EB" w:rsidRDefault="00C07C91" w:rsidP="00C07C91">
            <w:pPr>
              <w:pStyle w:val="ListParagraph"/>
              <w:numPr>
                <w:ilvl w:val="0"/>
                <w:numId w:val="85"/>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 xml:space="preserve">Опазване на природни местообитания и видове от </w:t>
            </w:r>
            <w:r w:rsidRPr="007375EB">
              <w:rPr>
                <w:rFonts w:asciiTheme="minorHAnsi" w:hAnsiTheme="minorHAnsi" w:cs="Calibri"/>
                <w:color w:val="000000"/>
                <w:sz w:val="16"/>
                <w:szCs w:val="16"/>
                <w:lang w:val="bg-BG" w:eastAsia="ro-RO"/>
              </w:rPr>
              <w:lastRenderedPageBreak/>
              <w:t>флората и фауната от обществено значение</w:t>
            </w:r>
          </w:p>
        </w:tc>
        <w:tc>
          <w:tcPr>
            <w:tcW w:w="6818" w:type="dxa"/>
          </w:tcPr>
          <w:p w14:paraId="27D82258" w14:textId="69488F63" w:rsidR="00C07C91" w:rsidRPr="007375EB" w:rsidRDefault="00941AA2" w:rsidP="00C07C91">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lastRenderedPageBreak/>
              <w:t>Оценка на въздействието върху природните местообитания и местните видове. Прилагане на мерки за опазване на биологичното разнообразие и мониторинг</w:t>
            </w:r>
            <w:r w:rsidR="00C07C91" w:rsidRPr="007375EB">
              <w:rPr>
                <w:rFonts w:asciiTheme="minorHAnsi" w:hAnsiTheme="minorHAnsi"/>
                <w:sz w:val="16"/>
                <w:szCs w:val="16"/>
                <w:lang w:val="bg-BG"/>
              </w:rPr>
              <w:t>.</w:t>
            </w:r>
          </w:p>
        </w:tc>
        <w:tc>
          <w:tcPr>
            <w:tcW w:w="2407" w:type="dxa"/>
          </w:tcPr>
          <w:p w14:paraId="29AA50A1" w14:textId="057EECDB" w:rsidR="00C07C91" w:rsidRPr="007375EB" w:rsidRDefault="00C07C91" w:rsidP="00C07C91">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Оператор на вятърен парк</w:t>
            </w:r>
          </w:p>
        </w:tc>
      </w:tr>
      <w:tr w:rsidR="00C07C91" w:rsidRPr="007375EB" w14:paraId="685CAFCA" w14:textId="77777777" w:rsidTr="00C07C91">
        <w:trPr>
          <w:trHeight w:val="144"/>
        </w:trPr>
        <w:tc>
          <w:tcPr>
            <w:tcW w:w="1856" w:type="dxa"/>
            <w:vMerge/>
            <w:vAlign w:val="center"/>
          </w:tcPr>
          <w:p w14:paraId="1453D965" w14:textId="77777777" w:rsidR="00C07C91" w:rsidRPr="007375EB" w:rsidRDefault="00C07C91" w:rsidP="00C07C91">
            <w:pPr>
              <w:spacing w:after="0" w:line="240" w:lineRule="auto"/>
              <w:contextualSpacing/>
              <w:rPr>
                <w:rFonts w:asciiTheme="minorHAnsi" w:hAnsiTheme="minorHAnsi"/>
                <w:b/>
                <w:sz w:val="16"/>
                <w:szCs w:val="16"/>
                <w:lang w:val="bg-BG"/>
              </w:rPr>
            </w:pPr>
          </w:p>
        </w:tc>
        <w:tc>
          <w:tcPr>
            <w:tcW w:w="3515" w:type="dxa"/>
            <w:vAlign w:val="center"/>
          </w:tcPr>
          <w:p w14:paraId="6FC7B2BB" w14:textId="736675B6" w:rsidR="00C07C91" w:rsidRPr="007375EB" w:rsidRDefault="00C07C91" w:rsidP="00C07C91">
            <w:pPr>
              <w:pStyle w:val="ListParagraph"/>
              <w:numPr>
                <w:ilvl w:val="0"/>
                <w:numId w:val="85"/>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Поддържане на мрежата от защитени зони Природа 2000.</w:t>
            </w:r>
          </w:p>
        </w:tc>
        <w:tc>
          <w:tcPr>
            <w:tcW w:w="6818" w:type="dxa"/>
          </w:tcPr>
          <w:p w14:paraId="5B20B53B" w14:textId="78EFB287" w:rsidR="00C07C91" w:rsidRPr="007375EB" w:rsidRDefault="00941AA2" w:rsidP="00C07C91">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Мониторинг на въздействието на проекта върху защитените зони от Природа 2000</w:t>
            </w:r>
          </w:p>
        </w:tc>
        <w:tc>
          <w:tcPr>
            <w:tcW w:w="2407" w:type="dxa"/>
          </w:tcPr>
          <w:p w14:paraId="10D577AC" w14:textId="38A41E44" w:rsidR="00C07C91" w:rsidRPr="007375EB" w:rsidRDefault="00C07C91" w:rsidP="00C07C91">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Оператор на вятърен парк</w:t>
            </w:r>
          </w:p>
        </w:tc>
      </w:tr>
      <w:tr w:rsidR="00C07C91" w:rsidRPr="007375EB" w14:paraId="2B295F64" w14:textId="77777777" w:rsidTr="00C07C91">
        <w:trPr>
          <w:trHeight w:val="62"/>
        </w:trPr>
        <w:tc>
          <w:tcPr>
            <w:tcW w:w="1856" w:type="dxa"/>
            <w:vMerge w:val="restart"/>
            <w:vAlign w:val="center"/>
          </w:tcPr>
          <w:p w14:paraId="46D0BBF6" w14:textId="701ABDCA" w:rsidR="00C07C91" w:rsidRPr="007375EB" w:rsidRDefault="00C07C91" w:rsidP="00C07C91">
            <w:pPr>
              <w:spacing w:after="0" w:line="240" w:lineRule="auto"/>
              <w:contextualSpacing/>
              <w:rPr>
                <w:rFonts w:asciiTheme="minorHAnsi" w:hAnsiTheme="minorHAnsi"/>
                <w:b/>
                <w:sz w:val="16"/>
                <w:szCs w:val="16"/>
                <w:lang w:val="bg-BG"/>
              </w:rPr>
            </w:pPr>
            <w:r w:rsidRPr="007375EB">
              <w:rPr>
                <w:rFonts w:asciiTheme="minorHAnsi" w:hAnsiTheme="minorHAnsi" w:cs="Calibri"/>
                <w:b/>
                <w:bCs/>
                <w:color w:val="000000"/>
                <w:sz w:val="16"/>
                <w:szCs w:val="16"/>
                <w:lang w:val="bg-BG" w:eastAsia="ro-RO"/>
              </w:rPr>
              <w:t>Население и човешко здраве</w:t>
            </w:r>
          </w:p>
        </w:tc>
        <w:tc>
          <w:tcPr>
            <w:tcW w:w="3515" w:type="dxa"/>
            <w:vAlign w:val="center"/>
          </w:tcPr>
          <w:p w14:paraId="50C7B591" w14:textId="4B486538" w:rsidR="00C07C91" w:rsidRPr="007375EB" w:rsidRDefault="00C07C91" w:rsidP="00C07C91">
            <w:pPr>
              <w:pStyle w:val="ListParagraph"/>
              <w:numPr>
                <w:ilvl w:val="0"/>
                <w:numId w:val="85"/>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Поддържане на качеството на факторите на околната среда в рамките на законовите разпоредби за опазване на околната среда и общественото здраве</w:t>
            </w:r>
          </w:p>
        </w:tc>
        <w:tc>
          <w:tcPr>
            <w:tcW w:w="6818" w:type="dxa"/>
          </w:tcPr>
          <w:p w14:paraId="01B81C35" w14:textId="57FC6400" w:rsidR="00C07C91" w:rsidRPr="007375EB" w:rsidRDefault="00941AA2" w:rsidP="00C07C9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Мониторинг на качеството на въздуха, водата и почвата в съответствие със законовите стандарти.</w:t>
            </w:r>
          </w:p>
        </w:tc>
        <w:tc>
          <w:tcPr>
            <w:tcW w:w="2407" w:type="dxa"/>
          </w:tcPr>
          <w:p w14:paraId="0F1EC99E" w14:textId="63CFACBA" w:rsidR="00C07C91" w:rsidRPr="007375EB" w:rsidRDefault="00C07C91" w:rsidP="00C07C91">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Оператор на вятърен парк</w:t>
            </w:r>
          </w:p>
        </w:tc>
      </w:tr>
      <w:tr w:rsidR="00C07C91" w:rsidRPr="007375EB" w14:paraId="476A9712" w14:textId="77777777" w:rsidTr="00C07C91">
        <w:trPr>
          <w:trHeight w:val="62"/>
        </w:trPr>
        <w:tc>
          <w:tcPr>
            <w:tcW w:w="1856" w:type="dxa"/>
            <w:vMerge/>
            <w:vAlign w:val="center"/>
          </w:tcPr>
          <w:p w14:paraId="6D3D583A" w14:textId="77777777" w:rsidR="00C07C91" w:rsidRPr="007375EB" w:rsidRDefault="00C07C91" w:rsidP="00C07C91">
            <w:pPr>
              <w:spacing w:after="0" w:line="240" w:lineRule="auto"/>
              <w:contextualSpacing/>
              <w:rPr>
                <w:rFonts w:asciiTheme="minorHAnsi" w:hAnsiTheme="minorHAnsi"/>
                <w:sz w:val="16"/>
                <w:szCs w:val="16"/>
                <w:lang w:val="bg-BG"/>
              </w:rPr>
            </w:pPr>
          </w:p>
        </w:tc>
        <w:tc>
          <w:tcPr>
            <w:tcW w:w="3515" w:type="dxa"/>
            <w:vAlign w:val="center"/>
          </w:tcPr>
          <w:p w14:paraId="656EA9E8" w14:textId="4B4CAEB6" w:rsidR="00C07C91" w:rsidRPr="007375EB" w:rsidRDefault="00C07C91" w:rsidP="00C07C91">
            <w:pPr>
              <w:pStyle w:val="ListParagraph"/>
              <w:numPr>
                <w:ilvl w:val="0"/>
                <w:numId w:val="85"/>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Подобряване на жизнения стандарт и социалните условия на населението</w:t>
            </w:r>
          </w:p>
        </w:tc>
        <w:tc>
          <w:tcPr>
            <w:tcW w:w="6818" w:type="dxa"/>
          </w:tcPr>
          <w:p w14:paraId="257318A3" w14:textId="7C4B4534" w:rsidR="00C07C91" w:rsidRPr="007375EB" w:rsidRDefault="00941AA2" w:rsidP="00C07C9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Оценка на удовлетвореността на общността от проекта и социалните ползи.</w:t>
            </w:r>
          </w:p>
        </w:tc>
        <w:tc>
          <w:tcPr>
            <w:tcW w:w="2407" w:type="dxa"/>
          </w:tcPr>
          <w:p w14:paraId="4B84F9A9" w14:textId="5FB328D9" w:rsidR="00C07C91" w:rsidRPr="007375EB" w:rsidRDefault="00C07C91" w:rsidP="00C07C91">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Оператор на вятърен парк</w:t>
            </w:r>
          </w:p>
        </w:tc>
      </w:tr>
      <w:tr w:rsidR="00C07C91" w:rsidRPr="007375EB" w14:paraId="3C0E162C" w14:textId="77777777" w:rsidTr="00C07C91">
        <w:trPr>
          <w:trHeight w:val="401"/>
        </w:trPr>
        <w:tc>
          <w:tcPr>
            <w:tcW w:w="1856" w:type="dxa"/>
            <w:vAlign w:val="center"/>
          </w:tcPr>
          <w:p w14:paraId="5F325CBD" w14:textId="12E2BEC5" w:rsidR="00C07C91" w:rsidRPr="007375EB" w:rsidRDefault="00C07C91" w:rsidP="00C07C91">
            <w:pPr>
              <w:spacing w:after="0" w:line="240" w:lineRule="auto"/>
              <w:contextualSpacing/>
              <w:rPr>
                <w:rFonts w:asciiTheme="minorHAnsi" w:hAnsiTheme="minorHAnsi"/>
                <w:b/>
                <w:sz w:val="16"/>
                <w:szCs w:val="16"/>
                <w:lang w:val="bg-BG"/>
              </w:rPr>
            </w:pPr>
            <w:r w:rsidRPr="007375EB">
              <w:rPr>
                <w:rFonts w:asciiTheme="minorHAnsi" w:hAnsiTheme="minorHAnsi" w:cs="Calibri"/>
                <w:b/>
                <w:bCs/>
                <w:color w:val="000000"/>
                <w:sz w:val="16"/>
                <w:szCs w:val="16"/>
                <w:lang w:val="bg-BG" w:eastAsia="ro-RO"/>
              </w:rPr>
              <w:t>Ландшафт</w:t>
            </w:r>
          </w:p>
        </w:tc>
        <w:tc>
          <w:tcPr>
            <w:tcW w:w="3515" w:type="dxa"/>
            <w:vAlign w:val="center"/>
          </w:tcPr>
          <w:p w14:paraId="2A1C9847" w14:textId="1B8A9117" w:rsidR="00C07C91" w:rsidRPr="007375EB" w:rsidRDefault="00C07C91" w:rsidP="00C07C91">
            <w:pPr>
              <w:pStyle w:val="ListParagraph"/>
              <w:numPr>
                <w:ilvl w:val="0"/>
                <w:numId w:val="85"/>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Осигуряване на защита на естествения ландшафт и свеждане до минимум на въздействието върху естествения ландшафт</w:t>
            </w:r>
          </w:p>
        </w:tc>
        <w:tc>
          <w:tcPr>
            <w:tcW w:w="6818" w:type="dxa"/>
          </w:tcPr>
          <w:p w14:paraId="3F25C92B" w14:textId="7977B4C9" w:rsidR="00C07C91" w:rsidRPr="007375EB" w:rsidRDefault="00941AA2" w:rsidP="00C07C91">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Прилагане на мерки за интегриране на ландшафта във вятърните структури.</w:t>
            </w:r>
          </w:p>
        </w:tc>
        <w:tc>
          <w:tcPr>
            <w:tcW w:w="2407" w:type="dxa"/>
          </w:tcPr>
          <w:p w14:paraId="27A33AA8" w14:textId="7B2C1396" w:rsidR="00C07C91" w:rsidRPr="007375EB" w:rsidRDefault="00C07C91" w:rsidP="00C07C91">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Оператор на вятърен парк</w:t>
            </w:r>
          </w:p>
        </w:tc>
      </w:tr>
      <w:tr w:rsidR="00B92F80" w:rsidRPr="007375EB" w14:paraId="28DD56D3" w14:textId="77777777" w:rsidTr="00C07C91">
        <w:trPr>
          <w:trHeight w:val="62"/>
        </w:trPr>
        <w:tc>
          <w:tcPr>
            <w:tcW w:w="1856" w:type="dxa"/>
            <w:vMerge w:val="restart"/>
            <w:vAlign w:val="center"/>
          </w:tcPr>
          <w:p w14:paraId="03757958" w14:textId="6D43F19D" w:rsidR="00B92F80" w:rsidRPr="007375EB" w:rsidRDefault="00B92F80" w:rsidP="00B92F80">
            <w:pPr>
              <w:spacing w:after="0" w:line="240" w:lineRule="auto"/>
              <w:contextualSpacing/>
              <w:rPr>
                <w:rFonts w:asciiTheme="minorHAnsi" w:hAnsiTheme="minorHAnsi"/>
                <w:b/>
                <w:sz w:val="16"/>
                <w:szCs w:val="16"/>
                <w:lang w:val="bg-BG"/>
              </w:rPr>
            </w:pPr>
            <w:r w:rsidRPr="007375EB">
              <w:rPr>
                <w:rFonts w:asciiTheme="minorHAnsi" w:hAnsiTheme="minorHAnsi" w:cs="Calibri"/>
                <w:b/>
                <w:bCs/>
                <w:color w:val="000000"/>
                <w:sz w:val="16"/>
                <w:szCs w:val="16"/>
                <w:lang w:val="bg-BG" w:eastAsia="ro-RO"/>
              </w:rPr>
              <w:t>Изменение на климата </w:t>
            </w:r>
          </w:p>
        </w:tc>
        <w:tc>
          <w:tcPr>
            <w:tcW w:w="3515" w:type="dxa"/>
            <w:vAlign w:val="center"/>
          </w:tcPr>
          <w:p w14:paraId="4CBCD2E6" w14:textId="67A4368C" w:rsidR="00B92F80" w:rsidRPr="007375EB" w:rsidRDefault="00B92F80" w:rsidP="00B92F80">
            <w:pPr>
              <w:pStyle w:val="ListParagraph"/>
              <w:numPr>
                <w:ilvl w:val="0"/>
                <w:numId w:val="85"/>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Намаляване на емисиите на парникови газове от енергийния сектор</w:t>
            </w:r>
          </w:p>
        </w:tc>
        <w:tc>
          <w:tcPr>
            <w:tcW w:w="6818" w:type="dxa"/>
          </w:tcPr>
          <w:p w14:paraId="02F3A8A9" w14:textId="4D6B12A2" w:rsidR="00B92F80" w:rsidRPr="007375EB" w:rsidRDefault="00941AA2" w:rsidP="00B92F8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Мониторинг на производството на електроенергия и оценка на предотвратените емисии на парникови газове, дължащи се на експлоатацията на вятърните паркове.</w:t>
            </w:r>
          </w:p>
        </w:tc>
        <w:tc>
          <w:tcPr>
            <w:tcW w:w="2407" w:type="dxa"/>
          </w:tcPr>
          <w:p w14:paraId="589A0C79" w14:textId="2AAD4C72" w:rsidR="00B92F80" w:rsidRPr="007375EB" w:rsidRDefault="00C07C91" w:rsidP="00B92F80">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Оператор на вятърен парк</w:t>
            </w:r>
          </w:p>
        </w:tc>
      </w:tr>
      <w:tr w:rsidR="00B92F80" w:rsidRPr="007375EB" w14:paraId="7D18ED5C" w14:textId="77777777" w:rsidTr="00C07C91">
        <w:trPr>
          <w:trHeight w:val="62"/>
        </w:trPr>
        <w:tc>
          <w:tcPr>
            <w:tcW w:w="1856" w:type="dxa"/>
            <w:vMerge/>
            <w:vAlign w:val="center"/>
          </w:tcPr>
          <w:p w14:paraId="4E58B777" w14:textId="77777777" w:rsidR="00B92F80" w:rsidRPr="007375EB" w:rsidRDefault="00B92F80" w:rsidP="00B92F80">
            <w:pPr>
              <w:tabs>
                <w:tab w:val="left" w:pos="746"/>
              </w:tabs>
              <w:spacing w:after="0" w:line="240" w:lineRule="auto"/>
              <w:contextualSpacing/>
              <w:jc w:val="both"/>
              <w:rPr>
                <w:rFonts w:asciiTheme="minorHAnsi" w:hAnsiTheme="minorHAnsi"/>
                <w:sz w:val="16"/>
                <w:szCs w:val="16"/>
                <w:lang w:val="bg-BG"/>
              </w:rPr>
            </w:pPr>
          </w:p>
        </w:tc>
        <w:tc>
          <w:tcPr>
            <w:tcW w:w="3515" w:type="dxa"/>
            <w:vAlign w:val="center"/>
          </w:tcPr>
          <w:p w14:paraId="3C832FC4" w14:textId="51641C7A" w:rsidR="00B92F80" w:rsidRPr="007375EB" w:rsidRDefault="00B92F80" w:rsidP="00B92F80">
            <w:pPr>
              <w:pStyle w:val="ListParagraph"/>
              <w:numPr>
                <w:ilvl w:val="0"/>
                <w:numId w:val="85"/>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Намаляване на рисковете от изменението на климата (адаптация)</w:t>
            </w:r>
          </w:p>
        </w:tc>
        <w:tc>
          <w:tcPr>
            <w:tcW w:w="6818" w:type="dxa"/>
          </w:tcPr>
          <w:p w14:paraId="0FCC3C63" w14:textId="5E19067B" w:rsidR="00B92F80" w:rsidRPr="007375EB" w:rsidRDefault="00941AA2" w:rsidP="00B92F80">
            <w:pPr>
              <w:spacing w:after="0" w:line="240" w:lineRule="auto"/>
              <w:jc w:val="both"/>
              <w:rPr>
                <w:rFonts w:asciiTheme="minorHAnsi" w:hAnsiTheme="minorHAnsi"/>
                <w:sz w:val="16"/>
                <w:szCs w:val="16"/>
                <w:lang w:val="bg-BG"/>
              </w:rPr>
            </w:pPr>
            <w:r w:rsidRPr="007375EB">
              <w:rPr>
                <w:rFonts w:asciiTheme="minorHAnsi" w:hAnsiTheme="minorHAnsi"/>
                <w:sz w:val="16"/>
                <w:szCs w:val="16"/>
                <w:lang w:val="bg-BG"/>
              </w:rPr>
              <w:t>Използване на вятърни турбини, проектирани да издържат на екстремни метеорологични условия, като силни ветрове, бури и екстремни температури. Те могат да включват по-здрави материали и технологии за саморегулиране на скоростта.</w:t>
            </w:r>
          </w:p>
        </w:tc>
        <w:tc>
          <w:tcPr>
            <w:tcW w:w="2407" w:type="dxa"/>
          </w:tcPr>
          <w:p w14:paraId="29354EB3" w14:textId="3EE9049E" w:rsidR="00B92F80" w:rsidRPr="007375EB" w:rsidRDefault="00941AA2" w:rsidP="00B92F80">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Бенефициент/изпълнител, отговорен за реализацията на вятърния парк.</w:t>
            </w:r>
          </w:p>
        </w:tc>
      </w:tr>
      <w:tr w:rsidR="00B92F80" w:rsidRPr="007375EB" w14:paraId="254C1AF8" w14:textId="77777777" w:rsidTr="00C07C91">
        <w:trPr>
          <w:trHeight w:val="408"/>
        </w:trPr>
        <w:tc>
          <w:tcPr>
            <w:tcW w:w="1856" w:type="dxa"/>
            <w:vAlign w:val="center"/>
          </w:tcPr>
          <w:p w14:paraId="4056D570" w14:textId="56AB77F5" w:rsidR="00B92F80" w:rsidRPr="007375EB" w:rsidRDefault="00B92F80" w:rsidP="00B92F80">
            <w:pPr>
              <w:spacing w:after="0" w:line="240" w:lineRule="auto"/>
              <w:contextualSpacing/>
              <w:rPr>
                <w:rFonts w:asciiTheme="minorHAnsi" w:hAnsiTheme="minorHAnsi"/>
                <w:b/>
                <w:sz w:val="16"/>
                <w:szCs w:val="16"/>
                <w:lang w:val="bg-BG"/>
              </w:rPr>
            </w:pPr>
            <w:r w:rsidRPr="007375EB">
              <w:rPr>
                <w:rFonts w:asciiTheme="minorHAnsi" w:hAnsiTheme="minorHAnsi" w:cs="Calibri"/>
                <w:b/>
                <w:bCs/>
                <w:color w:val="000000"/>
                <w:sz w:val="16"/>
                <w:szCs w:val="16"/>
                <w:lang w:val="bg-BG" w:eastAsia="ro-RO"/>
              </w:rPr>
              <w:t>Културно наследство</w:t>
            </w:r>
          </w:p>
        </w:tc>
        <w:tc>
          <w:tcPr>
            <w:tcW w:w="3515" w:type="dxa"/>
            <w:vAlign w:val="center"/>
          </w:tcPr>
          <w:p w14:paraId="5E46FCA2" w14:textId="51C9FBB4" w:rsidR="00B92F80" w:rsidRPr="007375EB" w:rsidRDefault="00B92F80" w:rsidP="00B92F80">
            <w:pPr>
              <w:pStyle w:val="ListParagraph"/>
              <w:numPr>
                <w:ilvl w:val="0"/>
                <w:numId w:val="85"/>
              </w:numPr>
              <w:tabs>
                <w:tab w:val="left" w:pos="746"/>
              </w:tabs>
              <w:spacing w:after="0" w:line="240" w:lineRule="auto"/>
              <w:ind w:left="604" w:hanging="567"/>
              <w:jc w:val="both"/>
              <w:rPr>
                <w:rFonts w:asciiTheme="minorHAnsi" w:hAnsiTheme="minorHAnsi"/>
                <w:sz w:val="16"/>
                <w:szCs w:val="16"/>
                <w:lang w:val="bg-BG"/>
              </w:rPr>
            </w:pPr>
            <w:r w:rsidRPr="007375EB">
              <w:rPr>
                <w:rFonts w:asciiTheme="minorHAnsi" w:hAnsiTheme="minorHAnsi" w:cs="Calibri"/>
                <w:color w:val="000000"/>
                <w:sz w:val="16"/>
                <w:szCs w:val="16"/>
                <w:lang w:val="bg-BG" w:eastAsia="ro-RO"/>
              </w:rPr>
              <w:t>Защита и опазване на културното наследство</w:t>
            </w:r>
          </w:p>
        </w:tc>
        <w:tc>
          <w:tcPr>
            <w:tcW w:w="6818" w:type="dxa"/>
          </w:tcPr>
          <w:p w14:paraId="72EC2DF0" w14:textId="77777777" w:rsidR="00941AA2" w:rsidRPr="007375EB" w:rsidRDefault="00941AA2" w:rsidP="00B92F80">
            <w:pPr>
              <w:spacing w:after="0" w:line="240" w:lineRule="auto"/>
              <w:rPr>
                <w:rFonts w:asciiTheme="minorHAnsi" w:hAnsiTheme="minorHAnsi"/>
                <w:sz w:val="16"/>
                <w:szCs w:val="16"/>
                <w:lang w:val="bg-BG"/>
              </w:rPr>
            </w:pPr>
            <w:r w:rsidRPr="007375EB">
              <w:rPr>
                <w:rFonts w:asciiTheme="minorHAnsi" w:hAnsiTheme="minorHAnsi"/>
                <w:sz w:val="16"/>
                <w:szCs w:val="16"/>
                <w:lang w:val="bg-BG"/>
              </w:rPr>
              <w:t xml:space="preserve">Мониторинг на въздействието на строителството и дейностите върху обектите на културното наследство. </w:t>
            </w:r>
          </w:p>
          <w:p w14:paraId="6C9BEEED" w14:textId="608895EA" w:rsidR="00B92F80" w:rsidRPr="007375EB" w:rsidRDefault="00941AA2" w:rsidP="00B92F80">
            <w:pPr>
              <w:spacing w:after="0" w:line="240" w:lineRule="auto"/>
              <w:rPr>
                <w:rFonts w:asciiTheme="minorHAnsi" w:hAnsiTheme="minorHAnsi"/>
                <w:sz w:val="16"/>
                <w:szCs w:val="16"/>
                <w:lang w:val="bg-BG"/>
              </w:rPr>
            </w:pPr>
            <w:r w:rsidRPr="007375EB">
              <w:rPr>
                <w:rFonts w:asciiTheme="minorHAnsi" w:hAnsiTheme="minorHAnsi"/>
                <w:sz w:val="16"/>
                <w:szCs w:val="16"/>
                <w:lang w:val="bg-BG"/>
              </w:rPr>
              <w:t>Прилагане на мерки за защита и опазване на културното наследство.</w:t>
            </w:r>
          </w:p>
        </w:tc>
        <w:tc>
          <w:tcPr>
            <w:tcW w:w="2407" w:type="dxa"/>
          </w:tcPr>
          <w:p w14:paraId="3529F295" w14:textId="77968875" w:rsidR="00B92F80" w:rsidRPr="007375EB" w:rsidRDefault="00C07C91" w:rsidP="00B92F80">
            <w:pPr>
              <w:spacing w:after="0" w:line="240" w:lineRule="auto"/>
              <w:contextualSpacing/>
              <w:jc w:val="both"/>
              <w:rPr>
                <w:rFonts w:asciiTheme="minorHAnsi" w:hAnsiTheme="minorHAnsi"/>
                <w:sz w:val="16"/>
                <w:szCs w:val="16"/>
                <w:lang w:val="bg-BG"/>
              </w:rPr>
            </w:pPr>
            <w:r w:rsidRPr="007375EB">
              <w:rPr>
                <w:rFonts w:asciiTheme="minorHAnsi" w:hAnsiTheme="minorHAnsi"/>
                <w:sz w:val="16"/>
                <w:szCs w:val="16"/>
                <w:lang w:val="bg-BG"/>
              </w:rPr>
              <w:t>Оператор на вятърен парк</w:t>
            </w:r>
          </w:p>
        </w:tc>
      </w:tr>
    </w:tbl>
    <w:p w14:paraId="26D9E04F" w14:textId="77777777" w:rsidR="00973EDF" w:rsidRPr="007375EB" w:rsidRDefault="00973EDF" w:rsidP="005765BA">
      <w:pPr>
        <w:spacing w:line="360" w:lineRule="auto"/>
        <w:ind w:left="360"/>
        <w:jc w:val="both"/>
        <w:rPr>
          <w:lang w:val="bg-BG"/>
        </w:rPr>
      </w:pPr>
    </w:p>
    <w:p w14:paraId="65F35A66" w14:textId="77777777" w:rsidR="006B59ED" w:rsidRPr="007375EB" w:rsidRDefault="006B59ED" w:rsidP="006E5B3F">
      <w:pPr>
        <w:spacing w:after="120" w:line="360" w:lineRule="auto"/>
        <w:jc w:val="both"/>
        <w:rPr>
          <w:lang w:val="bg-BG" w:eastAsia="ro-RO"/>
        </w:rPr>
      </w:pPr>
    </w:p>
    <w:p w14:paraId="43DFE4C7" w14:textId="77777777" w:rsidR="006B59ED" w:rsidRPr="007375EB" w:rsidRDefault="006B59ED" w:rsidP="006E5B3F">
      <w:pPr>
        <w:spacing w:after="120" w:line="360" w:lineRule="auto"/>
        <w:jc w:val="both"/>
        <w:rPr>
          <w:lang w:val="bg-BG" w:eastAsia="ro-RO"/>
        </w:rPr>
      </w:pPr>
    </w:p>
    <w:p w14:paraId="4E27DCC3" w14:textId="2F121413" w:rsidR="00EA76D6" w:rsidRPr="007375EB" w:rsidRDefault="00EA76D6" w:rsidP="00185670">
      <w:pPr>
        <w:spacing w:after="120" w:line="360" w:lineRule="auto"/>
        <w:jc w:val="both"/>
        <w:rPr>
          <w:lang w:val="bg-BG" w:eastAsia="ro-RO"/>
        </w:rPr>
        <w:sectPr w:rsidR="00EA76D6" w:rsidRPr="007375EB" w:rsidSect="00CF0576">
          <w:pgSz w:w="16838" w:h="11906" w:orient="landscape" w:code="9"/>
          <w:pgMar w:top="1191" w:right="2013" w:bottom="1416" w:left="1418" w:header="839" w:footer="680" w:gutter="0"/>
          <w:cols w:space="708"/>
          <w:docGrid w:linePitch="360"/>
        </w:sectPr>
      </w:pPr>
      <w:bookmarkStart w:id="44" w:name="_Toc159320546"/>
    </w:p>
    <w:bookmarkEnd w:id="44"/>
    <w:p w14:paraId="02EA7680" w14:textId="193C4BD2" w:rsidR="006B59ED" w:rsidRPr="007375EB" w:rsidRDefault="00DC6FF5" w:rsidP="0041531F">
      <w:pPr>
        <w:pStyle w:val="Heading1"/>
        <w:numPr>
          <w:ilvl w:val="0"/>
          <w:numId w:val="77"/>
        </w:numPr>
        <w:suppressAutoHyphens w:val="0"/>
        <w:spacing w:before="0" w:after="240" w:line="360" w:lineRule="auto"/>
        <w:ind w:left="567" w:hanging="567"/>
        <w:contextualSpacing w:val="0"/>
        <w:jc w:val="both"/>
        <w:rPr>
          <w:b/>
          <w:bCs w:val="0"/>
          <w:sz w:val="20"/>
          <w:szCs w:val="20"/>
          <w:lang w:val="bg-BG" w:eastAsia="ro-RO"/>
        </w:rPr>
      </w:pPr>
      <w:r w:rsidRPr="007375EB">
        <w:rPr>
          <w:b/>
          <w:bCs w:val="0"/>
          <w:sz w:val="20"/>
          <w:szCs w:val="20"/>
          <w:lang w:val="bg-BG" w:eastAsia="ro-RO"/>
        </w:rPr>
        <w:lastRenderedPageBreak/>
        <w:t>Нетехническото резюме</w:t>
      </w:r>
    </w:p>
    <w:p w14:paraId="0E63F4C3" w14:textId="6C6AEAF1" w:rsidR="00DC6FF5" w:rsidRPr="00DC6FF5" w:rsidRDefault="00DC6FF5" w:rsidP="00DC6FF5">
      <w:pPr>
        <w:spacing w:after="120" w:line="360" w:lineRule="auto"/>
        <w:jc w:val="both"/>
        <w:rPr>
          <w:lang w:val="bg-BG"/>
        </w:rPr>
      </w:pPr>
      <w:r w:rsidRPr="00DC6FF5">
        <w:rPr>
          <w:lang w:val="bg-BG"/>
        </w:rPr>
        <w:t xml:space="preserve">Този доклад представя доклад </w:t>
      </w:r>
      <w:r w:rsidR="006D6A7D" w:rsidRPr="007375EB">
        <w:rPr>
          <w:lang w:val="bg-BG"/>
        </w:rPr>
        <w:t>з</w:t>
      </w:r>
      <w:r w:rsidRPr="007375EB">
        <w:rPr>
          <w:lang w:val="bg-BG"/>
        </w:rPr>
        <w:t xml:space="preserve">а околната среда </w:t>
      </w:r>
      <w:r w:rsidRPr="00DC6FF5">
        <w:rPr>
          <w:lang w:val="bg-BG"/>
        </w:rPr>
        <w:t>за стратегическата екологична оценка на зоналния градоустройствен план (PUZ) за развитието на парк за вятърна енергия в община Чер</w:t>
      </w:r>
      <w:r w:rsidR="00941AA2" w:rsidRPr="007375EB">
        <w:rPr>
          <w:lang w:val="bg-BG"/>
        </w:rPr>
        <w:t>к</w:t>
      </w:r>
      <w:r w:rsidRPr="00DC6FF5">
        <w:rPr>
          <w:lang w:val="bg-BG"/>
        </w:rPr>
        <w:t>езу, окръг Констанца. Планът е направен в контекста на необходимостта от оценка на въздействието върху околната среда и отговаря на национални и международни цели по отношение на възобновяемата енергия и опазването на околната среда.</w:t>
      </w:r>
    </w:p>
    <w:p w14:paraId="3824C918" w14:textId="4AB92E3A" w:rsidR="00DC6FF5" w:rsidRPr="007375EB" w:rsidRDefault="00DC6FF5" w:rsidP="00DC6FF5">
      <w:pPr>
        <w:spacing w:after="120" w:line="360" w:lineRule="auto"/>
        <w:jc w:val="both"/>
        <w:rPr>
          <w:lang w:val="bg-BG"/>
        </w:rPr>
      </w:pPr>
      <w:r w:rsidRPr="007375EB">
        <w:rPr>
          <w:lang w:val="bg-BG"/>
        </w:rPr>
        <w:t xml:space="preserve">Зоналният градоустройствен план анализира развитието на вятърен парк, състоящ се от 48 (46) вятърни електроцентрали с общ капацитет от приблизително 316,8 (303,6) </w:t>
      </w:r>
      <w:r w:rsidR="00941AA2" w:rsidRPr="007375EB">
        <w:rPr>
          <w:lang w:val="bg-BG"/>
        </w:rPr>
        <w:t>МВт</w:t>
      </w:r>
      <w:r w:rsidRPr="007375EB">
        <w:rPr>
          <w:lang w:val="bg-BG"/>
        </w:rPr>
        <w:t xml:space="preserve">. Проектът включва още </w:t>
      </w:r>
      <w:r w:rsidR="00941AA2" w:rsidRPr="007375EB">
        <w:rPr>
          <w:lang w:val="bg-BG"/>
        </w:rPr>
        <w:t>трансформаторни станции</w:t>
      </w:r>
      <w:r w:rsidRPr="007375EB">
        <w:rPr>
          <w:lang w:val="bg-BG"/>
        </w:rPr>
        <w:t>, електроприсъединителни мрежи, както и изграждане и модернизация на необходимите пътища за достъп</w:t>
      </w:r>
    </w:p>
    <w:p w14:paraId="1010A730" w14:textId="7FB6CE67" w:rsidR="00A826E2" w:rsidRPr="007375EB" w:rsidRDefault="006D6A7D" w:rsidP="00A826E2">
      <w:pPr>
        <w:spacing w:after="120" w:line="360" w:lineRule="auto"/>
        <w:jc w:val="both"/>
        <w:rPr>
          <w:rFonts w:cs="Arial"/>
          <w:lang w:val="bg-BG"/>
        </w:rPr>
      </w:pPr>
      <w:r w:rsidRPr="007375EB">
        <w:rPr>
          <w:rFonts w:cs="Arial"/>
          <w:lang w:val="bg-BG"/>
        </w:rPr>
        <w:t xml:space="preserve">Докладът за околната среда е изготвен в съответствие с разпоредбите на Приложение № 2 към ПР № 1076/2004, препоръките на </w:t>
      </w:r>
      <w:r w:rsidRPr="007375EB">
        <w:rPr>
          <w:rFonts w:cs="Arial"/>
          <w:i/>
          <w:iCs/>
          <w:lang w:val="bg-BG"/>
        </w:rPr>
        <w:t>Общото ръководство за процедурата за стратегическа екологична оценка</w:t>
      </w:r>
      <w:r w:rsidRPr="007375EB">
        <w:rPr>
          <w:rFonts w:cs="Arial"/>
          <w:lang w:val="bg-BG"/>
        </w:rPr>
        <w:t xml:space="preserve"> (СЕО), разработено от Министерството на околната среда и управлението на водите в сътрудничество с Националната агенция за опазване на околната среда и на </w:t>
      </w:r>
      <w:r w:rsidRPr="007375EB">
        <w:rPr>
          <w:rFonts w:cs="Arial"/>
          <w:i/>
          <w:iCs/>
          <w:lang w:val="bg-BG"/>
        </w:rPr>
        <w:t>Ръководството за прилагане на процедурата за извършване на изготвя екологична оценка за планове и програми</w:t>
      </w:r>
      <w:r w:rsidRPr="007375EB">
        <w:rPr>
          <w:rFonts w:cs="Arial"/>
          <w:lang w:val="bg-BG"/>
        </w:rPr>
        <w:t>, одобрени със заповед на Министъра на околната среда и управлението на водите № 117/2006 г</w:t>
      </w:r>
      <w:r w:rsidR="00A826E2" w:rsidRPr="007375EB">
        <w:rPr>
          <w:rFonts w:cs="Arial"/>
          <w:lang w:val="bg-BG"/>
        </w:rPr>
        <w:t>.</w:t>
      </w:r>
    </w:p>
    <w:p w14:paraId="69EA94B5" w14:textId="2D416B70" w:rsidR="00A826E2" w:rsidRPr="007375EB" w:rsidRDefault="00D4192A" w:rsidP="00C36DC7">
      <w:pPr>
        <w:spacing w:after="120" w:line="360" w:lineRule="auto"/>
        <w:jc w:val="both"/>
        <w:rPr>
          <w:lang w:val="bg-BG"/>
        </w:rPr>
      </w:pPr>
      <w:r w:rsidRPr="007375EB">
        <w:rPr>
          <w:rFonts w:cs="Arial"/>
          <w:lang w:val="bg-BG"/>
        </w:rPr>
        <w:t>Проучването за адекватна оценка е извършено в съответствие с разпоредбите на Методическото ръководство за адекватна оценка на потенциалните въздействия на плановете или проектите върху защитените природни територии от интерес за общността, одобрено със Заповед № 1682/2023 г., впоследствие изменено и допълнено със Заповед № 2.452/2023 г., и в съответствие с разпоредбите на специалното ръководство (одобрено със Заповед № 1679/2023 г. за одобряване на специално Методическо ръководство за адекватна оценка на потенциалните въздействия на плановете/проектите в зоните от интерес), като е взет предвид фактът, че въпросният план е включен в областта „</w:t>
      </w:r>
      <w:r w:rsidRPr="007375EB">
        <w:rPr>
          <w:rFonts w:cs="Arial"/>
          <w:i/>
          <w:iCs/>
          <w:lang w:val="bg-BG"/>
        </w:rPr>
        <w:t>Производство на енергия</w:t>
      </w:r>
      <w:r w:rsidRPr="007375EB">
        <w:rPr>
          <w:rFonts w:cs="Arial"/>
          <w:lang w:val="bg-BG"/>
        </w:rPr>
        <w:t xml:space="preserve">“. </w:t>
      </w:r>
      <w:r w:rsidRPr="007375EB">
        <w:rPr>
          <w:lang w:val="bg-BG"/>
        </w:rPr>
        <w:t>В доклада за околната среда са идентифицирани, описани и оценени потенциалните значителни въздействия върху околната среда от прилагането на PUZ, както и неговите алтернативи, като са взети предвид целите и географската област на плана.</w:t>
      </w:r>
    </w:p>
    <w:p w14:paraId="3853F5BC" w14:textId="6B4FC1AF" w:rsidR="00631F00" w:rsidRPr="007375EB" w:rsidRDefault="00D4192A" w:rsidP="00130180">
      <w:pPr>
        <w:spacing w:after="120" w:line="360" w:lineRule="auto"/>
        <w:jc w:val="both"/>
        <w:rPr>
          <w:lang w:val="bg-BG"/>
        </w:rPr>
      </w:pPr>
      <w:r w:rsidRPr="007375EB">
        <w:rPr>
          <w:b/>
          <w:bCs/>
          <w:lang w:val="bg-BG"/>
        </w:rPr>
        <w:t xml:space="preserve">Общата цел на PUZ </w:t>
      </w:r>
      <w:r w:rsidRPr="007375EB">
        <w:rPr>
          <w:lang w:val="bg-BG"/>
        </w:rPr>
        <w:t>е да допринесе за икономическото развитие на окръг Констанца чрез привличане на устойчиви инвестиции и използване на вятърния потенциал на района. Тя има за цел също така да намали емисиите на парникови газове и други замърсители в съответствие с ангажиментите на Румъния по Парижкото споразумение и други национални и европейски стратегии и планове</w:t>
      </w:r>
      <w:r w:rsidR="00DD2475" w:rsidRPr="007375EB">
        <w:rPr>
          <w:lang w:val="bg-BG"/>
        </w:rPr>
        <w:t>.</w:t>
      </w:r>
    </w:p>
    <w:p w14:paraId="75F4972B" w14:textId="0C1794DE" w:rsidR="009A4E01" w:rsidRPr="007375EB" w:rsidRDefault="00D4192A" w:rsidP="009A4E01">
      <w:pPr>
        <w:spacing w:after="120" w:line="360" w:lineRule="auto"/>
        <w:jc w:val="both"/>
        <w:rPr>
          <w:lang w:val="bg-BG"/>
        </w:rPr>
      </w:pPr>
      <w:r w:rsidRPr="007375EB">
        <w:rPr>
          <w:lang w:val="bg-BG"/>
        </w:rPr>
        <w:t xml:space="preserve">Вятърният парк ще бъде разположен извън община Черчезу, на границата с общините Кирногени, Индепенденца, Думбръвени и град Негру Вода. Проектът се намира в непосредствена близост до границата с България. При оценката на PUZ бяха проучени </w:t>
      </w:r>
      <w:r w:rsidRPr="007375EB">
        <w:rPr>
          <w:b/>
          <w:bCs/>
          <w:lang w:val="bg-BG"/>
        </w:rPr>
        <w:t>четири алтернативи, включително нулевия вариант (без изпълнение) и три варианта за развитие с различни конфигурации и мощности за вятърна енергия</w:t>
      </w:r>
      <w:r w:rsidR="009A4E01" w:rsidRPr="007375EB">
        <w:rPr>
          <w:b/>
          <w:bCs/>
          <w:lang w:val="bg-BG"/>
        </w:rPr>
        <w:t>.</w:t>
      </w:r>
    </w:p>
    <w:p w14:paraId="3BDA164F" w14:textId="21B26B11" w:rsidR="0055322E" w:rsidRPr="007375EB" w:rsidRDefault="00D4192A" w:rsidP="0055322E">
      <w:pPr>
        <w:spacing w:before="120" w:line="360" w:lineRule="auto"/>
        <w:jc w:val="both"/>
        <w:rPr>
          <w:rFonts w:eastAsia="Verdana" w:cs="Verdana"/>
          <w:noProof/>
          <w:lang w:val="bg-BG"/>
        </w:rPr>
      </w:pPr>
      <w:r w:rsidRPr="007375EB">
        <w:rPr>
          <w:rFonts w:eastAsia="Verdana" w:cs="Verdana"/>
          <w:noProof/>
          <w:lang w:val="bg-BG"/>
        </w:rPr>
        <w:t xml:space="preserve">За да се създаде рамка за оценка на въздействието върху околната среда, генерирано от изпълнението на PUZ, което е предмет на този доклад за околната среда, в етапа на дефиниране </w:t>
      </w:r>
      <w:r w:rsidRPr="007375EB">
        <w:rPr>
          <w:rFonts w:eastAsia="Verdana" w:cs="Verdana"/>
          <w:noProof/>
          <w:lang w:val="bg-BG"/>
        </w:rPr>
        <w:lastRenderedPageBreak/>
        <w:t>на полето на процедурата по ЕО бяха анализирани и избрани следните съответни екологични цели</w:t>
      </w:r>
      <w:r w:rsidR="0055322E" w:rsidRPr="007375EB">
        <w:rPr>
          <w:rFonts w:eastAsia="Verdana" w:cs="Verdana"/>
          <w:noProof/>
          <w:lang w:val="bg-BG"/>
        </w:rPr>
        <w:t>:</w:t>
      </w:r>
    </w:p>
    <w:p w14:paraId="5F8D0D17" w14:textId="157170A3" w:rsidR="009F4E2B" w:rsidRPr="007375EB" w:rsidRDefault="00D4192A" w:rsidP="00355DC6">
      <w:pPr>
        <w:pStyle w:val="ListParagraph"/>
        <w:numPr>
          <w:ilvl w:val="0"/>
          <w:numId w:val="89"/>
        </w:numPr>
        <w:spacing w:before="120" w:line="360" w:lineRule="auto"/>
        <w:ind w:left="993" w:hanging="710"/>
        <w:jc w:val="both"/>
        <w:rPr>
          <w:rFonts w:eastAsia="Verdana" w:cs="Verdana"/>
          <w:noProof/>
          <w:lang w:val="bg-BG"/>
        </w:rPr>
      </w:pPr>
      <w:r w:rsidRPr="007375EB">
        <w:rPr>
          <w:rFonts w:eastAsia="Verdana" w:cs="Verdana"/>
          <w:noProof/>
          <w:lang w:val="bg-BG"/>
        </w:rPr>
        <w:t>Поддържане и подобряване на екологичното състояние/екологичния потенциал и химичното състояние на повърхностните и подземните водни тела</w:t>
      </w:r>
    </w:p>
    <w:p w14:paraId="413C1155" w14:textId="0E01BC26" w:rsidR="009F4E2B" w:rsidRPr="007375EB" w:rsidRDefault="00D4192A" w:rsidP="00355DC6">
      <w:pPr>
        <w:pStyle w:val="ListParagraph"/>
        <w:numPr>
          <w:ilvl w:val="0"/>
          <w:numId w:val="89"/>
        </w:numPr>
        <w:spacing w:before="120" w:line="360" w:lineRule="auto"/>
        <w:ind w:left="993" w:hanging="710"/>
        <w:jc w:val="both"/>
        <w:rPr>
          <w:rFonts w:eastAsia="Verdana" w:cs="Verdana"/>
          <w:noProof/>
          <w:lang w:val="bg-BG"/>
        </w:rPr>
      </w:pPr>
      <w:r w:rsidRPr="007375EB">
        <w:rPr>
          <w:rFonts w:eastAsia="Verdana" w:cs="Verdana"/>
          <w:noProof/>
          <w:lang w:val="bg-BG"/>
        </w:rPr>
        <w:t>Поддържане на качеството на въздуха чрез намаляване на емисиите, генерирани от дейности в енергийния сектор</w:t>
      </w:r>
    </w:p>
    <w:p w14:paraId="3871CBE3" w14:textId="79746A47" w:rsidR="009F4E2B" w:rsidRPr="007375EB" w:rsidRDefault="00D4192A" w:rsidP="00355DC6">
      <w:pPr>
        <w:pStyle w:val="ListParagraph"/>
        <w:numPr>
          <w:ilvl w:val="0"/>
          <w:numId w:val="89"/>
        </w:numPr>
        <w:spacing w:before="120" w:line="360" w:lineRule="auto"/>
        <w:ind w:left="993" w:hanging="710"/>
        <w:jc w:val="both"/>
        <w:rPr>
          <w:rFonts w:eastAsia="Verdana" w:cs="Verdana"/>
          <w:noProof/>
          <w:lang w:val="bg-BG"/>
        </w:rPr>
      </w:pPr>
      <w:r w:rsidRPr="007375EB">
        <w:rPr>
          <w:rFonts w:eastAsia="Verdana" w:cs="Verdana"/>
          <w:noProof/>
          <w:lang w:val="bg-BG"/>
        </w:rPr>
        <w:t>Ограничаване на замърсяването на почвата и деградацията на земните повърхности</w:t>
      </w:r>
      <w:r w:rsidR="009F4E2B" w:rsidRPr="007375EB">
        <w:rPr>
          <w:rFonts w:eastAsia="Verdana" w:cs="Verdana"/>
          <w:noProof/>
          <w:lang w:val="bg-BG"/>
        </w:rPr>
        <w:t>.</w:t>
      </w:r>
    </w:p>
    <w:p w14:paraId="00A78D6C" w14:textId="4B634271" w:rsidR="009F4E2B" w:rsidRPr="007375EB" w:rsidRDefault="00D4192A" w:rsidP="00355DC6">
      <w:pPr>
        <w:pStyle w:val="ListParagraph"/>
        <w:numPr>
          <w:ilvl w:val="0"/>
          <w:numId w:val="89"/>
        </w:numPr>
        <w:spacing w:before="120" w:line="360" w:lineRule="auto"/>
        <w:ind w:left="993" w:hanging="710"/>
        <w:jc w:val="both"/>
        <w:rPr>
          <w:rFonts w:eastAsia="Verdana" w:cs="Verdana"/>
          <w:noProof/>
          <w:lang w:val="bg-BG"/>
        </w:rPr>
      </w:pPr>
      <w:r w:rsidRPr="007375EB">
        <w:rPr>
          <w:rFonts w:eastAsia="Verdana" w:cs="Verdana"/>
          <w:noProof/>
          <w:lang w:val="bg-BG"/>
        </w:rPr>
        <w:t>Намаляване на експлоатацията на изчерпаеми ресурси и улесняване на експлоатацията на възобновяеми</w:t>
      </w:r>
    </w:p>
    <w:p w14:paraId="36E9266D" w14:textId="528FDE71" w:rsidR="009F4E2B" w:rsidRPr="007375EB" w:rsidRDefault="00D4192A" w:rsidP="00355DC6">
      <w:pPr>
        <w:pStyle w:val="ListParagraph"/>
        <w:numPr>
          <w:ilvl w:val="0"/>
          <w:numId w:val="89"/>
        </w:numPr>
        <w:spacing w:before="120" w:line="360" w:lineRule="auto"/>
        <w:ind w:left="993" w:hanging="710"/>
        <w:jc w:val="both"/>
        <w:rPr>
          <w:rFonts w:eastAsia="Verdana" w:cs="Verdana"/>
          <w:noProof/>
          <w:lang w:val="bg-BG"/>
        </w:rPr>
      </w:pPr>
      <w:r w:rsidRPr="007375EB">
        <w:rPr>
          <w:rFonts w:eastAsia="Verdana" w:cs="Verdana"/>
          <w:noProof/>
          <w:lang w:val="bg-BG"/>
        </w:rPr>
        <w:t>Насърчаване на прехода към кръгова икономика с ефективно използване на ресурсите</w:t>
      </w:r>
    </w:p>
    <w:p w14:paraId="2973F44C" w14:textId="2A148758" w:rsidR="009F4E2B" w:rsidRPr="007375EB" w:rsidRDefault="00D4192A" w:rsidP="00355DC6">
      <w:pPr>
        <w:pStyle w:val="ListParagraph"/>
        <w:numPr>
          <w:ilvl w:val="0"/>
          <w:numId w:val="89"/>
        </w:numPr>
        <w:spacing w:before="120" w:line="360" w:lineRule="auto"/>
        <w:ind w:left="993" w:hanging="710"/>
        <w:jc w:val="both"/>
        <w:rPr>
          <w:rFonts w:eastAsia="Verdana" w:cs="Verdana"/>
          <w:noProof/>
          <w:lang w:val="bg-BG"/>
        </w:rPr>
      </w:pPr>
      <w:r w:rsidRPr="007375EB">
        <w:rPr>
          <w:rFonts w:eastAsia="Verdana" w:cs="Verdana"/>
          <w:noProof/>
          <w:lang w:val="bg-BG"/>
        </w:rPr>
        <w:t>Намаляване на количеството генерирани и изхвърляни отпадъци чрез съхранение (съответстващи депа за отпадъци</w:t>
      </w:r>
      <w:r w:rsidR="009F4E2B" w:rsidRPr="007375EB">
        <w:rPr>
          <w:rFonts w:eastAsia="Verdana" w:cs="Verdana"/>
          <w:noProof/>
          <w:lang w:val="bg-BG"/>
        </w:rPr>
        <w:t>)</w:t>
      </w:r>
    </w:p>
    <w:p w14:paraId="606FDE99" w14:textId="1F626E7E" w:rsidR="009F4E2B" w:rsidRPr="007375EB" w:rsidRDefault="00A76107" w:rsidP="00355DC6">
      <w:pPr>
        <w:pStyle w:val="ListParagraph"/>
        <w:numPr>
          <w:ilvl w:val="0"/>
          <w:numId w:val="89"/>
        </w:numPr>
        <w:spacing w:before="120" w:line="360" w:lineRule="auto"/>
        <w:ind w:left="993" w:hanging="710"/>
        <w:jc w:val="both"/>
        <w:rPr>
          <w:rFonts w:eastAsia="Verdana" w:cs="Verdana"/>
          <w:noProof/>
          <w:lang w:val="bg-BG"/>
        </w:rPr>
      </w:pPr>
      <w:r w:rsidRPr="007375EB">
        <w:rPr>
          <w:rFonts w:eastAsia="Verdana" w:cs="Verdana"/>
          <w:noProof/>
          <w:lang w:val="bg-BG"/>
        </w:rPr>
        <w:t>Ограничаване на източника на шумово замърсяване в зони с чувствителни към шум рецептори. Ограничение на нивата на вибрации</w:t>
      </w:r>
    </w:p>
    <w:p w14:paraId="3EBB8F5D" w14:textId="747A2880" w:rsidR="009F4E2B" w:rsidRPr="007375EB" w:rsidRDefault="00A76107" w:rsidP="00355DC6">
      <w:pPr>
        <w:pStyle w:val="ListParagraph"/>
        <w:numPr>
          <w:ilvl w:val="0"/>
          <w:numId w:val="89"/>
        </w:numPr>
        <w:spacing w:before="120" w:line="360" w:lineRule="auto"/>
        <w:ind w:left="993" w:hanging="710"/>
        <w:jc w:val="both"/>
        <w:rPr>
          <w:rFonts w:eastAsia="Verdana" w:cs="Verdana"/>
          <w:noProof/>
          <w:lang w:val="bg-BG"/>
        </w:rPr>
      </w:pPr>
      <w:r w:rsidRPr="007375EB">
        <w:rPr>
          <w:rFonts w:eastAsia="Verdana" w:cs="Verdana"/>
          <w:noProof/>
          <w:lang w:val="bg-BG"/>
        </w:rPr>
        <w:t>Опазване на природни местообитания и видове от флората и фауната от обществено значение</w:t>
      </w:r>
    </w:p>
    <w:p w14:paraId="3C77BF52" w14:textId="16FCFE46" w:rsidR="009F4E2B" w:rsidRPr="007375EB" w:rsidRDefault="00A76107" w:rsidP="00355DC6">
      <w:pPr>
        <w:pStyle w:val="ListParagraph"/>
        <w:numPr>
          <w:ilvl w:val="0"/>
          <w:numId w:val="89"/>
        </w:numPr>
        <w:spacing w:before="120" w:line="360" w:lineRule="auto"/>
        <w:ind w:left="993" w:hanging="710"/>
        <w:jc w:val="both"/>
        <w:rPr>
          <w:rFonts w:eastAsia="Verdana" w:cs="Verdana"/>
          <w:noProof/>
          <w:lang w:val="bg-BG"/>
        </w:rPr>
      </w:pPr>
      <w:r w:rsidRPr="007375EB">
        <w:rPr>
          <w:rFonts w:eastAsia="Verdana" w:cs="Verdana"/>
          <w:noProof/>
          <w:lang w:val="bg-BG"/>
        </w:rPr>
        <w:t>Поддържане на мрежата от защитени зони по Природа 2000</w:t>
      </w:r>
      <w:r w:rsidR="009F4E2B" w:rsidRPr="007375EB">
        <w:rPr>
          <w:rFonts w:eastAsia="Verdana" w:cs="Verdana"/>
          <w:noProof/>
          <w:lang w:val="bg-BG"/>
        </w:rPr>
        <w:t>.</w:t>
      </w:r>
    </w:p>
    <w:p w14:paraId="58F39324" w14:textId="0A9F6307" w:rsidR="009F4E2B" w:rsidRPr="007375EB" w:rsidRDefault="00A76107" w:rsidP="00355DC6">
      <w:pPr>
        <w:pStyle w:val="ListParagraph"/>
        <w:numPr>
          <w:ilvl w:val="0"/>
          <w:numId w:val="89"/>
        </w:numPr>
        <w:spacing w:before="120" w:line="360" w:lineRule="auto"/>
        <w:ind w:left="993" w:hanging="710"/>
        <w:jc w:val="both"/>
        <w:rPr>
          <w:rFonts w:eastAsia="Verdana" w:cs="Verdana"/>
          <w:noProof/>
          <w:lang w:val="bg-BG"/>
        </w:rPr>
      </w:pPr>
      <w:r w:rsidRPr="007375EB">
        <w:rPr>
          <w:rFonts w:eastAsia="Verdana" w:cs="Verdana"/>
          <w:noProof/>
          <w:lang w:val="bg-BG"/>
        </w:rPr>
        <w:t>Поддържане на качеството на факторите на околната среда в рамките на законовите разпоредби за опазване на околната среда и здравето на населението</w:t>
      </w:r>
    </w:p>
    <w:p w14:paraId="1360AA91" w14:textId="3DF2A462" w:rsidR="009F4E2B" w:rsidRPr="007375EB" w:rsidRDefault="00A76107" w:rsidP="00355DC6">
      <w:pPr>
        <w:pStyle w:val="ListParagraph"/>
        <w:numPr>
          <w:ilvl w:val="0"/>
          <w:numId w:val="89"/>
        </w:numPr>
        <w:spacing w:before="120" w:line="360" w:lineRule="auto"/>
        <w:ind w:left="993" w:hanging="710"/>
        <w:jc w:val="both"/>
        <w:rPr>
          <w:rFonts w:eastAsia="Verdana" w:cs="Verdana"/>
          <w:noProof/>
          <w:lang w:val="bg-BG"/>
        </w:rPr>
      </w:pPr>
      <w:r w:rsidRPr="007375EB">
        <w:rPr>
          <w:rFonts w:eastAsia="Verdana" w:cs="Verdana"/>
          <w:noProof/>
          <w:lang w:val="bg-BG"/>
        </w:rPr>
        <w:t>Подобряване на стандарта на живот и социалните условия на населението</w:t>
      </w:r>
    </w:p>
    <w:p w14:paraId="7E7C3205" w14:textId="21B9E862" w:rsidR="009F4E2B" w:rsidRPr="007375EB" w:rsidRDefault="00A76107" w:rsidP="00355DC6">
      <w:pPr>
        <w:pStyle w:val="ListParagraph"/>
        <w:numPr>
          <w:ilvl w:val="0"/>
          <w:numId w:val="89"/>
        </w:numPr>
        <w:spacing w:before="120" w:line="360" w:lineRule="auto"/>
        <w:ind w:left="993" w:hanging="710"/>
        <w:jc w:val="both"/>
        <w:rPr>
          <w:rFonts w:eastAsia="Verdana" w:cs="Verdana"/>
          <w:noProof/>
          <w:lang w:val="bg-BG"/>
        </w:rPr>
      </w:pPr>
      <w:r w:rsidRPr="007375EB">
        <w:rPr>
          <w:rFonts w:eastAsia="Verdana" w:cs="Verdana"/>
          <w:noProof/>
          <w:lang w:val="bg-BG"/>
        </w:rPr>
        <w:t>Осигуряване на опазване на природния ландшафт и намаляване на въздействието върху природния ландшафт</w:t>
      </w:r>
    </w:p>
    <w:p w14:paraId="7D97F69A" w14:textId="51DA17E8" w:rsidR="009F4E2B" w:rsidRPr="007375EB" w:rsidRDefault="00A76107" w:rsidP="00355DC6">
      <w:pPr>
        <w:pStyle w:val="ListParagraph"/>
        <w:numPr>
          <w:ilvl w:val="0"/>
          <w:numId w:val="89"/>
        </w:numPr>
        <w:spacing w:before="120" w:line="360" w:lineRule="auto"/>
        <w:ind w:left="993" w:hanging="710"/>
        <w:jc w:val="both"/>
        <w:rPr>
          <w:rFonts w:eastAsia="Verdana" w:cs="Verdana"/>
          <w:noProof/>
          <w:lang w:val="bg-BG"/>
        </w:rPr>
      </w:pPr>
      <w:r w:rsidRPr="007375EB">
        <w:rPr>
          <w:rFonts w:eastAsia="Verdana" w:cs="Verdana"/>
          <w:noProof/>
          <w:lang w:val="bg-BG"/>
        </w:rPr>
        <w:t>Намаляване на количеството емисии на ПГ от енергийния сектор</w:t>
      </w:r>
    </w:p>
    <w:p w14:paraId="49DC7DD6" w14:textId="46E12D51" w:rsidR="009F4E2B" w:rsidRPr="007375EB" w:rsidRDefault="00A76107" w:rsidP="00355DC6">
      <w:pPr>
        <w:pStyle w:val="ListParagraph"/>
        <w:numPr>
          <w:ilvl w:val="0"/>
          <w:numId w:val="89"/>
        </w:numPr>
        <w:spacing w:before="120" w:line="360" w:lineRule="auto"/>
        <w:ind w:left="993" w:hanging="710"/>
        <w:jc w:val="both"/>
        <w:rPr>
          <w:rFonts w:eastAsia="Verdana" w:cs="Verdana"/>
          <w:noProof/>
          <w:lang w:val="bg-BG"/>
        </w:rPr>
      </w:pPr>
      <w:r w:rsidRPr="007375EB">
        <w:rPr>
          <w:rFonts w:eastAsia="Verdana" w:cs="Verdana"/>
          <w:noProof/>
          <w:lang w:val="bg-BG"/>
        </w:rPr>
        <w:t>Минимални рискове за изменението на климата (адаптация</w:t>
      </w:r>
      <w:r w:rsidR="009F4E2B" w:rsidRPr="007375EB">
        <w:rPr>
          <w:rFonts w:eastAsia="Verdana" w:cs="Verdana"/>
          <w:noProof/>
          <w:lang w:val="bg-BG"/>
        </w:rPr>
        <w:t>)</w:t>
      </w:r>
    </w:p>
    <w:p w14:paraId="29CA6D89" w14:textId="2458E48C" w:rsidR="0055322E" w:rsidRPr="007375EB" w:rsidRDefault="00A76107" w:rsidP="00355DC6">
      <w:pPr>
        <w:pStyle w:val="ListParagraph"/>
        <w:numPr>
          <w:ilvl w:val="0"/>
          <w:numId w:val="89"/>
        </w:numPr>
        <w:spacing w:before="120" w:line="360" w:lineRule="auto"/>
        <w:ind w:left="993" w:hanging="710"/>
        <w:jc w:val="both"/>
        <w:rPr>
          <w:rFonts w:eastAsia="Verdana" w:cs="Verdana"/>
          <w:noProof/>
          <w:lang w:val="bg-BG"/>
        </w:rPr>
      </w:pPr>
      <w:r w:rsidRPr="007375EB">
        <w:rPr>
          <w:rFonts w:eastAsia="Verdana" w:cs="Verdana"/>
          <w:noProof/>
          <w:lang w:val="bg-BG"/>
        </w:rPr>
        <w:t>Опазване и опазване на елементите на културното наследство</w:t>
      </w:r>
    </w:p>
    <w:p w14:paraId="1B074F0E" w14:textId="7E7ED1AE" w:rsidR="007555AB" w:rsidRPr="007375EB" w:rsidRDefault="00A76107" w:rsidP="007555AB">
      <w:pPr>
        <w:spacing w:before="120" w:line="360" w:lineRule="auto"/>
        <w:jc w:val="both"/>
        <w:rPr>
          <w:lang w:val="bg-BG"/>
        </w:rPr>
      </w:pPr>
      <w:r w:rsidRPr="007375EB">
        <w:rPr>
          <w:lang w:val="bg-BG"/>
        </w:rPr>
        <w:t xml:space="preserve">За </w:t>
      </w:r>
      <w:r w:rsidRPr="007375EB">
        <w:rPr>
          <w:b/>
          <w:bCs/>
          <w:lang w:val="bg-BG"/>
        </w:rPr>
        <w:t>стратегическата екологична оценка на предложения проект</w:t>
      </w:r>
      <w:r w:rsidRPr="007375EB">
        <w:rPr>
          <w:lang w:val="bg-BG"/>
        </w:rPr>
        <w:t xml:space="preserve"> са изпълнени следните етапи</w:t>
      </w:r>
      <w:r w:rsidR="007555AB" w:rsidRPr="007375EB">
        <w:rPr>
          <w:lang w:val="bg-BG"/>
        </w:rPr>
        <w:t>:</w:t>
      </w:r>
    </w:p>
    <w:p w14:paraId="09A7A0AE" w14:textId="5AE738F8" w:rsidR="00A76107" w:rsidRPr="007375EB" w:rsidRDefault="00A76107" w:rsidP="00A76107">
      <w:pPr>
        <w:numPr>
          <w:ilvl w:val="0"/>
          <w:numId w:val="90"/>
        </w:numPr>
        <w:spacing w:before="120" w:line="360" w:lineRule="auto"/>
        <w:jc w:val="both"/>
        <w:rPr>
          <w:lang w:val="bg-BG"/>
        </w:rPr>
      </w:pPr>
      <w:r w:rsidRPr="007375EB">
        <w:rPr>
          <w:lang w:val="bg-BG"/>
        </w:rPr>
        <w:t>анализ на текущото състояние на околната среда и идентифициране на екологични проблеми</w:t>
      </w:r>
    </w:p>
    <w:p w14:paraId="1E89E361" w14:textId="471D9590" w:rsidR="008A631B" w:rsidRPr="007375EB" w:rsidRDefault="00A76107" w:rsidP="00A76107">
      <w:pPr>
        <w:numPr>
          <w:ilvl w:val="0"/>
          <w:numId w:val="90"/>
        </w:numPr>
        <w:spacing w:before="120" w:line="360" w:lineRule="auto"/>
        <w:jc w:val="both"/>
        <w:rPr>
          <w:lang w:val="bg-BG"/>
        </w:rPr>
      </w:pPr>
      <w:r w:rsidRPr="007375EB">
        <w:rPr>
          <w:lang w:val="bg-BG"/>
        </w:rPr>
        <w:t>въз основа на екологичните проблеми бяха формулирани съответните екологични цели (цели, водещи до решаването на тези идентифицирани екологични проблеми). Формулирани са 15 екологични цели, обхващащи следните екологични аспекти: вода, въздух, почва/подпочва, използване на природни ресурси, управление на отпадъците, шум и вибрации, биоразнообразие, население и човешко здраве, ландшафт и културно наследство</w:t>
      </w:r>
      <w:r w:rsidR="008A631B" w:rsidRPr="007375EB">
        <w:rPr>
          <w:lang w:val="bg-BG"/>
        </w:rPr>
        <w:t>.</w:t>
      </w:r>
    </w:p>
    <w:p w14:paraId="589EB730" w14:textId="326F1445" w:rsidR="00F936C9" w:rsidRPr="007375EB" w:rsidRDefault="00A76107" w:rsidP="00355DC6">
      <w:pPr>
        <w:numPr>
          <w:ilvl w:val="0"/>
          <w:numId w:val="90"/>
        </w:numPr>
        <w:spacing w:before="120" w:line="360" w:lineRule="auto"/>
        <w:jc w:val="both"/>
        <w:rPr>
          <w:rFonts w:eastAsia="Verdana" w:cs="Verdana"/>
          <w:noProof/>
          <w:lang w:val="bg-BG"/>
        </w:rPr>
      </w:pPr>
      <w:r w:rsidRPr="007375EB">
        <w:rPr>
          <w:lang w:val="bg-BG"/>
        </w:rPr>
        <w:t xml:space="preserve">за оценка на ефектите от предложените PUZ по отношение на степента на принос за постигане на съответните екологични цели е използвана специфична точкова система, даваща оценка от -2 до +2 за всяка отделна цел. Тази система позволи да се подчертаят положителните и отрицателните ефекти, които предлаганата инвестиция има за постигане на съответните екологични цели. В резултат на тази оценка бяха идентифицирани и </w:t>
      </w:r>
      <w:r w:rsidRPr="007375EB">
        <w:rPr>
          <w:lang w:val="bg-BG"/>
        </w:rPr>
        <w:lastRenderedPageBreak/>
        <w:t>ситуации, при които планът не допринася, освен ако не са предложени определени мерки или има малък принос за постигането на определени екологични цели, споменати по-горе</w:t>
      </w:r>
    </w:p>
    <w:p w14:paraId="639D8802" w14:textId="18A4C766" w:rsidR="00D25C59" w:rsidRPr="007375EB" w:rsidRDefault="00D4192A" w:rsidP="00D25C59">
      <w:pPr>
        <w:spacing w:before="100" w:beforeAutospacing="1" w:after="100" w:afterAutospacing="1" w:line="240" w:lineRule="auto"/>
        <w:jc w:val="both"/>
        <w:rPr>
          <w:lang w:val="bg-BG"/>
        </w:rPr>
      </w:pPr>
      <w:r w:rsidRPr="007375EB">
        <w:rPr>
          <w:b/>
          <w:bCs/>
          <w:i/>
          <w:iCs/>
          <w:lang w:val="bg-BG"/>
        </w:rPr>
        <w:t>Въздействие върху околната среда</w:t>
      </w:r>
      <w:r w:rsidR="00D25C59" w:rsidRPr="007375EB">
        <w:rPr>
          <w:lang w:val="bg-BG"/>
        </w:rPr>
        <w:t>:</w:t>
      </w:r>
    </w:p>
    <w:p w14:paraId="2D7795AF" w14:textId="1F5FFBA6" w:rsidR="00D25C59" w:rsidRPr="007375EB" w:rsidRDefault="00D4192A" w:rsidP="00355DC6">
      <w:pPr>
        <w:numPr>
          <w:ilvl w:val="0"/>
          <w:numId w:val="91"/>
        </w:numPr>
        <w:spacing w:before="100" w:beforeAutospacing="1" w:after="100" w:afterAutospacing="1" w:line="360" w:lineRule="auto"/>
        <w:jc w:val="both"/>
        <w:rPr>
          <w:lang w:val="bg-BG"/>
        </w:rPr>
      </w:pPr>
      <w:r w:rsidRPr="007375EB">
        <w:rPr>
          <w:b/>
          <w:bCs/>
          <w:lang w:val="bg-BG"/>
        </w:rPr>
        <w:t>Вода</w:t>
      </w:r>
      <w:r w:rsidR="00D25C59" w:rsidRPr="007375EB">
        <w:rPr>
          <w:b/>
          <w:bCs/>
          <w:lang w:val="bg-BG"/>
        </w:rPr>
        <w:t>:</w:t>
      </w:r>
      <w:r w:rsidR="00D25C59" w:rsidRPr="007375EB">
        <w:rPr>
          <w:lang w:val="bg-BG"/>
        </w:rPr>
        <w:t xml:space="preserve"> </w:t>
      </w:r>
      <w:r w:rsidRPr="007375EB">
        <w:rPr>
          <w:lang w:val="bg-BG"/>
        </w:rPr>
        <w:t>Проектът не предвижда значително дългосрочно въздействие върху качеството на повърхностните и подпочвените води. Дейностите ще бъдат временни и ще включват мерки за предотвратяване на оттичане на строителни материали и ерозия. Ще бъдат осигурени предпазни мерки за предотвратяване на замърсяване на водата по време на строителството и експлоатацията на вятърния парк</w:t>
      </w:r>
      <w:r w:rsidR="00D25C59" w:rsidRPr="007375EB">
        <w:rPr>
          <w:lang w:val="bg-BG"/>
        </w:rPr>
        <w:t>.</w:t>
      </w:r>
    </w:p>
    <w:p w14:paraId="5FB6360F" w14:textId="2BAD5408" w:rsidR="00D25C59" w:rsidRPr="007375EB" w:rsidRDefault="00D4192A" w:rsidP="00355DC6">
      <w:pPr>
        <w:numPr>
          <w:ilvl w:val="0"/>
          <w:numId w:val="91"/>
        </w:numPr>
        <w:spacing w:before="100" w:beforeAutospacing="1" w:after="100" w:afterAutospacing="1" w:line="360" w:lineRule="auto"/>
        <w:jc w:val="both"/>
        <w:rPr>
          <w:lang w:val="bg-BG"/>
        </w:rPr>
      </w:pPr>
      <w:r w:rsidRPr="007375EB">
        <w:rPr>
          <w:b/>
          <w:bCs/>
          <w:lang w:val="bg-BG"/>
        </w:rPr>
        <w:t>Въздух</w:t>
      </w:r>
      <w:r w:rsidR="00D25C59" w:rsidRPr="007375EB">
        <w:rPr>
          <w:b/>
          <w:bCs/>
          <w:lang w:val="bg-BG"/>
        </w:rPr>
        <w:t>:</w:t>
      </w:r>
      <w:r w:rsidR="00D25C59" w:rsidRPr="007375EB">
        <w:rPr>
          <w:lang w:val="bg-BG"/>
        </w:rPr>
        <w:t xml:space="preserve"> </w:t>
      </w:r>
      <w:r w:rsidRPr="007375EB">
        <w:rPr>
          <w:lang w:val="bg-BG"/>
        </w:rPr>
        <w:t>Изпълнението на PUZ ще допринесе за намаляване на емисиите на парникови газове чрез използване на възобновяема енергия вместо изкопаеми източници. Това ще подобри качеството на въздуха в района и ще допринесе за националните и международни цели за намаляване на замърсяването на въздуха</w:t>
      </w:r>
      <w:r w:rsidR="00D25C59" w:rsidRPr="007375EB">
        <w:rPr>
          <w:lang w:val="bg-BG"/>
        </w:rPr>
        <w:t>.</w:t>
      </w:r>
    </w:p>
    <w:p w14:paraId="6C44D555" w14:textId="29CD9F22" w:rsidR="00D25C59" w:rsidRPr="007375EB" w:rsidRDefault="00D4192A" w:rsidP="00355DC6">
      <w:pPr>
        <w:numPr>
          <w:ilvl w:val="0"/>
          <w:numId w:val="91"/>
        </w:numPr>
        <w:spacing w:before="100" w:beforeAutospacing="1" w:after="100" w:afterAutospacing="1" w:line="360" w:lineRule="auto"/>
        <w:jc w:val="both"/>
        <w:rPr>
          <w:lang w:val="bg-BG"/>
        </w:rPr>
      </w:pPr>
      <w:r w:rsidRPr="007375EB">
        <w:rPr>
          <w:b/>
          <w:bCs/>
          <w:lang w:val="bg-BG"/>
        </w:rPr>
        <w:t>Почва и подпочва</w:t>
      </w:r>
      <w:r w:rsidR="00D25C59" w:rsidRPr="007375EB">
        <w:rPr>
          <w:b/>
          <w:bCs/>
          <w:lang w:val="bg-BG"/>
        </w:rPr>
        <w:t>:</w:t>
      </w:r>
      <w:r w:rsidR="00D25C59" w:rsidRPr="007375EB">
        <w:rPr>
          <w:lang w:val="bg-BG"/>
        </w:rPr>
        <w:t xml:space="preserve"> </w:t>
      </w:r>
      <w:r w:rsidRPr="007375EB">
        <w:rPr>
          <w:lang w:val="bg-BG"/>
        </w:rPr>
        <w:t>Ще бъдат приложени мерки за минимизиране на замърсяването на почвата, включително контролирано съхранение на материали и възстановяване на растителността след завършване на строителството. Основите и пътищата за достъп ще бъдат проектирани така, че да се намали въздействието върху структурата на почвата и да се предотврати ерозията</w:t>
      </w:r>
      <w:r w:rsidR="00D25C59" w:rsidRPr="007375EB">
        <w:rPr>
          <w:lang w:val="bg-BG"/>
        </w:rPr>
        <w:t>.</w:t>
      </w:r>
    </w:p>
    <w:p w14:paraId="27B90FB2" w14:textId="09E1FEF3" w:rsidR="00D25C59" w:rsidRPr="007375EB" w:rsidRDefault="00A76107" w:rsidP="00355DC6">
      <w:pPr>
        <w:numPr>
          <w:ilvl w:val="0"/>
          <w:numId w:val="91"/>
        </w:numPr>
        <w:spacing w:before="100" w:beforeAutospacing="1" w:after="100" w:afterAutospacing="1" w:line="360" w:lineRule="auto"/>
        <w:jc w:val="both"/>
        <w:rPr>
          <w:lang w:val="bg-BG"/>
        </w:rPr>
      </w:pPr>
      <w:r w:rsidRPr="007375EB">
        <w:rPr>
          <w:b/>
          <w:bCs/>
          <w:lang w:val="bg-BG"/>
        </w:rPr>
        <w:t>Управление на отпадъците</w:t>
      </w:r>
      <w:r w:rsidR="00D25C59" w:rsidRPr="007375EB">
        <w:rPr>
          <w:lang w:val="bg-BG"/>
        </w:rPr>
        <w:t xml:space="preserve">: </w:t>
      </w:r>
      <w:r w:rsidRPr="007375EB">
        <w:rPr>
          <w:lang w:val="bg-BG"/>
        </w:rPr>
        <w:t>Проектът включва планове за правилното управление на отпадъците, генерирани по време на строителството и експлоатацията. Ще бъдат приложени мерки за рециклиране и безопасно обезвреждане на отпадъците, минимизиране на въздействието върху околната среда</w:t>
      </w:r>
      <w:r w:rsidR="00D25C59" w:rsidRPr="007375EB">
        <w:rPr>
          <w:lang w:val="bg-BG"/>
        </w:rPr>
        <w:t>.</w:t>
      </w:r>
    </w:p>
    <w:p w14:paraId="019BF636" w14:textId="66FC66A4" w:rsidR="00D25C59" w:rsidRPr="007375EB" w:rsidRDefault="00A76107" w:rsidP="00355DC6">
      <w:pPr>
        <w:numPr>
          <w:ilvl w:val="0"/>
          <w:numId w:val="91"/>
        </w:numPr>
        <w:spacing w:before="100" w:beforeAutospacing="1" w:after="100" w:afterAutospacing="1" w:line="360" w:lineRule="auto"/>
        <w:jc w:val="both"/>
        <w:rPr>
          <w:lang w:val="bg-BG"/>
        </w:rPr>
      </w:pPr>
      <w:r w:rsidRPr="007375EB">
        <w:rPr>
          <w:b/>
          <w:bCs/>
          <w:lang w:val="bg-BG"/>
        </w:rPr>
        <w:t>Шум и вибрации</w:t>
      </w:r>
      <w:r w:rsidR="00D25C59" w:rsidRPr="007375EB">
        <w:rPr>
          <w:b/>
          <w:bCs/>
          <w:lang w:val="bg-BG"/>
        </w:rPr>
        <w:t>:</w:t>
      </w:r>
      <w:r w:rsidR="00D25C59" w:rsidRPr="007375EB">
        <w:rPr>
          <w:lang w:val="bg-BG"/>
        </w:rPr>
        <w:t xml:space="preserve"> </w:t>
      </w:r>
      <w:r w:rsidRPr="007375EB">
        <w:rPr>
          <w:lang w:val="bg-BG"/>
        </w:rPr>
        <w:t>По време на строителството и експлоатацията ще бъдат предприети мерки за намаляване нивата на шум и вибрации. Вятърните турбини ще бъдат проектирани да работят при приемливи нива на шум и строителните работи ще отговарят на разпоредбите за шум, за да се сведе до минимум въздействието върху местните общности</w:t>
      </w:r>
      <w:r w:rsidR="00D25C59" w:rsidRPr="007375EB">
        <w:rPr>
          <w:lang w:val="bg-BG"/>
        </w:rPr>
        <w:t>.</w:t>
      </w:r>
    </w:p>
    <w:p w14:paraId="57412139" w14:textId="7BD8CF4D" w:rsidR="00D25C59" w:rsidRPr="007375EB" w:rsidRDefault="00A76107" w:rsidP="00355DC6">
      <w:pPr>
        <w:numPr>
          <w:ilvl w:val="0"/>
          <w:numId w:val="91"/>
        </w:numPr>
        <w:spacing w:before="100" w:beforeAutospacing="1" w:after="100" w:afterAutospacing="1" w:line="360" w:lineRule="auto"/>
        <w:jc w:val="both"/>
        <w:rPr>
          <w:lang w:val="bg-BG"/>
        </w:rPr>
      </w:pPr>
      <w:r w:rsidRPr="007375EB">
        <w:rPr>
          <w:b/>
          <w:bCs/>
          <w:lang w:val="bg-BG"/>
        </w:rPr>
        <w:t>Биоразнообразие</w:t>
      </w:r>
      <w:r w:rsidR="00D25C59" w:rsidRPr="007375EB">
        <w:rPr>
          <w:b/>
          <w:bCs/>
          <w:lang w:val="bg-BG"/>
        </w:rPr>
        <w:t>:</w:t>
      </w:r>
      <w:r w:rsidR="00D25C59" w:rsidRPr="007375EB">
        <w:rPr>
          <w:lang w:val="bg-BG"/>
        </w:rPr>
        <w:t xml:space="preserve"> </w:t>
      </w:r>
      <w:r w:rsidRPr="007375EB">
        <w:rPr>
          <w:lang w:val="bg-BG"/>
        </w:rPr>
        <w:t>Проектът ще включва подробни оценки, за да се гарантира, че въздействията върху местната флора и фауна са сведени до минимум. Ще бъдат приложени мерки за опазване на природните местообитания и избягване на безпокойството на защитените видове</w:t>
      </w:r>
      <w:r w:rsidR="00D25C59" w:rsidRPr="007375EB">
        <w:rPr>
          <w:lang w:val="bg-BG"/>
        </w:rPr>
        <w:t>.</w:t>
      </w:r>
    </w:p>
    <w:p w14:paraId="78A47CF8" w14:textId="750DE950" w:rsidR="00D25C59" w:rsidRPr="007375EB" w:rsidRDefault="00A76107" w:rsidP="00355DC6">
      <w:pPr>
        <w:numPr>
          <w:ilvl w:val="0"/>
          <w:numId w:val="91"/>
        </w:numPr>
        <w:spacing w:before="100" w:beforeAutospacing="1" w:after="100" w:afterAutospacing="1" w:line="360" w:lineRule="auto"/>
        <w:jc w:val="both"/>
        <w:rPr>
          <w:lang w:val="bg-BG"/>
        </w:rPr>
      </w:pPr>
      <w:r w:rsidRPr="007375EB">
        <w:rPr>
          <w:b/>
          <w:bCs/>
          <w:lang w:val="bg-BG"/>
        </w:rPr>
        <w:t>Население и здраве на хората</w:t>
      </w:r>
      <w:r w:rsidR="00D25C59" w:rsidRPr="007375EB">
        <w:rPr>
          <w:lang w:val="bg-BG"/>
        </w:rPr>
        <w:t xml:space="preserve">: </w:t>
      </w:r>
      <w:r w:rsidR="003B745F" w:rsidRPr="007375EB">
        <w:rPr>
          <w:lang w:val="bg-BG"/>
        </w:rPr>
        <w:t>Изпълнението на вятърния парк ще донесе ползи за местната общност, включително създаване на работни места и подобряване на инфраструктурата</w:t>
      </w:r>
      <w:r w:rsidR="00D25C59" w:rsidRPr="007375EB">
        <w:rPr>
          <w:lang w:val="bg-BG"/>
        </w:rPr>
        <w:t xml:space="preserve">. </w:t>
      </w:r>
    </w:p>
    <w:p w14:paraId="595B25A9" w14:textId="6A4FFDB8" w:rsidR="00D25C59" w:rsidRPr="007375EB" w:rsidRDefault="003B745F" w:rsidP="00355DC6">
      <w:pPr>
        <w:numPr>
          <w:ilvl w:val="0"/>
          <w:numId w:val="91"/>
        </w:numPr>
        <w:spacing w:before="100" w:beforeAutospacing="1" w:after="100" w:afterAutospacing="1" w:line="360" w:lineRule="auto"/>
        <w:jc w:val="both"/>
        <w:rPr>
          <w:lang w:val="bg-BG"/>
        </w:rPr>
      </w:pPr>
      <w:r w:rsidRPr="007375EB">
        <w:rPr>
          <w:b/>
          <w:bCs/>
          <w:lang w:val="bg-BG"/>
        </w:rPr>
        <w:t>Ландшафт</w:t>
      </w:r>
      <w:r w:rsidR="00D25C59" w:rsidRPr="007375EB">
        <w:rPr>
          <w:lang w:val="bg-BG"/>
        </w:rPr>
        <w:t xml:space="preserve">: </w:t>
      </w:r>
      <w:r w:rsidRPr="007375EB">
        <w:rPr>
          <w:lang w:val="bg-BG"/>
        </w:rPr>
        <w:t>Визуалното въздействие на вятърните турбини ще бъде намалено чрез използване на цветове и материали, които се сливат със съществуващия ландшафт</w:t>
      </w:r>
      <w:r w:rsidR="00D25C59" w:rsidRPr="007375EB">
        <w:rPr>
          <w:lang w:val="bg-BG"/>
        </w:rPr>
        <w:t xml:space="preserve">. </w:t>
      </w:r>
    </w:p>
    <w:p w14:paraId="18C0B012" w14:textId="68435C21" w:rsidR="00D25C59" w:rsidRPr="007375EB" w:rsidRDefault="003B745F" w:rsidP="00355DC6">
      <w:pPr>
        <w:numPr>
          <w:ilvl w:val="0"/>
          <w:numId w:val="91"/>
        </w:numPr>
        <w:spacing w:before="100" w:beforeAutospacing="1" w:after="100" w:afterAutospacing="1" w:line="360" w:lineRule="auto"/>
        <w:jc w:val="both"/>
        <w:rPr>
          <w:lang w:val="bg-BG"/>
        </w:rPr>
      </w:pPr>
      <w:r w:rsidRPr="007375EB">
        <w:rPr>
          <w:b/>
          <w:bCs/>
          <w:lang w:val="bg-BG"/>
        </w:rPr>
        <w:t xml:space="preserve">Изменение на климата: </w:t>
      </w:r>
      <w:r w:rsidRPr="007375EB">
        <w:rPr>
          <w:lang w:val="bg-BG"/>
        </w:rPr>
        <w:t>Проектът ще спомогне за смекчаване на изменението на климата чрез използването на вятърна енергия, което ще намали зависимостта от изкопаеми горива и емисиите на парникови газове</w:t>
      </w:r>
      <w:r w:rsidR="00D25C59" w:rsidRPr="007375EB">
        <w:rPr>
          <w:lang w:val="bg-BG"/>
        </w:rPr>
        <w:t>.</w:t>
      </w:r>
    </w:p>
    <w:p w14:paraId="78E9F07B" w14:textId="5E09DE48" w:rsidR="004E5347" w:rsidRPr="007375EB" w:rsidRDefault="00A76107" w:rsidP="004E5347">
      <w:pPr>
        <w:spacing w:before="120" w:line="360" w:lineRule="auto"/>
        <w:jc w:val="both"/>
        <w:rPr>
          <w:rFonts w:eastAsia="Verdana" w:cs="Verdana"/>
          <w:noProof/>
          <w:lang w:val="bg-BG"/>
        </w:rPr>
      </w:pPr>
      <w:r w:rsidRPr="007375EB">
        <w:rPr>
          <w:b/>
          <w:bCs/>
          <w:lang w:val="bg-BG"/>
        </w:rPr>
        <w:t>Като се има предвид близостта до България</w:t>
      </w:r>
      <w:r w:rsidRPr="007375EB">
        <w:rPr>
          <w:lang w:val="bg-BG"/>
        </w:rPr>
        <w:t xml:space="preserve">, </w:t>
      </w:r>
      <w:r w:rsidRPr="007375EB">
        <w:rPr>
          <w:b/>
          <w:bCs/>
          <w:lang w:val="bg-BG"/>
        </w:rPr>
        <w:t>докладът оценява потенциалното трансгранично въздействие</w:t>
      </w:r>
      <w:r w:rsidRPr="007375EB">
        <w:rPr>
          <w:lang w:val="bg-BG"/>
        </w:rPr>
        <w:t xml:space="preserve">. Не се очаква изпълнението на да генерира значителни </w:t>
      </w:r>
      <w:r w:rsidRPr="007375EB">
        <w:rPr>
          <w:lang w:val="bg-BG"/>
        </w:rPr>
        <w:lastRenderedPageBreak/>
        <w:t>отрицателни въздействия върху околната среда в България</w:t>
      </w:r>
      <w:r w:rsidR="000B745A" w:rsidRPr="007375EB">
        <w:rPr>
          <w:lang w:val="bg-BG"/>
        </w:rPr>
        <w:t xml:space="preserve">. </w:t>
      </w:r>
      <w:r w:rsidRPr="007375EB">
        <w:rPr>
          <w:lang w:val="bg-BG"/>
        </w:rPr>
        <w:t>PUZ Обмислени са обаче мерки за наблюдение и комуникация с българските власти, за да се гарантира прозрачност и правилно управление на всякакви трансгранични проблеми.</w:t>
      </w:r>
    </w:p>
    <w:p w14:paraId="4893A90A" w14:textId="3A12DA19" w:rsidR="00555772" w:rsidRPr="007375EB" w:rsidRDefault="00A76107" w:rsidP="00555772">
      <w:pPr>
        <w:spacing w:before="120" w:line="360" w:lineRule="auto"/>
        <w:jc w:val="both"/>
        <w:rPr>
          <w:lang w:val="bg-BG"/>
        </w:rPr>
      </w:pPr>
      <w:r w:rsidRPr="007375EB">
        <w:rPr>
          <w:lang w:val="bg-BG"/>
        </w:rPr>
        <w:t>За предотвратяване и намаляване на потенциалните негативни въздействия върху околната среда PUZ включва набор от специфични мерки. Също така, за да се наблюдават ефектите върху околната среда от изпълнението на предложения Зонален градоустройствен план, набор от индикатори са установени в екологичния доклад, за да се позволи проста и ефективна оценка на това как вятърният парк ще постигне установените екологични цели, като както и за оценка на ефективността на предложените мерки</w:t>
      </w:r>
      <w:r w:rsidR="003F283D" w:rsidRPr="007375EB">
        <w:rPr>
          <w:lang w:val="bg-BG"/>
        </w:rPr>
        <w:t>.</w:t>
      </w:r>
    </w:p>
    <w:p w14:paraId="2B3C6FA4" w14:textId="7E95CB23" w:rsidR="00555772" w:rsidRPr="007375EB" w:rsidRDefault="00A76107" w:rsidP="009E25D8">
      <w:pPr>
        <w:spacing w:before="120" w:line="360" w:lineRule="auto"/>
        <w:jc w:val="both"/>
        <w:rPr>
          <w:lang w:val="bg-BG"/>
        </w:rPr>
      </w:pPr>
      <w:r w:rsidRPr="007375EB">
        <w:rPr>
          <w:b/>
          <w:bCs/>
          <w:lang w:val="bg-BG"/>
        </w:rPr>
        <w:t>Като общо заключение, изпълнението на Зоналния градоустройствен план за парка за вятърна енергия може да има значителен положителен принос към екологичните цели и към изпълнението на задълженията на Румъния по отношение на възобновяемата енергия, смекчаването на изменението на климата, декарбонизацията на енергийната система и околната среда защита. Не са установени значими отрицателни въздействия върху околната среда, а предложените мерки ще осигурят минимизиране на въздействието върху околната среда и местната общност</w:t>
      </w:r>
      <w:r w:rsidR="005878B1" w:rsidRPr="007375EB">
        <w:rPr>
          <w:b/>
          <w:bCs/>
          <w:lang w:val="bg-BG"/>
        </w:rPr>
        <w:t>.</w:t>
      </w:r>
    </w:p>
    <w:p w14:paraId="2F27B4BB" w14:textId="5BCC7967" w:rsidR="00742255" w:rsidRPr="007375EB" w:rsidRDefault="00742255" w:rsidP="003F283D">
      <w:pPr>
        <w:spacing w:before="120" w:line="360" w:lineRule="auto"/>
        <w:jc w:val="both"/>
        <w:rPr>
          <w:b/>
          <w:bCs/>
          <w:lang w:val="bg-BG"/>
        </w:rPr>
      </w:pPr>
    </w:p>
    <w:p w14:paraId="6A4CF576" w14:textId="3003D5CB" w:rsidR="006865A4" w:rsidRPr="007375EB" w:rsidRDefault="006865A4" w:rsidP="006865A4">
      <w:pPr>
        <w:spacing w:before="120" w:line="360" w:lineRule="auto"/>
        <w:jc w:val="both"/>
        <w:rPr>
          <w:rFonts w:eastAsia="Verdana" w:cs="Verdana"/>
          <w:noProof/>
          <w:lang w:val="bg-BG"/>
        </w:rPr>
        <w:sectPr w:rsidR="006865A4" w:rsidRPr="007375EB" w:rsidSect="00EA76D6">
          <w:pgSz w:w="11906" w:h="16838" w:code="9"/>
          <w:pgMar w:top="1560" w:right="1416" w:bottom="1418" w:left="1191" w:header="839" w:footer="680" w:gutter="0"/>
          <w:cols w:space="708"/>
          <w:docGrid w:linePitch="360"/>
        </w:sectPr>
      </w:pPr>
    </w:p>
    <w:p w14:paraId="2DBB4DE3" w14:textId="59C3230D" w:rsidR="00372A69" w:rsidRPr="007375EB" w:rsidRDefault="00941AA2" w:rsidP="00211840">
      <w:pPr>
        <w:spacing w:after="120" w:line="360" w:lineRule="auto"/>
        <w:rPr>
          <w:color w:val="009DF0"/>
          <w:lang w:val="bg-BG"/>
        </w:rPr>
      </w:pPr>
      <w:r w:rsidRPr="007375EB">
        <w:rPr>
          <w:b/>
          <w:bCs/>
          <w:color w:val="009DF0"/>
          <w:sz w:val="20"/>
          <w:szCs w:val="20"/>
          <w:lang w:val="bg-BG" w:eastAsia="ro-RO"/>
        </w:rPr>
        <w:lastRenderedPageBreak/>
        <w:t>Библиография</w:t>
      </w:r>
      <w:r w:rsidR="00EA76D6" w:rsidRPr="007375EB">
        <w:rPr>
          <w:b/>
          <w:bCs/>
          <w:color w:val="009DF0"/>
          <w:sz w:val="20"/>
          <w:szCs w:val="20"/>
          <w:lang w:val="bg-BG" w:eastAsia="ro-RO"/>
        </w:rPr>
        <w:t>:</w:t>
      </w:r>
    </w:p>
    <w:p w14:paraId="235B7887" w14:textId="7BC9EC1C" w:rsidR="00941AA2" w:rsidRPr="007375EB" w:rsidRDefault="00941AA2" w:rsidP="00941AA2">
      <w:pPr>
        <w:pStyle w:val="ListParagraph"/>
        <w:numPr>
          <w:ilvl w:val="0"/>
          <w:numId w:val="88"/>
        </w:numPr>
        <w:spacing w:after="120" w:line="360" w:lineRule="auto"/>
        <w:rPr>
          <w:rFonts w:cs="Arial"/>
          <w:sz w:val="16"/>
          <w:szCs w:val="16"/>
          <w:lang w:val="bg-BG"/>
        </w:rPr>
      </w:pPr>
      <w:r w:rsidRPr="007375EB">
        <w:rPr>
          <w:rFonts w:cs="Arial"/>
          <w:sz w:val="16"/>
          <w:szCs w:val="16"/>
          <w:lang w:val="bg-BG"/>
        </w:rPr>
        <w:t>ПР № 1076/2004 относно установяване на процедурата за извършване на екологична оценка за планове и програми</w:t>
      </w:r>
    </w:p>
    <w:p w14:paraId="072B8ED7" w14:textId="5CC721DA" w:rsidR="00941AA2" w:rsidRPr="007375EB" w:rsidRDefault="00941AA2" w:rsidP="00941AA2">
      <w:pPr>
        <w:pStyle w:val="ListParagraph"/>
        <w:numPr>
          <w:ilvl w:val="0"/>
          <w:numId w:val="88"/>
        </w:numPr>
        <w:spacing w:after="120" w:line="360" w:lineRule="auto"/>
        <w:rPr>
          <w:rFonts w:cs="Arial"/>
          <w:sz w:val="16"/>
          <w:szCs w:val="16"/>
          <w:lang w:val="bg-BG"/>
        </w:rPr>
      </w:pPr>
      <w:r w:rsidRPr="007375EB">
        <w:rPr>
          <w:rFonts w:cs="Arial"/>
          <w:sz w:val="16"/>
          <w:szCs w:val="16"/>
          <w:lang w:val="bg-BG"/>
        </w:rPr>
        <w:t>Общи насоки за оценка на околната среда за планове и програми</w:t>
      </w:r>
    </w:p>
    <w:p w14:paraId="2D137FA2" w14:textId="420D7ADF" w:rsidR="00941AA2" w:rsidRPr="007375EB" w:rsidRDefault="00941AA2" w:rsidP="00941AA2">
      <w:pPr>
        <w:pStyle w:val="ListParagraph"/>
        <w:numPr>
          <w:ilvl w:val="0"/>
          <w:numId w:val="88"/>
        </w:numPr>
        <w:spacing w:after="120" w:line="360" w:lineRule="auto"/>
        <w:rPr>
          <w:rFonts w:cs="Arial"/>
          <w:sz w:val="16"/>
          <w:szCs w:val="16"/>
          <w:lang w:val="bg-BG"/>
        </w:rPr>
      </w:pPr>
      <w:r w:rsidRPr="007375EB">
        <w:rPr>
          <w:rFonts w:cs="Arial"/>
          <w:sz w:val="16"/>
          <w:szCs w:val="16"/>
          <w:lang w:val="bg-BG"/>
        </w:rPr>
        <w:t>Наръчник за прилагане на процедурата за екологична оценка на планове и програми</w:t>
      </w:r>
    </w:p>
    <w:p w14:paraId="60144629" w14:textId="39E7D1E0" w:rsidR="00941AA2" w:rsidRPr="007375EB" w:rsidRDefault="00941AA2" w:rsidP="00941AA2">
      <w:pPr>
        <w:pStyle w:val="ListParagraph"/>
        <w:numPr>
          <w:ilvl w:val="0"/>
          <w:numId w:val="88"/>
        </w:numPr>
        <w:spacing w:after="120" w:line="360" w:lineRule="auto"/>
        <w:rPr>
          <w:rFonts w:cs="Arial"/>
          <w:sz w:val="16"/>
          <w:szCs w:val="16"/>
          <w:lang w:val="bg-BG"/>
        </w:rPr>
      </w:pPr>
      <w:r w:rsidRPr="007375EB">
        <w:rPr>
          <w:rFonts w:cs="Arial"/>
          <w:sz w:val="16"/>
          <w:szCs w:val="16"/>
          <w:lang w:val="bg-BG"/>
        </w:rPr>
        <w:t>Насоки за екологична оценка на планове и програми за развитие на енергетиката</w:t>
      </w:r>
    </w:p>
    <w:p w14:paraId="6A7AE923" w14:textId="48C253DC" w:rsidR="00941AA2" w:rsidRPr="007375EB" w:rsidRDefault="00941AA2" w:rsidP="00941AA2">
      <w:pPr>
        <w:pStyle w:val="ListParagraph"/>
        <w:numPr>
          <w:ilvl w:val="0"/>
          <w:numId w:val="88"/>
        </w:numPr>
        <w:spacing w:after="120" w:line="360" w:lineRule="auto"/>
        <w:rPr>
          <w:rFonts w:cs="Arial"/>
          <w:sz w:val="16"/>
          <w:szCs w:val="16"/>
          <w:lang w:val="bg-BG"/>
        </w:rPr>
      </w:pPr>
      <w:r w:rsidRPr="007375EB">
        <w:rPr>
          <w:rFonts w:cs="Arial"/>
          <w:sz w:val="16"/>
          <w:szCs w:val="16"/>
          <w:lang w:val="bg-BG"/>
        </w:rPr>
        <w:t>Ръководство за екологична оценка на планове и програми за териториално развитие и градоустройство</w:t>
      </w:r>
    </w:p>
    <w:p w14:paraId="3094C31C" w14:textId="6E91FBEC" w:rsidR="002430D6" w:rsidRPr="007375EB" w:rsidRDefault="006D6A7D" w:rsidP="006D6A7D">
      <w:pPr>
        <w:pStyle w:val="FootnoteText"/>
        <w:numPr>
          <w:ilvl w:val="0"/>
          <w:numId w:val="88"/>
        </w:numPr>
        <w:spacing w:after="120" w:line="360" w:lineRule="auto"/>
        <w:ind w:left="714" w:hanging="357"/>
        <w:jc w:val="both"/>
        <w:rPr>
          <w:rFonts w:cs="Arial"/>
          <w:lang w:val="bg-BG"/>
        </w:rPr>
      </w:pPr>
      <w:r w:rsidRPr="007375EB">
        <w:rPr>
          <w:rFonts w:cs="Arial"/>
          <w:color w:val="auto"/>
          <w:sz w:val="16"/>
          <w:szCs w:val="16"/>
          <w:lang w:val="bg-BG"/>
        </w:rPr>
        <w:t xml:space="preserve">Рамкова стратегия за устойчив енергиен съюз с насочена към бъдещето политика за изменението на климата </w:t>
      </w:r>
      <w:r w:rsidR="002430D6" w:rsidRPr="007375EB">
        <w:rPr>
          <w:rFonts w:cs="Arial"/>
          <w:lang w:val="bg-BG"/>
        </w:rPr>
        <w:t>(</w:t>
      </w:r>
      <w:hyperlink r:id="rId101" w:history="1">
        <w:r w:rsidR="002430D6" w:rsidRPr="007375EB">
          <w:rPr>
            <w:rStyle w:val="Hyperlink"/>
            <w:rFonts w:eastAsia="Verdana" w:cs="Times New Roman"/>
            <w:lang w:val="bg-BG"/>
          </w:rPr>
          <w:t>https://eur-lex.europa.eu/resource.html?uri=cellar:1bd46c90-bdd4-11e4-bbe1-01aa75ed71a1.0012.03/DOC_1&amp;format=PDF</w:t>
        </w:r>
      </w:hyperlink>
      <w:r w:rsidR="002430D6" w:rsidRPr="007375EB">
        <w:rPr>
          <w:rFonts w:eastAsia="Verdana" w:cs="Times New Roman"/>
          <w:lang w:val="bg-BG"/>
        </w:rPr>
        <w:t xml:space="preserve"> </w:t>
      </w:r>
      <w:r w:rsidR="002430D6" w:rsidRPr="007375EB">
        <w:rPr>
          <w:rFonts w:cs="Arial"/>
          <w:color w:val="auto"/>
          <w:sz w:val="16"/>
          <w:szCs w:val="16"/>
          <w:lang w:val="bg-BG"/>
        </w:rPr>
        <w:t>)</w:t>
      </w:r>
    </w:p>
    <w:p w14:paraId="560DE6C2" w14:textId="084AA28F" w:rsidR="002430D6" w:rsidRPr="007375EB" w:rsidRDefault="006D6A7D"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Парижкото споразумение</w:t>
      </w:r>
      <w:r w:rsidR="002430D6" w:rsidRPr="007375EB">
        <w:rPr>
          <w:rFonts w:cs="Arial"/>
          <w:sz w:val="16"/>
          <w:szCs w:val="16"/>
          <w:lang w:val="bg-BG"/>
        </w:rPr>
        <w:t>, 2015 (</w:t>
      </w:r>
      <w:hyperlink r:id="rId102" w:history="1">
        <w:r w:rsidR="002430D6" w:rsidRPr="007375EB">
          <w:rPr>
            <w:rStyle w:val="Hyperlink"/>
            <w:sz w:val="12"/>
            <w:szCs w:val="12"/>
            <w:lang w:val="bg-BG"/>
          </w:rPr>
          <w:t>https://eur-lex.europa.eu/legal-content/RO/TXT/PDF/?uri=CELEX:22016A1019(01)&amp;from=EN</w:t>
        </w:r>
      </w:hyperlink>
      <w:r w:rsidR="002430D6" w:rsidRPr="007375EB">
        <w:rPr>
          <w:rFonts w:cs="Arial"/>
          <w:sz w:val="16"/>
          <w:szCs w:val="16"/>
          <w:lang w:val="bg-BG"/>
        </w:rPr>
        <w:t>)</w:t>
      </w:r>
    </w:p>
    <w:p w14:paraId="6E5A754B" w14:textId="01ACC9D2" w:rsidR="002430D6" w:rsidRPr="007375EB" w:rsidRDefault="006D6A7D"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 xml:space="preserve">Европейският зелен пакт </w:t>
      </w:r>
      <w:r w:rsidR="002430D6" w:rsidRPr="007375EB">
        <w:rPr>
          <w:rFonts w:cs="Arial"/>
          <w:sz w:val="16"/>
          <w:szCs w:val="16"/>
          <w:lang w:val="bg-BG"/>
        </w:rPr>
        <w:t>(Green Deal) (</w:t>
      </w:r>
      <w:r w:rsidR="002430D6" w:rsidRPr="007375EB">
        <w:rPr>
          <w:rStyle w:val="Hyperlink"/>
          <w:sz w:val="12"/>
          <w:szCs w:val="12"/>
          <w:lang w:val="bg-BG"/>
        </w:rPr>
        <w:t>https://eur-lex.europa.eu/resource.html?uri=cellar:b828d165-1c22-11ea-8c1f-01aa75ed71a1.0020.02/DOC_1&amp;format=PDF</w:t>
      </w:r>
      <w:r w:rsidR="002430D6" w:rsidRPr="007375EB">
        <w:rPr>
          <w:rFonts w:cs="Arial"/>
          <w:sz w:val="16"/>
          <w:szCs w:val="16"/>
          <w:lang w:val="bg-BG"/>
        </w:rPr>
        <w:t>)</w:t>
      </w:r>
    </w:p>
    <w:p w14:paraId="1F52AFC4" w14:textId="31797634" w:rsidR="002430D6" w:rsidRPr="007375EB" w:rsidRDefault="006D6A7D"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 xml:space="preserve">Климатична и енергийна карта </w:t>
      </w:r>
      <w:r w:rsidR="002430D6" w:rsidRPr="007375EB">
        <w:rPr>
          <w:rFonts w:cs="Arial"/>
          <w:sz w:val="16"/>
          <w:szCs w:val="16"/>
          <w:lang w:val="bg-BG"/>
        </w:rPr>
        <w:t>2030 (</w:t>
      </w:r>
      <w:hyperlink r:id="rId103" w:history="1">
        <w:r w:rsidR="002430D6" w:rsidRPr="007375EB">
          <w:rPr>
            <w:rStyle w:val="Hyperlink"/>
            <w:sz w:val="12"/>
            <w:szCs w:val="12"/>
            <w:lang w:val="bg-BG"/>
          </w:rPr>
          <w:t>https://eur-lex.europa.eu/legal-content/RO/TXT/PDF/?uri=CELEX:52020DC0562</w:t>
        </w:r>
      </w:hyperlink>
      <w:r w:rsidR="002430D6" w:rsidRPr="007375EB">
        <w:rPr>
          <w:sz w:val="12"/>
          <w:szCs w:val="12"/>
          <w:lang w:val="bg-BG"/>
        </w:rPr>
        <w:t xml:space="preserve"> </w:t>
      </w:r>
      <w:r w:rsidR="002430D6" w:rsidRPr="007375EB">
        <w:rPr>
          <w:rFonts w:cs="Arial"/>
          <w:sz w:val="16"/>
          <w:szCs w:val="16"/>
          <w:lang w:val="bg-BG"/>
        </w:rPr>
        <w:t>)</w:t>
      </w:r>
    </w:p>
    <w:p w14:paraId="422DACDF" w14:textId="1B586F29" w:rsidR="002430D6" w:rsidRPr="007375EB" w:rsidRDefault="006D6A7D" w:rsidP="006D6A7D">
      <w:pPr>
        <w:pStyle w:val="ListParagraph"/>
        <w:numPr>
          <w:ilvl w:val="0"/>
          <w:numId w:val="88"/>
        </w:numPr>
        <w:spacing w:after="120" w:line="360" w:lineRule="auto"/>
        <w:ind w:left="714" w:hanging="357"/>
        <w:jc w:val="both"/>
        <w:rPr>
          <w:rFonts w:cs="Arial"/>
          <w:sz w:val="16"/>
          <w:szCs w:val="16"/>
          <w:lang w:val="bg-BG"/>
        </w:rPr>
      </w:pPr>
      <w:r w:rsidRPr="007375EB">
        <w:rPr>
          <w:rFonts w:cs="Arial"/>
          <w:sz w:val="16"/>
          <w:szCs w:val="16"/>
          <w:lang w:val="bg-BG"/>
        </w:rPr>
        <w:t xml:space="preserve">Европейско законодателство в областта на климата </w:t>
      </w:r>
      <w:r w:rsidR="002430D6" w:rsidRPr="007375EB">
        <w:rPr>
          <w:rFonts w:cs="Arial"/>
          <w:sz w:val="16"/>
          <w:szCs w:val="16"/>
          <w:lang w:val="bg-BG"/>
        </w:rPr>
        <w:t>(</w:t>
      </w:r>
      <w:hyperlink r:id="rId104" w:history="1">
        <w:r w:rsidR="002430D6" w:rsidRPr="007375EB">
          <w:rPr>
            <w:rStyle w:val="Hyperlink"/>
            <w:sz w:val="12"/>
            <w:szCs w:val="12"/>
            <w:lang w:val="bg-BG"/>
          </w:rPr>
          <w:t>https://eur-lex.europa.eu/legal-content/RO/TXT/PDF/?uri=CELEX:32021R1119</w:t>
        </w:r>
      </w:hyperlink>
      <w:r w:rsidR="002430D6" w:rsidRPr="007375EB">
        <w:rPr>
          <w:sz w:val="12"/>
          <w:szCs w:val="12"/>
          <w:lang w:val="bg-BG"/>
        </w:rPr>
        <w:t xml:space="preserve"> </w:t>
      </w:r>
      <w:r w:rsidR="002430D6" w:rsidRPr="007375EB">
        <w:rPr>
          <w:rFonts w:cs="Arial"/>
          <w:sz w:val="16"/>
          <w:szCs w:val="16"/>
          <w:lang w:val="bg-BG"/>
        </w:rPr>
        <w:t>)</w:t>
      </w:r>
    </w:p>
    <w:p w14:paraId="6D4DC977" w14:textId="01CAC1EF" w:rsidR="002430D6" w:rsidRPr="007375EB" w:rsidRDefault="006D6A7D"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Законодателният пакет „Подгответе се за 55</w:t>
      </w:r>
      <w:r w:rsidR="002430D6" w:rsidRPr="007375EB">
        <w:rPr>
          <w:rFonts w:cs="Arial"/>
          <w:sz w:val="16"/>
          <w:szCs w:val="16"/>
          <w:lang w:val="bg-BG"/>
        </w:rPr>
        <w:t>”</w:t>
      </w:r>
    </w:p>
    <w:p w14:paraId="5C36CDFE" w14:textId="1E74A926" w:rsidR="002430D6" w:rsidRPr="007375EB" w:rsidRDefault="002430D6" w:rsidP="006D6A7D">
      <w:pPr>
        <w:pStyle w:val="ListParagraph"/>
        <w:numPr>
          <w:ilvl w:val="0"/>
          <w:numId w:val="88"/>
        </w:numPr>
        <w:spacing w:after="120" w:line="360" w:lineRule="auto"/>
        <w:ind w:left="714" w:hanging="357"/>
        <w:jc w:val="both"/>
        <w:rPr>
          <w:rFonts w:cs="Arial"/>
          <w:sz w:val="16"/>
          <w:szCs w:val="16"/>
          <w:lang w:val="bg-BG"/>
        </w:rPr>
      </w:pPr>
      <w:r w:rsidRPr="007375EB">
        <w:rPr>
          <w:rFonts w:cs="Arial"/>
          <w:sz w:val="16"/>
          <w:szCs w:val="16"/>
          <w:lang w:val="bg-BG"/>
        </w:rPr>
        <w:t xml:space="preserve">REPowerEU </w:t>
      </w:r>
      <w:r w:rsidR="006D6A7D" w:rsidRPr="007375EB">
        <w:rPr>
          <w:rFonts w:cs="Arial"/>
          <w:sz w:val="16"/>
          <w:szCs w:val="16"/>
          <w:lang w:val="bg-BG"/>
        </w:rPr>
        <w:t>План</w:t>
      </w:r>
      <w:r w:rsidRPr="007375EB">
        <w:rPr>
          <w:rFonts w:cs="Arial"/>
          <w:sz w:val="16"/>
          <w:szCs w:val="16"/>
          <w:lang w:val="bg-BG"/>
        </w:rPr>
        <w:t xml:space="preserve"> (</w:t>
      </w:r>
      <w:hyperlink r:id="rId105" w:history="1">
        <w:r w:rsidRPr="007375EB">
          <w:rPr>
            <w:rStyle w:val="Hyperlink"/>
            <w:sz w:val="12"/>
            <w:szCs w:val="12"/>
            <w:lang w:val="bg-BG"/>
          </w:rPr>
          <w:t>https://eur-lex.europa.eu/resource.html?uri=cellar:fc930f14-d7ae-11ec-a95f-01aa75ed71a1.0014.02/DOC_1&amp;format=PDF</w:t>
        </w:r>
      </w:hyperlink>
      <w:r w:rsidRPr="007375EB">
        <w:rPr>
          <w:sz w:val="12"/>
          <w:szCs w:val="12"/>
          <w:lang w:val="bg-BG"/>
        </w:rPr>
        <w:t xml:space="preserve"> </w:t>
      </w:r>
      <w:r w:rsidRPr="007375EB">
        <w:rPr>
          <w:rFonts w:cs="Arial"/>
          <w:sz w:val="16"/>
          <w:szCs w:val="16"/>
          <w:lang w:val="bg-BG"/>
        </w:rPr>
        <w:t>)</w:t>
      </w:r>
    </w:p>
    <w:p w14:paraId="3D897B8A" w14:textId="39E4E66B" w:rsidR="002430D6" w:rsidRPr="007375EB" w:rsidRDefault="006D6A7D"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 xml:space="preserve">Съобщение на Комисията Индустриален план за зелена сделка за ерата на нетната нула </w:t>
      </w:r>
      <w:r w:rsidR="002430D6" w:rsidRPr="007375EB">
        <w:rPr>
          <w:rFonts w:cs="Arial"/>
          <w:sz w:val="16"/>
          <w:szCs w:val="16"/>
          <w:lang w:val="bg-BG"/>
        </w:rPr>
        <w:t>(</w:t>
      </w:r>
      <w:hyperlink r:id="rId106" w:history="1">
        <w:r w:rsidR="002430D6" w:rsidRPr="007375EB">
          <w:rPr>
            <w:rStyle w:val="Hyperlink"/>
            <w:sz w:val="12"/>
            <w:szCs w:val="12"/>
            <w:lang w:val="bg-BG"/>
          </w:rPr>
          <w:t>https://eur-lex.europa.eu/legal-content/RO/TXT/PDF/?uri=CELEX:52023DC0062</w:t>
        </w:r>
      </w:hyperlink>
      <w:r w:rsidR="002430D6" w:rsidRPr="007375EB">
        <w:rPr>
          <w:sz w:val="12"/>
          <w:szCs w:val="12"/>
          <w:lang w:val="bg-BG"/>
        </w:rPr>
        <w:t xml:space="preserve"> </w:t>
      </w:r>
      <w:r w:rsidR="002430D6" w:rsidRPr="007375EB">
        <w:rPr>
          <w:rFonts w:cs="Arial"/>
          <w:sz w:val="16"/>
          <w:szCs w:val="16"/>
          <w:lang w:val="bg-BG"/>
        </w:rPr>
        <w:t>)</w:t>
      </w:r>
    </w:p>
    <w:p w14:paraId="5E55370C" w14:textId="477BE2B1" w:rsidR="002430D6" w:rsidRPr="007375EB" w:rsidRDefault="003B745F" w:rsidP="003B745F">
      <w:pPr>
        <w:pStyle w:val="ListParagraph"/>
        <w:numPr>
          <w:ilvl w:val="0"/>
          <w:numId w:val="88"/>
        </w:numPr>
        <w:spacing w:after="120" w:line="360" w:lineRule="auto"/>
        <w:ind w:left="714" w:hanging="357"/>
        <w:jc w:val="both"/>
        <w:rPr>
          <w:rFonts w:cs="Arial"/>
          <w:sz w:val="16"/>
          <w:szCs w:val="16"/>
          <w:lang w:val="bg-BG"/>
        </w:rPr>
      </w:pPr>
      <w:r w:rsidRPr="007375EB">
        <w:rPr>
          <w:rFonts w:cs="Arial"/>
          <w:sz w:val="16"/>
          <w:szCs w:val="16"/>
          <w:lang w:val="bg-BG"/>
        </w:rPr>
        <w:t xml:space="preserve">Стратегия на ЕС за биологичното разнообразие до 2030 г. </w:t>
      </w:r>
      <w:r w:rsidR="002430D6" w:rsidRPr="007375EB">
        <w:rPr>
          <w:rFonts w:cs="Arial"/>
          <w:sz w:val="16"/>
          <w:szCs w:val="16"/>
          <w:lang w:val="bg-BG"/>
        </w:rPr>
        <w:t>(</w:t>
      </w:r>
      <w:hyperlink r:id="rId107" w:history="1">
        <w:r w:rsidR="002430D6" w:rsidRPr="007375EB">
          <w:rPr>
            <w:rStyle w:val="Hyperlink"/>
            <w:sz w:val="12"/>
            <w:szCs w:val="12"/>
            <w:lang w:val="bg-BG"/>
          </w:rPr>
          <w:t>https://eur-lex.europa.eu/resource.html?uri=cellar:a3c806a6-9ab3-11ea-9d2d-01aa75ed71a1.0023.02/DOC_1&amp;format=PDF</w:t>
        </w:r>
      </w:hyperlink>
      <w:r w:rsidR="002430D6" w:rsidRPr="007375EB">
        <w:rPr>
          <w:sz w:val="12"/>
          <w:szCs w:val="12"/>
          <w:lang w:val="bg-BG"/>
        </w:rPr>
        <w:t xml:space="preserve"> </w:t>
      </w:r>
      <w:r w:rsidR="002430D6" w:rsidRPr="007375EB">
        <w:rPr>
          <w:rFonts w:cs="Arial"/>
          <w:sz w:val="16"/>
          <w:szCs w:val="16"/>
          <w:lang w:val="bg-BG"/>
        </w:rPr>
        <w:t>)</w:t>
      </w:r>
    </w:p>
    <w:p w14:paraId="1547B065" w14:textId="77777777" w:rsidR="003B745F" w:rsidRPr="007375EB" w:rsidRDefault="003B745F"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Стратегия за оползотворяване на възобновяемите енергийни източници</w:t>
      </w:r>
    </w:p>
    <w:p w14:paraId="6081568A" w14:textId="77777777" w:rsidR="003B745F" w:rsidRPr="007375EB" w:rsidRDefault="003B745F"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Енергийна стратегия на Румъния 2007-2020 г.</w:t>
      </w:r>
    </w:p>
    <w:p w14:paraId="119E1970" w14:textId="77777777" w:rsidR="003B745F" w:rsidRPr="007375EB" w:rsidRDefault="003B745F"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Енергийната стратегия на Румъния за периода 2022-2030 г. с перспектива до 2050 г.</w:t>
      </w:r>
    </w:p>
    <w:p w14:paraId="2745365B" w14:textId="0C107FDC" w:rsidR="002430D6" w:rsidRPr="007375EB" w:rsidRDefault="00433BF6"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Национален интегриран план в областта на енергетиката и изменението на климата за периода 2021-2030 г., включително актуализация за 2023 г.</w:t>
      </w:r>
    </w:p>
    <w:p w14:paraId="00EDEC85" w14:textId="77777777" w:rsidR="00433BF6" w:rsidRPr="007375EB" w:rsidRDefault="00433BF6"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Национална стратегия за устойчиво развитие на Румъния до 2030 г. и план за действие</w:t>
      </w:r>
    </w:p>
    <w:p w14:paraId="5F9C677C" w14:textId="61F82D62" w:rsidR="00433BF6" w:rsidRPr="007375EB" w:rsidRDefault="00433BF6"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Национална стратегия за изменение на климата и икономически растеж, основан на ниски въглеродни емисии за периода 2016-2020 г.</w:t>
      </w:r>
    </w:p>
    <w:p w14:paraId="4416731F" w14:textId="595E61AF" w:rsidR="00433BF6" w:rsidRPr="007375EB" w:rsidRDefault="00433BF6"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Стратегия Европейски национален закон за климата за адаптиране към изменението на климата за периода 2022-2030 г. с перспектива 2050 г.</w:t>
      </w:r>
    </w:p>
    <w:p w14:paraId="03F254D3" w14:textId="18A1C178" w:rsidR="002430D6" w:rsidRPr="007375EB" w:rsidRDefault="00433BF6"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Национален план за действие за изпълнение на Националната стратегия за адаптиране към изменението на климата</w:t>
      </w:r>
    </w:p>
    <w:p w14:paraId="5E06CB5E" w14:textId="1262E5EA" w:rsidR="00433BF6" w:rsidRPr="007375EB" w:rsidRDefault="00433BF6"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Дългосрочната стратегия на Румъния за намаляване на парниковите газове ”Неутрална Румъния” през 2050 г</w:t>
      </w:r>
    </w:p>
    <w:p w14:paraId="3AD08AF9" w14:textId="7AE6ED66" w:rsidR="002430D6" w:rsidRPr="007375EB" w:rsidRDefault="00433BF6"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Националната стратегия по отношение на кръговата икономика</w:t>
      </w:r>
    </w:p>
    <w:p w14:paraId="6D7041A8" w14:textId="6F30F23C" w:rsidR="002430D6" w:rsidRPr="007375EB" w:rsidRDefault="00433BF6" w:rsidP="00355DC6">
      <w:pPr>
        <w:pStyle w:val="ListParagraph"/>
        <w:numPr>
          <w:ilvl w:val="0"/>
          <w:numId w:val="88"/>
        </w:numPr>
        <w:spacing w:after="120" w:line="360" w:lineRule="auto"/>
        <w:ind w:left="714" w:hanging="357"/>
        <w:rPr>
          <w:sz w:val="16"/>
          <w:szCs w:val="16"/>
          <w:lang w:val="bg-BG"/>
        </w:rPr>
      </w:pPr>
      <w:r w:rsidRPr="007375EB">
        <w:rPr>
          <w:sz w:val="16"/>
          <w:szCs w:val="16"/>
          <w:lang w:val="bg-BG"/>
        </w:rPr>
        <w:t>Стратегия за устойчиво развитие на окръг Констанца за периода 2021 – 2027 г.</w:t>
      </w:r>
    </w:p>
    <w:p w14:paraId="0693BAA7" w14:textId="33E7DFBA" w:rsidR="002430D6" w:rsidRPr="007375EB" w:rsidRDefault="00433BF6" w:rsidP="006D6A7D">
      <w:pPr>
        <w:pStyle w:val="ListParagraph"/>
        <w:numPr>
          <w:ilvl w:val="0"/>
          <w:numId w:val="88"/>
        </w:numPr>
        <w:spacing w:after="120" w:line="360" w:lineRule="auto"/>
        <w:ind w:left="714" w:hanging="357"/>
        <w:jc w:val="both"/>
        <w:rPr>
          <w:rFonts w:cs="Arial"/>
          <w:sz w:val="16"/>
          <w:szCs w:val="16"/>
          <w:lang w:val="bg-BG"/>
        </w:rPr>
      </w:pPr>
      <w:r w:rsidRPr="007375EB">
        <w:rPr>
          <w:rFonts w:cs="Arial"/>
          <w:sz w:val="16"/>
          <w:szCs w:val="16"/>
          <w:lang w:val="bg-BG"/>
        </w:rPr>
        <w:t>Териториалноустройствен план - окръг Констанца</w:t>
      </w:r>
    </w:p>
    <w:p w14:paraId="7C690C25" w14:textId="066C4C53" w:rsidR="00433BF6" w:rsidRPr="007375EB" w:rsidRDefault="00433BF6"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Стратегия на GAL Югозападна Добруджа 2014-2020 г., изменена през 2023 г.</w:t>
      </w:r>
    </w:p>
    <w:p w14:paraId="6C6C4C71" w14:textId="7056A073" w:rsidR="002430D6" w:rsidRPr="007375EB" w:rsidRDefault="00433BF6"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 xml:space="preserve">Стратегия </w:t>
      </w:r>
      <w:r w:rsidR="002430D6" w:rsidRPr="007375EB">
        <w:rPr>
          <w:rFonts w:cs="Arial"/>
          <w:sz w:val="16"/>
          <w:szCs w:val="16"/>
          <w:lang w:val="bg-BG"/>
        </w:rPr>
        <w:t xml:space="preserve">GAL </w:t>
      </w:r>
      <w:r w:rsidRPr="007375EB">
        <w:rPr>
          <w:rFonts w:cs="Arial"/>
          <w:sz w:val="16"/>
          <w:szCs w:val="16"/>
          <w:lang w:val="bg-BG"/>
        </w:rPr>
        <w:t xml:space="preserve">Югозападна Добруджа </w:t>
      </w:r>
      <w:r w:rsidR="002430D6" w:rsidRPr="007375EB">
        <w:rPr>
          <w:rFonts w:cs="Arial"/>
          <w:sz w:val="16"/>
          <w:szCs w:val="16"/>
          <w:lang w:val="bg-BG"/>
        </w:rPr>
        <w:t xml:space="preserve">2014-2020, </w:t>
      </w:r>
      <w:r w:rsidRPr="007375EB">
        <w:rPr>
          <w:rFonts w:cs="Arial"/>
          <w:sz w:val="16"/>
          <w:szCs w:val="16"/>
          <w:lang w:val="bg-BG"/>
        </w:rPr>
        <w:t xml:space="preserve">изменена през </w:t>
      </w:r>
      <w:r w:rsidR="002430D6" w:rsidRPr="007375EB">
        <w:rPr>
          <w:rFonts w:cs="Arial"/>
          <w:sz w:val="16"/>
          <w:szCs w:val="16"/>
          <w:lang w:val="bg-BG"/>
        </w:rPr>
        <w:t>2023</w:t>
      </w:r>
      <w:r w:rsidRPr="007375EB">
        <w:rPr>
          <w:rFonts w:cs="Arial"/>
          <w:sz w:val="16"/>
          <w:szCs w:val="16"/>
          <w:lang w:val="bg-BG"/>
        </w:rPr>
        <w:t xml:space="preserve"> г.</w:t>
      </w:r>
      <w:r w:rsidR="002430D6" w:rsidRPr="007375EB">
        <w:rPr>
          <w:rFonts w:cs="Arial"/>
          <w:sz w:val="16"/>
          <w:szCs w:val="16"/>
          <w:lang w:val="bg-BG"/>
        </w:rPr>
        <w:t xml:space="preserve"> (</w:t>
      </w:r>
      <w:hyperlink r:id="rId108" w:history="1">
        <w:r w:rsidR="002430D6" w:rsidRPr="007375EB">
          <w:rPr>
            <w:rStyle w:val="Hyperlink"/>
            <w:sz w:val="12"/>
            <w:szCs w:val="12"/>
            <w:lang w:val="bg-BG"/>
          </w:rPr>
          <w:t>https://galdobrogeasv.ro/modificari-ale-strategiei-de-dezvoltare-locala/</w:t>
        </w:r>
      </w:hyperlink>
      <w:r w:rsidR="002430D6" w:rsidRPr="007375EB">
        <w:rPr>
          <w:sz w:val="12"/>
          <w:szCs w:val="12"/>
          <w:lang w:val="bg-BG"/>
        </w:rPr>
        <w:t xml:space="preserve"> </w:t>
      </w:r>
      <w:r w:rsidR="002430D6" w:rsidRPr="007375EB">
        <w:rPr>
          <w:rFonts w:cs="Arial"/>
          <w:sz w:val="16"/>
          <w:szCs w:val="16"/>
          <w:lang w:val="bg-BG"/>
        </w:rPr>
        <w:t>)</w:t>
      </w:r>
    </w:p>
    <w:p w14:paraId="11BD7899" w14:textId="785E80B5" w:rsidR="002430D6" w:rsidRPr="007375EB" w:rsidRDefault="00433BF6"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 xml:space="preserve">Местен план за действие по околната среда </w:t>
      </w:r>
      <w:r w:rsidR="002430D6" w:rsidRPr="007375EB">
        <w:rPr>
          <w:rFonts w:cs="Arial"/>
          <w:sz w:val="16"/>
          <w:szCs w:val="16"/>
          <w:lang w:val="bg-BG"/>
        </w:rPr>
        <w:t>(</w:t>
      </w:r>
      <w:hyperlink r:id="rId109" w:history="1">
        <w:r w:rsidR="002430D6" w:rsidRPr="007375EB">
          <w:rPr>
            <w:rStyle w:val="Hyperlink"/>
            <w:sz w:val="12"/>
            <w:szCs w:val="12"/>
            <w:lang w:val="bg-BG"/>
          </w:rPr>
          <w:t>http://apmct.anpm.ro/-/planul-local-de-actiune-pentru-mediu-constanta</w:t>
        </w:r>
      </w:hyperlink>
      <w:r w:rsidR="002430D6" w:rsidRPr="007375EB">
        <w:rPr>
          <w:sz w:val="12"/>
          <w:szCs w:val="12"/>
          <w:lang w:val="bg-BG"/>
        </w:rPr>
        <w:t xml:space="preserve"> </w:t>
      </w:r>
      <w:r w:rsidR="002430D6" w:rsidRPr="007375EB">
        <w:rPr>
          <w:rFonts w:cs="Arial"/>
          <w:sz w:val="16"/>
          <w:szCs w:val="16"/>
          <w:lang w:val="bg-BG"/>
        </w:rPr>
        <w:t>)</w:t>
      </w:r>
    </w:p>
    <w:p w14:paraId="2CC84EA3" w14:textId="226B1A5C" w:rsidR="002430D6" w:rsidRPr="007375EB" w:rsidRDefault="00433BF6"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lastRenderedPageBreak/>
        <w:t xml:space="preserve">План за управление на водосбора на Дунавски крайбрежен хидрографски басейн </w:t>
      </w:r>
      <w:r w:rsidR="002430D6" w:rsidRPr="007375EB">
        <w:rPr>
          <w:rFonts w:cs="Arial"/>
          <w:sz w:val="16"/>
          <w:szCs w:val="16"/>
          <w:lang w:val="bg-BG"/>
        </w:rPr>
        <w:t>2022-2027</w:t>
      </w:r>
    </w:p>
    <w:p w14:paraId="1B7DA0E1" w14:textId="626FDE94" w:rsidR="002430D6" w:rsidRPr="007375EB" w:rsidRDefault="003B745F"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 xml:space="preserve">Преброяване на трафика </w:t>
      </w:r>
      <w:r w:rsidR="002430D6" w:rsidRPr="007375EB">
        <w:rPr>
          <w:rFonts w:cs="Arial"/>
          <w:sz w:val="16"/>
          <w:szCs w:val="16"/>
          <w:lang w:val="bg-BG"/>
        </w:rPr>
        <w:t>CESTRIN 2022</w:t>
      </w:r>
    </w:p>
    <w:p w14:paraId="3D918D2A" w14:textId="22776E5B" w:rsidR="002430D6" w:rsidRPr="007375EB" w:rsidRDefault="00A76107"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 xml:space="preserve">Окръжен доклад за състоянието на околната среда, окръг Констанца, година </w:t>
      </w:r>
      <w:r w:rsidR="002430D6" w:rsidRPr="007375EB">
        <w:rPr>
          <w:rFonts w:cs="Arial"/>
          <w:sz w:val="16"/>
          <w:szCs w:val="16"/>
          <w:lang w:val="bg-BG"/>
        </w:rPr>
        <w:t>2022</w:t>
      </w:r>
    </w:p>
    <w:p w14:paraId="3A920D30" w14:textId="09B85832" w:rsidR="00A76107" w:rsidRPr="007375EB" w:rsidRDefault="00A76107"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Окръжен план за управление на отпадъците - за окръг Констанца</w:t>
      </w:r>
    </w:p>
    <w:p w14:paraId="45123737" w14:textId="5CE2B51D" w:rsidR="002430D6" w:rsidRPr="007375EB" w:rsidRDefault="00A76107"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Окончателният доклад за мониторинг на биоразнообразието в рамките на бъдещия вятърен парк Думбръвени - Черкезу</w:t>
      </w:r>
    </w:p>
    <w:p w14:paraId="285C89C0" w14:textId="77777777" w:rsidR="00941AA2" w:rsidRPr="007375EB" w:rsidRDefault="00941AA2"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Национален статистически институт, статистика за населението</w:t>
      </w:r>
    </w:p>
    <w:p w14:paraId="49DFF732" w14:textId="23B5232B" w:rsidR="002430D6" w:rsidRPr="007375EB" w:rsidRDefault="002430D6"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 xml:space="preserve">State of Health in the EU: </w:t>
      </w:r>
      <w:r w:rsidR="00941AA2" w:rsidRPr="007375EB">
        <w:rPr>
          <w:rFonts w:cs="Arial"/>
          <w:sz w:val="16"/>
          <w:szCs w:val="16"/>
          <w:lang w:val="bg-BG"/>
        </w:rPr>
        <w:t>Здравен профил на Румъния 2021</w:t>
      </w:r>
    </w:p>
    <w:p w14:paraId="301B067E" w14:textId="77777777" w:rsidR="002430D6" w:rsidRPr="007375EB" w:rsidRDefault="002430D6"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Landscape fragmentation Effective Mesh Density time-series: major and medium anthropogenic fragmenting elements (FGA2-S) — European Environment Agency (europa.eu)</w:t>
      </w:r>
    </w:p>
    <w:p w14:paraId="17D4D4A3" w14:textId="77777777" w:rsidR="002430D6" w:rsidRPr="007375EB" w:rsidRDefault="002430D6" w:rsidP="00355DC6">
      <w:pPr>
        <w:pStyle w:val="ListParagraph"/>
        <w:numPr>
          <w:ilvl w:val="0"/>
          <w:numId w:val="88"/>
        </w:numPr>
        <w:spacing w:after="120" w:line="360" w:lineRule="auto"/>
        <w:ind w:left="714" w:hanging="357"/>
        <w:rPr>
          <w:rFonts w:cs="Arial"/>
          <w:sz w:val="16"/>
          <w:szCs w:val="16"/>
          <w:lang w:val="bg-BG"/>
        </w:rPr>
      </w:pPr>
      <w:r w:rsidRPr="007375EB">
        <w:rPr>
          <w:rFonts w:cs="Arial"/>
          <w:sz w:val="16"/>
          <w:szCs w:val="16"/>
          <w:lang w:val="bg-BG"/>
        </w:rPr>
        <w:t>East, A., E.,Sankey, J. B. (2020), How is modern climate change affecting landscape processes?</w:t>
      </w:r>
    </w:p>
    <w:p w14:paraId="410731E4" w14:textId="77777777" w:rsidR="004157FA" w:rsidRPr="007375EB" w:rsidRDefault="004157FA" w:rsidP="00BD6620">
      <w:pPr>
        <w:shd w:val="clear" w:color="auto" w:fill="FFFFFF"/>
        <w:spacing w:after="150" w:line="240" w:lineRule="auto"/>
        <w:jc w:val="both"/>
        <w:rPr>
          <w:rFonts w:asciiTheme="minorHAnsi" w:eastAsiaTheme="majorEastAsia" w:hAnsiTheme="minorHAnsi" w:cstheme="majorBidi"/>
          <w:sz w:val="16"/>
          <w:szCs w:val="16"/>
          <w:lang w:val="bg-BG"/>
        </w:rPr>
      </w:pPr>
    </w:p>
    <w:p w14:paraId="2841A747" w14:textId="4C11BF16" w:rsidR="00BE5293" w:rsidRPr="007375EB" w:rsidRDefault="003D1782" w:rsidP="00BD6620">
      <w:pPr>
        <w:shd w:val="clear" w:color="auto" w:fill="FFFFFF"/>
        <w:spacing w:after="150" w:line="240" w:lineRule="auto"/>
        <w:jc w:val="both"/>
        <w:rPr>
          <w:rFonts w:asciiTheme="majorHAnsi" w:hAnsiTheme="majorHAnsi"/>
          <w:b/>
          <w:bCs/>
          <w:color w:val="009DF0" w:themeColor="text2"/>
          <w:sz w:val="20"/>
          <w:szCs w:val="20"/>
          <w:lang w:val="bg-BG"/>
        </w:rPr>
      </w:pPr>
      <w:r w:rsidRPr="007375EB">
        <w:rPr>
          <w:rFonts w:asciiTheme="majorHAnsi" w:hAnsiTheme="majorHAnsi"/>
          <w:b/>
          <w:bCs/>
          <w:noProof/>
          <w:sz w:val="20"/>
          <w:szCs w:val="20"/>
          <w:lang w:val="bg-BG"/>
        </w:rPr>
        <w:drawing>
          <wp:anchor distT="0" distB="0" distL="114300" distR="114300" simplePos="0" relativeHeight="251658240" behindDoc="0" locked="0" layoutInCell="1" allowOverlap="1" wp14:anchorId="0AF0F45B" wp14:editId="17C51150">
            <wp:simplePos x="0" y="0"/>
            <wp:positionH relativeFrom="page">
              <wp:align>left</wp:align>
            </wp:positionH>
            <wp:positionV relativeFrom="paragraph">
              <wp:posOffset>6196965</wp:posOffset>
            </wp:positionV>
            <wp:extent cx="1383665" cy="1383665"/>
            <wp:effectExtent l="0" t="0" r="0" b="0"/>
            <wp:wrapNone/>
            <wp:docPr id="814525571" name="Picture 814525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pic:spPr>
                </pic:pic>
              </a:graphicData>
            </a:graphic>
          </wp:anchor>
        </w:drawing>
      </w:r>
      <w:r w:rsidR="00BE5293" w:rsidRPr="007375EB">
        <w:rPr>
          <w:rFonts w:asciiTheme="majorHAnsi" w:eastAsiaTheme="majorEastAsia" w:hAnsiTheme="majorHAnsi" w:cstheme="majorBidi"/>
          <w:b/>
          <w:bCs/>
          <w:color w:val="009DF0" w:themeColor="text2"/>
          <w:sz w:val="20"/>
          <w:szCs w:val="20"/>
          <w:lang w:val="bg-BG"/>
        </w:rPr>
        <w:br w:type="page"/>
      </w:r>
    </w:p>
    <w:p w14:paraId="79BB1645" w14:textId="0E9B801B" w:rsidR="00073EF9" w:rsidRPr="007375EB" w:rsidRDefault="003D1782" w:rsidP="00073EF9">
      <w:pPr>
        <w:pageBreakBefore/>
        <w:rPr>
          <w:b/>
          <w:bCs/>
          <w:color w:val="009DF0" w:themeColor="text2"/>
          <w:sz w:val="24"/>
          <w:szCs w:val="24"/>
          <w:lang w:val="bg-BG"/>
        </w:rPr>
      </w:pPr>
      <w:r w:rsidRPr="007375EB">
        <w:rPr>
          <w:noProof/>
          <w:lang w:val="bg-BG"/>
        </w:rPr>
        <w:lastRenderedPageBreak/>
        <mc:AlternateContent>
          <mc:Choice Requires="wps">
            <w:drawing>
              <wp:anchor distT="0" distB="0" distL="114300" distR="114300" simplePos="0" relativeHeight="251658248" behindDoc="0" locked="0" layoutInCell="1" allowOverlap="1" wp14:anchorId="00FD5CC8" wp14:editId="3F8D3210">
                <wp:simplePos x="0" y="0"/>
                <wp:positionH relativeFrom="page">
                  <wp:posOffset>-19050</wp:posOffset>
                </wp:positionH>
                <wp:positionV relativeFrom="page">
                  <wp:posOffset>-104775</wp:posOffset>
                </wp:positionV>
                <wp:extent cx="7595870" cy="10395585"/>
                <wp:effectExtent l="76200" t="76200" r="100330" b="100965"/>
                <wp:wrapNone/>
                <wp:docPr id="222032354" name="Rectangle 2220323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95870" cy="10395585"/>
                        </a:xfrm>
                        <a:prstGeom prst="rect">
                          <a:avLst/>
                        </a:prstGeom>
                        <a:noFill/>
                        <a:ln w="179705" cap="sq">
                          <a:solidFill>
                            <a:srgbClr val="FFFFFF"/>
                          </a:solidFill>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28AACD69" w14:textId="77777777" w:rsidR="00F36F51" w:rsidRDefault="00F36F51" w:rsidP="00F36F5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FD5CC8" id="Rectangle 222032354" o:spid="_x0000_s1041" style="position:absolute;margin-left:-1.5pt;margin-top:-8.25pt;width:598.1pt;height:818.55pt;z-index:251658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" filled="f" strokecolor="white" strokeweight="14.15pt">
                <v:stroke endcap="square"/>
                <v:path arrowok="t"/>
                <v:textbox>
                  <w:txbxContent>
                    <w:p w14:paraId="28AACD69" w14:textId="77777777" w:rsidR="00F36F51" w:rsidRDefault="00F36F51" w:rsidP="00F36F51">
                      <w:pPr>
                        <w:jc w:val="center"/>
                      </w:pPr>
                    </w:p>
                  </w:txbxContent>
                </v:textbox>
                <w10:wrap anchorx="page" anchory="page"/>
              </v:rect>
            </w:pict>
          </mc:Fallback>
        </mc:AlternateContent>
      </w:r>
      <w:r w:rsidR="003A18B2" w:rsidRPr="007375EB">
        <w:rPr>
          <w:b/>
          <w:bCs/>
          <w:noProof/>
          <w:color w:val="009DF0" w:themeColor="text2"/>
          <w:sz w:val="24"/>
          <w:szCs w:val="24"/>
          <w:lang w:val="bg-BG"/>
        </w:rPr>
        <mc:AlternateContent>
          <mc:Choice Requires="wps">
            <w:drawing>
              <wp:anchor distT="0" distB="0" distL="114300" distR="114300" simplePos="0" relativeHeight="251658252" behindDoc="0" locked="0" layoutInCell="1" allowOverlap="1" wp14:anchorId="62DBF33C" wp14:editId="0793F82F">
                <wp:simplePos x="0" y="0"/>
                <wp:positionH relativeFrom="page">
                  <wp:posOffset>359410</wp:posOffset>
                </wp:positionH>
                <wp:positionV relativeFrom="page">
                  <wp:align>bottom</wp:align>
                </wp:positionV>
                <wp:extent cx="3959860" cy="864235"/>
                <wp:effectExtent l="0" t="0" r="0" b="0"/>
                <wp:wrapNone/>
                <wp:docPr id="222032360" name="Text Box 222032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59860" cy="8642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DAD1319" w14:textId="77777777" w:rsidR="00073EF9" w:rsidRPr="006A0B57" w:rsidRDefault="00073EF9" w:rsidP="00073EF9">
                            <w:pPr>
                              <w:pStyle w:val="BackpageWeb"/>
                            </w:pPr>
                            <w:hyperlink r:id="rId111" w:history="1">
                              <w:r w:rsidRPr="006A0B57">
                                <w:rPr>
                                  <w:rStyle w:val="Hyperlink"/>
                                  <w:u w:val="none"/>
                                </w:rPr>
                                <w:t>www.ramboll.com</w:t>
                              </w:r>
                            </w:hyperlink>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DBF33C" id="Text Box 222032360" o:spid="_x0000_s1042" type="#_x0000_t202" style="position:absolute;margin-left:28.3pt;margin-top:0;width:311.8pt;height:68.05pt;z-index:251658252;visibility:visible;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" filled="f" stroked="f" strokeweight=".5pt">
                <v:textbox inset="0,0,0,0">
                  <w:txbxContent>
                    <w:p w14:paraId="3DAD1319" w14:textId="77777777" w:rsidR="00073EF9" w:rsidRPr="006A0B57" w:rsidRDefault="00073EF9" w:rsidP="00073EF9">
                      <w:pPr>
                        <w:pStyle w:val="BackpageWeb"/>
                      </w:pPr>
                      <w:hyperlink r:id="rId112" w:history="1">
                        <w:r w:rsidRPr="006A0B57">
                          <w:rPr>
                            <w:rStyle w:val="Hyperlink"/>
                            <w:u w:val="none"/>
                          </w:rPr>
                          <w:t>www.ramboll.com</w:t>
                        </w:r>
                      </w:hyperlink>
                    </w:p>
                  </w:txbxContent>
                </v:textbox>
                <w10:wrap anchorx="page" anchory="page"/>
              </v:shape>
            </w:pict>
          </mc:Fallback>
        </mc:AlternateContent>
      </w:r>
      <w:r w:rsidR="00C55902" w:rsidRPr="007375EB">
        <w:rPr>
          <w:b/>
          <w:bCs/>
          <w:color w:val="009DF0" w:themeColor="text2"/>
          <w:sz w:val="24"/>
          <w:szCs w:val="24"/>
          <w:lang w:val="bg-BG"/>
        </w:rPr>
        <w:t>ANEXE</w:t>
      </w:r>
    </w:p>
    <w:p w14:paraId="19526036" w14:textId="0EE982C3" w:rsidR="00F36F51" w:rsidRPr="007375EB" w:rsidRDefault="003D1782" w:rsidP="00F36F51">
      <w:pPr>
        <w:rPr>
          <w:lang w:val="bg-BG"/>
        </w:rPr>
      </w:pPr>
      <w:r w:rsidRPr="007375EB">
        <w:rPr>
          <w:noProof/>
          <w:lang w:val="bg-BG"/>
        </w:rPr>
        <mc:AlternateContent>
          <mc:Choice Requires="wps">
            <w:drawing>
              <wp:anchor distT="0" distB="0" distL="114300" distR="114300" simplePos="0" relativeHeight="251658256" behindDoc="0" locked="0" layoutInCell="1" allowOverlap="1" wp14:anchorId="2F4A299D" wp14:editId="6C0D376B">
                <wp:simplePos x="0" y="0"/>
                <wp:positionH relativeFrom="margin">
                  <wp:align>left</wp:align>
                </wp:positionH>
                <wp:positionV relativeFrom="paragraph">
                  <wp:posOffset>165100</wp:posOffset>
                </wp:positionV>
                <wp:extent cx="6429375" cy="2886075"/>
                <wp:effectExtent l="0" t="0" r="9525" b="9525"/>
                <wp:wrapNone/>
                <wp:docPr id="1" name="Text Box 1"/>
                <wp:cNvGraphicFramePr/>
                <a:graphic xmlns:a="http://schemas.openxmlformats.org/drawingml/2006/main">
                  <a:graphicData uri="http://schemas.microsoft.com/office/word/2010/wordprocessingShape">
                    <wps:wsp>
                      <wps:cNvSpPr txBox="1"/>
                      <wps:spPr>
                        <a:xfrm>
                          <a:off x="0" y="0"/>
                          <a:ext cx="6429375" cy="2886075"/>
                        </a:xfrm>
                        <a:prstGeom prst="rect">
                          <a:avLst/>
                        </a:prstGeom>
                        <a:solidFill>
                          <a:schemeClr val="lt1"/>
                        </a:solidFill>
                        <a:ln w="6350">
                          <a:noFill/>
                        </a:ln>
                      </wps:spPr>
                      <wps:txbx>
                        <w:txbxContent>
                          <w:p w14:paraId="07FC92A5" w14:textId="723325E3" w:rsidR="003D1782" w:rsidRPr="00DC6FF5" w:rsidRDefault="00DC6FF5" w:rsidP="0070194D">
                            <w:pPr>
                              <w:pStyle w:val="ListParagraph"/>
                              <w:numPr>
                                <w:ilvl w:val="0"/>
                                <w:numId w:val="15"/>
                              </w:numPr>
                              <w:spacing w:after="120" w:line="360" w:lineRule="auto"/>
                              <w:jc w:val="both"/>
                              <w:rPr>
                                <w:rFonts w:cs="Calibri"/>
                                <w:color w:val="000000" w:themeColor="text1"/>
                                <w:lang w:val="bg-BG"/>
                              </w:rPr>
                            </w:pPr>
                            <w:r w:rsidRPr="00DC6FF5">
                              <w:rPr>
                                <w:b/>
                                <w:bCs/>
                                <w:color w:val="009DF0" w:themeColor="text2"/>
                                <w:lang w:val="bg-BG"/>
                              </w:rPr>
                              <w:t>Приложение</w:t>
                            </w:r>
                            <w:r w:rsidR="003D1782" w:rsidRPr="00DC6FF5">
                              <w:rPr>
                                <w:b/>
                                <w:bCs/>
                                <w:color w:val="009DF0" w:themeColor="text2"/>
                                <w:lang w:val="bg-BG"/>
                              </w:rPr>
                              <w:t xml:space="preserve"> 1 </w:t>
                            </w:r>
                            <w:r w:rsidR="003D1782" w:rsidRPr="00DC6FF5">
                              <w:rPr>
                                <w:lang w:val="bg-BG"/>
                              </w:rPr>
                              <w:t xml:space="preserve">– </w:t>
                            </w:r>
                            <w:r w:rsidRPr="00DC6FF5">
                              <w:rPr>
                                <w:lang w:val="bg-BG"/>
                              </w:rPr>
                              <w:t>Удостоверение за регистрация в Регистъра на дипломираните експерти за разработване на екологични проучвания, за следните области и изследвания</w:t>
                            </w:r>
                            <w:r w:rsidR="003D1782" w:rsidRPr="00DC6FF5">
                              <w:rPr>
                                <w:rFonts w:cs="Calibri"/>
                                <w:color w:val="000000" w:themeColor="text1"/>
                                <w:lang w:val="bg-BG"/>
                              </w:rPr>
                              <w:t xml:space="preserve">: RIM-2, RIM-3, RIM-7, RIM-11a, RIM-11b, RIM-11c; RA-7; RM-3, RM-11a, RM-11b, RM-11c, RM-13b; RS-2, RS-11c; BM-2, BM-11b, BM-11c; </w:t>
                            </w:r>
                            <w:r w:rsidR="003D1782" w:rsidRPr="00DC6FF5">
                              <w:rPr>
                                <w:rFonts w:cs="Calibri"/>
                                <w:lang w:val="bg-BG"/>
                              </w:rPr>
                              <w:t>EA</w:t>
                            </w:r>
                            <w:r w:rsidR="003D1782" w:rsidRPr="00DC6FF5">
                              <w:rPr>
                                <w:rFonts w:cs="Calibri"/>
                                <w:color w:val="000000" w:themeColor="text1"/>
                                <w:lang w:val="bg-BG"/>
                              </w:rPr>
                              <w:t xml:space="preserve">; EGSC - </w:t>
                            </w:r>
                            <w:r w:rsidRPr="00DC6FF5">
                              <w:rPr>
                                <w:rFonts w:cs="Calibri"/>
                                <w:color w:val="000000" w:themeColor="text1"/>
                                <w:lang w:val="bg-BG"/>
                              </w:rPr>
                              <w:t xml:space="preserve">Сертификат Серия RGX № </w:t>
                            </w:r>
                            <w:r w:rsidR="003D1782" w:rsidRPr="00DC6FF5">
                              <w:rPr>
                                <w:rFonts w:cs="Calibri"/>
                                <w:color w:val="000000" w:themeColor="text1"/>
                                <w:lang w:val="bg-BG"/>
                              </w:rPr>
                              <w:t>333/1.08.2022</w:t>
                            </w:r>
                          </w:p>
                          <w:p w14:paraId="04F0FAF6" w14:textId="624061F8" w:rsidR="003D1782" w:rsidRPr="00DC6FF5" w:rsidRDefault="00DC6FF5" w:rsidP="0070194D">
                            <w:pPr>
                              <w:pStyle w:val="ListParagraph"/>
                              <w:numPr>
                                <w:ilvl w:val="0"/>
                                <w:numId w:val="15"/>
                              </w:numPr>
                              <w:spacing w:after="120" w:line="360" w:lineRule="auto"/>
                              <w:jc w:val="both"/>
                              <w:rPr>
                                <w:rFonts w:cs="Calibri"/>
                                <w:color w:val="000000" w:themeColor="text1"/>
                                <w:lang w:val="bg-BG"/>
                              </w:rPr>
                            </w:pPr>
                            <w:r w:rsidRPr="00DC6FF5">
                              <w:rPr>
                                <w:b/>
                                <w:bCs/>
                                <w:color w:val="009DF0" w:themeColor="text2"/>
                                <w:lang w:val="bg-BG"/>
                              </w:rPr>
                              <w:t xml:space="preserve">Приложение </w:t>
                            </w:r>
                            <w:r w:rsidR="003D1782" w:rsidRPr="00DC6FF5">
                              <w:rPr>
                                <w:b/>
                                <w:bCs/>
                                <w:color w:val="009DF0" w:themeColor="text2"/>
                                <w:lang w:val="bg-BG"/>
                              </w:rPr>
                              <w:t xml:space="preserve">2 </w:t>
                            </w:r>
                            <w:r w:rsidR="003D1782" w:rsidRPr="00DC6FF5">
                              <w:rPr>
                                <w:color w:val="000000" w:themeColor="text1"/>
                                <w:lang w:val="bg-BG"/>
                              </w:rPr>
                              <w:t xml:space="preserve">– </w:t>
                            </w:r>
                            <w:r w:rsidRPr="00DC6FF5">
                              <w:rPr>
                                <w:color w:val="000000" w:themeColor="text1"/>
                                <w:lang w:val="bg-BG"/>
                              </w:rPr>
                              <w:t>Планове</w:t>
                            </w:r>
                          </w:p>
                          <w:p w14:paraId="463197E3" w14:textId="16F23ACE" w:rsidR="003D1782" w:rsidRPr="00DC6FF5" w:rsidRDefault="00DC6FF5" w:rsidP="0070194D">
                            <w:pPr>
                              <w:pStyle w:val="ListParagraph"/>
                              <w:numPr>
                                <w:ilvl w:val="0"/>
                                <w:numId w:val="15"/>
                              </w:numPr>
                              <w:spacing w:after="120" w:line="360" w:lineRule="auto"/>
                              <w:jc w:val="both"/>
                              <w:rPr>
                                <w:rFonts w:cs="Calibri"/>
                                <w:color w:val="000000" w:themeColor="text1"/>
                                <w:lang w:val="bg-BG"/>
                              </w:rPr>
                            </w:pPr>
                            <w:r w:rsidRPr="00DC6FF5">
                              <w:rPr>
                                <w:b/>
                                <w:bCs/>
                                <w:color w:val="009DF0" w:themeColor="text2"/>
                                <w:lang w:val="bg-BG"/>
                              </w:rPr>
                              <w:t xml:space="preserve">Приложение </w:t>
                            </w:r>
                            <w:r w:rsidR="003D1782" w:rsidRPr="00DC6FF5">
                              <w:rPr>
                                <w:b/>
                                <w:bCs/>
                                <w:color w:val="009DF0" w:themeColor="text2"/>
                                <w:lang w:val="bg-BG"/>
                              </w:rPr>
                              <w:t xml:space="preserve">3 </w:t>
                            </w:r>
                            <w:r w:rsidR="003D1782" w:rsidRPr="00DC6FF5">
                              <w:rPr>
                                <w:rFonts w:cs="Calibri"/>
                                <w:color w:val="000000" w:themeColor="text1"/>
                                <w:lang w:val="bg-BG"/>
                              </w:rPr>
                              <w:t xml:space="preserve">– </w:t>
                            </w:r>
                            <w:r w:rsidRPr="00DC6FF5">
                              <w:rPr>
                                <w:rFonts w:cs="Calibri"/>
                                <w:color w:val="000000" w:themeColor="text1"/>
                                <w:lang w:val="bg-BG"/>
                              </w:rPr>
                              <w:t>Кореспонденция с българското Министерство на околната среда и водите</w:t>
                            </w:r>
                          </w:p>
                          <w:p w14:paraId="4EB613A0" w14:textId="77777777" w:rsidR="003D1782" w:rsidRPr="003D1782" w:rsidRDefault="003D1782" w:rsidP="0070194D">
                            <w:pPr>
                              <w:spacing w:before="100" w:after="200" w:line="276" w:lineRule="auto"/>
                              <w:ind w:left="360"/>
                              <w:jc w:val="both"/>
                              <w:rPr>
                                <w:rFonts w:cs="Calibri"/>
                                <w:color w:val="000000" w:themeColor="text1"/>
                              </w:rPr>
                            </w:pPr>
                          </w:p>
                          <w:p w14:paraId="22700C1B" w14:textId="7F928906" w:rsidR="003D1782" w:rsidRPr="003D1782" w:rsidRDefault="003D178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4A299D" id="Text Box 1" o:spid="_x0000_s1043" type="#_x0000_t202" style="position:absolute;margin-left:0;margin-top:13pt;width:506.25pt;height:227.25pt;z-index:2516582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" fillcolor="white [3201]" stroked="f" strokeweight=".5pt">
                <v:textbox>
                  <w:txbxContent>
                    <w:p w14:paraId="07FC92A5" w14:textId="723325E3" w:rsidR="003D1782" w:rsidRPr="00DC6FF5" w:rsidRDefault="00DC6FF5" w:rsidP="0070194D">
                      <w:pPr>
                        <w:pStyle w:val="ListParagraph"/>
                        <w:numPr>
                          <w:ilvl w:val="0"/>
                          <w:numId w:val="15"/>
                        </w:numPr>
                        <w:spacing w:after="120" w:line="360" w:lineRule="auto"/>
                        <w:jc w:val="both"/>
                        <w:rPr>
                          <w:rFonts w:cs="Calibri"/>
                          <w:color w:val="000000" w:themeColor="text1"/>
                          <w:lang w:val="bg-BG"/>
                        </w:rPr>
                      </w:pPr>
                      <w:r w:rsidRPr="00DC6FF5">
                        <w:rPr>
                          <w:b/>
                          <w:bCs/>
                          <w:color w:val="009DF0" w:themeColor="text2"/>
                          <w:lang w:val="bg-BG"/>
                        </w:rPr>
                        <w:t>Приложение</w:t>
                      </w:r>
                      <w:r w:rsidR="003D1782" w:rsidRPr="00DC6FF5">
                        <w:rPr>
                          <w:b/>
                          <w:bCs/>
                          <w:color w:val="009DF0" w:themeColor="text2"/>
                          <w:lang w:val="bg-BG"/>
                        </w:rPr>
                        <w:t xml:space="preserve"> 1 </w:t>
                      </w:r>
                      <w:r w:rsidR="003D1782" w:rsidRPr="00DC6FF5">
                        <w:rPr>
                          <w:lang w:val="bg-BG"/>
                        </w:rPr>
                        <w:t xml:space="preserve">– </w:t>
                      </w:r>
                      <w:r w:rsidRPr="00DC6FF5">
                        <w:rPr>
                          <w:lang w:val="bg-BG"/>
                        </w:rPr>
                        <w:t>Удостоверение за регистрация в Регистъра на дипломираните експерти за разработване на екологични проучвания, за следните области и изследвания</w:t>
                      </w:r>
                      <w:r w:rsidR="003D1782" w:rsidRPr="00DC6FF5">
                        <w:rPr>
                          <w:rFonts w:cs="Calibri"/>
                          <w:color w:val="000000" w:themeColor="text1"/>
                          <w:lang w:val="bg-BG"/>
                        </w:rPr>
                        <w:t xml:space="preserve">: RIM-2, RIM-3, RIM-7, RIM-11a, RIM-11b, RIM-11c; RA-7; RM-3, RM-11a, RM-11b, RM-11c, RM-13b; RS-2, RS-11c; BM-2, BM-11b, BM-11c; </w:t>
                      </w:r>
                      <w:r w:rsidR="003D1782" w:rsidRPr="00DC6FF5">
                        <w:rPr>
                          <w:rFonts w:cs="Calibri"/>
                          <w:lang w:val="bg-BG"/>
                        </w:rPr>
                        <w:t>EA</w:t>
                      </w:r>
                      <w:r w:rsidR="003D1782" w:rsidRPr="00DC6FF5">
                        <w:rPr>
                          <w:rFonts w:cs="Calibri"/>
                          <w:color w:val="000000" w:themeColor="text1"/>
                          <w:lang w:val="bg-BG"/>
                        </w:rPr>
                        <w:t xml:space="preserve">; EGSC - </w:t>
                      </w:r>
                      <w:r w:rsidRPr="00DC6FF5">
                        <w:rPr>
                          <w:rFonts w:cs="Calibri"/>
                          <w:color w:val="000000" w:themeColor="text1"/>
                          <w:lang w:val="bg-BG"/>
                        </w:rPr>
                        <w:t xml:space="preserve">Сертификат Серия RGX № </w:t>
                      </w:r>
                      <w:r w:rsidR="003D1782" w:rsidRPr="00DC6FF5">
                        <w:rPr>
                          <w:rFonts w:cs="Calibri"/>
                          <w:color w:val="000000" w:themeColor="text1"/>
                          <w:lang w:val="bg-BG"/>
                        </w:rPr>
                        <w:t>333/1.08.2022</w:t>
                      </w:r>
                    </w:p>
                    <w:p w14:paraId="04F0FAF6" w14:textId="624061F8" w:rsidR="003D1782" w:rsidRPr="00DC6FF5" w:rsidRDefault="00DC6FF5" w:rsidP="0070194D">
                      <w:pPr>
                        <w:pStyle w:val="ListParagraph"/>
                        <w:numPr>
                          <w:ilvl w:val="0"/>
                          <w:numId w:val="15"/>
                        </w:numPr>
                        <w:spacing w:after="120" w:line="360" w:lineRule="auto"/>
                        <w:jc w:val="both"/>
                        <w:rPr>
                          <w:rFonts w:cs="Calibri"/>
                          <w:color w:val="000000" w:themeColor="text1"/>
                          <w:lang w:val="bg-BG"/>
                        </w:rPr>
                      </w:pPr>
                      <w:r w:rsidRPr="00DC6FF5">
                        <w:rPr>
                          <w:b/>
                          <w:bCs/>
                          <w:color w:val="009DF0" w:themeColor="text2"/>
                          <w:lang w:val="bg-BG"/>
                        </w:rPr>
                        <w:t xml:space="preserve">Приложение </w:t>
                      </w:r>
                      <w:r w:rsidR="003D1782" w:rsidRPr="00DC6FF5">
                        <w:rPr>
                          <w:b/>
                          <w:bCs/>
                          <w:color w:val="009DF0" w:themeColor="text2"/>
                          <w:lang w:val="bg-BG"/>
                        </w:rPr>
                        <w:t xml:space="preserve">2 </w:t>
                      </w:r>
                      <w:r w:rsidR="003D1782" w:rsidRPr="00DC6FF5">
                        <w:rPr>
                          <w:color w:val="000000" w:themeColor="text1"/>
                          <w:lang w:val="bg-BG"/>
                        </w:rPr>
                        <w:t xml:space="preserve">– </w:t>
                      </w:r>
                      <w:r w:rsidRPr="00DC6FF5">
                        <w:rPr>
                          <w:color w:val="000000" w:themeColor="text1"/>
                          <w:lang w:val="bg-BG"/>
                        </w:rPr>
                        <w:t>Планове</w:t>
                      </w:r>
                    </w:p>
                    <w:p w14:paraId="463197E3" w14:textId="16F23ACE" w:rsidR="003D1782" w:rsidRPr="00DC6FF5" w:rsidRDefault="00DC6FF5" w:rsidP="0070194D">
                      <w:pPr>
                        <w:pStyle w:val="ListParagraph"/>
                        <w:numPr>
                          <w:ilvl w:val="0"/>
                          <w:numId w:val="15"/>
                        </w:numPr>
                        <w:spacing w:after="120" w:line="360" w:lineRule="auto"/>
                        <w:jc w:val="both"/>
                        <w:rPr>
                          <w:rFonts w:cs="Calibri"/>
                          <w:color w:val="000000" w:themeColor="text1"/>
                          <w:lang w:val="bg-BG"/>
                        </w:rPr>
                      </w:pPr>
                      <w:r w:rsidRPr="00DC6FF5">
                        <w:rPr>
                          <w:b/>
                          <w:bCs/>
                          <w:color w:val="009DF0" w:themeColor="text2"/>
                          <w:lang w:val="bg-BG"/>
                        </w:rPr>
                        <w:t xml:space="preserve">Приложение </w:t>
                      </w:r>
                      <w:r w:rsidR="003D1782" w:rsidRPr="00DC6FF5">
                        <w:rPr>
                          <w:b/>
                          <w:bCs/>
                          <w:color w:val="009DF0" w:themeColor="text2"/>
                          <w:lang w:val="bg-BG"/>
                        </w:rPr>
                        <w:t xml:space="preserve">3 </w:t>
                      </w:r>
                      <w:r w:rsidR="003D1782" w:rsidRPr="00DC6FF5">
                        <w:rPr>
                          <w:rFonts w:cs="Calibri"/>
                          <w:color w:val="000000" w:themeColor="text1"/>
                          <w:lang w:val="bg-BG"/>
                        </w:rPr>
                        <w:t xml:space="preserve">– </w:t>
                      </w:r>
                      <w:r w:rsidRPr="00DC6FF5">
                        <w:rPr>
                          <w:rFonts w:cs="Calibri"/>
                          <w:color w:val="000000" w:themeColor="text1"/>
                          <w:lang w:val="bg-BG"/>
                        </w:rPr>
                        <w:t>Кореспонденция с българското Министерство на околната среда и водите</w:t>
                      </w:r>
                    </w:p>
                    <w:p w14:paraId="4EB613A0" w14:textId="77777777" w:rsidR="003D1782" w:rsidRPr="003D1782" w:rsidRDefault="003D1782" w:rsidP="0070194D">
                      <w:pPr>
                        <w:spacing w:before="100" w:after="200" w:line="276" w:lineRule="auto"/>
                        <w:ind w:left="360"/>
                        <w:jc w:val="both"/>
                        <w:rPr>
                          <w:rFonts w:cs="Calibri"/>
                          <w:color w:val="000000" w:themeColor="text1"/>
                        </w:rPr>
                      </w:pPr>
                    </w:p>
                    <w:p w14:paraId="22700C1B" w14:textId="7F928906" w:rsidR="003D1782" w:rsidRPr="003D1782" w:rsidRDefault="003D1782"/>
                  </w:txbxContent>
                </v:textbox>
                <w10:wrap anchorx="margin"/>
              </v:shape>
            </w:pict>
          </mc:Fallback>
        </mc:AlternateContent>
      </w:r>
    </w:p>
    <w:p w14:paraId="0841B6EF" w14:textId="70D65D95" w:rsidR="00F36F51" w:rsidRPr="007375EB" w:rsidRDefault="003A18B2" w:rsidP="00F36F51">
      <w:pPr>
        <w:rPr>
          <w:lang w:val="bg-BG"/>
        </w:rPr>
      </w:pPr>
      <w:r w:rsidRPr="007375EB">
        <w:rPr>
          <w:noProof/>
          <w:lang w:val="bg-BG"/>
        </w:rPr>
        <mc:AlternateContent>
          <mc:Choice Requires="wps">
            <w:drawing>
              <wp:anchor distT="0" distB="0" distL="114300" distR="114300" simplePos="0" relativeHeight="251658246" behindDoc="1" locked="1" layoutInCell="1" allowOverlap="1" wp14:anchorId="52CE8A25" wp14:editId="1320EAA4">
                <wp:simplePos x="0" y="0"/>
                <wp:positionH relativeFrom="page">
                  <wp:align>left</wp:align>
                </wp:positionH>
                <wp:positionV relativeFrom="page">
                  <wp:align>top</wp:align>
                </wp:positionV>
                <wp:extent cx="7772400" cy="10125075"/>
                <wp:effectExtent l="0" t="0" r="0" b="0"/>
                <wp:wrapNone/>
                <wp:docPr id="222032359" name="Rectangle 222032359"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0125075"/>
                        </a:xfrm>
                        <a:prstGeom prst="rect">
                          <a:avLst/>
                        </a:prstGeom>
                        <a:blipFill dpi="0" rotWithShape="1">
                          <a:blip r:embed="rId113"/>
                          <a:srcRect/>
                          <a:stretch>
                            <a:fillRect/>
                          </a:stretch>
                        </a:blip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14:paraId="491F61FB" w14:textId="77777777" w:rsidR="00F36F51" w:rsidRDefault="00F36F51" w:rsidP="00F36F51">
                            <w:pPr>
                              <w:jc w:val="cente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2CE8A25" id="Rectangle 222032359" o:spid="_x0000_s1044" style="position:absolute;margin-left:0;margin-top:0;width:612pt;height:797.25pt;z-index:-251658234;visibility:hidden;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" stroked="f" strokeweight="2pt">
                <v:fill r:id="rId114" o:title="" recolor="t" rotate="t" type="frame"/>
                <v:textbox>
                  <w:txbxContent>
                    <w:p w14:paraId="491F61FB" w14:textId="77777777" w:rsidR="00F36F51" w:rsidRDefault="00F36F51" w:rsidP="00F36F51">
                      <w:pPr>
                        <w:jc w:val="center"/>
                      </w:pPr>
                    </w:p>
                  </w:txbxContent>
                </v:textbox>
                <w10:wrap anchorx="page" anchory="page"/>
                <w10:anchorlock/>
              </v:rect>
            </w:pict>
          </mc:Fallback>
        </mc:AlternateContent>
      </w:r>
    </w:p>
    <w:p w14:paraId="5C13B4F5" w14:textId="04B9423A" w:rsidR="00F36F51" w:rsidRPr="007375EB" w:rsidRDefault="003A18B2" w:rsidP="00F36F51">
      <w:pPr>
        <w:rPr>
          <w:lang w:val="bg-BG"/>
        </w:rPr>
      </w:pPr>
      <w:r w:rsidRPr="007375EB">
        <w:rPr>
          <w:noProof/>
          <w:lang w:val="bg-BG"/>
        </w:rPr>
        <mc:AlternateContent>
          <mc:Choice Requires="wps">
            <w:drawing>
              <wp:anchor distT="0" distB="0" distL="114300" distR="114300" simplePos="0" relativeHeight="251658251" behindDoc="0" locked="0" layoutInCell="1" allowOverlap="1" wp14:anchorId="1476AC50" wp14:editId="111F9C3B">
                <wp:simplePos x="0" y="0"/>
                <wp:positionH relativeFrom="page">
                  <wp:posOffset>359410</wp:posOffset>
                </wp:positionH>
                <wp:positionV relativeFrom="page">
                  <wp:align>bottom</wp:align>
                </wp:positionV>
                <wp:extent cx="3959860" cy="864235"/>
                <wp:effectExtent l="0" t="0" r="0" b="0"/>
                <wp:wrapNone/>
                <wp:docPr id="222032358" name="Text Box 222032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59860" cy="8642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F49E4F5" w14:textId="77777777" w:rsidR="00F36F51" w:rsidRPr="006A0B57" w:rsidRDefault="00F36F51" w:rsidP="00F36F51">
                            <w:pPr>
                              <w:pStyle w:val="BackpageWeb"/>
                            </w:pPr>
                            <w:hyperlink r:id="rId115" w:history="1">
                              <w:r w:rsidRPr="006A0B57">
                                <w:rPr>
                                  <w:rStyle w:val="Hyperlink"/>
                                  <w:u w:val="none"/>
                                </w:rPr>
                                <w:t>www.ramboll.com</w:t>
                              </w:r>
                            </w:hyperlink>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76AC50" id="Text Box 222032358" o:spid="_x0000_s1045" type="#_x0000_t202" style="position:absolute;margin-left:28.3pt;margin-top:0;width:311.8pt;height:68.05pt;z-index:251658251;visibility:visible;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" filled="f" stroked="f" strokeweight=".5pt">
                <v:textbox inset="0,0,0,0">
                  <w:txbxContent>
                    <w:p w14:paraId="6F49E4F5" w14:textId="77777777" w:rsidR="00F36F51" w:rsidRPr="006A0B57" w:rsidRDefault="00F36F51" w:rsidP="00F36F51">
                      <w:pPr>
                        <w:pStyle w:val="BackpageWeb"/>
                      </w:pPr>
                      <w:hyperlink r:id="rId116" w:history="1">
                        <w:r w:rsidRPr="006A0B57">
                          <w:rPr>
                            <w:rStyle w:val="Hyperlink"/>
                            <w:u w:val="none"/>
                          </w:rPr>
                          <w:t>www.ramboll.com</w:t>
                        </w:r>
                      </w:hyperlink>
                    </w:p>
                  </w:txbxContent>
                </v:textbox>
                <w10:wrap anchorx="page" anchory="page"/>
              </v:shape>
            </w:pict>
          </mc:Fallback>
        </mc:AlternateContent>
      </w:r>
    </w:p>
    <w:p w14:paraId="7B11F570" w14:textId="77777777" w:rsidR="00AB2293" w:rsidRPr="007375EB" w:rsidRDefault="00AB2293" w:rsidP="00AB2293">
      <w:pPr>
        <w:rPr>
          <w:lang w:val="bg-BG"/>
        </w:rPr>
      </w:pPr>
      <w:r w:rsidRPr="007375EB">
        <w:rPr>
          <w:noProof/>
          <w:lang w:val="bg-BG"/>
        </w:rPr>
        <w:drawing>
          <wp:anchor distT="0" distB="0" distL="114300" distR="114300" simplePos="0" relativeHeight="251658243" behindDoc="0" locked="0" layoutInCell="1" allowOverlap="1" wp14:anchorId="70AF9BA3" wp14:editId="71B400CB">
            <wp:simplePos x="0" y="0"/>
            <wp:positionH relativeFrom="page">
              <wp:posOffset>360045</wp:posOffset>
            </wp:positionH>
            <wp:positionV relativeFrom="page">
              <wp:posOffset>360045</wp:posOffset>
            </wp:positionV>
            <wp:extent cx="3657600" cy="648000"/>
            <wp:effectExtent l="0" t="0" r="0" b="0"/>
            <wp:wrapNone/>
            <wp:docPr id="222032377" name="Picture 22203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032377" name="LogoPositive"/>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3657600" cy="648000"/>
                    </a:xfrm>
                    <a:prstGeom prst="rect">
                      <a:avLst/>
                    </a:prstGeom>
                  </pic:spPr>
                </pic:pic>
              </a:graphicData>
            </a:graphic>
            <wp14:sizeRelH relativeFrom="page">
              <wp14:pctWidth>0</wp14:pctWidth>
            </wp14:sizeRelH>
            <wp14:sizeRelV relativeFrom="page">
              <wp14:pctHeight>0</wp14:pctHeight>
            </wp14:sizeRelV>
          </wp:anchor>
        </w:drawing>
      </w:r>
      <w:r w:rsidRPr="007375EB">
        <w:rPr>
          <w:noProof/>
          <w:lang w:val="bg-BG"/>
        </w:rPr>
        <w:drawing>
          <wp:anchor distT="0" distB="0" distL="114300" distR="114300" simplePos="0" relativeHeight="251658242" behindDoc="1" locked="0" layoutInCell="1" allowOverlap="1" wp14:anchorId="45ACBAA9" wp14:editId="110E6E8E">
            <wp:simplePos x="0" y="0"/>
            <wp:positionH relativeFrom="page">
              <wp:posOffset>360045</wp:posOffset>
            </wp:positionH>
            <wp:positionV relativeFrom="page">
              <wp:posOffset>360045</wp:posOffset>
            </wp:positionV>
            <wp:extent cx="3657600" cy="648000"/>
            <wp:effectExtent l="0" t="0" r="0" b="0"/>
            <wp:wrapNone/>
            <wp:docPr id="814525562" name="Picture 814525562"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525562" name="LogoNegative" hidden="1"/>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3657600" cy="648000"/>
                    </a:xfrm>
                    <a:prstGeom prst="rect">
                      <a:avLst/>
                    </a:prstGeom>
                  </pic:spPr>
                </pic:pic>
              </a:graphicData>
            </a:graphic>
            <wp14:sizeRelH relativeFrom="page">
              <wp14:pctWidth>0</wp14:pctWidth>
            </wp14:sizeRelH>
            <wp14:sizeRelV relativeFrom="page">
              <wp14:pctHeight>0</wp14:pctHeight>
            </wp14:sizeRelV>
          </wp:anchor>
        </w:drawing>
      </w:r>
    </w:p>
    <w:p w14:paraId="7B01D31A" w14:textId="18624FC9" w:rsidR="00F36F51" w:rsidRPr="007375EB" w:rsidRDefault="003A18B2" w:rsidP="00F36F51">
      <w:pPr>
        <w:rPr>
          <w:lang w:val="bg-BG"/>
        </w:rPr>
      </w:pPr>
      <w:r w:rsidRPr="007375EB">
        <w:rPr>
          <w:noProof/>
          <w:lang w:val="bg-BG"/>
        </w:rPr>
        <mc:AlternateContent>
          <mc:Choice Requires="wps">
            <w:drawing>
              <wp:anchor distT="0" distB="0" distL="114300" distR="114300" simplePos="0" relativeHeight="251658250" behindDoc="1" locked="0" layoutInCell="1" allowOverlap="1" wp14:anchorId="007EF08B" wp14:editId="3EB50C96">
                <wp:simplePos x="0" y="0"/>
                <wp:positionH relativeFrom="page">
                  <wp:align>left</wp:align>
                </wp:positionH>
                <wp:positionV relativeFrom="page">
                  <wp:align>bottom</wp:align>
                </wp:positionV>
                <wp:extent cx="7776210" cy="1007745"/>
                <wp:effectExtent l="0" t="0" r="0" b="0"/>
                <wp:wrapNone/>
                <wp:docPr id="222032357" name="Rectangle 2220323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6210" cy="1007745"/>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780E3C1" w14:textId="77777777" w:rsidR="00F36F51" w:rsidRDefault="00F36F51" w:rsidP="00F36F5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7EF08B" id="Rectangle 222032357" o:spid="_x0000_s1046" style="position:absolute;margin-left:0;margin-top:0;width:612.3pt;height:79.35pt;z-index:-25165823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" stroked="f" strokeweight="2pt">
                <v:textbox>
                  <w:txbxContent>
                    <w:p w14:paraId="6780E3C1" w14:textId="77777777" w:rsidR="00F36F51" w:rsidRDefault="00F36F51" w:rsidP="00F36F51">
                      <w:pPr>
                        <w:jc w:val="center"/>
                      </w:pPr>
                    </w:p>
                  </w:txbxContent>
                </v:textbox>
                <w10:wrap anchorx="page" anchory="page"/>
              </v:rect>
            </w:pict>
          </mc:Fallback>
        </mc:AlternateContent>
      </w:r>
      <w:r w:rsidRPr="007375EB">
        <w:rPr>
          <w:noProof/>
          <w:lang w:val="bg-BG"/>
        </w:rPr>
        <mc:AlternateContent>
          <mc:Choice Requires="wps">
            <w:drawing>
              <wp:anchor distT="0" distB="0" distL="114300" distR="114300" simplePos="0" relativeHeight="251658249" behindDoc="1" locked="0" layoutInCell="1" allowOverlap="1" wp14:anchorId="49E4F822" wp14:editId="3F9D3ADF">
                <wp:simplePos x="0" y="0"/>
                <wp:positionH relativeFrom="page">
                  <wp:align>right</wp:align>
                </wp:positionH>
                <wp:positionV relativeFrom="page">
                  <wp:align>bottom</wp:align>
                </wp:positionV>
                <wp:extent cx="1979930" cy="4518025"/>
                <wp:effectExtent l="0" t="0" r="0" b="0"/>
                <wp:wrapNone/>
                <wp:docPr id="222032356" name="Rectangle 2220323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79930" cy="4518025"/>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B2283E" w14:textId="77777777" w:rsidR="00006719" w:rsidRDefault="00006719" w:rsidP="0000671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E4F822" id="Rectangle 222032356" o:spid="_x0000_s1047" style="position:absolute;margin-left:104.7pt;margin-top:0;width:155.9pt;height:355.75pt;z-index:-251658231;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" fillcolor="#009df0 [3215]" stroked="f" strokeweight="2pt">
                <v:textbox>
                  <w:txbxContent>
                    <w:p w14:paraId="79B2283E" w14:textId="77777777" w:rsidR="00006719" w:rsidRDefault="00006719" w:rsidP="00006719">
                      <w:pPr>
                        <w:jc w:val="center"/>
                      </w:pPr>
                    </w:p>
                  </w:txbxContent>
                </v:textbox>
                <w10:wrap anchorx="page" anchory="page"/>
              </v:rect>
            </w:pict>
          </mc:Fallback>
        </mc:AlternateContent>
      </w:r>
      <w:r w:rsidRPr="007375EB">
        <w:rPr>
          <w:noProof/>
          <w:lang w:val="bg-BG"/>
        </w:rPr>
        <mc:AlternateContent>
          <mc:Choice Requires="wps">
            <w:drawing>
              <wp:anchor distT="0" distB="0" distL="114300" distR="114300" simplePos="0" relativeHeight="251658247" behindDoc="1" locked="0" layoutInCell="1" allowOverlap="1" wp14:anchorId="6EC4C08A" wp14:editId="30269A67">
                <wp:simplePos x="0" y="0"/>
                <wp:positionH relativeFrom="page">
                  <wp:align>left</wp:align>
                </wp:positionH>
                <wp:positionV relativeFrom="page">
                  <wp:align>top</wp:align>
                </wp:positionV>
                <wp:extent cx="7772400" cy="10692130"/>
                <wp:effectExtent l="0" t="0" r="0" b="0"/>
                <wp:wrapNone/>
                <wp:docPr id="222032355" name="Rectangle 2220323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10692130"/>
                        </a:xfrm>
                        <a:prstGeom prst="rect">
                          <a:avLst/>
                        </a:prstGeom>
                        <a:solidFill>
                          <a:srgbClr val="FFFFFF"/>
                        </a:solidFill>
                        <a:ln w="179705" cap="sq">
                          <a:noFill/>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2B905360" w14:textId="77777777" w:rsidR="00F36F51" w:rsidRDefault="00F36F51" w:rsidP="00F36F5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C4C08A" id="Rectangle 222032355" o:spid="_x0000_s1048" style="position:absolute;margin-left:0;margin-top:0;width:612pt;height:841.9pt;z-index:-251658233;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" stroked="f" strokeweight="14.15pt">
                <v:stroke endcap="square"/>
                <v:textbox>
                  <w:txbxContent>
                    <w:p w14:paraId="2B905360" w14:textId="77777777" w:rsidR="00F36F51" w:rsidRDefault="00F36F51" w:rsidP="00F36F51">
                      <w:pPr>
                        <w:jc w:val="center"/>
                      </w:pPr>
                    </w:p>
                  </w:txbxContent>
                </v:textbox>
                <w10:wrap anchorx="page" anchory="page"/>
              </v:rect>
            </w:pict>
          </mc:Fallback>
        </mc:AlternateContent>
      </w:r>
    </w:p>
    <w:p w14:paraId="100C91BF" w14:textId="77777777" w:rsidR="00BE5293" w:rsidRPr="007375EB" w:rsidRDefault="00BE5293" w:rsidP="00E37AEE">
      <w:pPr>
        <w:rPr>
          <w:lang w:val="bg-BG"/>
        </w:rPr>
      </w:pPr>
    </w:p>
    <w:sectPr w:rsidR="00BE5293" w:rsidRPr="007375EB" w:rsidSect="00023D68">
      <w:pgSz w:w="11906" w:h="16838" w:code="9"/>
      <w:pgMar w:top="2013" w:right="1416" w:bottom="1418" w:left="1191" w:header="839"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19CFAC" w14:textId="77777777" w:rsidR="00B50BFB" w:rsidRDefault="00B50BFB" w:rsidP="009E4B94">
      <w:pPr>
        <w:spacing w:line="240" w:lineRule="auto"/>
      </w:pPr>
      <w:r>
        <w:separator/>
      </w:r>
    </w:p>
  </w:endnote>
  <w:endnote w:type="continuationSeparator" w:id="0">
    <w:p w14:paraId="4000B3F2" w14:textId="77777777" w:rsidR="00B50BFB" w:rsidRDefault="00B50BFB" w:rsidP="009E4B94">
      <w:pPr>
        <w:spacing w:line="240" w:lineRule="auto"/>
      </w:pPr>
      <w:r>
        <w:continuationSeparator/>
      </w:r>
    </w:p>
  </w:endnote>
  <w:endnote w:type="continuationNotice" w:id="1">
    <w:p w14:paraId="195042C9" w14:textId="77777777" w:rsidR="00B50BFB" w:rsidRDefault="00B50BF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quot;Segoe UI&quot;, sans-serif">
    <w:altName w:val="Cambria"/>
    <w:panose1 w:val="00000000000000000000"/>
    <w:charset w:val="00"/>
    <w:family w:val="roman"/>
    <w:notTrueType/>
    <w:pitch w:val="default"/>
  </w:font>
  <w:font w:name="&quot;Verdana&quot;,sans-serif">
    <w:altName w:val="Cambria"/>
    <w:panose1 w:val="00000000000000000000"/>
    <w:charset w:val="00"/>
    <w:family w:val="roman"/>
    <w:notTrueType/>
    <w:pitch w:val="default"/>
  </w:font>
  <w:font w:name="&quot;Calibri&quot;,sans-serif">
    <w:altName w:val="Cambria"/>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quot;Times New Roman&quot;,serif">
    <w:altName w:val="Cambria"/>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Garamond">
    <w:altName w:val="Garamond"/>
    <w:panose1 w:val="02020404030301010803"/>
    <w:charset w:val="00"/>
    <w:family w:val="roman"/>
    <w:pitch w:val="variable"/>
    <w:sig w:usb0="00000287" w:usb1="00000000" w:usb2="00000000" w:usb3="00000000" w:csb0="0000009F" w:csb1="00000000"/>
  </w:font>
  <w:font w:name="Arial Bold">
    <w:altName w:val="Arial"/>
    <w:panose1 w:val="020B07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Georgia">
    <w:panose1 w:val="02040502050405020303"/>
    <w:charset w:val="00"/>
    <w:family w:val="roman"/>
    <w:pitch w:val="variable"/>
    <w:sig w:usb0="00000287" w:usb1="00000000"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Franklin Gothic Heavy">
    <w:panose1 w:val="020B0903020102020204"/>
    <w:charset w:val="00"/>
    <w:family w:val="swiss"/>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Arial RO">
    <w:altName w:val="Arial Narrow"/>
    <w:panose1 w:val="00000000000000000000"/>
    <w:charset w:val="00"/>
    <w:family w:val="swiss"/>
    <w:notTrueType/>
    <w:pitch w:val="variable"/>
    <w:sig w:usb0="00000003" w:usb1="00000000" w:usb2="00000000" w:usb3="00000000" w:csb0="00000001" w:csb1="00000000"/>
  </w:font>
  <w:font w:name="Minion Pro Regular">
    <w:altName w:val="Times New Roman"/>
    <w:charset w:val="00"/>
    <w:family w:val="auto"/>
    <w:pitch w:val="default"/>
  </w:font>
  <w:font w:name="Trebuchet MS">
    <w:panose1 w:val="020B0603020202020204"/>
    <w:charset w:val="00"/>
    <w:family w:val="swiss"/>
    <w:pitch w:val="variable"/>
    <w:sig w:usb0="00000687" w:usb1="00000000" w:usb2="00000000" w:usb3="00000000" w:csb0="0000009F" w:csb1="00000000"/>
  </w:font>
  <w:font w:name="NSimSun">
    <w:panose1 w:val="02010609030101010101"/>
    <w:charset w:val="86"/>
    <w:family w:val="modern"/>
    <w:pitch w:val="fixed"/>
    <w:sig w:usb0="000002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Times New Roman Bold">
    <w:panose1 w:val="02020803070505020304"/>
    <w:charset w:val="00"/>
    <w:family w:val="roman"/>
    <w:notTrueType/>
    <w:pitch w:val="default"/>
  </w:font>
  <w:font w:name="Optima">
    <w:panose1 w:val="00000000000000000000"/>
    <w:charset w:val="00"/>
    <w:family w:val="swiss"/>
    <w:notTrueType/>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MS Reference Sans Serif">
    <w:panose1 w:val="020B0604030504040204"/>
    <w:charset w:val="00"/>
    <w:family w:val="swiss"/>
    <w:pitch w:val="variable"/>
    <w:sig w:usb0="20000287" w:usb1="00000000" w:usb2="00000000" w:usb3="00000000" w:csb0="0000019F" w:csb1="00000000"/>
  </w:font>
  <w:font w:name="Franklin Gothic Medium Cond">
    <w:panose1 w:val="020B0606030402020204"/>
    <w:charset w:val="00"/>
    <w:family w:val="swiss"/>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 w:name="Comic Sans MS">
    <w:panose1 w:val="030F0702030302020204"/>
    <w:charset w:val="00"/>
    <w:family w:val="script"/>
    <w:pitch w:val="variable"/>
    <w:sig w:usb0="00000687" w:usb1="00000013" w:usb2="00000000" w:usb3="00000000" w:csb0="0000009F" w:csb1="00000000"/>
  </w:font>
  <w:font w:name="Univers LT Std 45 Light">
    <w:altName w:val="Arial"/>
    <w:charset w:val="00"/>
    <w:family w:val="swiss"/>
    <w:pitch w:val="default"/>
  </w:font>
  <w:font w:name="Helvetica">
    <w:panose1 w:val="020B0604020202020204"/>
    <w:charset w:val="00"/>
    <w:family w:val="swiss"/>
    <w:pitch w:val="variable"/>
    <w:sig w:usb0="E0002EFF" w:usb1="C000785B" w:usb2="00000009" w:usb3="00000000" w:csb0="000001FF" w:csb1="00000000"/>
  </w:font>
  <w:font w:name="NXXXSA+Dax-Regular">
    <w:altName w:val="Arial"/>
    <w:panose1 w:val="00000000000000000000"/>
    <w:charset w:val="00"/>
    <w:family w:val="swiss"/>
    <w:notTrueType/>
    <w:pitch w:val="default"/>
    <w:sig w:usb0="00000003" w:usb1="00000000" w:usb2="00000000" w:usb3="00000000" w:csb0="00000001" w:csb1="00000000"/>
  </w:font>
  <w:font w:name="Palatino">
    <w:altName w:val="Palatino Linotype"/>
    <w:panose1 w:val="00000000000000000000"/>
    <w:charset w:val="00"/>
    <w:family w:val="roman"/>
    <w:notTrueType/>
    <w:pitch w:val="variable"/>
    <w:sig w:usb0="00000003" w:usb1="00000000" w:usb2="00000000" w:usb3="00000000" w:csb0="00000001" w:csb1="00000000"/>
  </w:font>
  <w:font w:name="Nimbus Roman No9 L">
    <w:altName w:val="Times New Roman"/>
    <w:charset w:val="00"/>
    <w:family w:val="roman"/>
    <w:pitch w:val="variable"/>
  </w:font>
  <w:font w:name="HG Mincho Light J">
    <w:altName w:val="Times New Roman"/>
    <w:charset w:val="00"/>
    <w:family w:val="auto"/>
    <w:pitch w:val="variable"/>
  </w:font>
  <w:font w:name="Batang">
    <w:altName w:val="바탕"/>
    <w:panose1 w:val="02030600000101010101"/>
    <w:charset w:val="81"/>
    <w:family w:val="roman"/>
    <w:pitch w:val="variable"/>
    <w:sig w:usb0="B00002AF" w:usb1="69D77CFB" w:usb2="00000030" w:usb3="00000000" w:csb0="000800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 w:name="+mn-ea">
    <w:panose1 w:val="00000000000000000000"/>
    <w:charset w:val="00"/>
    <w:family w:val="roman"/>
    <w:notTrueType/>
    <w:pitch w:val="default"/>
  </w:font>
  <w:font w:name="Whitney Bold">
    <w:altName w:val="Arial"/>
    <w:panose1 w:val="00000000000000000000"/>
    <w:charset w:val="00"/>
    <w:family w:val="swiss"/>
    <w:notTrueType/>
    <w:pitch w:val="default"/>
    <w:sig w:usb0="00000003" w:usb1="00000000" w:usb2="00000000" w:usb3="00000000" w:csb0="00000001" w:csb1="00000000"/>
  </w:font>
  <w:font w:name="System">
    <w:panose1 w:val="00000000000000000000"/>
    <w:charset w:val="00"/>
    <w:family w:val="swiss"/>
    <w:pitch w:val="variable"/>
    <w:sig w:usb0="00000003" w:usb1="00000000" w:usb2="00000000" w:usb3="00000000" w:csb0="00000001" w:csb1="00000000"/>
  </w:font>
  <w:font w:name="Times-Ro">
    <w:altName w:val="Times New Roman"/>
    <w:charset w:val="EE"/>
    <w:family w:val="roman"/>
    <w:pitch w:val="variable"/>
  </w:font>
  <w:font w:name="Myriad Roman">
    <w:altName w:val="Arial"/>
    <w:panose1 w:val="00000000000000000000"/>
    <w:charset w:val="00"/>
    <w:family w:val="swiss"/>
    <w:notTrueType/>
    <w:pitch w:val="variable"/>
    <w:sig w:usb0="00000003" w:usb1="00000000" w:usb2="00000000" w:usb3="00000000" w:csb0="00000001" w:csb1="00000000"/>
  </w:font>
  <w:font w:name="Lucida Grande">
    <w:altName w:val="Times New Roman"/>
    <w:charset w:val="00"/>
    <w:family w:val="roman"/>
    <w:pitch w:val="default"/>
  </w:font>
  <w:font w:name="ヒラギノ角ゴ Pro W3">
    <w:altName w:val="Times New Roman"/>
    <w:charset w:val="00"/>
    <w:family w:val="roman"/>
    <w:pitch w:val="default"/>
  </w:font>
  <w:font w:name="Calibri Light">
    <w:panose1 w:val="020F0302020204030204"/>
    <w:charset w:val="00"/>
    <w:family w:val="swiss"/>
    <w:pitch w:val="variable"/>
    <w:sig w:usb0="E4002EFF" w:usb1="C200247B" w:usb2="00000009" w:usb3="00000000" w:csb0="000001FF" w:csb1="00000000"/>
  </w:font>
  <w:font w:name="StarSymbol">
    <w:altName w:val="Segoe Print"/>
    <w:charset w:val="02"/>
    <w:family w:val="auto"/>
    <w:pitch w:val="default"/>
  </w:font>
  <w:font w:name="Century Schoolbook">
    <w:panose1 w:val="02040604050505020304"/>
    <w:charset w:val="00"/>
    <w:family w:val="roman"/>
    <w:pitch w:val="variable"/>
    <w:sig w:usb0="00000287" w:usb1="00000000" w:usb2="00000000" w:usb3="00000000" w:csb0="0000009F" w:csb1="00000000"/>
  </w:font>
  <w:font w:name="Lucida Console">
    <w:panose1 w:val="020B0609040504020204"/>
    <w:charset w:val="00"/>
    <w:family w:val="modern"/>
    <w:pitch w:val="fixed"/>
    <w:sig w:usb0="8000028F" w:usb1="00001800" w:usb2="00000000" w:usb3="00000000" w:csb0="0000001F" w:csb1="00000000"/>
  </w:font>
  <w:font w:name="Cambria Math">
    <w:panose1 w:val="02040503050406030204"/>
    <w:charset w:val="00"/>
    <w:family w:val="roman"/>
    <w:pitch w:val="variable"/>
    <w:sig w:usb0="E00006FF" w:usb1="420024FF" w:usb2="02000000" w:usb3="00000000" w:csb0="0000019F" w:csb1="00000000"/>
  </w:font>
  <w:font w:name="EuroRoman">
    <w:panose1 w:val="00000400000000000000"/>
    <w:charset w:val="02"/>
    <w:family w:val="auto"/>
    <w:pitch w:val="variable"/>
    <w:sig w:usb0="00000000" w:usb1="10000000" w:usb2="00000000" w:usb3="00000000" w:csb0="80000000" w:csb1="00000000"/>
  </w:font>
  <w:font w:name="TTE2756BE0t00">
    <w:altName w:val="Calibri"/>
    <w:panose1 w:val="00000000000000000000"/>
    <w:charset w:val="00"/>
    <w:family w:val="auto"/>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14B544" w14:textId="63968E34" w:rsidR="002D23AA" w:rsidRDefault="003A18B2">
    <w:pPr>
      <w:pStyle w:val="Footer"/>
    </w:pPr>
    <w:r>
      <w:rPr>
        <w:noProof/>
      </w:rPr>
      <mc:AlternateContent>
        <mc:Choice Requires="wps">
          <w:drawing>
            <wp:anchor distT="0" distB="0" distL="0" distR="0" simplePos="0" relativeHeight="251658249" behindDoc="0" locked="0" layoutInCell="1" allowOverlap="1" wp14:anchorId="493245CE" wp14:editId="7D4BE4D4">
              <wp:simplePos x="0" y="0"/>
              <wp:positionH relativeFrom="page">
                <wp:align>center</wp:align>
              </wp:positionH>
              <wp:positionV relativeFrom="page">
                <wp:align>bottom</wp:align>
              </wp:positionV>
              <wp:extent cx="443865" cy="443865"/>
              <wp:effectExtent l="0" t="0" r="0" b="0"/>
              <wp:wrapNone/>
              <wp:docPr id="283399199" name="Text Box 283399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3865" cy="443865"/>
                      </a:xfrm>
                      <a:prstGeom prst="rect">
                        <a:avLst/>
                      </a:prstGeom>
                      <a:noFill/>
                      <a:ln>
                        <a:noFill/>
                      </a:ln>
                    </wps:spPr>
                    <wps:txbx>
                      <w:txbxContent>
                        <w:p w14:paraId="251AD0DF" w14:textId="10CBC498" w:rsidR="002D23AA" w:rsidRPr="002D23AA" w:rsidRDefault="002D23AA" w:rsidP="002D23AA">
                          <w:pPr>
                            <w:rPr>
                              <w:rFonts w:eastAsia="Verdana" w:cs="Verdana"/>
                              <w:color w:val="000000"/>
                              <w:sz w:val="14"/>
                              <w:szCs w:val="14"/>
                            </w:rPr>
                          </w:pPr>
                          <w:r w:rsidRPr="002D23AA">
                            <w:rPr>
                              <w:rFonts w:eastAsia="Verdana" w:cs="Verdana"/>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493245CE" id="_x0000_t202" coordsize="21600,21600" o:spt="202" path="m,l,21600r21600,l21600,xe">
              <v:stroke joinstyle="miter"/>
              <v:path gradientshapeok="t" o:connecttype="rect"/>
            </v:shapetype>
            <v:shape id="Text Box 283399199" o:spid="_x0000_s1050" type="#_x0000_t202" style="position:absolute;margin-left:0;margin-top:0;width:34.95pt;height:34.95pt;z-index:251658249;visibility:visible;mso-wrap-style:none;mso-width-percent:0;mso-height-percent:0;mso-wrap-distance-left:0;mso-wrap-distance-top:0;mso-wrap-distance-right:0;mso-wrap-distance-bottom:0;mso-position-horizontal:center;mso-position-horizontal-relative:page;mso-position-vertical:bottom;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" filled="f" stroked="f">
              <v:textbox style="mso-fit-shape-to-text:t" inset="0,0,0,15pt">
                <w:txbxContent>
                  <w:p w14:paraId="251AD0DF" w14:textId="10CBC498" w:rsidR="002D23AA" w:rsidRPr="002D23AA" w:rsidRDefault="002D23AA" w:rsidP="002D23AA">
                    <w:pPr>
                      <w:rPr>
                        <w:rFonts w:eastAsia="Verdana" w:cs="Verdana"/>
                        <w:color w:val="000000"/>
                        <w:sz w:val="14"/>
                        <w:szCs w:val="14"/>
                      </w:rPr>
                    </w:pPr>
                    <w:r w:rsidRPr="002D23AA">
                      <w:rPr>
                        <w:rFonts w:eastAsia="Verdana" w:cs="Verdana"/>
                        <w:color w:val="000000"/>
                        <w:sz w:val="14"/>
                        <w:szCs w:val="14"/>
                      </w:rPr>
                      <w:t>Confidential</w:t>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4D6ED" w14:textId="60470E7A" w:rsidR="00B06053" w:rsidRPr="00B06053" w:rsidRDefault="00C616C7" w:rsidP="00282DA2">
    <w:pPr>
      <w:pStyle w:val="Footer"/>
      <w:jc w:val="right"/>
    </w:pPr>
    <w:r>
      <w:fldChar w:fldCharType="begin"/>
    </w:r>
    <w:r>
      <w:instrText xml:space="preserve"> PAGE   \* MERGEFORMAT </w:instrText>
    </w:r>
    <w:r>
      <w:fldChar w:fldCharType="separate"/>
    </w:r>
    <w:r>
      <w:t>3</w:t>
    </w:r>
    <w: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6AFC45" w14:textId="77777777" w:rsidR="0025286B" w:rsidRDefault="0025286B">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828E1C" w14:textId="77777777" w:rsidR="0025286B" w:rsidRDefault="0025286B">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FBB51F" w14:textId="77777777" w:rsidR="0025286B" w:rsidRDefault="0025286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539707" w14:textId="18153EB4" w:rsidR="00F70F3F" w:rsidRDefault="00011EFC">
    <w:pPr>
      <w:pStyle w:val="Footer"/>
    </w:pPr>
    <w:r>
      <w:rPr>
        <w:rFonts w:ascii="Times New Roman" w:hAnsi="Times New Roman" w:cs="Times New Roman"/>
        <w:noProof/>
        <w:sz w:val="24"/>
        <w:szCs w:val="24"/>
      </w:rPr>
      <w:drawing>
        <wp:anchor distT="0" distB="0" distL="114300" distR="114300" simplePos="0" relativeHeight="251658240" behindDoc="0" locked="0" layoutInCell="1" allowOverlap="1" wp14:anchorId="0F325EE1" wp14:editId="021333D8">
          <wp:simplePos x="0" y="0"/>
          <wp:positionH relativeFrom="page">
            <wp:posOffset>354227</wp:posOffset>
          </wp:positionH>
          <wp:positionV relativeFrom="page">
            <wp:posOffset>6425514</wp:posOffset>
          </wp:positionV>
          <wp:extent cx="2347784" cy="361950"/>
          <wp:effectExtent l="0" t="0" r="0" b="0"/>
          <wp:wrapNone/>
          <wp:docPr id="814525605" name="Picture 814525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399192" name="LogoNegative"/>
                  <pic:cNvPicPr/>
                </pic:nvPicPr>
                <pic:blipFill rotWithShape="1">
                  <a:blip r:embed="rId1">
                    <a:extLst>
                      <a:ext uri="{28A0092B-C50C-407E-A947-70E740481C1C}">
                        <a14:useLocalDpi xmlns:a14="http://schemas.microsoft.com/office/drawing/2010/main" val="0"/>
                      </a:ext>
                    </a:extLst>
                  </a:blip>
                  <a:srcRect t="1" r="30884" b="44029"/>
                  <a:stretch/>
                </pic:blipFill>
                <pic:spPr bwMode="auto">
                  <a:xfrm>
                    <a:off x="0" y="0"/>
                    <a:ext cx="2355685" cy="36316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A18B2">
      <w:rPr>
        <w:noProof/>
      </w:rPr>
      <mc:AlternateContent>
        <mc:Choice Requires="wps">
          <w:drawing>
            <wp:anchor distT="0" distB="0" distL="114300" distR="114300" simplePos="0" relativeHeight="251658246" behindDoc="1" locked="0" layoutInCell="1" allowOverlap="1" wp14:anchorId="50C8CE5B" wp14:editId="6ED992E5">
              <wp:simplePos x="0" y="0"/>
              <wp:positionH relativeFrom="page">
                <wp:posOffset>0</wp:posOffset>
              </wp:positionH>
              <wp:positionV relativeFrom="page">
                <wp:posOffset>6351270</wp:posOffset>
              </wp:positionV>
              <wp:extent cx="2907665" cy="4344670"/>
              <wp:effectExtent l="0" t="0" r="0" b="0"/>
              <wp:wrapNone/>
              <wp:docPr id="283399197" name="Rectangle 2833991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07665" cy="434467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A14F1ED" w14:textId="77777777" w:rsidR="00006719" w:rsidRDefault="00006719" w:rsidP="0000671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C8CE5B" id="Rectangle 283399197" o:spid="_x0000_s1051" style="position:absolute;margin-left:0;margin-top:500.1pt;width:228.95pt;height:342.1pt;z-index:-25165823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" fillcolor="#009df0 [3215]" stroked="f" strokeweight="2pt">
              <v:textbox>
                <w:txbxContent>
                  <w:p w14:paraId="4A14F1ED" w14:textId="77777777" w:rsidR="00006719" w:rsidRDefault="00006719" w:rsidP="00006719">
                    <w:pPr>
                      <w:jc w:val="center"/>
                    </w:pPr>
                  </w:p>
                </w:txbxContent>
              </v:textbox>
              <w10:wrap anchorx="page" anchory="page"/>
            </v:rect>
          </w:pict>
        </mc:Fallback>
      </mc:AlternateContent>
    </w:r>
    <w:r w:rsidR="003A18B2">
      <w:rPr>
        <w:noProof/>
      </w:rPr>
      <mc:AlternateContent>
        <mc:Choice Requires="wps">
          <w:drawing>
            <wp:anchor distT="0" distB="0" distL="114300" distR="114300" simplePos="0" relativeHeight="251658247" behindDoc="1" locked="0" layoutInCell="1" allowOverlap="1" wp14:anchorId="7FA6DF46" wp14:editId="01E130CB">
              <wp:simplePos x="0" y="0"/>
              <wp:positionH relativeFrom="page">
                <wp:align>left</wp:align>
              </wp:positionH>
              <wp:positionV relativeFrom="page">
                <wp:align>bottom</wp:align>
              </wp:positionV>
              <wp:extent cx="5426710" cy="3509645"/>
              <wp:effectExtent l="0" t="0" r="0" b="0"/>
              <wp:wrapNone/>
              <wp:docPr id="283399196" name="Rectangle 2833991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6710" cy="3509645"/>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BEB6876" w14:textId="77777777" w:rsidR="00006719" w:rsidRPr="00F70F3F" w:rsidRDefault="00006719" w:rsidP="00006719">
                          <w:pPr>
                            <w:jc w:val="center"/>
                            <w:rPr>
                              <w:b/>
                              <w:bC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A6DF46" id="Rectangle 283399196" o:spid="_x0000_s1052" style="position:absolute;margin-left:0;margin-top:0;width:427.3pt;height:276.35pt;z-index:-251658233;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" fillcolor="#009df0 [3215]" stroked="f" strokeweight="2pt">
              <v:textbox>
                <w:txbxContent>
                  <w:p w14:paraId="1BEB6876" w14:textId="77777777" w:rsidR="00006719" w:rsidRPr="00F70F3F" w:rsidRDefault="00006719" w:rsidP="00006719">
                    <w:pPr>
                      <w:jc w:val="center"/>
                      <w:rPr>
                        <w:b/>
                        <w:bCs/>
                      </w:rPr>
                    </w:pPr>
                  </w:p>
                </w:txbxContent>
              </v:textbox>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D19B6" w14:textId="4EAA0F14" w:rsidR="002D23AA" w:rsidRDefault="003A18B2">
    <w:pPr>
      <w:pStyle w:val="Footer"/>
    </w:pPr>
    <w:r>
      <w:rPr>
        <w:noProof/>
      </w:rPr>
      <mc:AlternateContent>
        <mc:Choice Requires="wps">
          <w:drawing>
            <wp:anchor distT="0" distB="0" distL="0" distR="0" simplePos="0" relativeHeight="251658248" behindDoc="0" locked="0" layoutInCell="1" allowOverlap="1" wp14:anchorId="3A49B731" wp14:editId="59989C1E">
              <wp:simplePos x="0" y="0"/>
              <wp:positionH relativeFrom="page">
                <wp:align>center</wp:align>
              </wp:positionH>
              <wp:positionV relativeFrom="page">
                <wp:align>bottom</wp:align>
              </wp:positionV>
              <wp:extent cx="443865" cy="443865"/>
              <wp:effectExtent l="0" t="0" r="0" b="0"/>
              <wp:wrapNone/>
              <wp:docPr id="283399192" name="Text Box 283399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3865" cy="443865"/>
                      </a:xfrm>
                      <a:prstGeom prst="rect">
                        <a:avLst/>
                      </a:prstGeom>
                      <a:noFill/>
                      <a:ln>
                        <a:noFill/>
                      </a:ln>
                    </wps:spPr>
                    <wps:txbx>
                      <w:txbxContent>
                        <w:p w14:paraId="63B31252" w14:textId="67D2C9B9" w:rsidR="002D23AA" w:rsidRPr="002D23AA" w:rsidRDefault="002D23AA" w:rsidP="002D23AA">
                          <w:pPr>
                            <w:rPr>
                              <w:rFonts w:eastAsia="Verdana" w:cs="Verdana"/>
                              <w:color w:val="000000"/>
                              <w:sz w:val="14"/>
                              <w:szCs w:val="14"/>
                            </w:rPr>
                          </w:pPr>
                          <w:r w:rsidRPr="002D23AA">
                            <w:rPr>
                              <w:rFonts w:eastAsia="Verdana" w:cs="Verdana"/>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3A49B731" id="_x0000_t202" coordsize="21600,21600" o:spt="202" path="m,l,21600r21600,l21600,xe">
              <v:stroke joinstyle="miter"/>
              <v:path gradientshapeok="t" o:connecttype="rect"/>
            </v:shapetype>
            <v:shape id="Text Box 283399192" o:spid="_x0000_s1053" type="#_x0000_t202" style="position:absolute;margin-left:0;margin-top:0;width:34.95pt;height:34.95pt;z-index:251658248;visibility:visible;mso-wrap-style:none;mso-width-percent:0;mso-height-percent:0;mso-wrap-distance-left:0;mso-wrap-distance-top:0;mso-wrap-distance-right:0;mso-wrap-distance-bottom:0;mso-position-horizontal:center;mso-position-horizontal-relative:page;mso-position-vertical:bottom;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" filled="f" stroked="f">
              <v:textbox style="mso-fit-shape-to-text:t" inset="0,0,0,15pt">
                <w:txbxContent>
                  <w:p w14:paraId="63B31252" w14:textId="67D2C9B9" w:rsidR="002D23AA" w:rsidRPr="002D23AA" w:rsidRDefault="002D23AA" w:rsidP="002D23AA">
                    <w:pPr>
                      <w:rPr>
                        <w:rFonts w:eastAsia="Verdana" w:cs="Verdana"/>
                        <w:color w:val="000000"/>
                        <w:sz w:val="14"/>
                        <w:szCs w:val="14"/>
                      </w:rPr>
                    </w:pPr>
                    <w:r w:rsidRPr="002D23AA">
                      <w:rPr>
                        <w:rFonts w:eastAsia="Verdana" w:cs="Verdana"/>
                        <w:color w:val="000000"/>
                        <w:sz w:val="14"/>
                        <w:szCs w:val="14"/>
                      </w:rPr>
                      <w:t>Confidential</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C92E8C" w14:textId="65F50C07" w:rsidR="002D23AA" w:rsidRDefault="003A18B2">
    <w:pPr>
      <w:pStyle w:val="Footer"/>
    </w:pPr>
    <w:r>
      <w:rPr>
        <w:noProof/>
      </w:rPr>
      <mc:AlternateContent>
        <mc:Choice Requires="wps">
          <w:drawing>
            <wp:anchor distT="0" distB="0" distL="0" distR="0" simplePos="0" relativeHeight="251658251" behindDoc="0" locked="0" layoutInCell="1" allowOverlap="1" wp14:anchorId="5BB14EEA" wp14:editId="00B9761E">
              <wp:simplePos x="0" y="0"/>
              <wp:positionH relativeFrom="page">
                <wp:align>center</wp:align>
              </wp:positionH>
              <wp:positionV relativeFrom="page">
                <wp:align>bottom</wp:align>
              </wp:positionV>
              <wp:extent cx="443865" cy="443865"/>
              <wp:effectExtent l="0" t="0" r="0" b="0"/>
              <wp:wrapNone/>
              <wp:docPr id="283399190" name="Text Box 283399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3865" cy="443865"/>
                      </a:xfrm>
                      <a:prstGeom prst="rect">
                        <a:avLst/>
                      </a:prstGeom>
                      <a:noFill/>
                      <a:ln>
                        <a:noFill/>
                      </a:ln>
                    </wps:spPr>
                    <wps:txbx>
                      <w:txbxContent>
                        <w:p w14:paraId="54334FB9" w14:textId="4F8644C6" w:rsidR="002D23AA" w:rsidRPr="002D23AA" w:rsidRDefault="002D23AA" w:rsidP="002D23AA">
                          <w:pPr>
                            <w:rPr>
                              <w:rFonts w:eastAsia="Verdana" w:cs="Verdana"/>
                              <w:color w:val="000000"/>
                              <w:sz w:val="14"/>
                              <w:szCs w:val="14"/>
                            </w:rPr>
                          </w:pPr>
                          <w:r w:rsidRPr="002D23AA">
                            <w:rPr>
                              <w:rFonts w:eastAsia="Verdana" w:cs="Verdana"/>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5BB14EEA" id="_x0000_t202" coordsize="21600,21600" o:spt="202" path="m,l,21600r21600,l21600,xe">
              <v:stroke joinstyle="miter"/>
              <v:path gradientshapeok="t" o:connecttype="rect"/>
            </v:shapetype>
            <v:shape id="Text Box 283399190" o:spid="_x0000_s1055" type="#_x0000_t202" style="position:absolute;margin-left:0;margin-top:0;width:34.95pt;height:34.95pt;z-index:251658251;visibility:visible;mso-wrap-style:none;mso-width-percent:0;mso-height-percent:0;mso-wrap-distance-left:0;mso-wrap-distance-top:0;mso-wrap-distance-right:0;mso-wrap-distance-bottom:0;mso-position-horizontal:center;mso-position-horizontal-relative:page;mso-position-vertical:bottom;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" filled="f" stroked="f">
              <v:textbox style="mso-fit-shape-to-text:t" inset="0,0,0,15pt">
                <w:txbxContent>
                  <w:p w14:paraId="54334FB9" w14:textId="4F8644C6" w:rsidR="002D23AA" w:rsidRPr="002D23AA" w:rsidRDefault="002D23AA" w:rsidP="002D23AA">
                    <w:pPr>
                      <w:rPr>
                        <w:rFonts w:eastAsia="Verdana" w:cs="Verdana"/>
                        <w:color w:val="000000"/>
                        <w:sz w:val="14"/>
                        <w:szCs w:val="14"/>
                      </w:rPr>
                    </w:pPr>
                    <w:r w:rsidRPr="002D23AA">
                      <w:rPr>
                        <w:rFonts w:eastAsia="Verdana" w:cs="Verdana"/>
                        <w:color w:val="000000"/>
                        <w:sz w:val="14"/>
                        <w:szCs w:val="14"/>
                      </w:rPr>
                      <w:t>Confidential</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024A94" w14:textId="48EC4460" w:rsidR="009925B3" w:rsidRPr="00AD2539" w:rsidRDefault="009925B3" w:rsidP="00BD6620">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DD884C" w14:textId="6D5C0E71" w:rsidR="002D23AA" w:rsidRDefault="003A18B2">
    <w:pPr>
      <w:pStyle w:val="Footer"/>
    </w:pPr>
    <w:r>
      <w:rPr>
        <w:noProof/>
      </w:rPr>
      <mc:AlternateContent>
        <mc:Choice Requires="wps">
          <w:drawing>
            <wp:anchor distT="0" distB="0" distL="0" distR="0" simplePos="0" relativeHeight="251658250" behindDoc="0" locked="0" layoutInCell="1" allowOverlap="1" wp14:anchorId="6BC3A243" wp14:editId="522EED8D">
              <wp:simplePos x="0" y="0"/>
              <wp:positionH relativeFrom="page">
                <wp:align>center</wp:align>
              </wp:positionH>
              <wp:positionV relativeFrom="page">
                <wp:align>bottom</wp:align>
              </wp:positionV>
              <wp:extent cx="443865" cy="443865"/>
              <wp:effectExtent l="0" t="0" r="0" b="0"/>
              <wp:wrapNone/>
              <wp:docPr id="283399188" name="Text Box 283399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3865" cy="443865"/>
                      </a:xfrm>
                      <a:prstGeom prst="rect">
                        <a:avLst/>
                      </a:prstGeom>
                      <a:noFill/>
                      <a:ln>
                        <a:noFill/>
                      </a:ln>
                    </wps:spPr>
                    <wps:txbx>
                      <w:txbxContent>
                        <w:p w14:paraId="52E33C93" w14:textId="7297C717" w:rsidR="002D23AA" w:rsidRPr="002D23AA" w:rsidRDefault="002D23AA" w:rsidP="002D23AA">
                          <w:pPr>
                            <w:rPr>
                              <w:rFonts w:eastAsia="Verdana" w:cs="Verdana"/>
                              <w:color w:val="000000"/>
                              <w:sz w:val="14"/>
                              <w:szCs w:val="14"/>
                            </w:rPr>
                          </w:pPr>
                          <w:r w:rsidRPr="002D23AA">
                            <w:rPr>
                              <w:rFonts w:eastAsia="Verdana" w:cs="Verdana"/>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6BC3A243" id="_x0000_t202" coordsize="21600,21600" o:spt="202" path="m,l,21600r21600,l21600,xe">
              <v:stroke joinstyle="miter"/>
              <v:path gradientshapeok="t" o:connecttype="rect"/>
            </v:shapetype>
            <v:shape id="Text Box 283399188" o:spid="_x0000_s1056" type="#_x0000_t202" style="position:absolute;margin-left:0;margin-top:0;width:34.95pt;height:34.95pt;z-index:251658250;visibility:visible;mso-wrap-style:none;mso-width-percent:0;mso-height-percent:0;mso-wrap-distance-left:0;mso-wrap-distance-top:0;mso-wrap-distance-right:0;mso-wrap-distance-bottom:0;mso-position-horizontal:center;mso-position-horizontal-relative:page;mso-position-vertical:bottom;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" filled="f" stroked="f">
              <v:textbox style="mso-fit-shape-to-text:t" inset="0,0,0,15pt">
                <w:txbxContent>
                  <w:p w14:paraId="52E33C93" w14:textId="7297C717" w:rsidR="002D23AA" w:rsidRPr="002D23AA" w:rsidRDefault="002D23AA" w:rsidP="002D23AA">
                    <w:pPr>
                      <w:rPr>
                        <w:rFonts w:eastAsia="Verdana" w:cs="Verdana"/>
                        <w:color w:val="000000"/>
                        <w:sz w:val="14"/>
                        <w:szCs w:val="14"/>
                      </w:rPr>
                    </w:pPr>
                    <w:r w:rsidRPr="002D23AA">
                      <w:rPr>
                        <w:rFonts w:eastAsia="Verdana" w:cs="Verdana"/>
                        <w:color w:val="000000"/>
                        <w:sz w:val="14"/>
                        <w:szCs w:val="14"/>
                      </w:rPr>
                      <w:t>Confidential</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68B9E" w14:textId="0CE1182C" w:rsidR="002D23AA" w:rsidRDefault="003A18B2">
    <w:pPr>
      <w:pStyle w:val="Footer"/>
    </w:pPr>
    <w:r>
      <w:rPr>
        <w:noProof/>
      </w:rPr>
      <mc:AlternateContent>
        <mc:Choice Requires="wps">
          <w:drawing>
            <wp:anchor distT="0" distB="0" distL="0" distR="0" simplePos="0" relativeHeight="251658253" behindDoc="0" locked="0" layoutInCell="1" allowOverlap="1" wp14:anchorId="3B1991E5" wp14:editId="43FE4670">
              <wp:simplePos x="0" y="0"/>
              <wp:positionH relativeFrom="page">
                <wp:align>center</wp:align>
              </wp:positionH>
              <wp:positionV relativeFrom="page">
                <wp:align>bottom</wp:align>
              </wp:positionV>
              <wp:extent cx="443865" cy="443865"/>
              <wp:effectExtent l="0" t="0" r="0" b="0"/>
              <wp:wrapNone/>
              <wp:docPr id="283399187" name="Text Box 283399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3865" cy="443865"/>
                      </a:xfrm>
                      <a:prstGeom prst="rect">
                        <a:avLst/>
                      </a:prstGeom>
                      <a:noFill/>
                      <a:ln>
                        <a:noFill/>
                      </a:ln>
                    </wps:spPr>
                    <wps:txbx>
                      <w:txbxContent>
                        <w:p w14:paraId="310AEDBB" w14:textId="0B4EDB08" w:rsidR="002D23AA" w:rsidRPr="002D23AA" w:rsidRDefault="002D23AA" w:rsidP="002D23AA">
                          <w:pPr>
                            <w:rPr>
                              <w:rFonts w:eastAsia="Verdana" w:cs="Verdana"/>
                              <w:color w:val="000000"/>
                              <w:sz w:val="14"/>
                              <w:szCs w:val="14"/>
                            </w:rPr>
                          </w:pPr>
                          <w:r w:rsidRPr="002D23AA">
                            <w:rPr>
                              <w:rFonts w:eastAsia="Verdana" w:cs="Verdana"/>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3B1991E5" id="_x0000_t202" coordsize="21600,21600" o:spt="202" path="m,l,21600r21600,l21600,xe">
              <v:stroke joinstyle="miter"/>
              <v:path gradientshapeok="t" o:connecttype="rect"/>
            </v:shapetype>
            <v:shape id="Text Box 283399187" o:spid="_x0000_s1057" type="#_x0000_t202" style="position:absolute;margin-left:0;margin-top:0;width:34.95pt;height:34.95pt;z-index:251658253;visibility:visible;mso-wrap-style:none;mso-width-percent:0;mso-height-percent:0;mso-wrap-distance-left:0;mso-wrap-distance-top:0;mso-wrap-distance-right:0;mso-wrap-distance-bottom:0;mso-position-horizontal:center;mso-position-horizontal-relative:page;mso-position-vertical:bottom;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" filled="f" stroked="f">
              <v:textbox style="mso-fit-shape-to-text:t" inset="0,0,0,15pt">
                <w:txbxContent>
                  <w:p w14:paraId="310AEDBB" w14:textId="0B4EDB08" w:rsidR="002D23AA" w:rsidRPr="002D23AA" w:rsidRDefault="002D23AA" w:rsidP="002D23AA">
                    <w:pPr>
                      <w:rPr>
                        <w:rFonts w:eastAsia="Verdana" w:cs="Verdana"/>
                        <w:color w:val="000000"/>
                        <w:sz w:val="14"/>
                        <w:szCs w:val="14"/>
                      </w:rPr>
                    </w:pPr>
                    <w:r w:rsidRPr="002D23AA">
                      <w:rPr>
                        <w:rFonts w:eastAsia="Verdana" w:cs="Verdana"/>
                        <w:color w:val="000000"/>
                        <w:sz w:val="14"/>
                        <w:szCs w:val="14"/>
                      </w:rPr>
                      <w:t>Confidential</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F2A69" w14:textId="00D4F943" w:rsidR="00BF576B" w:rsidRDefault="00BF576B" w:rsidP="00025683">
    <w:pPr>
      <w:pStyle w:val="Footer"/>
    </w:pPr>
  </w:p>
  <w:p w14:paraId="7764A10B" w14:textId="77777777" w:rsidR="00BF576B" w:rsidRDefault="00BF576B">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B2A590" w14:textId="29BFDEA9" w:rsidR="002D23AA" w:rsidRDefault="003A18B2">
    <w:pPr>
      <w:pStyle w:val="Footer"/>
    </w:pPr>
    <w:r>
      <w:rPr>
        <w:noProof/>
      </w:rPr>
      <mc:AlternateContent>
        <mc:Choice Requires="wps">
          <w:drawing>
            <wp:anchor distT="0" distB="0" distL="0" distR="0" simplePos="0" relativeHeight="251658252" behindDoc="0" locked="0" layoutInCell="1" allowOverlap="1" wp14:anchorId="315DBE63" wp14:editId="69A2E88A">
              <wp:simplePos x="0" y="0"/>
              <wp:positionH relativeFrom="page">
                <wp:align>center</wp:align>
              </wp:positionH>
              <wp:positionV relativeFrom="page">
                <wp:align>bottom</wp:align>
              </wp:positionV>
              <wp:extent cx="443865" cy="443865"/>
              <wp:effectExtent l="0" t="0" r="0" b="0"/>
              <wp:wrapNone/>
              <wp:docPr id="283399185" name="Text Box 283399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3865" cy="443865"/>
                      </a:xfrm>
                      <a:prstGeom prst="rect">
                        <a:avLst/>
                      </a:prstGeom>
                      <a:noFill/>
                      <a:ln>
                        <a:noFill/>
                      </a:ln>
                    </wps:spPr>
                    <wps:txbx>
                      <w:txbxContent>
                        <w:p w14:paraId="1F57FCBB" w14:textId="0D8749E9" w:rsidR="002D23AA" w:rsidRPr="002D23AA" w:rsidRDefault="002D23AA" w:rsidP="002D23AA">
                          <w:pPr>
                            <w:rPr>
                              <w:rFonts w:eastAsia="Verdana" w:cs="Verdana"/>
                              <w:color w:val="000000"/>
                              <w:sz w:val="14"/>
                              <w:szCs w:val="14"/>
                            </w:rPr>
                          </w:pPr>
                          <w:r w:rsidRPr="002D23AA">
                            <w:rPr>
                              <w:rFonts w:eastAsia="Verdana" w:cs="Verdana"/>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315DBE63" id="_x0000_t202" coordsize="21600,21600" o:spt="202" path="m,l,21600r21600,l21600,xe">
              <v:stroke joinstyle="miter"/>
              <v:path gradientshapeok="t" o:connecttype="rect"/>
            </v:shapetype>
            <v:shape id="Text Box 283399185" o:spid="_x0000_s1058" type="#_x0000_t202" style="position:absolute;margin-left:0;margin-top:0;width:34.95pt;height:34.95pt;z-index:251658252;visibility:visible;mso-wrap-style:none;mso-width-percent:0;mso-height-percent:0;mso-wrap-distance-left:0;mso-wrap-distance-top:0;mso-wrap-distance-right:0;mso-wrap-distance-bottom:0;mso-position-horizontal:center;mso-position-horizontal-relative:page;mso-position-vertical:bottom;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" filled="f" stroked="f">
              <v:textbox style="mso-fit-shape-to-text:t" inset="0,0,0,15pt">
                <w:txbxContent>
                  <w:p w14:paraId="1F57FCBB" w14:textId="0D8749E9" w:rsidR="002D23AA" w:rsidRPr="002D23AA" w:rsidRDefault="002D23AA" w:rsidP="002D23AA">
                    <w:pPr>
                      <w:rPr>
                        <w:rFonts w:eastAsia="Verdana" w:cs="Verdana"/>
                        <w:color w:val="000000"/>
                        <w:sz w:val="14"/>
                        <w:szCs w:val="14"/>
                      </w:rPr>
                    </w:pPr>
                    <w:r w:rsidRPr="002D23AA">
                      <w:rPr>
                        <w:rFonts w:eastAsia="Verdana" w:cs="Verdana"/>
                        <w:color w:val="000000"/>
                        <w:sz w:val="14"/>
                        <w:szCs w:val="14"/>
                      </w:rPr>
                      <w:t>Confidential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9156EC" w14:textId="77777777" w:rsidR="00B50BFB" w:rsidRDefault="00B50BFB" w:rsidP="009E4B94">
      <w:pPr>
        <w:spacing w:line="240" w:lineRule="auto"/>
      </w:pPr>
    </w:p>
  </w:footnote>
  <w:footnote w:type="continuationSeparator" w:id="0">
    <w:p w14:paraId="6F822D87" w14:textId="77777777" w:rsidR="00B50BFB" w:rsidRDefault="00B50BFB" w:rsidP="009E4B94">
      <w:pPr>
        <w:spacing w:line="240" w:lineRule="auto"/>
      </w:pPr>
    </w:p>
  </w:footnote>
  <w:footnote w:type="continuationNotice" w:id="1">
    <w:p w14:paraId="1DDDC34B" w14:textId="77777777" w:rsidR="00B50BFB" w:rsidRDefault="00B50BFB">
      <w:pPr>
        <w:spacing w:line="240" w:lineRule="auto"/>
      </w:pPr>
    </w:p>
  </w:footnote>
  <w:footnote w:id="2">
    <w:p w14:paraId="13EEEEC5" w14:textId="09D406E9" w:rsidR="00C91948" w:rsidRPr="00C91948" w:rsidRDefault="00C91948">
      <w:pPr>
        <w:pStyle w:val="FootnoteText"/>
      </w:pPr>
      <w:r>
        <w:rPr>
          <w:rStyle w:val="FootnoteReference"/>
        </w:rPr>
        <w:footnoteRef/>
      </w:r>
      <w:r>
        <w:t xml:space="preserve"> </w:t>
      </w:r>
      <w:r w:rsidRPr="00C91948">
        <w:t>https://eur-lex.europa.eu/resource.html?uri=cellar:1bd46c90-bdd4-11e4-bbe1-01aa75ed71a1.0012.03/DOC_1&amp;format=PDF</w:t>
      </w:r>
    </w:p>
  </w:footnote>
  <w:footnote w:id="3">
    <w:p w14:paraId="67739F3F" w14:textId="6C9B6639" w:rsidR="00931A7E" w:rsidRPr="00931A7E" w:rsidRDefault="00931A7E">
      <w:pPr>
        <w:pStyle w:val="FootnoteText"/>
      </w:pPr>
      <w:r>
        <w:rPr>
          <w:rStyle w:val="FootnoteReference"/>
        </w:rPr>
        <w:footnoteRef/>
      </w:r>
      <w:r>
        <w:t xml:space="preserve"> </w:t>
      </w:r>
      <w:r w:rsidRPr="00931A7E">
        <w:t>https://eur-lex.europa.eu/legal-content/RO/TXT/PDF/?uri=CELEX:22016A1019(01)&amp;from=EN</w:t>
      </w:r>
    </w:p>
  </w:footnote>
  <w:footnote w:id="4">
    <w:p w14:paraId="6E24BB21" w14:textId="77777777" w:rsidR="0035606C" w:rsidRPr="008A648C" w:rsidRDefault="0035606C" w:rsidP="0035606C">
      <w:pPr>
        <w:pStyle w:val="FootnoteText"/>
      </w:pPr>
      <w:r>
        <w:rPr>
          <w:rStyle w:val="FootnoteReference"/>
        </w:rPr>
        <w:footnoteRef/>
      </w:r>
      <w:r>
        <w:t xml:space="preserve"> </w:t>
      </w:r>
      <w:r w:rsidRPr="008A648C">
        <w:t>https://eur-lex.europa.eu/resource.html?uri=cellar:b828d165-1c22-11ea-8c1f-01aa75ed71a1.0020.02/DOC_1&amp;format=PDF</w:t>
      </w:r>
    </w:p>
  </w:footnote>
  <w:footnote w:id="5">
    <w:p w14:paraId="7CF49DFE" w14:textId="5825AA4B" w:rsidR="00024384" w:rsidRPr="00024384" w:rsidRDefault="00024384">
      <w:pPr>
        <w:pStyle w:val="FootnoteText"/>
      </w:pPr>
      <w:r>
        <w:rPr>
          <w:rStyle w:val="FootnoteReference"/>
        </w:rPr>
        <w:footnoteRef/>
      </w:r>
      <w:r>
        <w:t xml:space="preserve"> </w:t>
      </w:r>
      <w:r w:rsidRPr="00024384">
        <w:t>https://eur-lex.europa.eu/legal-content/RO/TXT/PDF/?uri=CELEX:52020DC0562</w:t>
      </w:r>
    </w:p>
  </w:footnote>
  <w:footnote w:id="6">
    <w:p w14:paraId="3723AE61" w14:textId="5EDF378D" w:rsidR="00090027" w:rsidRPr="00090027" w:rsidRDefault="00090027">
      <w:pPr>
        <w:pStyle w:val="FootnoteText"/>
      </w:pPr>
      <w:r>
        <w:rPr>
          <w:rStyle w:val="FootnoteReference"/>
        </w:rPr>
        <w:footnoteRef/>
      </w:r>
      <w:r>
        <w:t xml:space="preserve"> </w:t>
      </w:r>
      <w:r w:rsidRPr="00090027">
        <w:t>https://eur-lex.europa.eu/legal-content/RO/TXT/PDF/?uri=CELEX:32021R1119</w:t>
      </w:r>
    </w:p>
  </w:footnote>
  <w:footnote w:id="7">
    <w:p w14:paraId="25E2320F" w14:textId="1D55DA34" w:rsidR="00F86B88" w:rsidRDefault="00F86B88">
      <w:pPr>
        <w:pStyle w:val="FootnoteText"/>
      </w:pPr>
      <w:r>
        <w:rPr>
          <w:rStyle w:val="FootnoteReference"/>
        </w:rPr>
        <w:footnoteRef/>
      </w:r>
      <w:r>
        <w:t xml:space="preserve"> </w:t>
      </w:r>
      <w:r w:rsidRPr="00F86B88">
        <w:t>https://eur-lex.europa.eu/resource.html?uri=cellar:fc930f14-d7ae-11ec-a95f-01aa75ed71a1.0014.02/DOC_1&amp;format=PDF</w:t>
      </w:r>
    </w:p>
  </w:footnote>
  <w:footnote w:id="8">
    <w:p w14:paraId="1D83528D" w14:textId="66184FF6" w:rsidR="00667439" w:rsidRDefault="00667439" w:rsidP="00667439">
      <w:pPr>
        <w:pStyle w:val="FootnoteText"/>
      </w:pPr>
      <w:r>
        <w:rPr>
          <w:rStyle w:val="FootnoteReference"/>
        </w:rPr>
        <w:footnoteRef/>
      </w:r>
      <w:r>
        <w:t xml:space="preserve"> </w:t>
      </w:r>
      <w:r w:rsidR="008117D6" w:rsidRPr="008117D6">
        <w:t>https://eur-lex.europa.eu/legal-content/RO/TXT/PDF/?uri=CELEX:32022D0591</w:t>
      </w:r>
    </w:p>
  </w:footnote>
  <w:footnote w:id="9">
    <w:p w14:paraId="62DB230E" w14:textId="7FD95C34" w:rsidR="0068792F" w:rsidRDefault="0068792F">
      <w:pPr>
        <w:pStyle w:val="FootnoteText"/>
      </w:pPr>
      <w:r>
        <w:rPr>
          <w:rStyle w:val="FootnoteReference"/>
        </w:rPr>
        <w:footnoteRef/>
      </w:r>
      <w:r>
        <w:t xml:space="preserve"> </w:t>
      </w:r>
      <w:r w:rsidRPr="0068792F">
        <w:t>https://eur-lex.europa.eu/legal-content/RO/TXT/PDF/?uri=CELEX:52023DC0062</w:t>
      </w:r>
    </w:p>
  </w:footnote>
  <w:footnote w:id="10">
    <w:p w14:paraId="3A23448A" w14:textId="5805DCF2" w:rsidR="00C1469E" w:rsidRDefault="00C1469E">
      <w:pPr>
        <w:pStyle w:val="FootnoteText"/>
      </w:pPr>
      <w:r>
        <w:rPr>
          <w:rStyle w:val="FootnoteReference"/>
        </w:rPr>
        <w:footnoteRef/>
      </w:r>
      <w:r>
        <w:t xml:space="preserve"> </w:t>
      </w:r>
      <w:r w:rsidR="00D41D72" w:rsidRPr="00D41D72">
        <w:t>https://eur-lex.europa.eu/resource.html?uri=cellar:a3c806a6-9ab3-11ea-9d2d-01aa75ed71a1.0023.02/DOC_1&amp;format=PDF</w:t>
      </w:r>
    </w:p>
  </w:footnote>
  <w:footnote w:id="11">
    <w:p w14:paraId="6A1CBCB9" w14:textId="45FA13A9" w:rsidR="005222A7" w:rsidRDefault="005222A7">
      <w:pPr>
        <w:pStyle w:val="FootnoteText"/>
      </w:pPr>
      <w:r>
        <w:rPr>
          <w:rStyle w:val="FootnoteReference"/>
        </w:rPr>
        <w:footnoteRef/>
      </w:r>
      <w:r>
        <w:t xml:space="preserve"> </w:t>
      </w:r>
      <w:r w:rsidRPr="005222A7">
        <w:t>https://eur-lex.europa.eu/legal-content/RO/TXT/PDF/?uri=CELEX:02018L2001-20231120</w:t>
      </w:r>
    </w:p>
  </w:footnote>
  <w:footnote w:id="12">
    <w:p w14:paraId="28E1A04B" w14:textId="12080A08" w:rsidR="0031120F" w:rsidRDefault="0031120F">
      <w:pPr>
        <w:pStyle w:val="FootnoteText"/>
      </w:pPr>
      <w:r>
        <w:rPr>
          <w:rStyle w:val="FootnoteReference"/>
        </w:rPr>
        <w:footnoteRef/>
      </w:r>
      <w:r>
        <w:t xml:space="preserve"> </w:t>
      </w:r>
      <w:r w:rsidRPr="0031120F">
        <w:t>https://eur-lex.europa.eu/legal-content/RO/TXT/PDF/?uri=CELEX:32022R0869</w:t>
      </w:r>
    </w:p>
  </w:footnote>
  <w:footnote w:id="13">
    <w:p w14:paraId="46663C43" w14:textId="51B6E391" w:rsidR="001B47DE" w:rsidRDefault="001B47DE">
      <w:pPr>
        <w:pStyle w:val="FootnoteText"/>
      </w:pPr>
      <w:r>
        <w:rPr>
          <w:rStyle w:val="FootnoteReference"/>
        </w:rPr>
        <w:footnoteRef/>
      </w:r>
      <w:r>
        <w:t xml:space="preserve"> </w:t>
      </w:r>
      <w:r w:rsidRPr="001B47DE">
        <w:t>https://eur-lex.europa.eu/resource.html?uri=cellar:f5586441-f5e1-11ec-b976-01aa75ed71a1.0009.02/DOC_1&amp;format=PDF</w:t>
      </w:r>
    </w:p>
  </w:footnote>
  <w:footnote w:id="14">
    <w:p w14:paraId="34AF57DA" w14:textId="1B8C1327" w:rsidR="00C51B76" w:rsidRDefault="00C51B76">
      <w:pPr>
        <w:pStyle w:val="FootnoteText"/>
      </w:pPr>
      <w:r>
        <w:rPr>
          <w:rStyle w:val="FootnoteReference"/>
        </w:rPr>
        <w:footnoteRef/>
      </w:r>
      <w:r>
        <w:t xml:space="preserve"> </w:t>
      </w:r>
      <w:r w:rsidRPr="00C51B76">
        <w:t>https://energie.gov.ro/wp-content/uploads/2022/08/Strategia-2030_DGJRI_AM_12.08.2022_MU_Clean_25.08.2022-1.pdf</w:t>
      </w:r>
    </w:p>
  </w:footnote>
  <w:footnote w:id="15">
    <w:p w14:paraId="31CECCBB" w14:textId="0E9259AE" w:rsidR="003A3052" w:rsidRDefault="003A3052">
      <w:pPr>
        <w:pStyle w:val="FootnoteText"/>
      </w:pPr>
      <w:r>
        <w:rPr>
          <w:rStyle w:val="FootnoteReference"/>
        </w:rPr>
        <w:footnoteRef/>
      </w:r>
      <w:r>
        <w:t xml:space="preserve"> </w:t>
      </w:r>
      <w:r w:rsidRPr="003A3052">
        <w:t>https://energie.gov.ro/wp-content/uploads/2023/12/NECP_Romania_first-draft-version-21.12.2023_RO.pdf</w:t>
      </w:r>
    </w:p>
  </w:footnote>
  <w:footnote w:id="16">
    <w:p w14:paraId="4BD53DE9" w14:textId="7461CCF4" w:rsidR="008162E0" w:rsidRDefault="008162E0">
      <w:pPr>
        <w:pStyle w:val="FootnoteText"/>
      </w:pPr>
      <w:r>
        <w:rPr>
          <w:rStyle w:val="FootnoteReference"/>
        </w:rPr>
        <w:footnoteRef/>
      </w:r>
      <w:r>
        <w:t xml:space="preserve"> </w:t>
      </w:r>
      <w:r w:rsidRPr="00C33C37">
        <w:t>https://www.edu.ro/sites/default/files/Strategia-nationala-pentru-dezvoltarea-durabila-a-Rom%C3%A2niei-2030.pdf</w:t>
      </w:r>
    </w:p>
  </w:footnote>
  <w:footnote w:id="17">
    <w:p w14:paraId="5BBA59B1" w14:textId="32E93669" w:rsidR="008162E0" w:rsidRDefault="008162E0">
      <w:pPr>
        <w:pStyle w:val="FootnoteText"/>
      </w:pPr>
      <w:r>
        <w:rPr>
          <w:rStyle w:val="FootnoteReference"/>
        </w:rPr>
        <w:footnoteRef/>
      </w:r>
      <w:r>
        <w:t xml:space="preserve"> </w:t>
      </w:r>
      <w:r w:rsidRPr="00DC38A4">
        <w:t>https://www.mmediu.ro/app/webroot/uploads/files/SNASC_SEA_2022.pdf</w:t>
      </w:r>
    </w:p>
  </w:footnote>
  <w:footnote w:id="18">
    <w:p w14:paraId="3468D5B8" w14:textId="6A820499" w:rsidR="007C1566" w:rsidRDefault="007C1566">
      <w:pPr>
        <w:pStyle w:val="FootnoteText"/>
      </w:pPr>
      <w:r>
        <w:rPr>
          <w:rStyle w:val="FootnoteReference"/>
        </w:rPr>
        <w:footnoteRef/>
      </w:r>
      <w:r>
        <w:t xml:space="preserve"> </w:t>
      </w:r>
      <w:r w:rsidRPr="007C1566">
        <w:t>http://www.cjc.ro/sectiune.php?s=247</w:t>
      </w:r>
    </w:p>
  </w:footnote>
  <w:footnote w:id="19">
    <w:p w14:paraId="531E134A" w14:textId="7F105C0B" w:rsidR="00C45242" w:rsidRDefault="00C45242">
      <w:pPr>
        <w:pStyle w:val="FootnoteText"/>
      </w:pPr>
      <w:r>
        <w:rPr>
          <w:rStyle w:val="FootnoteReference"/>
        </w:rPr>
        <w:footnoteRef/>
      </w:r>
      <w:r>
        <w:t xml:space="preserve"> </w:t>
      </w:r>
      <w:r w:rsidRPr="00C45242">
        <w:t>https://galdobrogeasv.ro/modificari-ale-strategiei-de-dezvoltare-locala/</w:t>
      </w:r>
    </w:p>
  </w:footnote>
  <w:footnote w:id="20">
    <w:p w14:paraId="7DDD8BFA" w14:textId="430A1E82" w:rsidR="00275CB7" w:rsidRDefault="00275CB7">
      <w:pPr>
        <w:pStyle w:val="FootnoteText"/>
      </w:pPr>
      <w:r>
        <w:rPr>
          <w:rStyle w:val="FootnoteReference"/>
        </w:rPr>
        <w:footnoteRef/>
      </w:r>
      <w:r>
        <w:t xml:space="preserve"> </w:t>
      </w:r>
      <w:r w:rsidRPr="00275CB7">
        <w:t>http://apmct.anpm.ro/-/planul-local-de-actiune-pentru-mediu-constanta</w:t>
      </w:r>
    </w:p>
  </w:footnote>
  <w:footnote w:id="21">
    <w:p w14:paraId="5D031260" w14:textId="77777777" w:rsidR="007B6F56" w:rsidRDefault="007B6F56" w:rsidP="007B6F56">
      <w:pPr>
        <w:pStyle w:val="FootnoteText"/>
      </w:pPr>
      <w:r>
        <w:rPr>
          <w:rStyle w:val="FootnoteReference"/>
        </w:rPr>
        <w:footnoteRef/>
      </w:r>
      <w:r>
        <w:t xml:space="preserve"> PLAN JUDEȚEAN DE GESTIONARE A DEȘEURILOR JUDEȚUL CONSTANTA 2020 - 2025</w:t>
      </w:r>
    </w:p>
  </w:footnote>
  <w:footnote w:id="22">
    <w:p w14:paraId="7A05B88F" w14:textId="638AC999" w:rsidR="000827D5" w:rsidRDefault="000827D5">
      <w:pPr>
        <w:pStyle w:val="FootnoteText"/>
      </w:pPr>
      <w:r>
        <w:rPr>
          <w:rStyle w:val="FootnoteReference"/>
        </w:rPr>
        <w:footnoteRef/>
      </w:r>
      <w:r>
        <w:t xml:space="preserve"> </w:t>
      </w:r>
      <w:r w:rsidRPr="000827D5">
        <w:t>https://galdobrogeasv.ro/legaturi-utile/</w:t>
      </w:r>
    </w:p>
  </w:footnote>
  <w:footnote w:id="23">
    <w:p w14:paraId="034C1B6D" w14:textId="77777777" w:rsidR="00086334" w:rsidRPr="00F77D11" w:rsidRDefault="00086334" w:rsidP="00086334">
      <w:pPr>
        <w:pStyle w:val="FootnoteText"/>
        <w:rPr>
          <w:lang w:val="bg-BG"/>
        </w:rPr>
      </w:pPr>
      <w:r w:rsidRPr="00F77D11">
        <w:rPr>
          <w:rStyle w:val="FootnoteReference"/>
          <w:lang w:val="bg-BG"/>
        </w:rPr>
        <w:footnoteRef/>
      </w:r>
      <w:r w:rsidRPr="00F77D11">
        <w:rPr>
          <w:lang w:val="bg-BG"/>
        </w:rPr>
        <w:t xml:space="preserve"> State of Health in the EU: Румъния Здравен профил на страната 2021</w:t>
      </w:r>
    </w:p>
  </w:footnote>
  <w:footnote w:id="24">
    <w:p w14:paraId="6C682404" w14:textId="3C6B63E3" w:rsidR="00F82A9F" w:rsidRDefault="00F82A9F">
      <w:pPr>
        <w:pStyle w:val="FootnoteText"/>
      </w:pPr>
      <w:r>
        <w:rPr>
          <w:rStyle w:val="FootnoteReference"/>
        </w:rPr>
        <w:footnoteRef/>
      </w:r>
      <w:r>
        <w:t xml:space="preserve"> </w:t>
      </w:r>
      <w:r w:rsidR="005C1EED" w:rsidRPr="005C1EED">
        <w:t>https://dspct.ro/wp-content/uploads/2024/04/RAPORT-JUDETEAN-APA-POTABILA-2023.pdf</w:t>
      </w:r>
    </w:p>
  </w:footnote>
  <w:footnote w:id="25">
    <w:p w14:paraId="7AE20CB4" w14:textId="3F0DA89E" w:rsidR="008037D3" w:rsidRDefault="008037D3">
      <w:pPr>
        <w:pStyle w:val="FootnoteText"/>
      </w:pPr>
      <w:r>
        <w:rPr>
          <w:rStyle w:val="FootnoteReference"/>
        </w:rPr>
        <w:footnoteRef/>
      </w:r>
      <w:r>
        <w:t xml:space="preserve"> </w:t>
      </w:r>
      <w:r w:rsidR="002A69AB" w:rsidRPr="002A69AB">
        <w:t>Областен доклад за състоянието на околната среда, 2022 г.</w:t>
      </w:r>
    </w:p>
  </w:footnote>
  <w:footnote w:id="26">
    <w:p w14:paraId="12DD2CDE" w14:textId="7E008E2F" w:rsidR="00A43368" w:rsidRDefault="00A43368" w:rsidP="00A43368">
      <w:pPr>
        <w:pStyle w:val="FootnoteText"/>
        <w:jc w:val="both"/>
      </w:pPr>
      <w:r>
        <w:rPr>
          <w:rStyle w:val="FootnoteReference"/>
        </w:rPr>
        <w:footnoteRef/>
      </w:r>
      <w:r>
        <w:t xml:space="preserve"> </w:t>
      </w:r>
      <w:r w:rsidR="002A69AB" w:rsidRPr="002A69AB">
        <w:t>Изменението на климата е нарастващ рисков фактор за екосистемите, човешкото здраве и икономиката на Европа, твърди Европейската агенция по околна среда</w:t>
      </w:r>
      <w:r>
        <w:t>, 2017</w:t>
      </w:r>
    </w:p>
  </w:footnote>
  <w:footnote w:id="27">
    <w:p w14:paraId="449D7C6A" w14:textId="77777777" w:rsidR="00FD4430" w:rsidRPr="00A122CA" w:rsidRDefault="00FD4430" w:rsidP="00FD4430">
      <w:pPr>
        <w:pStyle w:val="FootnoteText"/>
      </w:pPr>
      <w:r>
        <w:rPr>
          <w:rStyle w:val="FootnoteReference"/>
        </w:rPr>
        <w:footnoteRef/>
      </w:r>
      <w:r>
        <w:t xml:space="preserve"> </w:t>
      </w:r>
      <w:r w:rsidRPr="00FD4430">
        <w:rPr>
          <w:rFonts w:ascii="Calibri" w:eastAsia="Calibri" w:hAnsi="Calibri" w:cs="Calibri"/>
          <w:sz w:val="16"/>
          <w:szCs w:val="16"/>
        </w:rPr>
        <w:t>Landscape fragmentation Effective Mesh Density time-series: major and medium anthropogenic fragmenting elements (FGA2-S) — European Environment Agency (europa.eu)</w:t>
      </w:r>
      <w:r w:rsidRPr="14CF7ADA">
        <w:rPr>
          <w:rFonts w:ascii="Calibri" w:eastAsia="Calibri" w:hAnsi="Calibri" w:cs="Calibri"/>
          <w:color w:val="0462C1"/>
          <w:sz w:val="18"/>
          <w:szCs w:val="18"/>
        </w:rPr>
        <w:t xml:space="preserve"> </w:t>
      </w:r>
      <w:r w:rsidRPr="14CF7ADA">
        <w:rPr>
          <w:rFonts w:ascii="Calibri" w:eastAsia="Calibri" w:hAnsi="Calibri" w:cs="Calibri"/>
          <w:sz w:val="22"/>
          <w:szCs w:val="22"/>
        </w:rPr>
        <w:t xml:space="preserve"> </w:t>
      </w:r>
      <w:r w:rsidRPr="14CF7ADA">
        <w:t xml:space="preserve"> </w:t>
      </w:r>
    </w:p>
  </w:footnote>
  <w:footnote w:id="28">
    <w:p w14:paraId="044E7583" w14:textId="23762555" w:rsidR="001D1E8A" w:rsidRDefault="001D1E8A">
      <w:pPr>
        <w:pStyle w:val="FootnoteText"/>
      </w:pPr>
      <w:r>
        <w:rPr>
          <w:rStyle w:val="FootnoteReference"/>
        </w:rPr>
        <w:footnoteRef/>
      </w:r>
      <w:r>
        <w:t xml:space="preserve"> </w:t>
      </w:r>
      <w:hyperlink r:id="rId1" w:history="1">
        <w:r w:rsidRPr="0029670F">
          <w:rPr>
            <w:rStyle w:val="Hyperlink"/>
            <w:lang w:val="ro-RO"/>
          </w:rPr>
          <w:t>Calitatea aerului înconjurător – AEM (government.bg)</w:t>
        </w:r>
      </w:hyperlink>
    </w:p>
  </w:footnote>
  <w:footnote w:id="29">
    <w:p w14:paraId="5D9A188D" w14:textId="77777777" w:rsidR="008B542F" w:rsidRDefault="008B542F" w:rsidP="008B542F">
      <w:pPr>
        <w:pStyle w:val="FootnoteText"/>
      </w:pPr>
      <w:r>
        <w:rPr>
          <w:rStyle w:val="FootnoteReference"/>
        </w:rPr>
        <w:footnoteRef/>
      </w:r>
      <w:r>
        <w:t xml:space="preserve"> </w:t>
      </w:r>
      <w:r w:rsidRPr="00146645">
        <w:t>https://eea.government.bg/bg/dokladi/threemonth/threemonth_04_2022/air/listset</w:t>
      </w:r>
    </w:p>
  </w:footnote>
  <w:footnote w:id="30">
    <w:p w14:paraId="443031EF" w14:textId="6F27CD3E" w:rsidR="00CB1D9E" w:rsidRPr="00756674" w:rsidRDefault="00CB1D9E" w:rsidP="00CB1D9E">
      <w:pPr>
        <w:pStyle w:val="FootnoteText"/>
        <w:rPr>
          <w:lang w:val="bg-BG"/>
        </w:rPr>
      </w:pPr>
      <w:r w:rsidRPr="00756674">
        <w:rPr>
          <w:rStyle w:val="FootnoteReference"/>
          <w:lang w:val="bg-BG"/>
        </w:rPr>
        <w:footnoteRef/>
      </w:r>
      <w:r w:rsidRPr="00756674">
        <w:rPr>
          <w:lang w:val="bg-BG"/>
        </w:rPr>
        <w:t xml:space="preserve"> </w:t>
      </w:r>
      <w:hyperlink r:id="rId2" w:history="1">
        <w:r w:rsidRPr="00756674">
          <w:rPr>
            <w:lang w:val="bg-BG"/>
          </w:rPr>
          <w:t>Наци</w:t>
        </w:r>
        <w:r w:rsidRPr="00756674">
          <w:rPr>
            <w:color w:val="0074B3" w:themeColor="text2" w:themeShade="BF"/>
            <w:lang w:val="bg-BG"/>
          </w:rPr>
          <w:t>онален доклад за състоянието и опазването на околната среда в Република България – АЕМ (government.bg)</w:t>
        </w:r>
        <w:r w:rsidRPr="00756674">
          <w:rPr>
            <w:rStyle w:val="Hyperlink"/>
            <w:color w:val="0074B3" w:themeColor="text2" w:themeShade="BF"/>
            <w:u w:val="none"/>
            <w:lang w:val="bg-BG"/>
          </w:rPr>
          <w:t xml:space="preserve"> </w:t>
        </w:r>
        <w:r w:rsidRPr="00756674">
          <w:rPr>
            <w:rStyle w:val="Hyperlink"/>
            <w:color w:val="0074B3" w:themeColor="text2" w:themeShade="BF"/>
            <w:lang w:val="bg-BG"/>
          </w:rPr>
          <w:t>(govern</w:t>
        </w:r>
        <w:r w:rsidRPr="00756674">
          <w:rPr>
            <w:rStyle w:val="Hyperlink"/>
            <w:lang w:val="bg-BG"/>
          </w:rPr>
          <w:t>ment.bg)</w:t>
        </w:r>
      </w:hyperlink>
    </w:p>
  </w:footnote>
  <w:footnote w:id="31">
    <w:p w14:paraId="5CE1A3DC" w14:textId="67CB749B" w:rsidR="00F31A40" w:rsidRDefault="00F31A40">
      <w:pPr>
        <w:pStyle w:val="FootnoteText"/>
      </w:pPr>
      <w:r>
        <w:rPr>
          <w:rStyle w:val="FootnoteReference"/>
        </w:rPr>
        <w:footnoteRef/>
      </w:r>
      <w:r>
        <w:t xml:space="preserve"> </w:t>
      </w:r>
      <w:hyperlink r:id="rId3" w:history="1">
        <w:r>
          <w:rPr>
            <w:rStyle w:val="Hyperlink"/>
          </w:rPr>
          <w:t>Deaths by districts, municipalities and sex | National statistical institute (nsi.bg)</w:t>
        </w:r>
      </w:hyperlink>
    </w:p>
  </w:footnote>
  <w:footnote w:id="32">
    <w:p w14:paraId="69BB7915" w14:textId="4A0BF5CE" w:rsidR="00431DD6" w:rsidRDefault="00431DD6">
      <w:pPr>
        <w:pStyle w:val="FootnoteText"/>
      </w:pPr>
      <w:r>
        <w:rPr>
          <w:rStyle w:val="FootnoteReference"/>
        </w:rPr>
        <w:footnoteRef/>
      </w:r>
      <w:r>
        <w:t xml:space="preserve"> </w:t>
      </w:r>
      <w:r w:rsidRPr="00431DD6">
        <w:t>https://ec.europa.eu/regional_policy/whats-new/newsroom/21-12-2023-eu-supports-just-climate-transition-in-bulgaria-with-a-budget-of-eur1-2-billion_en</w:t>
      </w:r>
    </w:p>
  </w:footnote>
  <w:footnote w:id="33">
    <w:p w14:paraId="2C131133" w14:textId="77777777" w:rsidR="000E2756" w:rsidRDefault="000E2756" w:rsidP="000E2756">
      <w:pPr>
        <w:pStyle w:val="FootnoteText"/>
      </w:pPr>
      <w:r>
        <w:rPr>
          <w:rStyle w:val="FootnoteReference"/>
        </w:rPr>
        <w:footnoteRef/>
      </w:r>
      <w:r>
        <w:t xml:space="preserve"> </w:t>
      </w:r>
      <w:r w:rsidRPr="00E060A2">
        <w:t>https://eea.government.bg/bg/soer/2023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98CC94" w14:textId="2E3A8F0D" w:rsidR="00BE5293" w:rsidRDefault="00BE5293" w:rsidP="00BE5293">
    <w:pPr>
      <w:pStyle w:val="Header"/>
    </w:pPr>
    <w:r>
      <w:t xml:space="preserve"> </w:t>
    </w:r>
    <w:r w:rsidR="003A18B2">
      <w:rPr>
        <w:noProof/>
      </w:rPr>
      <mc:AlternateContent>
        <mc:Choice Requires="wps">
          <w:drawing>
            <wp:anchor distT="0" distB="0" distL="114300" distR="114300" simplePos="0" relativeHeight="251658245" behindDoc="1" locked="1" layoutInCell="1" allowOverlap="1" wp14:anchorId="6C302CC5" wp14:editId="765ECF10">
              <wp:simplePos x="0" y="0"/>
              <wp:positionH relativeFrom="page">
                <wp:posOffset>0</wp:posOffset>
              </wp:positionH>
              <wp:positionV relativeFrom="page">
                <wp:posOffset>-916305</wp:posOffset>
              </wp:positionV>
              <wp:extent cx="7685405" cy="11596370"/>
              <wp:effectExtent l="0" t="0" r="1270" b="0"/>
              <wp:wrapNone/>
              <wp:docPr id="222032353" name="Rectangle 2220323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85405" cy="11596370"/>
                      </a:xfrm>
                      <a:prstGeom prst="rect">
                        <a:avLst/>
                      </a:prstGeom>
                      <a:blipFill dpi="0" rotWithShape="1">
                        <a:blip r:embed="rId1"/>
                        <a:srcRect/>
                        <a:stretch>
                          <a:fillRect/>
                        </a:stretch>
                      </a:blip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14:paraId="49A16296" w14:textId="77777777" w:rsidR="00BE5293" w:rsidRDefault="00BE5293" w:rsidP="006F19A2">
                          <w:pPr>
                            <w:tabs>
                              <w:tab w:val="left" w:pos="1276"/>
                            </w:tabs>
                            <w:jc w:val="cente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C302CC5" id="Rectangle 222032353" o:spid="_x0000_s1049" style="position:absolute;margin-left:0;margin-top:-72.15pt;width:605.15pt;height:913.1pt;z-index:-25165823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" stroked="f" strokeweight="2pt">
              <v:fill r:id="rId2" o:title="" recolor="t" rotate="t" type="frame"/>
              <v:textbox>
                <w:txbxContent>
                  <w:p w14:paraId="49A16296" w14:textId="77777777" w:rsidR="00BE5293" w:rsidRDefault="00BE5293" w:rsidP="006F19A2">
                    <w:pPr>
                      <w:tabs>
                        <w:tab w:val="left" w:pos="1276"/>
                      </w:tabs>
                      <w:jc w:val="center"/>
                    </w:pPr>
                  </w:p>
                </w:txbxContent>
              </v:textbox>
              <w10:wrap anchorx="page" anchory="page"/>
              <w10:anchorlock/>
            </v:rect>
          </w:pict>
        </mc:Fallback>
      </mc:AlternateContent>
    </w:r>
  </w:p>
  <w:p w14:paraId="0EED3D4F" w14:textId="379B7315" w:rsidR="00AB2293" w:rsidRDefault="00AB2293" w:rsidP="00AB2293">
    <w:pPr>
      <w:pStyle w:val="Header"/>
    </w:pPr>
    <w:r>
      <w:rPr>
        <w:rFonts w:ascii="Times New Roman" w:hAnsi="Times New Roman" w:cs="Times New Roman"/>
        <w:noProof/>
        <w:sz w:val="24"/>
        <w:szCs w:val="24"/>
      </w:rPr>
      <w:drawing>
        <wp:anchor distT="0" distB="0" distL="114300" distR="114300" simplePos="0" relativeHeight="251658241" behindDoc="1" locked="0" layoutInCell="1" allowOverlap="1" wp14:anchorId="350B8E47" wp14:editId="5584F8A4">
          <wp:simplePos x="0" y="0"/>
          <wp:positionH relativeFrom="page">
            <wp:posOffset>358346</wp:posOffset>
          </wp:positionH>
          <wp:positionV relativeFrom="page">
            <wp:posOffset>6512011</wp:posOffset>
          </wp:positionV>
          <wp:extent cx="3657600" cy="647700"/>
          <wp:effectExtent l="0" t="0" r="0" b="0"/>
          <wp:wrapNone/>
          <wp:docPr id="814525604" name="Picture 814525604"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493512" name="LogoPositive" hidden="1"/>
                  <pic:cNvPicPr/>
                </pic:nvPicPr>
                <pic:blipFill>
                  <a:blip r:embed="rId3">
                    <a:extLst>
                      <a:ext uri="{28A0092B-C50C-407E-A947-70E740481C1C}">
                        <a14:useLocalDpi xmlns:a14="http://schemas.microsoft.com/office/drawing/2010/main" val="0"/>
                      </a:ext>
                    </a:extLst>
                  </a:blip>
                  <a:stretch>
                    <a:fillRect/>
                  </a:stretch>
                </pic:blipFill>
                <pic:spPr>
                  <a:xfrm>
                    <a:off x="0" y="0"/>
                    <a:ext cx="3657600" cy="647700"/>
                  </a:xfrm>
                  <a:prstGeom prst="rect">
                    <a:avLst/>
                  </a:prstGeom>
                </pic:spPr>
              </pic:pic>
            </a:graphicData>
          </a:graphic>
          <wp14:sizeRelH relativeFrom="margin">
            <wp14:pctWidth>0</wp14:pctWidth>
          </wp14:sizeRelH>
          <wp14:sizeRelV relativeFrom="margin">
            <wp14:pctHeight>0</wp14:pctHeight>
          </wp14:sizeRelV>
        </wp:anchor>
      </w:drawing>
    </w:r>
  </w:p>
  <w:p w14:paraId="3E55B69F" w14:textId="70523BF6" w:rsidR="00BE5293" w:rsidRPr="00170859" w:rsidRDefault="00BE5293" w:rsidP="00BE529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A07B2D" w14:textId="53847778" w:rsidR="009925B3" w:rsidRDefault="00195323" w:rsidP="00C86772">
    <w:pPr>
      <w:pStyle w:val="Header"/>
      <w:spacing w:line="240" w:lineRule="auto"/>
    </w:pPr>
    <w:bookmarkStart w:id="5" w:name="_Hlk512932331"/>
    <w:r>
      <w:rPr>
        <w:noProof/>
      </w:rPr>
      <w:drawing>
        <wp:anchor distT="0" distB="0" distL="114300" distR="114300" simplePos="0" relativeHeight="251658254" behindDoc="0" locked="0" layoutInCell="1" allowOverlap="1" wp14:anchorId="39D7AC68" wp14:editId="025F596E">
          <wp:simplePos x="0" y="0"/>
          <wp:positionH relativeFrom="column">
            <wp:posOffset>-249886</wp:posOffset>
          </wp:positionH>
          <wp:positionV relativeFrom="paragraph">
            <wp:posOffset>-35946</wp:posOffset>
          </wp:positionV>
          <wp:extent cx="1430655" cy="387350"/>
          <wp:effectExtent l="0" t="0" r="0" b="0"/>
          <wp:wrapNone/>
          <wp:docPr id="814525606" name="Picture 814525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rotWithShape="1">
                  <a:blip r:embed="rId1">
                    <a:extLst>
                      <a:ext uri="{28A0092B-C50C-407E-A947-70E740481C1C}">
                        <a14:useLocalDpi xmlns:a14="http://schemas.microsoft.com/office/drawing/2010/main" val="0"/>
                      </a:ext>
                    </a:extLst>
                  </a:blip>
                  <a:srcRect t="-3078" r="60960" b="43045"/>
                  <a:stretch/>
                </pic:blipFill>
                <pic:spPr bwMode="auto">
                  <a:xfrm>
                    <a:off x="0" y="0"/>
                    <a:ext cx="1430655" cy="387350"/>
                  </a:xfrm>
                  <a:prstGeom prst="rect">
                    <a:avLst/>
                  </a:prstGeom>
                  <a:noFill/>
                  <a:ln>
                    <a:noFill/>
                  </a:ln>
                  <a:extLst>
                    <a:ext uri="{53640926-AAD7-44D8-BBD7-CCE9431645EC}">
                      <a14:shadowObscured xmlns:a14="http://schemas.microsoft.com/office/drawing/2010/main"/>
                    </a:ext>
                  </a:extLst>
                </pic:spPr>
              </pic:pic>
            </a:graphicData>
          </a:graphic>
        </wp:anchor>
      </w:drawing>
    </w:r>
    <w:r w:rsidR="00AD2539">
      <w:t xml:space="preserve">  </w:t>
    </w:r>
  </w:p>
  <w:bookmarkEnd w:id="5"/>
  <w:p w14:paraId="63A24CE1" w14:textId="4BF64433" w:rsidR="00BF576B" w:rsidRDefault="003A18B2" w:rsidP="00BF576B">
    <w:pPr>
      <w:pStyle w:val="Header"/>
    </w:pPr>
    <w:r>
      <w:rPr>
        <w:noProof/>
      </w:rPr>
      <mc:AlternateContent>
        <mc:Choice Requires="wps">
          <w:drawing>
            <wp:anchor distT="0" distB="0" distL="0" distR="0" simplePos="0" relativeHeight="251658243" behindDoc="0" locked="0" layoutInCell="1" allowOverlap="1" wp14:anchorId="45870C70" wp14:editId="1AA1CB05">
              <wp:simplePos x="0" y="0"/>
              <wp:positionH relativeFrom="rightMargin">
                <wp:posOffset>309880</wp:posOffset>
              </wp:positionH>
              <wp:positionV relativeFrom="page">
                <wp:posOffset>4467225</wp:posOffset>
              </wp:positionV>
              <wp:extent cx="2141855" cy="1602740"/>
              <wp:effectExtent l="0" t="0" r="0" b="0"/>
              <wp:wrapSquare wrapText="bothSides"/>
              <wp:docPr id="283399191" name="Text Box 283399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1855" cy="1602740"/>
                      </a:xfrm>
                      <a:prstGeom prst="rect">
                        <a:avLst/>
                      </a:prstGeom>
                      <a:noFill/>
                      <a:ln>
                        <a:noFill/>
                      </a:ln>
                    </wps:spPr>
                    <wps:txbx>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240"/>
                          </w:tblGrid>
                          <w:tr w:rsidR="00BF576B" w14:paraId="775858A3" w14:textId="77777777" w:rsidTr="00692116">
                            <w:tc>
                              <w:tcPr>
                                <w:tcW w:w="2240" w:type="dxa"/>
                              </w:tcPr>
                              <w:p w14:paraId="73B230A3" w14:textId="77777777" w:rsidR="00595DA7" w:rsidRDefault="00000000" w:rsidP="00595DA7">
                                <w:pPr>
                                  <w:pStyle w:val="Template-Address"/>
                                </w:pPr>
                                <w:sdt>
                                  <w:sdtPr>
                                    <w:alias w:val="CompanyName"/>
                                    <w:tag w:val="{&quot;templafy&quot;:{&quot;id&quot;:&quot;359653b6-99c6-43b4-b381-03d427c58fcf&quot;}}"/>
                                    <w:id w:val="422"/>
                                  </w:sdtPr>
                                  <w:sdtContent>
                                    <w:r w:rsidR="000E1AF6">
                                      <w:t>Ramboll</w:t>
                                    </w:r>
                                  </w:sdtContent>
                                </w:sdt>
                              </w:p>
                              <w:p w14:paraId="1600CB96" w14:textId="77777777" w:rsidR="00595DA7" w:rsidRDefault="00000000" w:rsidP="00595DA7">
                                <w:pPr>
                                  <w:pStyle w:val="Template-Address"/>
                                </w:pPr>
                                <w:sdt>
                                  <w:sdtPr>
                                    <w:alias w:val="Address"/>
                                    <w:tag w:val="{&quot;templafy&quot;:{&quot;id&quot;:&quot;b984e9db-ca2e-4bcf-94e4-0d1360ffc3af&quot;}}"/>
                                    <w:id w:val="423"/>
                                  </w:sdtPr>
                                  <w:sdtContent>
                                    <w:r w:rsidR="000E1AF6">
                                      <w:t xml:space="preserve">Phoenicia Business Center </w:t>
                                    </w:r>
                                    <w:r w:rsidR="000E1AF6">
                                      <w:br/>
                                      <w:t xml:space="preserve">11A Turturelelor Street, 6th floor </w:t>
                                    </w:r>
                                    <w:r w:rsidR="000E1AF6">
                                      <w:br/>
                                      <w:t>Sector 3</w:t>
                                    </w:r>
                                    <w:r w:rsidR="000E1AF6">
                                      <w:br/>
                                      <w:t xml:space="preserve">Bucharest 030881 </w:t>
                                    </w:r>
                                    <w:r w:rsidR="000E1AF6">
                                      <w:br/>
                                      <w:t>Romania</w:t>
                                    </w:r>
                                  </w:sdtContent>
                                </w:sdt>
                              </w:p>
                              <w:p w14:paraId="378F0266" w14:textId="77777777" w:rsidR="00595DA7" w:rsidRDefault="00595DA7" w:rsidP="00595DA7">
                                <w:pPr>
                                  <w:pStyle w:val="Template-Address"/>
                                </w:pPr>
                              </w:p>
                              <w:sdt>
                                <w:sdtPr>
                                  <w:alias w:val="group"/>
                                  <w:tag w:val="{&quot;templafy&quot;:{&quot;id&quot;:&quot;76b194fc-74ed-4c6a-b3ea-4c1593006ba2&quot;}}"/>
                                  <w:id w:val="260876099"/>
                                </w:sdtPr>
                                <w:sdtContent>
                                  <w:p w14:paraId="045BD2C8" w14:textId="77777777" w:rsidR="00595DA7" w:rsidRDefault="00000000" w:rsidP="00595DA7">
                                    <w:pPr>
                                      <w:pStyle w:val="Template-Address"/>
                                    </w:pPr>
                                    <w:sdt>
                                      <w:sdtPr>
                                        <w:alias w:val="T"/>
                                        <w:tag w:val="{&quot;templafy&quot;:{&quot;id&quot;:&quot;a9a1a136-8bd4-41f5-b884-59dcd4f1d902&quot;}}"/>
                                        <w:id w:val="424"/>
                                      </w:sdtPr>
                                      <w:sdtContent>
                                        <w:r w:rsidR="000E1AF6">
                                          <w:t>T</w:t>
                                        </w:r>
                                      </w:sdtContent>
                                    </w:sdt>
                                    <w:r w:rsidR="00595DA7">
                                      <w:t xml:space="preserve"> </w:t>
                                    </w:r>
                                    <w:sdt>
                                      <w:sdtPr>
                                        <w:alias w:val="Phone"/>
                                        <w:tag w:val="{&quot;templafy&quot;:{&quot;id&quot;:&quot;28df7fb4-c441-4028-9d04-57e164327b8c&quot;}}"/>
                                        <w:id w:val="426"/>
                                      </w:sdtPr>
                                      <w:sdtContent>
                                        <w:r w:rsidR="000E1AF6">
                                          <w:t>+4021 314 83 14</w:t>
                                        </w:r>
                                      </w:sdtContent>
                                    </w:sdt>
                                  </w:p>
                                </w:sdtContent>
                              </w:sdt>
                              <w:sdt>
                                <w:sdtPr>
                                  <w:alias w:val="group"/>
                                  <w:tag w:val="{&quot;templafy&quot;:{&quot;id&quot;:&quot;d156f57c-83fa-48d3-94b3-10f8e16fdb63&quot;}}"/>
                                  <w:id w:val="-281813541"/>
                                </w:sdtPr>
                                <w:sdtContent>
                                  <w:p w14:paraId="51B20052" w14:textId="77777777" w:rsidR="00595DA7" w:rsidRDefault="00000000" w:rsidP="00595DA7">
                                    <w:pPr>
                                      <w:pStyle w:val="Template-Address"/>
                                    </w:pPr>
                                    <w:sdt>
                                      <w:sdtPr>
                                        <w:alias w:val="F"/>
                                        <w:tag w:val="{&quot;templafy&quot;:{&quot;id&quot;:&quot;3f4d556d-0edf-4097-9e56-139128cafa4c&quot;}}"/>
                                        <w:id w:val="427"/>
                                      </w:sdtPr>
                                      <w:sdtContent>
                                        <w:r w:rsidR="000E1AF6">
                                          <w:t>F</w:t>
                                        </w:r>
                                      </w:sdtContent>
                                    </w:sdt>
                                    <w:r w:rsidR="00595DA7">
                                      <w:t xml:space="preserve"> </w:t>
                                    </w:r>
                                    <w:sdt>
                                      <w:sdtPr>
                                        <w:alias w:val="Fax"/>
                                        <w:tag w:val="{&quot;templafy&quot;:{&quot;id&quot;:&quot;819dda30-824d-4478-9813-c7e5dd136c6e&quot;}}"/>
                                        <w:id w:val="429"/>
                                      </w:sdtPr>
                                      <w:sdtContent>
                                        <w:r w:rsidR="000E1AF6">
                                          <w:t>+40 213 14 31 75</w:t>
                                        </w:r>
                                      </w:sdtContent>
                                    </w:sdt>
                                  </w:p>
                                </w:sdtContent>
                              </w:sdt>
                              <w:sdt>
                                <w:sdtPr>
                                  <w:alias w:val="Web"/>
                                  <w:tag w:val="{&quot;templafy&quot;:{&quot;id&quot;:&quot;357fec7f-b9a5-44cb-93cf-130f87f40fd5&quot;}}"/>
                                  <w:id w:val="430"/>
                                </w:sdtPr>
                                <w:sdtContent>
                                  <w:p w14:paraId="34C33670" w14:textId="77777777" w:rsidR="007824E2" w:rsidRDefault="000E1AF6">
                                    <w:pPr>
                                      <w:pStyle w:val="Template-Address"/>
                                    </w:pPr>
                                    <w:r>
                                      <w:t>https://ramboll.com</w:t>
                                    </w:r>
                                  </w:p>
                                </w:sdtContent>
                              </w:sdt>
                              <w:p w14:paraId="2D8235D8" w14:textId="77777777" w:rsidR="00BF576B" w:rsidRDefault="00BF576B">
                                <w:pPr>
                                  <w:pStyle w:val="Template-Address"/>
                                </w:pPr>
                              </w:p>
                            </w:tc>
                          </w:tr>
                        </w:tbl>
                        <w:p w14:paraId="18DFC6BA" w14:textId="77777777" w:rsidR="00BF576B" w:rsidRDefault="00BF576B" w:rsidP="009623F8">
                          <w:pPr>
                            <w:pStyle w:val="Template-Address"/>
                          </w:pPr>
                        </w:p>
                      </w:txbxContent>
                    </wps:txbx>
                    <wps:bodyPr rot="0" vert="horz" wrap="square" lIns="180000" tIns="0" rIns="75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870C70" id="_x0000_t202" coordsize="21600,21600" o:spt="202" path="m,l,21600r21600,l21600,xe">
              <v:stroke joinstyle="miter"/>
              <v:path gradientshapeok="t" o:connecttype="rect"/>
            </v:shapetype>
            <v:shape id="Text Box 283399191" o:spid="_x0000_s1054" type="#_x0000_t202" style="position:absolute;margin-left:24.4pt;margin-top:351.75pt;width:168.65pt;height:126.2pt;z-index:251658243;visibility:visible;mso-wrap-style:square;mso-width-percent:0;mso-height-percent:0;mso-wrap-distance-left:0;mso-wrap-distance-top:0;mso-wrap-distance-right:0;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" filled="f" stroked="f">
              <v:textbox inset="5mm,0,21mm,0">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240"/>
                    </w:tblGrid>
                    <w:tr w:rsidR="00BF576B" w14:paraId="775858A3" w14:textId="77777777" w:rsidTr="00692116">
                      <w:tc>
                        <w:tcPr>
                          <w:tcW w:w="2240" w:type="dxa"/>
                        </w:tcPr>
                        <w:p w14:paraId="73B230A3" w14:textId="77777777" w:rsidR="00595DA7" w:rsidRDefault="00000000" w:rsidP="00595DA7">
                          <w:pPr>
                            <w:pStyle w:val="Template-Address"/>
                          </w:pPr>
                          <w:sdt>
                            <w:sdtPr>
                              <w:alias w:val="CompanyName"/>
                              <w:tag w:val="{&quot;templafy&quot;:{&quot;id&quot;:&quot;359653b6-99c6-43b4-b381-03d427c58fcf&quot;}}"/>
                              <w:id w:val="422"/>
                            </w:sdtPr>
                            <w:sdtContent>
                              <w:r w:rsidR="000E1AF6">
                                <w:t>Ramboll</w:t>
                              </w:r>
                            </w:sdtContent>
                          </w:sdt>
                        </w:p>
                        <w:p w14:paraId="1600CB96" w14:textId="77777777" w:rsidR="00595DA7" w:rsidRDefault="00000000" w:rsidP="00595DA7">
                          <w:pPr>
                            <w:pStyle w:val="Template-Address"/>
                          </w:pPr>
                          <w:sdt>
                            <w:sdtPr>
                              <w:alias w:val="Address"/>
                              <w:tag w:val="{&quot;templafy&quot;:{&quot;id&quot;:&quot;b984e9db-ca2e-4bcf-94e4-0d1360ffc3af&quot;}}"/>
                              <w:id w:val="423"/>
                            </w:sdtPr>
                            <w:sdtContent>
                              <w:r w:rsidR="000E1AF6">
                                <w:t xml:space="preserve">Phoenicia Business Center </w:t>
                              </w:r>
                              <w:r w:rsidR="000E1AF6">
                                <w:br/>
                                <w:t xml:space="preserve">11A Turturelelor Street, 6th floor </w:t>
                              </w:r>
                              <w:r w:rsidR="000E1AF6">
                                <w:br/>
                                <w:t>Sector 3</w:t>
                              </w:r>
                              <w:r w:rsidR="000E1AF6">
                                <w:br/>
                                <w:t xml:space="preserve">Bucharest 030881 </w:t>
                              </w:r>
                              <w:r w:rsidR="000E1AF6">
                                <w:br/>
                                <w:t>Romania</w:t>
                              </w:r>
                            </w:sdtContent>
                          </w:sdt>
                        </w:p>
                        <w:p w14:paraId="378F0266" w14:textId="77777777" w:rsidR="00595DA7" w:rsidRDefault="00595DA7" w:rsidP="00595DA7">
                          <w:pPr>
                            <w:pStyle w:val="Template-Address"/>
                          </w:pPr>
                        </w:p>
                        <w:sdt>
                          <w:sdtPr>
                            <w:alias w:val="group"/>
                            <w:tag w:val="{&quot;templafy&quot;:{&quot;id&quot;:&quot;76b194fc-74ed-4c6a-b3ea-4c1593006ba2&quot;}}"/>
                            <w:id w:val="260876099"/>
                          </w:sdtPr>
                          <w:sdtContent>
                            <w:p w14:paraId="045BD2C8" w14:textId="77777777" w:rsidR="00595DA7" w:rsidRDefault="00000000" w:rsidP="00595DA7">
                              <w:pPr>
                                <w:pStyle w:val="Template-Address"/>
                              </w:pPr>
                              <w:sdt>
                                <w:sdtPr>
                                  <w:alias w:val="T"/>
                                  <w:tag w:val="{&quot;templafy&quot;:{&quot;id&quot;:&quot;a9a1a136-8bd4-41f5-b884-59dcd4f1d902&quot;}}"/>
                                  <w:id w:val="424"/>
                                </w:sdtPr>
                                <w:sdtContent>
                                  <w:r w:rsidR="000E1AF6">
                                    <w:t>T</w:t>
                                  </w:r>
                                </w:sdtContent>
                              </w:sdt>
                              <w:r w:rsidR="00595DA7">
                                <w:t xml:space="preserve"> </w:t>
                              </w:r>
                              <w:sdt>
                                <w:sdtPr>
                                  <w:alias w:val="Phone"/>
                                  <w:tag w:val="{&quot;templafy&quot;:{&quot;id&quot;:&quot;28df7fb4-c441-4028-9d04-57e164327b8c&quot;}}"/>
                                  <w:id w:val="426"/>
                                </w:sdtPr>
                                <w:sdtContent>
                                  <w:r w:rsidR="000E1AF6">
                                    <w:t>+4021 314 83 14</w:t>
                                  </w:r>
                                </w:sdtContent>
                              </w:sdt>
                            </w:p>
                          </w:sdtContent>
                        </w:sdt>
                        <w:sdt>
                          <w:sdtPr>
                            <w:alias w:val="group"/>
                            <w:tag w:val="{&quot;templafy&quot;:{&quot;id&quot;:&quot;d156f57c-83fa-48d3-94b3-10f8e16fdb63&quot;}}"/>
                            <w:id w:val="-281813541"/>
                          </w:sdtPr>
                          <w:sdtContent>
                            <w:p w14:paraId="51B20052" w14:textId="77777777" w:rsidR="00595DA7" w:rsidRDefault="00000000" w:rsidP="00595DA7">
                              <w:pPr>
                                <w:pStyle w:val="Template-Address"/>
                              </w:pPr>
                              <w:sdt>
                                <w:sdtPr>
                                  <w:alias w:val="F"/>
                                  <w:tag w:val="{&quot;templafy&quot;:{&quot;id&quot;:&quot;3f4d556d-0edf-4097-9e56-139128cafa4c&quot;}}"/>
                                  <w:id w:val="427"/>
                                </w:sdtPr>
                                <w:sdtContent>
                                  <w:r w:rsidR="000E1AF6">
                                    <w:t>F</w:t>
                                  </w:r>
                                </w:sdtContent>
                              </w:sdt>
                              <w:r w:rsidR="00595DA7">
                                <w:t xml:space="preserve"> </w:t>
                              </w:r>
                              <w:sdt>
                                <w:sdtPr>
                                  <w:alias w:val="Fax"/>
                                  <w:tag w:val="{&quot;templafy&quot;:{&quot;id&quot;:&quot;819dda30-824d-4478-9813-c7e5dd136c6e&quot;}}"/>
                                  <w:id w:val="429"/>
                                </w:sdtPr>
                                <w:sdtContent>
                                  <w:r w:rsidR="000E1AF6">
                                    <w:t>+40 213 14 31 75</w:t>
                                  </w:r>
                                </w:sdtContent>
                              </w:sdt>
                            </w:p>
                          </w:sdtContent>
                        </w:sdt>
                        <w:sdt>
                          <w:sdtPr>
                            <w:alias w:val="Web"/>
                            <w:tag w:val="{&quot;templafy&quot;:{&quot;id&quot;:&quot;357fec7f-b9a5-44cb-93cf-130f87f40fd5&quot;}}"/>
                            <w:id w:val="430"/>
                          </w:sdtPr>
                          <w:sdtContent>
                            <w:p w14:paraId="34C33670" w14:textId="77777777" w:rsidR="007824E2" w:rsidRDefault="000E1AF6">
                              <w:pPr>
                                <w:pStyle w:val="Template-Address"/>
                              </w:pPr>
                              <w:r>
                                <w:t>https://ramboll.com</w:t>
                              </w:r>
                            </w:p>
                          </w:sdtContent>
                        </w:sdt>
                        <w:p w14:paraId="2D8235D8" w14:textId="77777777" w:rsidR="00BF576B" w:rsidRDefault="00BF576B">
                          <w:pPr>
                            <w:pStyle w:val="Template-Address"/>
                          </w:pPr>
                        </w:p>
                      </w:tc>
                    </w:tr>
                  </w:tbl>
                  <w:p w14:paraId="18DFC6BA" w14:textId="77777777" w:rsidR="00BF576B" w:rsidRDefault="00BF576B" w:rsidP="009623F8">
                    <w:pPr>
                      <w:pStyle w:val="Template-Address"/>
                    </w:pPr>
                  </w:p>
                </w:txbxContent>
              </v:textbox>
              <w10:wrap type="square" anchorx="margin" anchory="page"/>
            </v:shape>
          </w:pict>
        </mc:Fallback>
      </mc:AlternateContent>
    </w:r>
    <w:bookmarkStart w:id="6" w:name="_Hlk491951559"/>
    <w:bookmarkStart w:id="7" w:name="_Hlk491951558"/>
    <w:bookmarkStart w:id="8" w:name="_Hlk491951557"/>
    <w:bookmarkEnd w:id="6"/>
    <w:bookmarkEnd w:id="7"/>
    <w:bookmarkEnd w:id="8"/>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F27CF3" w14:textId="4BBB3564" w:rsidR="00AB6588" w:rsidRPr="008E3157" w:rsidRDefault="00AB6588" w:rsidP="00AB6588">
    <w:pPr>
      <w:pStyle w:val="Header"/>
      <w:ind w:firstLine="993"/>
      <w:rPr>
        <w:b/>
        <w:bCs/>
        <w:sz w:val="12"/>
        <w:szCs w:val="12"/>
        <w:lang w:val="bg-BG"/>
      </w:rPr>
    </w:pPr>
    <w:r w:rsidRPr="008E3157">
      <w:rPr>
        <w:b/>
        <w:bCs/>
        <w:noProof/>
        <w:sz w:val="12"/>
        <w:szCs w:val="12"/>
        <w:lang w:val="bg-BG"/>
      </w:rPr>
      <w:drawing>
        <wp:anchor distT="0" distB="0" distL="114300" distR="114300" simplePos="0" relativeHeight="251658255" behindDoc="0" locked="0" layoutInCell="1" allowOverlap="1" wp14:anchorId="0B3E4BC5" wp14:editId="6FED72F2">
          <wp:simplePos x="0" y="0"/>
          <wp:positionH relativeFrom="margin">
            <wp:align>left</wp:align>
          </wp:positionH>
          <wp:positionV relativeFrom="paragraph">
            <wp:posOffset>-46753</wp:posOffset>
          </wp:positionV>
          <wp:extent cx="653143" cy="178364"/>
          <wp:effectExtent l="0" t="0" r="0" b="0"/>
          <wp:wrapNone/>
          <wp:docPr id="814525645" name="Picture 814525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3143" cy="178364"/>
                  </a:xfrm>
                  <a:prstGeom prst="rect">
                    <a:avLst/>
                  </a:prstGeom>
                  <a:noFill/>
                </pic:spPr>
              </pic:pic>
            </a:graphicData>
          </a:graphic>
          <wp14:sizeRelH relativeFrom="margin">
            <wp14:pctWidth>0</wp14:pctWidth>
          </wp14:sizeRelH>
          <wp14:sizeRelV relativeFrom="margin">
            <wp14:pctHeight>0</wp14:pctHeight>
          </wp14:sizeRelV>
        </wp:anchor>
      </w:drawing>
    </w:r>
    <w:r w:rsidRPr="008E3157">
      <w:rPr>
        <w:b/>
        <w:bCs/>
        <w:sz w:val="12"/>
        <w:szCs w:val="12"/>
        <w:lang w:val="bg-BG"/>
      </w:rPr>
      <w:t xml:space="preserve"> </w:t>
    </w:r>
    <w:r w:rsidR="008E3157" w:rsidRPr="008E3157">
      <w:rPr>
        <w:b/>
        <w:bCs/>
        <w:sz w:val="12"/>
        <w:szCs w:val="12"/>
        <w:lang w:val="bg-BG"/>
      </w:rPr>
      <w:t>Доклад на околната среда</w:t>
    </w:r>
  </w:p>
  <w:p w14:paraId="28B03718" w14:textId="12039FAB" w:rsidR="00AB6588" w:rsidRPr="008E3157" w:rsidRDefault="00000000" w:rsidP="00AB6588">
    <w:pPr>
      <w:pStyle w:val="Header"/>
      <w:rPr>
        <w:sz w:val="12"/>
        <w:szCs w:val="12"/>
        <w:lang w:val="bg-BG"/>
      </w:rPr>
    </w:pPr>
    <w:sdt>
      <w:sdtPr>
        <w:rPr>
          <w:sz w:val="12"/>
          <w:szCs w:val="12"/>
          <w:lang w:val="bg-BG"/>
        </w:rPr>
        <w:alias w:val="Category"/>
        <w:id w:val="-417631455"/>
        <w:placeholder>
          <w:docPart w:val="7B2CD79682D845C39B5943E987EEBED6"/>
        </w:placeholder>
        <w:dataBinding w:prefixMappings="xmlns:ns0='http://purl.org/dc/elements/1.1/' xmlns:ns1='http://schemas.openxmlformats.org/package/2006/metadata/core-properties' " w:xpath="/ns1:coreProperties[1]/ns1:category[1]" w:storeItemID="{6C3C8BC8-F283-45AE-878A-BAB7291924A1}"/>
        <w:text/>
      </w:sdtPr>
      <w:sdtContent>
        <w:r w:rsidR="00674851" w:rsidRPr="008E3157">
          <w:rPr>
            <w:sz w:val="12"/>
            <w:szCs w:val="12"/>
            <w:lang w:val="bg-BG"/>
          </w:rPr>
          <w:t>Парк за вятърна енергия 48 (46) Вятърни електроцентрали прибл. 316.8МВт (303.6МВт), Трансформаторни станции, Електрически мрежи, изграждане и модернизация на комуникационни и достъпни пътища</w:t>
        </w:r>
      </w:sdtContent>
    </w:sdt>
  </w:p>
  <w:p w14:paraId="0F4D310C" w14:textId="3BF1E456" w:rsidR="00BF576B" w:rsidRPr="008E3157" w:rsidRDefault="00AD2539" w:rsidP="00C86772">
    <w:pPr>
      <w:pStyle w:val="Header"/>
      <w:ind w:left="1304" w:firstLine="1304"/>
      <w:jc w:val="right"/>
      <w:rPr>
        <w:i/>
        <w:iCs/>
        <w:sz w:val="16"/>
        <w:szCs w:val="16"/>
        <w:lang w:val="bg-BG"/>
      </w:rPr>
    </w:pPr>
    <w:r w:rsidRPr="008E3157">
      <w:rPr>
        <w:lang w:val="bg-BG"/>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1B0DD5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03A92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6EC75C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C08CF4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D60DF8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48C6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D293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3148490"/>
    <w:lvl w:ilvl="0">
      <w:start w:val="1"/>
      <w:numFmt w:val="bullet"/>
      <w:pStyle w:val="StyleHeading3JustifiedBefore12ptLinespacingsingle"/>
      <w:lvlText w:val=""/>
      <w:lvlJc w:val="left"/>
      <w:pPr>
        <w:tabs>
          <w:tab w:val="num" w:pos="643"/>
        </w:tabs>
        <w:ind w:left="643" w:hanging="360"/>
      </w:pPr>
      <w:rPr>
        <w:rFonts w:ascii="Symbol" w:hAnsi="Symbol" w:hint="default"/>
      </w:rPr>
    </w:lvl>
  </w:abstractNum>
  <w:abstractNum w:abstractNumId="8" w15:restartNumberingAfterBreak="0">
    <w:nsid w:val="FFFFFFFB"/>
    <w:multiLevelType w:val="hybridMultilevel"/>
    <w:tmpl w:val="8ABA63BA"/>
    <w:styleLink w:val="TabelBumbi1"/>
    <w:lvl w:ilvl="0" w:tplc="644C5190">
      <w:start w:val="1"/>
      <w:numFmt w:val="lowerLetter"/>
      <w:lvlText w:val="%1)"/>
      <w:lvlJc w:val="left"/>
      <w:pPr>
        <w:ind w:left="720" w:hanging="360"/>
      </w:pPr>
      <w:rPr>
        <w:rFonts w:hint="default"/>
        <w:i w:val="0"/>
        <w:iCs/>
        <w:color w:val="auto"/>
      </w:rPr>
    </w:lvl>
    <w:lvl w:ilvl="1" w:tplc="04180001">
      <w:start w:val="1"/>
      <w:numFmt w:val="bullet"/>
      <w:lvlText w:val=""/>
      <w:lvlJc w:val="left"/>
      <w:pPr>
        <w:ind w:left="1440" w:hanging="360"/>
      </w:pPr>
      <w:rPr>
        <w:rFonts w:ascii="Symbol" w:hAnsi="Symbol" w:hint="default"/>
      </w:r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 w15:restartNumberingAfterBreak="0">
    <w:nsid w:val="00000002"/>
    <w:multiLevelType w:val="multilevel"/>
    <w:tmpl w:val="00000002"/>
    <w:name w:val="WW8Num2"/>
    <w:lvl w:ilvl="0">
      <w:start w:val="1"/>
      <w:numFmt w:val="bullet"/>
      <w:lvlText w:val="-"/>
      <w:lvlJc w:val="left"/>
      <w:pPr>
        <w:tabs>
          <w:tab w:val="num" w:pos="0"/>
        </w:tabs>
        <w:ind w:left="1069" w:hanging="360"/>
      </w:pPr>
      <w:rPr>
        <w:rFonts w:ascii="Arial" w:hAnsi="Arial" w:cs="Symbol"/>
      </w:rPr>
    </w:lvl>
    <w:lvl w:ilvl="1">
      <w:start w:val="1"/>
      <w:numFmt w:val="bullet"/>
      <w:lvlText w:val="o"/>
      <w:lvlJc w:val="left"/>
      <w:pPr>
        <w:tabs>
          <w:tab w:val="num" w:pos="0"/>
        </w:tabs>
        <w:ind w:left="1789" w:hanging="360"/>
      </w:pPr>
      <w:rPr>
        <w:rFonts w:ascii="Courier New" w:hAnsi="Courier New" w:cs="Courier New"/>
      </w:rPr>
    </w:lvl>
    <w:lvl w:ilvl="2">
      <w:start w:val="1"/>
      <w:numFmt w:val="bullet"/>
      <w:lvlText w:val=""/>
      <w:lvlJc w:val="left"/>
      <w:pPr>
        <w:tabs>
          <w:tab w:val="num" w:pos="0"/>
        </w:tabs>
        <w:ind w:left="2509" w:hanging="360"/>
      </w:pPr>
      <w:rPr>
        <w:rFonts w:ascii="Wingdings" w:hAnsi="Wingdings" w:cs="Wingdings"/>
      </w:rPr>
    </w:lvl>
    <w:lvl w:ilvl="3">
      <w:start w:val="1"/>
      <w:numFmt w:val="bullet"/>
      <w:lvlText w:val=""/>
      <w:lvlJc w:val="left"/>
      <w:pPr>
        <w:tabs>
          <w:tab w:val="num" w:pos="0"/>
        </w:tabs>
        <w:ind w:left="3229" w:hanging="360"/>
      </w:pPr>
      <w:rPr>
        <w:rFonts w:ascii="Symbol" w:hAnsi="Symbol" w:cs="Symbol"/>
      </w:rPr>
    </w:lvl>
    <w:lvl w:ilvl="4">
      <w:start w:val="1"/>
      <w:numFmt w:val="bullet"/>
      <w:lvlText w:val="o"/>
      <w:lvlJc w:val="left"/>
      <w:pPr>
        <w:tabs>
          <w:tab w:val="num" w:pos="0"/>
        </w:tabs>
        <w:ind w:left="3949" w:hanging="360"/>
      </w:pPr>
      <w:rPr>
        <w:rFonts w:ascii="Courier New" w:hAnsi="Courier New" w:cs="Courier New"/>
      </w:rPr>
    </w:lvl>
    <w:lvl w:ilvl="5">
      <w:start w:val="1"/>
      <w:numFmt w:val="bullet"/>
      <w:lvlText w:val=""/>
      <w:lvlJc w:val="left"/>
      <w:pPr>
        <w:tabs>
          <w:tab w:val="num" w:pos="0"/>
        </w:tabs>
        <w:ind w:left="4669" w:hanging="360"/>
      </w:pPr>
      <w:rPr>
        <w:rFonts w:ascii="Wingdings" w:hAnsi="Wingdings" w:cs="Wingdings"/>
      </w:rPr>
    </w:lvl>
    <w:lvl w:ilvl="6">
      <w:start w:val="1"/>
      <w:numFmt w:val="bullet"/>
      <w:lvlText w:val=""/>
      <w:lvlJc w:val="left"/>
      <w:pPr>
        <w:tabs>
          <w:tab w:val="num" w:pos="0"/>
        </w:tabs>
        <w:ind w:left="5389" w:hanging="360"/>
      </w:pPr>
      <w:rPr>
        <w:rFonts w:ascii="Symbol" w:hAnsi="Symbol" w:cs="Symbol"/>
      </w:rPr>
    </w:lvl>
    <w:lvl w:ilvl="7">
      <w:start w:val="1"/>
      <w:numFmt w:val="bullet"/>
      <w:lvlText w:val="o"/>
      <w:lvlJc w:val="left"/>
      <w:pPr>
        <w:tabs>
          <w:tab w:val="num" w:pos="0"/>
        </w:tabs>
        <w:ind w:left="6109" w:hanging="360"/>
      </w:pPr>
      <w:rPr>
        <w:rFonts w:ascii="Courier New" w:hAnsi="Courier New" w:cs="Courier New"/>
      </w:rPr>
    </w:lvl>
    <w:lvl w:ilvl="8">
      <w:start w:val="1"/>
      <w:numFmt w:val="bullet"/>
      <w:lvlText w:val=""/>
      <w:lvlJc w:val="left"/>
      <w:pPr>
        <w:tabs>
          <w:tab w:val="num" w:pos="0"/>
        </w:tabs>
        <w:ind w:left="6829" w:hanging="360"/>
      </w:pPr>
      <w:rPr>
        <w:rFonts w:ascii="Wingdings" w:hAnsi="Wingdings" w:cs="Wingdings"/>
      </w:rPr>
    </w:lvl>
  </w:abstractNum>
  <w:abstractNum w:abstractNumId="10" w15:restartNumberingAfterBreak="0">
    <w:nsid w:val="004200EB"/>
    <w:multiLevelType w:val="hybridMultilevel"/>
    <w:tmpl w:val="B7581F96"/>
    <w:lvl w:ilvl="0" w:tplc="A17CBBC2">
      <w:start w:val="1"/>
      <w:numFmt w:val="decimal"/>
      <w:pStyle w:val="StyleHeading1ComicSansMS11ptBlueAllcapsLeft0"/>
      <w:lvlText w:val="%1."/>
      <w:lvlJc w:val="left"/>
      <w:pPr>
        <w:tabs>
          <w:tab w:val="num" w:pos="720"/>
        </w:tabs>
        <w:ind w:left="720" w:hanging="360"/>
      </w:pPr>
    </w:lvl>
    <w:lvl w:ilvl="1" w:tplc="82AEEE4C">
      <w:start w:val="1"/>
      <w:numFmt w:val="lowerLetter"/>
      <w:lvlText w:val="%2."/>
      <w:lvlJc w:val="left"/>
      <w:pPr>
        <w:tabs>
          <w:tab w:val="num" w:pos="1440"/>
        </w:tabs>
        <w:ind w:left="1440" w:hanging="360"/>
      </w:pPr>
    </w:lvl>
    <w:lvl w:ilvl="2" w:tplc="898C2364">
      <w:start w:val="1"/>
      <w:numFmt w:val="lowerRoman"/>
      <w:lvlText w:val="%3."/>
      <w:lvlJc w:val="right"/>
      <w:pPr>
        <w:tabs>
          <w:tab w:val="num" w:pos="2160"/>
        </w:tabs>
        <w:ind w:left="2160" w:hanging="180"/>
      </w:pPr>
    </w:lvl>
    <w:lvl w:ilvl="3" w:tplc="284C4AD0">
      <w:start w:val="1"/>
      <w:numFmt w:val="decimal"/>
      <w:lvlText w:val="%4."/>
      <w:lvlJc w:val="left"/>
      <w:pPr>
        <w:tabs>
          <w:tab w:val="num" w:pos="2880"/>
        </w:tabs>
        <w:ind w:left="2880" w:hanging="360"/>
      </w:pPr>
    </w:lvl>
    <w:lvl w:ilvl="4" w:tplc="A1F0E62E">
      <w:start w:val="1"/>
      <w:numFmt w:val="lowerLetter"/>
      <w:lvlText w:val="%5."/>
      <w:lvlJc w:val="left"/>
      <w:pPr>
        <w:tabs>
          <w:tab w:val="num" w:pos="3600"/>
        </w:tabs>
        <w:ind w:left="3600" w:hanging="360"/>
      </w:pPr>
    </w:lvl>
    <w:lvl w:ilvl="5" w:tplc="F9BEAF24">
      <w:start w:val="1"/>
      <w:numFmt w:val="lowerRoman"/>
      <w:lvlText w:val="%6."/>
      <w:lvlJc w:val="right"/>
      <w:pPr>
        <w:tabs>
          <w:tab w:val="num" w:pos="4320"/>
        </w:tabs>
        <w:ind w:left="4320" w:hanging="180"/>
      </w:pPr>
    </w:lvl>
    <w:lvl w:ilvl="6" w:tplc="7CDCABC0">
      <w:start w:val="1"/>
      <w:numFmt w:val="decimal"/>
      <w:lvlText w:val="%7."/>
      <w:lvlJc w:val="left"/>
      <w:pPr>
        <w:tabs>
          <w:tab w:val="num" w:pos="5040"/>
        </w:tabs>
        <w:ind w:left="5040" w:hanging="360"/>
      </w:pPr>
    </w:lvl>
    <w:lvl w:ilvl="7" w:tplc="6BD6550A">
      <w:start w:val="1"/>
      <w:numFmt w:val="lowerLetter"/>
      <w:lvlText w:val="%8."/>
      <w:lvlJc w:val="left"/>
      <w:pPr>
        <w:tabs>
          <w:tab w:val="num" w:pos="5760"/>
        </w:tabs>
        <w:ind w:left="5760" w:hanging="360"/>
      </w:pPr>
    </w:lvl>
    <w:lvl w:ilvl="8" w:tplc="EF6CB966">
      <w:start w:val="1"/>
      <w:numFmt w:val="lowerRoman"/>
      <w:lvlText w:val="%9."/>
      <w:lvlJc w:val="right"/>
      <w:pPr>
        <w:tabs>
          <w:tab w:val="num" w:pos="6480"/>
        </w:tabs>
        <w:ind w:left="6480" w:hanging="180"/>
      </w:pPr>
    </w:lvl>
  </w:abstractNum>
  <w:abstractNum w:abstractNumId="11" w15:restartNumberingAfterBreak="0">
    <w:nsid w:val="01541C66"/>
    <w:multiLevelType w:val="multilevel"/>
    <w:tmpl w:val="54E8B3F8"/>
    <w:lvl w:ilvl="0">
      <w:start w:val="1"/>
      <w:numFmt w:val="decimal"/>
      <w:pStyle w:val="Normal-Numbering"/>
      <w:lvlText w:val="%1."/>
      <w:lvlJc w:val="left"/>
      <w:pPr>
        <w:tabs>
          <w:tab w:val="num" w:pos="567"/>
        </w:tabs>
        <w:ind w:left="567" w:hanging="567"/>
      </w:pPr>
      <w:rPr>
        <w:rFonts w:ascii="Verdana" w:hAnsi="Verdana" w:hint="default"/>
        <w:b w:val="0"/>
        <w:i w:val="0"/>
        <w:sz w:val="18"/>
      </w:rPr>
    </w:lvl>
    <w:lvl w:ilvl="1">
      <w:start w:val="1"/>
      <w:numFmt w:val="decimal"/>
      <w:lvlText w:val="%1.%2."/>
      <w:lvlJc w:val="left"/>
      <w:pPr>
        <w:tabs>
          <w:tab w:val="num" w:pos="567"/>
        </w:tabs>
        <w:ind w:left="567" w:hanging="567"/>
      </w:pPr>
      <w:rPr>
        <w:rFonts w:ascii="Verdana" w:hAnsi="Verdana" w:hint="default"/>
        <w:b w:val="0"/>
        <w:i w:val="0"/>
        <w:sz w:val="18"/>
      </w:rPr>
    </w:lvl>
    <w:lvl w:ilvl="2">
      <w:start w:val="1"/>
      <w:numFmt w:val="decimal"/>
      <w:lvlText w:val="%1.%2.%3."/>
      <w:lvlJc w:val="left"/>
      <w:pPr>
        <w:tabs>
          <w:tab w:val="num" w:pos="567"/>
        </w:tabs>
        <w:ind w:left="567" w:hanging="567"/>
      </w:pPr>
      <w:rPr>
        <w:rFonts w:ascii="Verdana" w:hAnsi="Verdana" w:hint="default"/>
        <w:b w:val="0"/>
        <w:i w:val="0"/>
        <w:sz w:val="18"/>
      </w:rPr>
    </w:lvl>
    <w:lvl w:ilvl="3">
      <w:start w:val="1"/>
      <w:numFmt w:val="decimal"/>
      <w:lvlText w:val="%1.%2.%3.%4."/>
      <w:lvlJc w:val="left"/>
      <w:pPr>
        <w:tabs>
          <w:tab w:val="num" w:pos="567"/>
        </w:tabs>
        <w:ind w:left="567" w:hanging="567"/>
      </w:pPr>
      <w:rPr>
        <w:rFonts w:ascii="Verdana" w:hAnsi="Verdana" w:hint="default"/>
        <w:b w:val="0"/>
        <w:i w:val="0"/>
        <w:sz w:val="18"/>
      </w:rPr>
    </w:lvl>
    <w:lvl w:ilvl="4">
      <w:start w:val="1"/>
      <w:numFmt w:val="decimal"/>
      <w:lvlText w:val="%1.%2.%3.%4.%5."/>
      <w:lvlJc w:val="left"/>
      <w:pPr>
        <w:tabs>
          <w:tab w:val="num" w:pos="851"/>
        </w:tabs>
        <w:ind w:left="851" w:hanging="851"/>
      </w:pPr>
      <w:rPr>
        <w:rFonts w:ascii="Verdana" w:hAnsi="Verdana" w:hint="default"/>
        <w:b w:val="0"/>
        <w:i w:val="0"/>
        <w:sz w:val="18"/>
      </w:rPr>
    </w:lvl>
    <w:lvl w:ilvl="5">
      <w:start w:val="1"/>
      <w:numFmt w:val="decimal"/>
      <w:lvlText w:val="%1.%2.%3.%4.%5.%6."/>
      <w:lvlJc w:val="left"/>
      <w:pPr>
        <w:tabs>
          <w:tab w:val="num" w:pos="851"/>
        </w:tabs>
        <w:ind w:left="851" w:hanging="851"/>
      </w:pPr>
      <w:rPr>
        <w:rFonts w:ascii="Verdana" w:hAnsi="Verdana" w:hint="default"/>
        <w:b w:val="0"/>
        <w:i w:val="0"/>
        <w:sz w:val="18"/>
      </w:rPr>
    </w:lvl>
    <w:lvl w:ilvl="6">
      <w:start w:val="1"/>
      <w:numFmt w:val="decimal"/>
      <w:lvlText w:val="%1.%2.%3.%4.%5.%6.%7."/>
      <w:lvlJc w:val="left"/>
      <w:pPr>
        <w:tabs>
          <w:tab w:val="num" w:pos="1134"/>
        </w:tabs>
        <w:ind w:left="1134" w:hanging="1134"/>
      </w:pPr>
      <w:rPr>
        <w:rFonts w:ascii="Verdana" w:hAnsi="Verdana" w:hint="default"/>
        <w:b w:val="0"/>
        <w:i w:val="0"/>
        <w:sz w:val="18"/>
      </w:rPr>
    </w:lvl>
    <w:lvl w:ilvl="7">
      <w:start w:val="1"/>
      <w:numFmt w:val="decimal"/>
      <w:lvlText w:val="%1.%2.%3.%4.%5.%6.%7.%8."/>
      <w:lvlJc w:val="left"/>
      <w:pPr>
        <w:tabs>
          <w:tab w:val="num" w:pos="1134"/>
        </w:tabs>
        <w:ind w:left="1134" w:hanging="1134"/>
      </w:pPr>
      <w:rPr>
        <w:rFonts w:ascii="Verdana" w:hAnsi="Verdana" w:hint="default"/>
        <w:b w:val="0"/>
        <w:i w:val="0"/>
        <w:sz w:val="18"/>
      </w:rPr>
    </w:lvl>
    <w:lvl w:ilvl="8">
      <w:start w:val="1"/>
      <w:numFmt w:val="decimal"/>
      <w:lvlText w:val="%1.%2.%3.%4.%5.%6.%7.%8.%9."/>
      <w:lvlJc w:val="left"/>
      <w:pPr>
        <w:tabs>
          <w:tab w:val="num" w:pos="1134"/>
        </w:tabs>
        <w:ind w:left="1134" w:hanging="1134"/>
      </w:pPr>
      <w:rPr>
        <w:rFonts w:ascii="Verdana" w:hAnsi="Verdana" w:hint="default"/>
        <w:b w:val="0"/>
        <w:i w:val="0"/>
        <w:sz w:val="18"/>
      </w:rPr>
    </w:lvl>
  </w:abstractNum>
  <w:abstractNum w:abstractNumId="12" w15:restartNumberingAfterBreak="0">
    <w:nsid w:val="02E9516B"/>
    <w:multiLevelType w:val="singleLevel"/>
    <w:tmpl w:val="A9E0924A"/>
    <w:lvl w:ilvl="0">
      <w:start w:val="1"/>
      <w:numFmt w:val="bullet"/>
      <w:pStyle w:val="opsomming1"/>
      <w:lvlText w:val="-"/>
      <w:lvlJc w:val="left"/>
      <w:pPr>
        <w:tabs>
          <w:tab w:val="num" w:pos="360"/>
        </w:tabs>
        <w:ind w:left="340" w:hanging="340"/>
      </w:pPr>
      <w:rPr>
        <w:rFonts w:ascii="Times New Roman" w:hAnsi="Times New Roman" w:cs="Times New Roman" w:hint="default"/>
        <w:lang w:val="en-GB"/>
      </w:rPr>
    </w:lvl>
  </w:abstractNum>
  <w:abstractNum w:abstractNumId="13" w15:restartNumberingAfterBreak="0">
    <w:nsid w:val="02F060F4"/>
    <w:multiLevelType w:val="hybridMultilevel"/>
    <w:tmpl w:val="7C728C46"/>
    <w:lvl w:ilvl="0" w:tplc="0418000B">
      <w:start w:val="1"/>
      <w:numFmt w:val="decimal"/>
      <w:pStyle w:val="Head1"/>
      <w:lvlText w:val="%1."/>
      <w:lvlJc w:val="left"/>
      <w:pPr>
        <w:ind w:left="720" w:hanging="360"/>
      </w:pPr>
      <w:rPr>
        <w:rFonts w:hint="default"/>
      </w:rPr>
    </w:lvl>
    <w:lvl w:ilvl="1" w:tplc="FFFFFFFF">
      <w:start w:val="1"/>
      <w:numFmt w:val="decimal"/>
      <w:lvlText w:val="%2.1"/>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03660DEA"/>
    <w:multiLevelType w:val="hybridMultilevel"/>
    <w:tmpl w:val="ED30FDB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03841E26"/>
    <w:multiLevelType w:val="singleLevel"/>
    <w:tmpl w:val="D2D6D674"/>
    <w:lvl w:ilvl="0">
      <w:start w:val="1"/>
      <w:numFmt w:val="decimal"/>
      <w:pStyle w:val="nummering2"/>
      <w:lvlText w:val="%1."/>
      <w:lvlJc w:val="left"/>
      <w:pPr>
        <w:tabs>
          <w:tab w:val="num" w:pos="717"/>
        </w:tabs>
        <w:ind w:left="714" w:hanging="357"/>
      </w:pPr>
      <w:rPr>
        <w:rFonts w:ascii="Arial" w:hAnsi="Arial" w:cs="Times New Roman" w:hint="default"/>
        <w:b w:val="0"/>
        <w:i w:val="0"/>
        <w:caps w:val="0"/>
        <w:strike w:val="0"/>
        <w:dstrike w:val="0"/>
        <w:vanish w:val="0"/>
        <w:webHidden w:val="0"/>
        <w:color w:val="000000"/>
        <w:sz w:val="21"/>
        <w:u w:val="none"/>
        <w:effect w:val="none"/>
        <w:vertAlign w:val="baseline"/>
        <w:specVanish w:val="0"/>
      </w:rPr>
    </w:lvl>
  </w:abstractNum>
  <w:abstractNum w:abstractNumId="16" w15:restartNumberingAfterBreak="0">
    <w:nsid w:val="04060BEC"/>
    <w:multiLevelType w:val="hybridMultilevel"/>
    <w:tmpl w:val="AE7A1466"/>
    <w:lvl w:ilvl="0" w:tplc="FDD68C28">
      <w:start w:val="1"/>
      <w:numFmt w:val="bullet"/>
      <w:lvlText w:val=""/>
      <w:lvlJc w:val="left"/>
      <w:pPr>
        <w:ind w:left="720" w:hanging="360"/>
      </w:pPr>
      <w:rPr>
        <w:rFonts w:ascii="Symbol" w:hAnsi="Symbol" w:hint="default"/>
        <w:b w:val="0"/>
        <w:i w:val="0"/>
        <w:strike w:val="0"/>
        <w:dstrike w:val="0"/>
        <w:color w:val="252525"/>
        <w:sz w:val="18"/>
        <w:szCs w:val="18"/>
        <w:u w:val="none" w:color="000000"/>
        <w:bdr w:val="none" w:sz="0" w:space="0" w:color="auto"/>
        <w:shd w:val="clear" w:color="auto" w:fill="auto"/>
        <w:vertAlign w:val="baseline"/>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063A0158"/>
    <w:multiLevelType w:val="multilevel"/>
    <w:tmpl w:val="613E0456"/>
    <w:lvl w:ilvl="0">
      <w:start w:val="5"/>
      <w:numFmt w:val="none"/>
      <w:pStyle w:val="111"/>
      <w:lvlText w:val="3."/>
      <w:lvlJc w:val="left"/>
      <w:pPr>
        <w:tabs>
          <w:tab w:val="num" w:pos="480"/>
        </w:tabs>
        <w:ind w:left="480" w:hanging="480"/>
      </w:pPr>
      <w:rPr>
        <w:rFonts w:hint="default"/>
      </w:rPr>
    </w:lvl>
    <w:lvl w:ilvl="1">
      <w:start w:val="10"/>
      <w:numFmt w:val="decimal"/>
      <w:lvlText w:val="2.%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3.3.5.%4."/>
      <w:lvlJc w:val="left"/>
      <w:pPr>
        <w:tabs>
          <w:tab w:val="num" w:pos="720"/>
        </w:tabs>
        <w:ind w:left="720" w:hanging="720"/>
      </w:pPr>
      <w:rPr>
        <w:rFonts w:ascii="Times New Roman" w:hAnsi="Times New Roman" w:cs="Times New Roman" w:hint="default"/>
        <w:b w:val="0"/>
        <w:bCs w:val="0"/>
        <w:i w:val="0"/>
        <w:iCs w:val="0"/>
        <w:sz w:val="22"/>
        <w:szCs w:val="22"/>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071569B6"/>
    <w:multiLevelType w:val="hybridMultilevel"/>
    <w:tmpl w:val="0DB09740"/>
    <w:lvl w:ilvl="0" w:tplc="08920E62">
      <w:start w:val="1"/>
      <w:numFmt w:val="bullet"/>
      <w:pStyle w:val="5C-Bullet"/>
      <w:lvlText w:val="ü"/>
      <w:lvlJc w:val="left"/>
      <w:pPr>
        <w:ind w:left="720" w:hanging="360"/>
      </w:pPr>
      <w:rPr>
        <w:rFonts w:ascii="&quot;Segoe UI&quot;, sans-serif" w:hAnsi="&quot;Segoe UI&quot;, sans-serif" w:hint="default"/>
      </w:rPr>
    </w:lvl>
    <w:lvl w:ilvl="1" w:tplc="081A404E">
      <w:start w:val="1"/>
      <w:numFmt w:val="bullet"/>
      <w:lvlText w:val="o"/>
      <w:lvlJc w:val="left"/>
      <w:pPr>
        <w:ind w:left="1440" w:hanging="360"/>
      </w:pPr>
      <w:rPr>
        <w:rFonts w:ascii="Courier New" w:hAnsi="Courier New" w:hint="default"/>
      </w:rPr>
    </w:lvl>
    <w:lvl w:ilvl="2" w:tplc="7A2A363A">
      <w:start w:val="1"/>
      <w:numFmt w:val="bullet"/>
      <w:lvlText w:val=""/>
      <w:lvlJc w:val="left"/>
      <w:pPr>
        <w:ind w:left="2160" w:hanging="360"/>
      </w:pPr>
      <w:rPr>
        <w:rFonts w:ascii="Wingdings" w:hAnsi="Wingdings" w:hint="default"/>
      </w:rPr>
    </w:lvl>
    <w:lvl w:ilvl="3" w:tplc="B6CC51AA">
      <w:start w:val="1"/>
      <w:numFmt w:val="bullet"/>
      <w:lvlText w:val=""/>
      <w:lvlJc w:val="left"/>
      <w:pPr>
        <w:ind w:left="2880" w:hanging="360"/>
      </w:pPr>
      <w:rPr>
        <w:rFonts w:ascii="Symbol" w:hAnsi="Symbol" w:hint="default"/>
      </w:rPr>
    </w:lvl>
    <w:lvl w:ilvl="4" w:tplc="76DEC21C">
      <w:start w:val="1"/>
      <w:numFmt w:val="bullet"/>
      <w:lvlText w:val="o"/>
      <w:lvlJc w:val="left"/>
      <w:pPr>
        <w:ind w:left="3600" w:hanging="360"/>
      </w:pPr>
      <w:rPr>
        <w:rFonts w:ascii="Courier New" w:hAnsi="Courier New" w:hint="default"/>
      </w:rPr>
    </w:lvl>
    <w:lvl w:ilvl="5" w:tplc="460EE144">
      <w:start w:val="1"/>
      <w:numFmt w:val="bullet"/>
      <w:lvlText w:val=""/>
      <w:lvlJc w:val="left"/>
      <w:pPr>
        <w:ind w:left="4320" w:hanging="360"/>
      </w:pPr>
      <w:rPr>
        <w:rFonts w:ascii="Wingdings" w:hAnsi="Wingdings" w:hint="default"/>
      </w:rPr>
    </w:lvl>
    <w:lvl w:ilvl="6" w:tplc="8E5CF126">
      <w:start w:val="1"/>
      <w:numFmt w:val="bullet"/>
      <w:lvlText w:val=""/>
      <w:lvlJc w:val="left"/>
      <w:pPr>
        <w:ind w:left="5040" w:hanging="360"/>
      </w:pPr>
      <w:rPr>
        <w:rFonts w:ascii="Symbol" w:hAnsi="Symbol" w:hint="default"/>
      </w:rPr>
    </w:lvl>
    <w:lvl w:ilvl="7" w:tplc="E446181A">
      <w:start w:val="1"/>
      <w:numFmt w:val="bullet"/>
      <w:lvlText w:val="o"/>
      <w:lvlJc w:val="left"/>
      <w:pPr>
        <w:ind w:left="5760" w:hanging="360"/>
      </w:pPr>
      <w:rPr>
        <w:rFonts w:ascii="Courier New" w:hAnsi="Courier New" w:hint="default"/>
      </w:rPr>
    </w:lvl>
    <w:lvl w:ilvl="8" w:tplc="E0C47D46">
      <w:start w:val="1"/>
      <w:numFmt w:val="bullet"/>
      <w:lvlText w:val=""/>
      <w:lvlJc w:val="left"/>
      <w:pPr>
        <w:ind w:left="6480" w:hanging="360"/>
      </w:pPr>
      <w:rPr>
        <w:rFonts w:ascii="Wingdings" w:hAnsi="Wingdings" w:hint="default"/>
      </w:rPr>
    </w:lvl>
  </w:abstractNum>
  <w:abstractNum w:abstractNumId="19" w15:restartNumberingAfterBreak="0">
    <w:nsid w:val="08071CC4"/>
    <w:multiLevelType w:val="hybridMultilevel"/>
    <w:tmpl w:val="7AC44EF0"/>
    <w:styleLink w:val="BumbiABC111"/>
    <w:lvl w:ilvl="0" w:tplc="6C08CF8C">
      <w:start w:val="1"/>
      <w:numFmt w:val="decimal"/>
      <w:pStyle w:val="numbering"/>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09041C13"/>
    <w:multiLevelType w:val="hybridMultilevel"/>
    <w:tmpl w:val="B1581D3A"/>
    <w:styleLink w:val="101011011111"/>
    <w:lvl w:ilvl="0" w:tplc="FFFFFFFF">
      <w:start w:val="1"/>
      <w:numFmt w:val="none"/>
      <w:pStyle w:val="Style3"/>
      <w:lvlText w:val=""/>
      <w:lvlJc w:val="center"/>
      <w:pPr>
        <w:tabs>
          <w:tab w:val="num" w:pos="360"/>
        </w:tabs>
        <w:ind w:left="340" w:hanging="340"/>
      </w:pPr>
      <w:rPr>
        <w:rFonts w:ascii="Wingdings" w:hAnsi="Wingdings" w:hint="default"/>
        <w:sz w:val="22"/>
      </w:rPr>
    </w:lvl>
    <w:lvl w:ilvl="1" w:tplc="8DD0D6C0">
      <w:start w:val="1"/>
      <w:numFmt w:val="decimal"/>
      <w:lvlText w:val="%2."/>
      <w:lvlJc w:val="left"/>
      <w:pPr>
        <w:tabs>
          <w:tab w:val="num" w:pos="1440"/>
        </w:tabs>
        <w:ind w:left="1440" w:hanging="360"/>
      </w:pPr>
      <w:rPr>
        <w:rFonts w:hint="default"/>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096B70FA"/>
    <w:multiLevelType w:val="hybridMultilevel"/>
    <w:tmpl w:val="3D2E8188"/>
    <w:styleLink w:val="1ai1"/>
    <w:lvl w:ilvl="0" w:tplc="C900AC30">
      <w:start w:val="1"/>
      <w:numFmt w:val="bullet"/>
      <w:lvlText w:val="-"/>
      <w:lvlJc w:val="left"/>
      <w:pPr>
        <w:ind w:left="720" w:hanging="360"/>
      </w:pPr>
      <w:rPr>
        <w:rFonts w:ascii="&quot;Verdana&quot;,sans-serif" w:hAnsi="&quot;Verdana&quot;,sans-serif" w:hint="default"/>
      </w:rPr>
    </w:lvl>
    <w:lvl w:ilvl="1" w:tplc="17AC8076">
      <w:start w:val="1"/>
      <w:numFmt w:val="bullet"/>
      <w:lvlText w:val="o"/>
      <w:lvlJc w:val="left"/>
      <w:pPr>
        <w:ind w:left="1440" w:hanging="360"/>
      </w:pPr>
      <w:rPr>
        <w:rFonts w:ascii="Courier New" w:hAnsi="Courier New" w:hint="default"/>
      </w:rPr>
    </w:lvl>
    <w:lvl w:ilvl="2" w:tplc="BB64656A">
      <w:start w:val="1"/>
      <w:numFmt w:val="bullet"/>
      <w:lvlText w:val=""/>
      <w:lvlJc w:val="left"/>
      <w:pPr>
        <w:ind w:left="2160" w:hanging="360"/>
      </w:pPr>
      <w:rPr>
        <w:rFonts w:ascii="Wingdings" w:hAnsi="Wingdings" w:hint="default"/>
      </w:rPr>
    </w:lvl>
    <w:lvl w:ilvl="3" w:tplc="0C9AE8C0">
      <w:start w:val="1"/>
      <w:numFmt w:val="bullet"/>
      <w:lvlText w:val=""/>
      <w:lvlJc w:val="left"/>
      <w:pPr>
        <w:ind w:left="2880" w:hanging="360"/>
      </w:pPr>
      <w:rPr>
        <w:rFonts w:ascii="Symbol" w:hAnsi="Symbol" w:hint="default"/>
      </w:rPr>
    </w:lvl>
    <w:lvl w:ilvl="4" w:tplc="A0184456">
      <w:start w:val="1"/>
      <w:numFmt w:val="bullet"/>
      <w:lvlText w:val="o"/>
      <w:lvlJc w:val="left"/>
      <w:pPr>
        <w:ind w:left="3600" w:hanging="360"/>
      </w:pPr>
      <w:rPr>
        <w:rFonts w:ascii="Courier New" w:hAnsi="Courier New" w:hint="default"/>
      </w:rPr>
    </w:lvl>
    <w:lvl w:ilvl="5" w:tplc="22B4BF06">
      <w:start w:val="1"/>
      <w:numFmt w:val="bullet"/>
      <w:lvlText w:val=""/>
      <w:lvlJc w:val="left"/>
      <w:pPr>
        <w:ind w:left="4320" w:hanging="360"/>
      </w:pPr>
      <w:rPr>
        <w:rFonts w:ascii="Wingdings" w:hAnsi="Wingdings" w:hint="default"/>
      </w:rPr>
    </w:lvl>
    <w:lvl w:ilvl="6" w:tplc="F6DAD14A">
      <w:start w:val="1"/>
      <w:numFmt w:val="bullet"/>
      <w:lvlText w:val=""/>
      <w:lvlJc w:val="left"/>
      <w:pPr>
        <w:ind w:left="5040" w:hanging="360"/>
      </w:pPr>
      <w:rPr>
        <w:rFonts w:ascii="Symbol" w:hAnsi="Symbol" w:hint="default"/>
      </w:rPr>
    </w:lvl>
    <w:lvl w:ilvl="7" w:tplc="8E027C70">
      <w:start w:val="1"/>
      <w:numFmt w:val="bullet"/>
      <w:lvlText w:val="o"/>
      <w:lvlJc w:val="left"/>
      <w:pPr>
        <w:ind w:left="5760" w:hanging="360"/>
      </w:pPr>
      <w:rPr>
        <w:rFonts w:ascii="Courier New" w:hAnsi="Courier New" w:hint="default"/>
      </w:rPr>
    </w:lvl>
    <w:lvl w:ilvl="8" w:tplc="5AC23402">
      <w:start w:val="1"/>
      <w:numFmt w:val="bullet"/>
      <w:lvlText w:val=""/>
      <w:lvlJc w:val="left"/>
      <w:pPr>
        <w:ind w:left="6480" w:hanging="360"/>
      </w:pPr>
      <w:rPr>
        <w:rFonts w:ascii="Wingdings" w:hAnsi="Wingdings" w:hint="default"/>
      </w:rPr>
    </w:lvl>
  </w:abstractNum>
  <w:abstractNum w:abstractNumId="22" w15:restartNumberingAfterBreak="0">
    <w:nsid w:val="0B821E4D"/>
    <w:multiLevelType w:val="hybridMultilevel"/>
    <w:tmpl w:val="42367D0C"/>
    <w:styleLink w:val="CurrentList12"/>
    <w:lvl w:ilvl="0" w:tplc="04090003">
      <w:start w:val="1"/>
      <w:numFmt w:val="bullet"/>
      <w:lvlText w:val="o"/>
      <w:lvlJc w:val="left"/>
      <w:pPr>
        <w:ind w:left="1068" w:hanging="360"/>
      </w:pPr>
      <w:rPr>
        <w:rFonts w:ascii="Courier New" w:hAnsi="Courier New" w:cs="Courier New"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23" w15:restartNumberingAfterBreak="0">
    <w:nsid w:val="0B835254"/>
    <w:multiLevelType w:val="multilevel"/>
    <w:tmpl w:val="BEBCE77A"/>
    <w:lvl w:ilvl="0">
      <w:start w:val="1"/>
      <w:numFmt w:val="bullet"/>
      <w:pStyle w:val="Listabuline"/>
      <w:lvlText w:val=""/>
      <w:lvlJc w:val="left"/>
      <w:pPr>
        <w:ind w:left="397" w:hanging="397"/>
      </w:pPr>
      <w:rPr>
        <w:rFonts w:ascii="Symbol" w:hAnsi="Symbol" w:hint="default"/>
      </w:rPr>
    </w:lvl>
    <w:lvl w:ilvl="1">
      <w:start w:val="1"/>
      <w:numFmt w:val="bullet"/>
      <w:lvlText w:val="o"/>
      <w:lvlJc w:val="left"/>
      <w:pPr>
        <w:ind w:left="794" w:hanging="397"/>
      </w:pPr>
      <w:rPr>
        <w:rFonts w:ascii="Courier New" w:hAnsi="Courier New" w:hint="default"/>
      </w:rPr>
    </w:lvl>
    <w:lvl w:ilvl="2">
      <w:start w:val="1"/>
      <w:numFmt w:val="bullet"/>
      <w:lvlText w:val=""/>
      <w:lvlJc w:val="left"/>
      <w:pPr>
        <w:ind w:left="1191" w:hanging="397"/>
      </w:pPr>
      <w:rPr>
        <w:rFonts w:ascii="Wingdings" w:hAnsi="Wingdings" w:cs="Wingdings" w:hint="default"/>
      </w:rPr>
    </w:lvl>
    <w:lvl w:ilvl="3">
      <w:start w:val="1"/>
      <w:numFmt w:val="bullet"/>
      <w:lvlText w:val=""/>
      <w:lvlJc w:val="left"/>
      <w:pPr>
        <w:ind w:left="1588" w:hanging="397"/>
      </w:pPr>
      <w:rPr>
        <w:rFonts w:ascii="Symbol" w:hAnsi="Symbol" w:hint="default"/>
      </w:rPr>
    </w:lvl>
    <w:lvl w:ilvl="4">
      <w:start w:val="1"/>
      <w:numFmt w:val="bullet"/>
      <w:lvlText w:val="o"/>
      <w:lvlJc w:val="left"/>
      <w:pPr>
        <w:ind w:left="1985" w:hanging="397"/>
      </w:pPr>
      <w:rPr>
        <w:rFonts w:ascii="Courier New" w:hAnsi="Courier New" w:cs="Courier New" w:hint="default"/>
      </w:rPr>
    </w:lvl>
    <w:lvl w:ilvl="5">
      <w:start w:val="1"/>
      <w:numFmt w:val="bullet"/>
      <w:lvlText w:val=""/>
      <w:lvlJc w:val="left"/>
      <w:pPr>
        <w:ind w:left="2382" w:hanging="397"/>
      </w:pPr>
      <w:rPr>
        <w:rFonts w:ascii="Wingdings" w:hAnsi="Wingdings" w:cs="Wingdings" w:hint="default"/>
      </w:rPr>
    </w:lvl>
    <w:lvl w:ilvl="6">
      <w:start w:val="1"/>
      <w:numFmt w:val="bullet"/>
      <w:lvlText w:val=""/>
      <w:lvlJc w:val="left"/>
      <w:pPr>
        <w:ind w:left="2779" w:hanging="397"/>
      </w:pPr>
      <w:rPr>
        <w:rFonts w:ascii="Symbol" w:hAnsi="Symbol" w:cs="Symbol" w:hint="default"/>
      </w:rPr>
    </w:lvl>
    <w:lvl w:ilvl="7">
      <w:start w:val="1"/>
      <w:numFmt w:val="bullet"/>
      <w:lvlText w:val="o"/>
      <w:lvlJc w:val="left"/>
      <w:pPr>
        <w:ind w:left="3176" w:hanging="397"/>
      </w:pPr>
      <w:rPr>
        <w:rFonts w:ascii="Courier New" w:hAnsi="Courier New" w:cs="Courier New" w:hint="default"/>
      </w:rPr>
    </w:lvl>
    <w:lvl w:ilvl="8">
      <w:start w:val="1"/>
      <w:numFmt w:val="bullet"/>
      <w:lvlText w:val=""/>
      <w:lvlJc w:val="left"/>
      <w:pPr>
        <w:ind w:left="3573" w:hanging="397"/>
      </w:pPr>
      <w:rPr>
        <w:rFonts w:ascii="Wingdings" w:hAnsi="Wingdings" w:cs="Wingdings" w:hint="default"/>
      </w:rPr>
    </w:lvl>
  </w:abstractNum>
  <w:abstractNum w:abstractNumId="24" w15:restartNumberingAfterBreak="0">
    <w:nsid w:val="0BE32B64"/>
    <w:multiLevelType w:val="hybridMultilevel"/>
    <w:tmpl w:val="D554A87C"/>
    <w:lvl w:ilvl="0" w:tplc="04180001">
      <w:start w:val="1"/>
      <w:numFmt w:val="bullet"/>
      <w:lvlText w:val=""/>
      <w:lvlJc w:val="left"/>
      <w:pPr>
        <w:ind w:left="782" w:hanging="360"/>
      </w:pPr>
      <w:rPr>
        <w:rFonts w:ascii="Symbol" w:hAnsi="Symbol" w:hint="default"/>
      </w:rPr>
    </w:lvl>
    <w:lvl w:ilvl="1" w:tplc="1514FEBE">
      <w:numFmt w:val="bullet"/>
      <w:lvlText w:val="-"/>
      <w:lvlJc w:val="left"/>
      <w:pPr>
        <w:ind w:left="1502" w:hanging="360"/>
      </w:pPr>
      <w:rPr>
        <w:rFonts w:ascii="Verdana" w:eastAsiaTheme="minorHAnsi" w:hAnsi="Verdana" w:cstheme="minorBidi" w:hint="default"/>
      </w:rPr>
    </w:lvl>
    <w:lvl w:ilvl="2" w:tplc="04180005" w:tentative="1">
      <w:start w:val="1"/>
      <w:numFmt w:val="bullet"/>
      <w:lvlText w:val=""/>
      <w:lvlJc w:val="left"/>
      <w:pPr>
        <w:ind w:left="2222" w:hanging="360"/>
      </w:pPr>
      <w:rPr>
        <w:rFonts w:ascii="Wingdings" w:hAnsi="Wingdings" w:hint="default"/>
      </w:rPr>
    </w:lvl>
    <w:lvl w:ilvl="3" w:tplc="04180001" w:tentative="1">
      <w:start w:val="1"/>
      <w:numFmt w:val="bullet"/>
      <w:lvlText w:val=""/>
      <w:lvlJc w:val="left"/>
      <w:pPr>
        <w:ind w:left="2942" w:hanging="360"/>
      </w:pPr>
      <w:rPr>
        <w:rFonts w:ascii="Symbol" w:hAnsi="Symbol" w:hint="default"/>
      </w:rPr>
    </w:lvl>
    <w:lvl w:ilvl="4" w:tplc="04180003" w:tentative="1">
      <w:start w:val="1"/>
      <w:numFmt w:val="bullet"/>
      <w:lvlText w:val="o"/>
      <w:lvlJc w:val="left"/>
      <w:pPr>
        <w:ind w:left="3662" w:hanging="360"/>
      </w:pPr>
      <w:rPr>
        <w:rFonts w:ascii="Courier New" w:hAnsi="Courier New" w:cs="Courier New" w:hint="default"/>
      </w:rPr>
    </w:lvl>
    <w:lvl w:ilvl="5" w:tplc="04180005" w:tentative="1">
      <w:start w:val="1"/>
      <w:numFmt w:val="bullet"/>
      <w:lvlText w:val=""/>
      <w:lvlJc w:val="left"/>
      <w:pPr>
        <w:ind w:left="4382" w:hanging="360"/>
      </w:pPr>
      <w:rPr>
        <w:rFonts w:ascii="Wingdings" w:hAnsi="Wingdings" w:hint="default"/>
      </w:rPr>
    </w:lvl>
    <w:lvl w:ilvl="6" w:tplc="04180001" w:tentative="1">
      <w:start w:val="1"/>
      <w:numFmt w:val="bullet"/>
      <w:lvlText w:val=""/>
      <w:lvlJc w:val="left"/>
      <w:pPr>
        <w:ind w:left="5102" w:hanging="360"/>
      </w:pPr>
      <w:rPr>
        <w:rFonts w:ascii="Symbol" w:hAnsi="Symbol" w:hint="default"/>
      </w:rPr>
    </w:lvl>
    <w:lvl w:ilvl="7" w:tplc="04180003" w:tentative="1">
      <w:start w:val="1"/>
      <w:numFmt w:val="bullet"/>
      <w:lvlText w:val="o"/>
      <w:lvlJc w:val="left"/>
      <w:pPr>
        <w:ind w:left="5822" w:hanging="360"/>
      </w:pPr>
      <w:rPr>
        <w:rFonts w:ascii="Courier New" w:hAnsi="Courier New" w:cs="Courier New" w:hint="default"/>
      </w:rPr>
    </w:lvl>
    <w:lvl w:ilvl="8" w:tplc="04180005" w:tentative="1">
      <w:start w:val="1"/>
      <w:numFmt w:val="bullet"/>
      <w:lvlText w:val=""/>
      <w:lvlJc w:val="left"/>
      <w:pPr>
        <w:ind w:left="6542" w:hanging="360"/>
      </w:pPr>
      <w:rPr>
        <w:rFonts w:ascii="Wingdings" w:hAnsi="Wingdings" w:hint="default"/>
      </w:rPr>
    </w:lvl>
  </w:abstractNum>
  <w:abstractNum w:abstractNumId="25" w15:restartNumberingAfterBreak="0">
    <w:nsid w:val="0C955559"/>
    <w:multiLevelType w:val="hybridMultilevel"/>
    <w:tmpl w:val="DDF46AB0"/>
    <w:styleLink w:val="11111111"/>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D616B66"/>
    <w:multiLevelType w:val="multilevel"/>
    <w:tmpl w:val="C11E190C"/>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pStyle w:val="1"/>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27" w15:restartNumberingAfterBreak="0">
    <w:nsid w:val="105D4FE4"/>
    <w:multiLevelType w:val="hybridMultilevel"/>
    <w:tmpl w:val="7DD4BE82"/>
    <w:styleLink w:val="StyleOutlinenumberedArialBlueUnderline"/>
    <w:lvl w:ilvl="0" w:tplc="B330CACE">
      <w:start w:val="1"/>
      <w:numFmt w:val="bullet"/>
      <w:pStyle w:val="Tablebullet2"/>
      <w:lvlText w:val="-"/>
      <w:lvlJc w:val="left"/>
      <w:pPr>
        <w:ind w:left="473" w:hanging="360"/>
      </w:pPr>
      <w:rPr>
        <w:rFonts w:ascii="Arial" w:hAnsi="Arial" w:hint="default"/>
        <w:color w:val="62CAE3"/>
        <w:sz w:val="22"/>
        <w:szCs w:val="22"/>
      </w:rPr>
    </w:lvl>
    <w:lvl w:ilvl="1" w:tplc="DD40A0F0" w:tentative="1">
      <w:start w:val="1"/>
      <w:numFmt w:val="bullet"/>
      <w:lvlText w:val="o"/>
      <w:lvlJc w:val="left"/>
      <w:pPr>
        <w:tabs>
          <w:tab w:val="num" w:pos="1724"/>
        </w:tabs>
        <w:ind w:left="1724" w:hanging="360"/>
      </w:pPr>
      <w:rPr>
        <w:rFonts w:ascii="Courier New" w:hAnsi="Courier New" w:cs="Courier New" w:hint="default"/>
      </w:rPr>
    </w:lvl>
    <w:lvl w:ilvl="2" w:tplc="98E61DC2" w:tentative="1">
      <w:start w:val="1"/>
      <w:numFmt w:val="bullet"/>
      <w:lvlText w:val=""/>
      <w:lvlJc w:val="left"/>
      <w:pPr>
        <w:tabs>
          <w:tab w:val="num" w:pos="2444"/>
        </w:tabs>
        <w:ind w:left="2444" w:hanging="360"/>
      </w:pPr>
      <w:rPr>
        <w:rFonts w:ascii="Wingdings" w:hAnsi="Wingdings" w:hint="default"/>
      </w:rPr>
    </w:lvl>
    <w:lvl w:ilvl="3" w:tplc="180289EC" w:tentative="1">
      <w:start w:val="1"/>
      <w:numFmt w:val="bullet"/>
      <w:lvlText w:val=""/>
      <w:lvlJc w:val="left"/>
      <w:pPr>
        <w:tabs>
          <w:tab w:val="num" w:pos="3164"/>
        </w:tabs>
        <w:ind w:left="3164" w:hanging="360"/>
      </w:pPr>
      <w:rPr>
        <w:rFonts w:ascii="Symbol" w:hAnsi="Symbol" w:hint="default"/>
      </w:rPr>
    </w:lvl>
    <w:lvl w:ilvl="4" w:tplc="CAD01F84" w:tentative="1">
      <w:start w:val="1"/>
      <w:numFmt w:val="bullet"/>
      <w:lvlText w:val="o"/>
      <w:lvlJc w:val="left"/>
      <w:pPr>
        <w:tabs>
          <w:tab w:val="num" w:pos="3884"/>
        </w:tabs>
        <w:ind w:left="3884" w:hanging="360"/>
      </w:pPr>
      <w:rPr>
        <w:rFonts w:ascii="Courier New" w:hAnsi="Courier New" w:cs="Courier New" w:hint="default"/>
      </w:rPr>
    </w:lvl>
    <w:lvl w:ilvl="5" w:tplc="544E92EE" w:tentative="1">
      <w:start w:val="1"/>
      <w:numFmt w:val="bullet"/>
      <w:lvlText w:val=""/>
      <w:lvlJc w:val="left"/>
      <w:pPr>
        <w:tabs>
          <w:tab w:val="num" w:pos="4604"/>
        </w:tabs>
        <w:ind w:left="4604" w:hanging="360"/>
      </w:pPr>
      <w:rPr>
        <w:rFonts w:ascii="Wingdings" w:hAnsi="Wingdings" w:hint="default"/>
      </w:rPr>
    </w:lvl>
    <w:lvl w:ilvl="6" w:tplc="2BBAFCA4" w:tentative="1">
      <w:start w:val="1"/>
      <w:numFmt w:val="bullet"/>
      <w:lvlText w:val=""/>
      <w:lvlJc w:val="left"/>
      <w:pPr>
        <w:tabs>
          <w:tab w:val="num" w:pos="5324"/>
        </w:tabs>
        <w:ind w:left="5324" w:hanging="360"/>
      </w:pPr>
      <w:rPr>
        <w:rFonts w:ascii="Symbol" w:hAnsi="Symbol" w:hint="default"/>
      </w:rPr>
    </w:lvl>
    <w:lvl w:ilvl="7" w:tplc="B308BE2C" w:tentative="1">
      <w:start w:val="1"/>
      <w:numFmt w:val="bullet"/>
      <w:lvlText w:val="o"/>
      <w:lvlJc w:val="left"/>
      <w:pPr>
        <w:tabs>
          <w:tab w:val="num" w:pos="6044"/>
        </w:tabs>
        <w:ind w:left="6044" w:hanging="360"/>
      </w:pPr>
      <w:rPr>
        <w:rFonts w:ascii="Courier New" w:hAnsi="Courier New" w:cs="Courier New" w:hint="default"/>
      </w:rPr>
    </w:lvl>
    <w:lvl w:ilvl="8" w:tplc="424E0AA6" w:tentative="1">
      <w:start w:val="1"/>
      <w:numFmt w:val="bullet"/>
      <w:lvlText w:val=""/>
      <w:lvlJc w:val="left"/>
      <w:pPr>
        <w:tabs>
          <w:tab w:val="num" w:pos="6764"/>
        </w:tabs>
        <w:ind w:left="6764" w:hanging="360"/>
      </w:pPr>
      <w:rPr>
        <w:rFonts w:ascii="Wingdings" w:hAnsi="Wingdings" w:hint="default"/>
      </w:rPr>
    </w:lvl>
  </w:abstractNum>
  <w:abstractNum w:abstractNumId="28" w15:restartNumberingAfterBreak="0">
    <w:nsid w:val="10D31474"/>
    <w:multiLevelType w:val="hybridMultilevel"/>
    <w:tmpl w:val="BEC0539C"/>
    <w:lvl w:ilvl="0" w:tplc="455674C2">
      <w:start w:val="1"/>
      <w:numFmt w:val="decimal"/>
      <w:pStyle w:val="StyleBodyTextCentered"/>
      <w:lvlText w:val="%1."/>
      <w:lvlJc w:val="left"/>
      <w:pPr>
        <w:tabs>
          <w:tab w:val="num" w:pos="907"/>
        </w:tabs>
        <w:ind w:left="964" w:hanging="907"/>
      </w:pPr>
      <w:rPr>
        <w:rFonts w:hint="default"/>
      </w:rPr>
    </w:lvl>
    <w:lvl w:ilvl="1" w:tplc="A63498B8" w:tentative="1">
      <w:start w:val="1"/>
      <w:numFmt w:val="lowerLetter"/>
      <w:lvlText w:val="%2."/>
      <w:lvlJc w:val="left"/>
      <w:pPr>
        <w:tabs>
          <w:tab w:val="num" w:pos="1440"/>
        </w:tabs>
        <w:ind w:left="1440" w:hanging="360"/>
      </w:pPr>
    </w:lvl>
    <w:lvl w:ilvl="2" w:tplc="6B6A1DF6" w:tentative="1">
      <w:start w:val="1"/>
      <w:numFmt w:val="lowerRoman"/>
      <w:lvlText w:val="%3."/>
      <w:lvlJc w:val="right"/>
      <w:pPr>
        <w:tabs>
          <w:tab w:val="num" w:pos="2160"/>
        </w:tabs>
        <w:ind w:left="2160" w:hanging="180"/>
      </w:pPr>
    </w:lvl>
    <w:lvl w:ilvl="3" w:tplc="EA042E2C" w:tentative="1">
      <w:start w:val="1"/>
      <w:numFmt w:val="decimal"/>
      <w:lvlText w:val="%4."/>
      <w:lvlJc w:val="left"/>
      <w:pPr>
        <w:tabs>
          <w:tab w:val="num" w:pos="2880"/>
        </w:tabs>
        <w:ind w:left="2880" w:hanging="360"/>
      </w:pPr>
    </w:lvl>
    <w:lvl w:ilvl="4" w:tplc="DE3639A0" w:tentative="1">
      <w:start w:val="1"/>
      <w:numFmt w:val="lowerLetter"/>
      <w:lvlText w:val="%5."/>
      <w:lvlJc w:val="left"/>
      <w:pPr>
        <w:tabs>
          <w:tab w:val="num" w:pos="3600"/>
        </w:tabs>
        <w:ind w:left="3600" w:hanging="360"/>
      </w:pPr>
    </w:lvl>
    <w:lvl w:ilvl="5" w:tplc="08620696" w:tentative="1">
      <w:start w:val="1"/>
      <w:numFmt w:val="lowerRoman"/>
      <w:lvlText w:val="%6."/>
      <w:lvlJc w:val="right"/>
      <w:pPr>
        <w:tabs>
          <w:tab w:val="num" w:pos="4320"/>
        </w:tabs>
        <w:ind w:left="4320" w:hanging="180"/>
      </w:pPr>
    </w:lvl>
    <w:lvl w:ilvl="6" w:tplc="F9C4893C" w:tentative="1">
      <w:start w:val="1"/>
      <w:numFmt w:val="decimal"/>
      <w:lvlText w:val="%7."/>
      <w:lvlJc w:val="left"/>
      <w:pPr>
        <w:tabs>
          <w:tab w:val="num" w:pos="5040"/>
        </w:tabs>
        <w:ind w:left="5040" w:hanging="360"/>
      </w:pPr>
    </w:lvl>
    <w:lvl w:ilvl="7" w:tplc="6BA408A4" w:tentative="1">
      <w:start w:val="1"/>
      <w:numFmt w:val="lowerLetter"/>
      <w:lvlText w:val="%8."/>
      <w:lvlJc w:val="left"/>
      <w:pPr>
        <w:tabs>
          <w:tab w:val="num" w:pos="5760"/>
        </w:tabs>
        <w:ind w:left="5760" w:hanging="360"/>
      </w:pPr>
    </w:lvl>
    <w:lvl w:ilvl="8" w:tplc="EC0C3366" w:tentative="1">
      <w:start w:val="1"/>
      <w:numFmt w:val="lowerRoman"/>
      <w:lvlText w:val="%9."/>
      <w:lvlJc w:val="right"/>
      <w:pPr>
        <w:tabs>
          <w:tab w:val="num" w:pos="6480"/>
        </w:tabs>
        <w:ind w:left="6480" w:hanging="180"/>
      </w:pPr>
    </w:lvl>
  </w:abstractNum>
  <w:abstractNum w:abstractNumId="29" w15:restartNumberingAfterBreak="0">
    <w:nsid w:val="10D85171"/>
    <w:multiLevelType w:val="hybridMultilevel"/>
    <w:tmpl w:val="3FC85AC6"/>
    <w:styleLink w:val="BumbiABC112"/>
    <w:lvl w:ilvl="0" w:tplc="C6FEAC5E">
      <w:start w:val="1"/>
      <w:numFmt w:val="bullet"/>
      <w:lvlText w:val="-"/>
      <w:lvlJc w:val="left"/>
      <w:pPr>
        <w:ind w:left="720" w:hanging="360"/>
      </w:pPr>
      <w:rPr>
        <w:rFonts w:ascii="&quot;Calibri&quot;,sans-serif" w:hAnsi="&quot;Calibri&quot;,sans-serif" w:hint="default"/>
      </w:rPr>
    </w:lvl>
    <w:lvl w:ilvl="1" w:tplc="1E4008FA">
      <w:start w:val="1"/>
      <w:numFmt w:val="bullet"/>
      <w:lvlText w:val="o"/>
      <w:lvlJc w:val="left"/>
      <w:pPr>
        <w:ind w:left="1440" w:hanging="360"/>
      </w:pPr>
      <w:rPr>
        <w:rFonts w:ascii="Courier New" w:hAnsi="Courier New" w:hint="default"/>
      </w:rPr>
    </w:lvl>
    <w:lvl w:ilvl="2" w:tplc="BF82871A">
      <w:start w:val="1"/>
      <w:numFmt w:val="bullet"/>
      <w:lvlText w:val=""/>
      <w:lvlJc w:val="left"/>
      <w:pPr>
        <w:ind w:left="2160" w:hanging="360"/>
      </w:pPr>
      <w:rPr>
        <w:rFonts w:ascii="Wingdings" w:hAnsi="Wingdings" w:hint="default"/>
      </w:rPr>
    </w:lvl>
    <w:lvl w:ilvl="3" w:tplc="73AE4C30">
      <w:start w:val="1"/>
      <w:numFmt w:val="bullet"/>
      <w:lvlText w:val=""/>
      <w:lvlJc w:val="left"/>
      <w:pPr>
        <w:ind w:left="2880" w:hanging="360"/>
      </w:pPr>
      <w:rPr>
        <w:rFonts w:ascii="Symbol" w:hAnsi="Symbol" w:hint="default"/>
      </w:rPr>
    </w:lvl>
    <w:lvl w:ilvl="4" w:tplc="34923346">
      <w:start w:val="1"/>
      <w:numFmt w:val="bullet"/>
      <w:lvlText w:val="o"/>
      <w:lvlJc w:val="left"/>
      <w:pPr>
        <w:ind w:left="3600" w:hanging="360"/>
      </w:pPr>
      <w:rPr>
        <w:rFonts w:ascii="Courier New" w:hAnsi="Courier New" w:hint="default"/>
      </w:rPr>
    </w:lvl>
    <w:lvl w:ilvl="5" w:tplc="7DEC3BC8">
      <w:start w:val="1"/>
      <w:numFmt w:val="bullet"/>
      <w:lvlText w:val=""/>
      <w:lvlJc w:val="left"/>
      <w:pPr>
        <w:ind w:left="4320" w:hanging="360"/>
      </w:pPr>
      <w:rPr>
        <w:rFonts w:ascii="Wingdings" w:hAnsi="Wingdings" w:hint="default"/>
      </w:rPr>
    </w:lvl>
    <w:lvl w:ilvl="6" w:tplc="BB623C6E">
      <w:start w:val="1"/>
      <w:numFmt w:val="bullet"/>
      <w:lvlText w:val=""/>
      <w:lvlJc w:val="left"/>
      <w:pPr>
        <w:ind w:left="5040" w:hanging="360"/>
      </w:pPr>
      <w:rPr>
        <w:rFonts w:ascii="Symbol" w:hAnsi="Symbol" w:hint="default"/>
      </w:rPr>
    </w:lvl>
    <w:lvl w:ilvl="7" w:tplc="B23E6F9A">
      <w:start w:val="1"/>
      <w:numFmt w:val="bullet"/>
      <w:lvlText w:val="o"/>
      <w:lvlJc w:val="left"/>
      <w:pPr>
        <w:ind w:left="5760" w:hanging="360"/>
      </w:pPr>
      <w:rPr>
        <w:rFonts w:ascii="Courier New" w:hAnsi="Courier New" w:hint="default"/>
      </w:rPr>
    </w:lvl>
    <w:lvl w:ilvl="8" w:tplc="FDF68BEC">
      <w:start w:val="1"/>
      <w:numFmt w:val="bullet"/>
      <w:lvlText w:val=""/>
      <w:lvlJc w:val="left"/>
      <w:pPr>
        <w:ind w:left="6480" w:hanging="360"/>
      </w:pPr>
      <w:rPr>
        <w:rFonts w:ascii="Wingdings" w:hAnsi="Wingdings" w:hint="default"/>
      </w:rPr>
    </w:lvl>
  </w:abstractNum>
  <w:abstractNum w:abstractNumId="30" w15:restartNumberingAfterBreak="0">
    <w:nsid w:val="10E84CEA"/>
    <w:multiLevelType w:val="multilevel"/>
    <w:tmpl w:val="87044DF2"/>
    <w:styleLink w:val="BumbiABC"/>
    <w:lvl w:ilvl="0">
      <w:start w:val="1"/>
      <w:numFmt w:val="decimal"/>
      <w:pStyle w:val="FrontPage"/>
      <w:lvlText w:val="%1"/>
      <w:lvlJc w:val="left"/>
      <w:pPr>
        <w:ind w:left="720" w:hanging="7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2160" w:hanging="2160"/>
      </w:pPr>
      <w:rPr>
        <w:rFonts w:cs="Times New Roman" w:hint="default"/>
      </w:rPr>
    </w:lvl>
    <w:lvl w:ilvl="8">
      <w:start w:val="1"/>
      <w:numFmt w:val="decimal"/>
      <w:lvlText w:val="%1.%2.%3.%4.%5.%6.%7.%8.%9"/>
      <w:lvlJc w:val="left"/>
      <w:pPr>
        <w:ind w:left="2160" w:hanging="2160"/>
      </w:pPr>
      <w:rPr>
        <w:rFonts w:cs="Times New Roman" w:hint="default"/>
      </w:rPr>
    </w:lvl>
  </w:abstractNum>
  <w:abstractNum w:abstractNumId="31" w15:restartNumberingAfterBreak="0">
    <w:nsid w:val="10F402B9"/>
    <w:multiLevelType w:val="hybridMultilevel"/>
    <w:tmpl w:val="DB644A8A"/>
    <w:lvl w:ilvl="0" w:tplc="A38232DE">
      <w:start w:val="4"/>
      <w:numFmt w:val="decimal"/>
      <w:pStyle w:val="ListBullet1"/>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11A04855"/>
    <w:multiLevelType w:val="hybridMultilevel"/>
    <w:tmpl w:val="43488B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13F41C92"/>
    <w:multiLevelType w:val="multilevel"/>
    <w:tmpl w:val="90E059C8"/>
    <w:styleLink w:val="TabelBumbi12"/>
    <w:lvl w:ilvl="0">
      <w:start w:val="1"/>
      <w:numFmt w:val="decimal"/>
      <w:pStyle w:val="Heading1"/>
      <w:suff w:val="space"/>
      <w:lvlText w:val="%1."/>
      <w:lvlJc w:val="left"/>
      <w:pPr>
        <w:ind w:left="284" w:firstLine="0"/>
      </w:pPr>
      <w:rPr>
        <w:rFonts w:hint="default"/>
        <w:b/>
        <w:bCs w:val="0"/>
      </w:rPr>
    </w:lvl>
    <w:lvl w:ilvl="1">
      <w:start w:val="1"/>
      <w:numFmt w:val="none"/>
      <w:pStyle w:val="Heading2"/>
      <w:suff w:val="space"/>
      <w:lvlText w:val="2.1"/>
      <w:lvlJc w:val="left"/>
      <w:pPr>
        <w:ind w:left="0" w:firstLine="0"/>
      </w:pPr>
      <w:rPr>
        <w:rFonts w:hint="default"/>
        <w:b/>
        <w:bCs w:val="0"/>
        <w:color w:val="009DF0" w:themeColor="text2"/>
      </w:rPr>
    </w:lvl>
    <w:lvl w:ilvl="2">
      <w:start w:val="1"/>
      <w:numFmt w:val="decimal"/>
      <w:pStyle w:val="Heading3"/>
      <w:suff w:val="space"/>
      <w:lvlText w:val="%1.%2.%3"/>
      <w:lvlJc w:val="left"/>
      <w:pPr>
        <w:ind w:left="1986" w:firstLine="0"/>
      </w:pPr>
      <w:rPr>
        <w:rFonts w:hint="default"/>
        <w:color w:val="00B0F0"/>
      </w:rPr>
    </w:lvl>
    <w:lvl w:ilvl="3">
      <w:start w:val="1"/>
      <w:numFmt w:val="decimal"/>
      <w:pStyle w:val="Heading4"/>
      <w:suff w:val="space"/>
      <w:lvlText w:val="%1%2.%3.%4"/>
      <w:lvlJc w:val="left"/>
      <w:pPr>
        <w:ind w:left="0" w:firstLine="0"/>
      </w:pPr>
      <w:rPr>
        <w:rFonts w:hint="default"/>
      </w:rPr>
    </w:lvl>
    <w:lvl w:ilvl="4">
      <w:start w:val="1"/>
      <w:numFmt w:val="none"/>
      <w:pStyle w:val="Heading5"/>
      <w:suff w:val="space"/>
      <w:lvlText w:val=""/>
      <w:lvlJc w:val="left"/>
      <w:pPr>
        <w:ind w:left="0" w:firstLine="0"/>
      </w:pPr>
      <w:rPr>
        <w:rFonts w:hint="default"/>
      </w:rPr>
    </w:lvl>
    <w:lvl w:ilvl="5">
      <w:start w:val="1"/>
      <w:numFmt w:val="none"/>
      <w:pStyle w:val="Heading6"/>
      <w:suff w:val="space"/>
      <w:lvlText w:val=""/>
      <w:lvlJc w:val="left"/>
      <w:pPr>
        <w:ind w:left="0" w:firstLine="0"/>
      </w:pPr>
      <w:rPr>
        <w:rFonts w:hint="default"/>
      </w:rPr>
    </w:lvl>
    <w:lvl w:ilvl="6">
      <w:start w:val="1"/>
      <w:numFmt w:val="none"/>
      <w:pStyle w:val="Heading7"/>
      <w:suff w:val="space"/>
      <w:lvlText w:val=""/>
      <w:lvlJc w:val="left"/>
      <w:pPr>
        <w:ind w:left="0" w:firstLine="0"/>
      </w:pPr>
      <w:rPr>
        <w:rFonts w:hint="default"/>
      </w:rPr>
    </w:lvl>
    <w:lvl w:ilvl="7">
      <w:start w:val="1"/>
      <w:numFmt w:val="none"/>
      <w:pStyle w:val="Heading8"/>
      <w:suff w:val="space"/>
      <w:lvlText w:val=""/>
      <w:lvlJc w:val="left"/>
      <w:pPr>
        <w:ind w:left="0" w:firstLine="0"/>
      </w:pPr>
      <w:rPr>
        <w:rFonts w:hint="default"/>
      </w:rPr>
    </w:lvl>
    <w:lvl w:ilvl="8">
      <w:start w:val="1"/>
      <w:numFmt w:val="none"/>
      <w:pStyle w:val="Heading9"/>
      <w:suff w:val="space"/>
      <w:lvlText w:val=""/>
      <w:lvlJc w:val="left"/>
      <w:pPr>
        <w:ind w:left="0" w:firstLine="0"/>
      </w:pPr>
      <w:rPr>
        <w:rFonts w:hint="default"/>
      </w:rPr>
    </w:lvl>
  </w:abstractNum>
  <w:abstractNum w:abstractNumId="34" w15:restartNumberingAfterBreak="0">
    <w:nsid w:val="14345644"/>
    <w:multiLevelType w:val="singleLevel"/>
    <w:tmpl w:val="303A92DE"/>
    <w:lvl w:ilvl="0">
      <w:start w:val="1"/>
      <w:numFmt w:val="decimal"/>
      <w:pStyle w:val="StyleHeading2Before0ptAfter0pt"/>
      <w:lvlText w:val="%1."/>
      <w:lvlJc w:val="left"/>
      <w:pPr>
        <w:tabs>
          <w:tab w:val="num" w:pos="1209"/>
        </w:tabs>
        <w:ind w:left="1209" w:hanging="360"/>
      </w:pPr>
    </w:lvl>
  </w:abstractNum>
  <w:abstractNum w:abstractNumId="35" w15:restartNumberingAfterBreak="0">
    <w:nsid w:val="150F110B"/>
    <w:multiLevelType w:val="multilevel"/>
    <w:tmpl w:val="150F110B"/>
    <w:lvl w:ilvl="0">
      <w:numFmt w:val="decimal"/>
      <w:pStyle w:val="bvkop1"/>
      <w:lvlText w:val=""/>
      <w:lvlJc w:val="left"/>
      <w:pPr>
        <w:ind w:left="0" w:firstLine="0"/>
      </w:pPr>
    </w:lvl>
    <w:lvl w:ilvl="1">
      <w:numFmt w:val="decimal"/>
      <w:pStyle w:val="bvkop2"/>
      <w:lvlText w:val=""/>
      <w:lvlJc w:val="left"/>
      <w:pPr>
        <w:ind w:left="0" w:firstLine="0"/>
      </w:pPr>
    </w:lvl>
    <w:lvl w:ilvl="2">
      <w:numFmt w:val="decimal"/>
      <w:lvlText w:val=""/>
      <w:lvlJc w:val="left"/>
      <w:pPr>
        <w:ind w:left="0" w:firstLine="0"/>
      </w:pPr>
    </w:lvl>
    <w:lvl w:ilvl="3">
      <w:numFmt w:val="decimal"/>
      <w:pStyle w:val="bvkop4"/>
      <w:lvlText w:val=""/>
      <w:lvlJc w:val="left"/>
      <w:pPr>
        <w:ind w:left="0" w:firstLine="0"/>
      </w:pPr>
    </w:lvl>
    <w:lvl w:ilvl="4">
      <w:numFmt w:val="decimal"/>
      <w:pStyle w:val="bvkop5"/>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6" w15:restartNumberingAfterBreak="0">
    <w:nsid w:val="152608A6"/>
    <w:multiLevelType w:val="multilevel"/>
    <w:tmpl w:val="D6AAD9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16644150"/>
    <w:multiLevelType w:val="hybridMultilevel"/>
    <w:tmpl w:val="2DA20F4C"/>
    <w:styleLink w:val="Listebuline8"/>
    <w:lvl w:ilvl="0" w:tplc="FFFFFFFF">
      <w:start w:val="1"/>
      <w:numFmt w:val="bullet"/>
      <w:lvlText w:val="●"/>
      <w:lvlJc w:val="left"/>
      <w:pPr>
        <w:tabs>
          <w:tab w:val="num" w:pos="3261"/>
        </w:tabs>
        <w:ind w:left="3261" w:hanging="567"/>
      </w:pPr>
      <w:rPr>
        <w:rFonts w:ascii="Times New Roman" w:hint="default"/>
        <w:color w:val="008080"/>
      </w:rPr>
    </w:lvl>
    <w:lvl w:ilvl="1" w:tplc="FFFFFFFF">
      <w:start w:val="1"/>
      <w:numFmt w:val="decimal"/>
      <w:lvlText w:val="%2."/>
      <w:lvlJc w:val="left"/>
      <w:pPr>
        <w:tabs>
          <w:tab w:val="num" w:pos="3567"/>
        </w:tabs>
        <w:ind w:left="3567" w:hanging="360"/>
      </w:pPr>
      <w:rPr>
        <w:rFonts w:cs="Times New Roman" w:hint="default"/>
        <w:color w:val="008080"/>
      </w:rPr>
    </w:lvl>
    <w:lvl w:ilvl="2" w:tplc="FFFFFFFF">
      <w:start w:val="1"/>
      <w:numFmt w:val="bullet"/>
      <w:lvlText w:val=""/>
      <w:lvlJc w:val="left"/>
      <w:pPr>
        <w:tabs>
          <w:tab w:val="num" w:pos="4287"/>
        </w:tabs>
        <w:ind w:left="4287" w:hanging="360"/>
      </w:pPr>
      <w:rPr>
        <w:rFonts w:ascii="Wingdings" w:hAnsi="Wingdings" w:hint="default"/>
      </w:rPr>
    </w:lvl>
    <w:lvl w:ilvl="3" w:tplc="FFFFFFFF">
      <w:start w:val="1"/>
      <w:numFmt w:val="bullet"/>
      <w:lvlText w:val=""/>
      <w:lvlJc w:val="left"/>
      <w:pPr>
        <w:tabs>
          <w:tab w:val="num" w:pos="5007"/>
        </w:tabs>
        <w:ind w:left="5007" w:hanging="360"/>
      </w:pPr>
      <w:rPr>
        <w:rFonts w:ascii="Symbol" w:hAnsi="Symbol" w:hint="default"/>
      </w:rPr>
    </w:lvl>
    <w:lvl w:ilvl="4" w:tplc="FFFFFFFF">
      <w:start w:val="1"/>
      <w:numFmt w:val="bullet"/>
      <w:lvlText w:val="o"/>
      <w:lvlJc w:val="left"/>
      <w:pPr>
        <w:tabs>
          <w:tab w:val="num" w:pos="5727"/>
        </w:tabs>
        <w:ind w:left="5727" w:hanging="360"/>
      </w:pPr>
      <w:rPr>
        <w:rFonts w:ascii="Courier New" w:hAnsi="Courier New" w:hint="default"/>
      </w:rPr>
    </w:lvl>
    <w:lvl w:ilvl="5" w:tplc="FFFFFFFF">
      <w:start w:val="1"/>
      <w:numFmt w:val="bullet"/>
      <w:lvlText w:val=""/>
      <w:lvlJc w:val="left"/>
      <w:pPr>
        <w:tabs>
          <w:tab w:val="num" w:pos="6447"/>
        </w:tabs>
        <w:ind w:left="6447" w:hanging="360"/>
      </w:pPr>
      <w:rPr>
        <w:rFonts w:ascii="Wingdings" w:hAnsi="Wingdings" w:hint="default"/>
      </w:rPr>
    </w:lvl>
    <w:lvl w:ilvl="6" w:tplc="FFFFFFFF">
      <w:start w:val="1"/>
      <w:numFmt w:val="bullet"/>
      <w:lvlText w:val=""/>
      <w:lvlJc w:val="left"/>
      <w:pPr>
        <w:tabs>
          <w:tab w:val="num" w:pos="7167"/>
        </w:tabs>
        <w:ind w:left="7167" w:hanging="360"/>
      </w:pPr>
      <w:rPr>
        <w:rFonts w:ascii="Symbol" w:hAnsi="Symbol" w:hint="default"/>
      </w:rPr>
    </w:lvl>
    <w:lvl w:ilvl="7" w:tplc="FFFFFFFF">
      <w:start w:val="1"/>
      <w:numFmt w:val="bullet"/>
      <w:lvlText w:val="o"/>
      <w:lvlJc w:val="left"/>
      <w:pPr>
        <w:tabs>
          <w:tab w:val="num" w:pos="7887"/>
        </w:tabs>
        <w:ind w:left="7887" w:hanging="360"/>
      </w:pPr>
      <w:rPr>
        <w:rFonts w:ascii="Courier New" w:hAnsi="Courier New" w:hint="default"/>
      </w:rPr>
    </w:lvl>
    <w:lvl w:ilvl="8" w:tplc="FFFFFFFF">
      <w:start w:val="1"/>
      <w:numFmt w:val="bullet"/>
      <w:lvlText w:val=""/>
      <w:lvlJc w:val="left"/>
      <w:pPr>
        <w:tabs>
          <w:tab w:val="num" w:pos="8607"/>
        </w:tabs>
        <w:ind w:left="8607" w:hanging="360"/>
      </w:pPr>
      <w:rPr>
        <w:rFonts w:ascii="Wingdings" w:hAnsi="Wingdings" w:hint="default"/>
      </w:rPr>
    </w:lvl>
  </w:abstractNum>
  <w:abstractNum w:abstractNumId="38" w15:restartNumberingAfterBreak="0">
    <w:nsid w:val="16737B2C"/>
    <w:multiLevelType w:val="hybridMultilevel"/>
    <w:tmpl w:val="10642130"/>
    <w:lvl w:ilvl="0" w:tplc="2382BC62">
      <w:start w:val="1"/>
      <w:numFmt w:val="bullet"/>
      <w:pStyle w:val="Standard1xeingerckt"/>
      <w:lvlText w:val="o"/>
      <w:lvlJc w:val="left"/>
      <w:pPr>
        <w:tabs>
          <w:tab w:val="num" w:pos="1004"/>
        </w:tabs>
        <w:ind w:left="1004" w:hanging="360"/>
      </w:pPr>
      <w:rPr>
        <w:rFonts w:ascii="Courier New" w:hAnsi="Courier New" w:cs="Courier New" w:hint="default"/>
      </w:rPr>
    </w:lvl>
    <w:lvl w:ilvl="1" w:tplc="A6C68F96">
      <w:start w:val="1"/>
      <w:numFmt w:val="bullet"/>
      <w:lvlText w:val="o"/>
      <w:lvlJc w:val="left"/>
      <w:pPr>
        <w:tabs>
          <w:tab w:val="num" w:pos="1724"/>
        </w:tabs>
        <w:ind w:left="1724" w:hanging="360"/>
      </w:pPr>
      <w:rPr>
        <w:rFonts w:ascii="Courier New" w:hAnsi="Courier New" w:cs="Courier New" w:hint="default"/>
      </w:rPr>
    </w:lvl>
    <w:lvl w:ilvl="2" w:tplc="0734C37A">
      <w:start w:val="1"/>
      <w:numFmt w:val="bullet"/>
      <w:lvlText w:val=""/>
      <w:lvlJc w:val="left"/>
      <w:pPr>
        <w:tabs>
          <w:tab w:val="num" w:pos="2444"/>
        </w:tabs>
        <w:ind w:left="2444" w:hanging="360"/>
      </w:pPr>
      <w:rPr>
        <w:rFonts w:ascii="Wingdings" w:hAnsi="Wingdings" w:cs="Wingdings" w:hint="default"/>
      </w:rPr>
    </w:lvl>
    <w:lvl w:ilvl="3" w:tplc="CC464FAE">
      <w:start w:val="1"/>
      <w:numFmt w:val="bullet"/>
      <w:lvlText w:val=""/>
      <w:lvlJc w:val="left"/>
      <w:pPr>
        <w:tabs>
          <w:tab w:val="num" w:pos="3164"/>
        </w:tabs>
        <w:ind w:left="3164" w:hanging="360"/>
      </w:pPr>
      <w:rPr>
        <w:rFonts w:ascii="Symbol" w:hAnsi="Symbol" w:cs="Symbol" w:hint="default"/>
      </w:rPr>
    </w:lvl>
    <w:lvl w:ilvl="4" w:tplc="259C3C24">
      <w:start w:val="1"/>
      <w:numFmt w:val="bullet"/>
      <w:lvlText w:val="o"/>
      <w:lvlJc w:val="left"/>
      <w:pPr>
        <w:tabs>
          <w:tab w:val="num" w:pos="3884"/>
        </w:tabs>
        <w:ind w:left="3884" w:hanging="360"/>
      </w:pPr>
      <w:rPr>
        <w:rFonts w:ascii="Courier New" w:hAnsi="Courier New" w:cs="Courier New" w:hint="default"/>
      </w:rPr>
    </w:lvl>
    <w:lvl w:ilvl="5" w:tplc="AFF25078">
      <w:start w:val="1"/>
      <w:numFmt w:val="bullet"/>
      <w:lvlText w:val=""/>
      <w:lvlJc w:val="left"/>
      <w:pPr>
        <w:tabs>
          <w:tab w:val="num" w:pos="4604"/>
        </w:tabs>
        <w:ind w:left="4604" w:hanging="360"/>
      </w:pPr>
      <w:rPr>
        <w:rFonts w:ascii="Wingdings" w:hAnsi="Wingdings" w:cs="Wingdings" w:hint="default"/>
      </w:rPr>
    </w:lvl>
    <w:lvl w:ilvl="6" w:tplc="923E0218">
      <w:start w:val="1"/>
      <w:numFmt w:val="bullet"/>
      <w:lvlText w:val=""/>
      <w:lvlJc w:val="left"/>
      <w:pPr>
        <w:tabs>
          <w:tab w:val="num" w:pos="5324"/>
        </w:tabs>
        <w:ind w:left="5324" w:hanging="360"/>
      </w:pPr>
      <w:rPr>
        <w:rFonts w:ascii="Symbol" w:hAnsi="Symbol" w:cs="Symbol" w:hint="default"/>
      </w:rPr>
    </w:lvl>
    <w:lvl w:ilvl="7" w:tplc="B2226C86">
      <w:start w:val="1"/>
      <w:numFmt w:val="bullet"/>
      <w:lvlText w:val="o"/>
      <w:lvlJc w:val="left"/>
      <w:pPr>
        <w:tabs>
          <w:tab w:val="num" w:pos="6044"/>
        </w:tabs>
        <w:ind w:left="6044" w:hanging="360"/>
      </w:pPr>
      <w:rPr>
        <w:rFonts w:ascii="Courier New" w:hAnsi="Courier New" w:cs="Courier New" w:hint="default"/>
      </w:rPr>
    </w:lvl>
    <w:lvl w:ilvl="8" w:tplc="EB8ACBAC">
      <w:start w:val="1"/>
      <w:numFmt w:val="bullet"/>
      <w:lvlText w:val=""/>
      <w:lvlJc w:val="left"/>
      <w:pPr>
        <w:tabs>
          <w:tab w:val="num" w:pos="6764"/>
        </w:tabs>
        <w:ind w:left="6764" w:hanging="360"/>
      </w:pPr>
      <w:rPr>
        <w:rFonts w:ascii="Wingdings" w:hAnsi="Wingdings" w:cs="Wingdings" w:hint="default"/>
      </w:rPr>
    </w:lvl>
  </w:abstractNum>
  <w:abstractNum w:abstractNumId="39" w15:restartNumberingAfterBreak="0">
    <w:nsid w:val="16D819E2"/>
    <w:multiLevelType w:val="multilevel"/>
    <w:tmpl w:val="225EBBB0"/>
    <w:lvl w:ilvl="0">
      <w:start w:val="1"/>
      <w:numFmt w:val="bullet"/>
      <w:pStyle w:val="Bullet1"/>
      <w:lvlText w:val=""/>
      <w:lvlJc w:val="left"/>
      <w:pPr>
        <w:tabs>
          <w:tab w:val="num" w:pos="284"/>
        </w:tabs>
        <w:ind w:left="284" w:hanging="284"/>
      </w:pPr>
      <w:rPr>
        <w:rFonts w:ascii="Wingdings 2" w:hAnsi="Wingdings 2" w:cs="Times New Roman" w:hint="default"/>
        <w:color w:val="auto"/>
        <w:sz w:val="20"/>
        <w:szCs w:val="24"/>
      </w:rPr>
    </w:lvl>
    <w:lvl w:ilvl="1">
      <w:start w:val="1"/>
      <w:numFmt w:val="bullet"/>
      <w:pStyle w:val="Bullet2"/>
      <w:lvlText w:val=""/>
      <w:lvlJc w:val="left"/>
      <w:pPr>
        <w:tabs>
          <w:tab w:val="num" w:pos="567"/>
        </w:tabs>
        <w:ind w:left="567" w:hanging="283"/>
      </w:pPr>
      <w:rPr>
        <w:rFonts w:ascii="Symbol" w:hAnsi="Symbol" w:cs="Times New Roman" w:hint="default"/>
        <w:color w:val="auto"/>
        <w:szCs w:val="24"/>
      </w:rPr>
    </w:lvl>
    <w:lvl w:ilvl="2">
      <w:start w:val="1"/>
      <w:numFmt w:val="bullet"/>
      <w:pStyle w:val="Bullet3"/>
      <w:lvlText w:val=""/>
      <w:lvlJc w:val="left"/>
      <w:pPr>
        <w:tabs>
          <w:tab w:val="num" w:pos="851"/>
        </w:tabs>
        <w:ind w:left="851" w:hanging="284"/>
      </w:pPr>
      <w:rPr>
        <w:rFonts w:ascii="Symbol" w:hAnsi="Symbol" w:cs="Times New Roman" w:hint="default"/>
        <w:color w:val="auto"/>
        <w:szCs w:val="24"/>
      </w:rPr>
    </w:lvl>
    <w:lvl w:ilvl="3">
      <w:start w:val="1"/>
      <w:numFmt w:val="bullet"/>
      <w:lvlText w:val=""/>
      <w:lvlJc w:val="left"/>
      <w:pPr>
        <w:tabs>
          <w:tab w:val="num" w:pos="1440"/>
        </w:tabs>
        <w:ind w:left="1440" w:hanging="360"/>
      </w:pPr>
      <w:rPr>
        <w:rFonts w:ascii="Symbol" w:hAnsi="Symbol" w:cs="Times New Roman"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0" w15:restartNumberingAfterBreak="0">
    <w:nsid w:val="17346CB2"/>
    <w:multiLevelType w:val="multilevel"/>
    <w:tmpl w:val="87A6962E"/>
    <w:lvl w:ilvl="0">
      <w:start w:val="1"/>
      <w:numFmt w:val="decimal"/>
      <w:pStyle w:val="Listanumere"/>
      <w:lvlText w:val="%1."/>
      <w:lvlJc w:val="right"/>
      <w:pPr>
        <w:ind w:left="567" w:hanging="283"/>
      </w:pPr>
      <w:rPr>
        <w:rFonts w:hint="default"/>
      </w:rPr>
    </w:lvl>
    <w:lvl w:ilvl="1">
      <w:start w:val="1"/>
      <w:numFmt w:val="decimal"/>
      <w:lvlText w:val="%2)"/>
      <w:lvlJc w:val="left"/>
      <w:pPr>
        <w:ind w:left="1134" w:hanging="283"/>
      </w:pPr>
      <w:rPr>
        <w:rFonts w:hint="default"/>
      </w:rPr>
    </w:lvl>
    <w:lvl w:ilvl="2">
      <w:start w:val="1"/>
      <w:numFmt w:val="lowerRoman"/>
      <w:lvlText w:val="%3."/>
      <w:lvlJc w:val="right"/>
      <w:pPr>
        <w:ind w:left="1701" w:hanging="283"/>
      </w:pPr>
      <w:rPr>
        <w:rFonts w:hint="default"/>
      </w:rPr>
    </w:lvl>
    <w:lvl w:ilvl="3">
      <w:start w:val="1"/>
      <w:numFmt w:val="decimal"/>
      <w:lvlText w:val="%4."/>
      <w:lvlJc w:val="left"/>
      <w:pPr>
        <w:ind w:left="2268" w:hanging="283"/>
      </w:pPr>
      <w:rPr>
        <w:rFonts w:hint="default"/>
      </w:rPr>
    </w:lvl>
    <w:lvl w:ilvl="4">
      <w:start w:val="1"/>
      <w:numFmt w:val="lowerLetter"/>
      <w:lvlText w:val="%5."/>
      <w:lvlJc w:val="left"/>
      <w:pPr>
        <w:ind w:left="2835" w:hanging="283"/>
      </w:pPr>
      <w:rPr>
        <w:rFonts w:hint="default"/>
      </w:rPr>
    </w:lvl>
    <w:lvl w:ilvl="5">
      <w:start w:val="1"/>
      <w:numFmt w:val="lowerRoman"/>
      <w:lvlText w:val="%6."/>
      <w:lvlJc w:val="right"/>
      <w:pPr>
        <w:ind w:left="3402" w:hanging="283"/>
      </w:pPr>
      <w:rPr>
        <w:rFonts w:hint="default"/>
      </w:rPr>
    </w:lvl>
    <w:lvl w:ilvl="6">
      <w:start w:val="1"/>
      <w:numFmt w:val="decimal"/>
      <w:lvlText w:val="%7."/>
      <w:lvlJc w:val="left"/>
      <w:pPr>
        <w:ind w:left="3969" w:hanging="283"/>
      </w:pPr>
      <w:rPr>
        <w:rFonts w:hint="default"/>
      </w:rPr>
    </w:lvl>
    <w:lvl w:ilvl="7">
      <w:start w:val="1"/>
      <w:numFmt w:val="lowerLetter"/>
      <w:lvlText w:val="%8."/>
      <w:lvlJc w:val="left"/>
      <w:pPr>
        <w:ind w:left="4536" w:hanging="283"/>
      </w:pPr>
      <w:rPr>
        <w:rFonts w:hint="default"/>
      </w:rPr>
    </w:lvl>
    <w:lvl w:ilvl="8">
      <w:start w:val="1"/>
      <w:numFmt w:val="lowerRoman"/>
      <w:lvlText w:val="%9."/>
      <w:lvlJc w:val="right"/>
      <w:pPr>
        <w:ind w:left="5103" w:hanging="283"/>
      </w:pPr>
      <w:rPr>
        <w:rFonts w:hint="default"/>
      </w:rPr>
    </w:lvl>
  </w:abstractNum>
  <w:abstractNum w:abstractNumId="41" w15:restartNumberingAfterBreak="0">
    <w:nsid w:val="178C0547"/>
    <w:multiLevelType w:val="singleLevel"/>
    <w:tmpl w:val="F1783EB4"/>
    <w:lvl w:ilvl="0">
      <w:numFmt w:val="decimal"/>
      <w:pStyle w:val="nummering1"/>
      <w:lvlText w:val=""/>
      <w:lvlJc w:val="left"/>
      <w:pPr>
        <w:ind w:left="0" w:firstLine="0"/>
      </w:pPr>
    </w:lvl>
  </w:abstractNum>
  <w:abstractNum w:abstractNumId="42" w15:restartNumberingAfterBreak="0">
    <w:nsid w:val="1AA97697"/>
    <w:multiLevelType w:val="multilevel"/>
    <w:tmpl w:val="A4C838AE"/>
    <w:lvl w:ilvl="0">
      <w:start w:val="1"/>
      <w:numFmt w:val="decimal"/>
      <w:pStyle w:val="Style165"/>
      <w:lvlText w:val="Tabel 4.3.1.2.%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3" w15:restartNumberingAfterBreak="0">
    <w:nsid w:val="1AE502DC"/>
    <w:multiLevelType w:val="hybridMultilevel"/>
    <w:tmpl w:val="E62EEF36"/>
    <w:lvl w:ilvl="0" w:tplc="04180001">
      <w:start w:val="1"/>
      <w:numFmt w:val="bullet"/>
      <w:lvlText w:val=""/>
      <w:lvlJc w:val="left"/>
      <w:pPr>
        <w:ind w:left="760" w:hanging="360"/>
      </w:pPr>
      <w:rPr>
        <w:rFonts w:ascii="Symbol" w:hAnsi="Symbol" w:hint="default"/>
      </w:rPr>
    </w:lvl>
    <w:lvl w:ilvl="1" w:tplc="04180003" w:tentative="1">
      <w:start w:val="1"/>
      <w:numFmt w:val="bullet"/>
      <w:lvlText w:val="o"/>
      <w:lvlJc w:val="left"/>
      <w:pPr>
        <w:ind w:left="1480" w:hanging="360"/>
      </w:pPr>
      <w:rPr>
        <w:rFonts w:ascii="Courier New" w:hAnsi="Courier New" w:cs="Courier New" w:hint="default"/>
      </w:rPr>
    </w:lvl>
    <w:lvl w:ilvl="2" w:tplc="04180005" w:tentative="1">
      <w:start w:val="1"/>
      <w:numFmt w:val="bullet"/>
      <w:lvlText w:val=""/>
      <w:lvlJc w:val="left"/>
      <w:pPr>
        <w:ind w:left="2200" w:hanging="360"/>
      </w:pPr>
      <w:rPr>
        <w:rFonts w:ascii="Wingdings" w:hAnsi="Wingdings" w:hint="default"/>
      </w:rPr>
    </w:lvl>
    <w:lvl w:ilvl="3" w:tplc="04180001" w:tentative="1">
      <w:start w:val="1"/>
      <w:numFmt w:val="bullet"/>
      <w:lvlText w:val=""/>
      <w:lvlJc w:val="left"/>
      <w:pPr>
        <w:ind w:left="2920" w:hanging="360"/>
      </w:pPr>
      <w:rPr>
        <w:rFonts w:ascii="Symbol" w:hAnsi="Symbol" w:hint="default"/>
      </w:rPr>
    </w:lvl>
    <w:lvl w:ilvl="4" w:tplc="04180003" w:tentative="1">
      <w:start w:val="1"/>
      <w:numFmt w:val="bullet"/>
      <w:lvlText w:val="o"/>
      <w:lvlJc w:val="left"/>
      <w:pPr>
        <w:ind w:left="3640" w:hanging="360"/>
      </w:pPr>
      <w:rPr>
        <w:rFonts w:ascii="Courier New" w:hAnsi="Courier New" w:cs="Courier New" w:hint="default"/>
      </w:rPr>
    </w:lvl>
    <w:lvl w:ilvl="5" w:tplc="04180005" w:tentative="1">
      <w:start w:val="1"/>
      <w:numFmt w:val="bullet"/>
      <w:lvlText w:val=""/>
      <w:lvlJc w:val="left"/>
      <w:pPr>
        <w:ind w:left="4360" w:hanging="360"/>
      </w:pPr>
      <w:rPr>
        <w:rFonts w:ascii="Wingdings" w:hAnsi="Wingdings" w:hint="default"/>
      </w:rPr>
    </w:lvl>
    <w:lvl w:ilvl="6" w:tplc="04180001" w:tentative="1">
      <w:start w:val="1"/>
      <w:numFmt w:val="bullet"/>
      <w:lvlText w:val=""/>
      <w:lvlJc w:val="left"/>
      <w:pPr>
        <w:ind w:left="5080" w:hanging="360"/>
      </w:pPr>
      <w:rPr>
        <w:rFonts w:ascii="Symbol" w:hAnsi="Symbol" w:hint="default"/>
      </w:rPr>
    </w:lvl>
    <w:lvl w:ilvl="7" w:tplc="04180003" w:tentative="1">
      <w:start w:val="1"/>
      <w:numFmt w:val="bullet"/>
      <w:lvlText w:val="o"/>
      <w:lvlJc w:val="left"/>
      <w:pPr>
        <w:ind w:left="5800" w:hanging="360"/>
      </w:pPr>
      <w:rPr>
        <w:rFonts w:ascii="Courier New" w:hAnsi="Courier New" w:cs="Courier New" w:hint="default"/>
      </w:rPr>
    </w:lvl>
    <w:lvl w:ilvl="8" w:tplc="04180005" w:tentative="1">
      <w:start w:val="1"/>
      <w:numFmt w:val="bullet"/>
      <w:lvlText w:val=""/>
      <w:lvlJc w:val="left"/>
      <w:pPr>
        <w:ind w:left="6520" w:hanging="360"/>
      </w:pPr>
      <w:rPr>
        <w:rFonts w:ascii="Wingdings" w:hAnsi="Wingdings" w:hint="default"/>
      </w:rPr>
    </w:lvl>
  </w:abstractNum>
  <w:abstractNum w:abstractNumId="44" w15:restartNumberingAfterBreak="0">
    <w:nsid w:val="1B314BA2"/>
    <w:multiLevelType w:val="hybridMultilevel"/>
    <w:tmpl w:val="5C0CCC7A"/>
    <w:lvl w:ilvl="0" w:tplc="04180001">
      <w:start w:val="1"/>
      <w:numFmt w:val="bullet"/>
      <w:pStyle w:val="Tablebullet1"/>
      <w:lvlText w:val=""/>
      <w:lvlJc w:val="left"/>
      <w:pPr>
        <w:ind w:left="360" w:hanging="360"/>
      </w:pPr>
      <w:rPr>
        <w:rFonts w:ascii="Wingdings 2" w:hAnsi="Wingdings 2" w:hint="default"/>
        <w:color w:val="A1DFEE"/>
        <w:sz w:val="22"/>
        <w:szCs w:val="22"/>
      </w:rPr>
    </w:lvl>
    <w:lvl w:ilvl="1" w:tplc="04180003" w:tentative="1">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1B44244A"/>
    <w:multiLevelType w:val="hybridMultilevel"/>
    <w:tmpl w:val="9F9CB8A4"/>
    <w:lvl w:ilvl="0" w:tplc="FFFFFFFF">
      <w:start w:val="1"/>
      <w:numFmt w:val="decimal"/>
      <w:lvlText w:val="OM%1."/>
      <w:lvlJc w:val="left"/>
      <w:pPr>
        <w:ind w:left="643"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1BB70471"/>
    <w:multiLevelType w:val="hybridMultilevel"/>
    <w:tmpl w:val="283CD8FA"/>
    <w:lvl w:ilvl="0" w:tplc="E2E2AB90">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7" w15:restartNumberingAfterBreak="0">
    <w:nsid w:val="1C327301"/>
    <w:multiLevelType w:val="multilevel"/>
    <w:tmpl w:val="5FBE6DB2"/>
    <w:lvl w:ilvl="0">
      <w:start w:val="3"/>
      <w:numFmt w:val="decimal"/>
      <w:pStyle w:val="Formatvorlageberschrift2FettBlockLinks0cmErsteZeile0cm"/>
      <w:lvlText w:val="%1"/>
      <w:lvlJc w:val="left"/>
      <w:pPr>
        <w:tabs>
          <w:tab w:val="num" w:pos="432"/>
        </w:tabs>
        <w:ind w:left="432" w:hanging="432"/>
      </w:pPr>
      <w:rPr>
        <w:rFonts w:hint="default"/>
      </w:rPr>
    </w:lvl>
    <w:lvl w:ilvl="1">
      <w:start w:val="1"/>
      <w:numFmt w:val="decimal"/>
      <w:pStyle w:val="Formatvorlageberschrift2FettBlockLinks0cmErsteZeile0cm"/>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292"/>
        </w:tabs>
        <w:ind w:left="1292"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8" w15:restartNumberingAfterBreak="0">
    <w:nsid w:val="1C4066FA"/>
    <w:multiLevelType w:val="hybridMultilevel"/>
    <w:tmpl w:val="60DEB6FA"/>
    <w:styleLink w:val="Bumbi111"/>
    <w:lvl w:ilvl="0" w:tplc="28BE4542">
      <w:start w:val="1"/>
      <w:numFmt w:val="bullet"/>
      <w:lvlText w:val="-"/>
      <w:lvlJc w:val="left"/>
      <w:pPr>
        <w:tabs>
          <w:tab w:val="num" w:pos="1080"/>
        </w:tabs>
        <w:ind w:left="1080" w:hanging="360"/>
      </w:pPr>
      <w:rPr>
        <w:rFonts w:ascii="Arial" w:eastAsia="Times New Roman" w:hAnsi="Arial" w:cs="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9" w15:restartNumberingAfterBreak="0">
    <w:nsid w:val="1CDD131F"/>
    <w:multiLevelType w:val="hybridMultilevel"/>
    <w:tmpl w:val="9F9CB8A4"/>
    <w:lvl w:ilvl="0" w:tplc="FFFFFFFF">
      <w:start w:val="1"/>
      <w:numFmt w:val="decimal"/>
      <w:lvlText w:val="OM%1."/>
      <w:lvlJc w:val="left"/>
      <w:pPr>
        <w:ind w:left="643"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1CEF3A1C"/>
    <w:multiLevelType w:val="hybridMultilevel"/>
    <w:tmpl w:val="27B477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1" w15:restartNumberingAfterBreak="0">
    <w:nsid w:val="1D0B76AB"/>
    <w:multiLevelType w:val="hybridMultilevel"/>
    <w:tmpl w:val="95E29B2A"/>
    <w:lvl w:ilvl="0" w:tplc="04180001">
      <w:start w:val="1"/>
      <w:numFmt w:val="bullet"/>
      <w:lvlText w:val=""/>
      <w:lvlJc w:val="left"/>
      <w:pPr>
        <w:ind w:left="1080" w:hanging="720"/>
      </w:pPr>
      <w:rPr>
        <w:rFonts w:ascii="Symbol" w:hAnsi="Symbol" w:hint="default"/>
        <w:sz w:val="22"/>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2" w15:restartNumberingAfterBreak="0">
    <w:nsid w:val="1DA6277C"/>
    <w:multiLevelType w:val="hybridMultilevel"/>
    <w:tmpl w:val="9D72B6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1DE21401"/>
    <w:multiLevelType w:val="hybridMultilevel"/>
    <w:tmpl w:val="44BE8A5C"/>
    <w:styleLink w:val="Bullets-normal"/>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4" w15:restartNumberingAfterBreak="0">
    <w:nsid w:val="1DE50971"/>
    <w:multiLevelType w:val="singleLevel"/>
    <w:tmpl w:val="31725350"/>
    <w:lvl w:ilvl="0">
      <w:start w:val="1"/>
      <w:numFmt w:val="bullet"/>
      <w:pStyle w:val="Listapoints"/>
      <w:lvlText w:val=""/>
      <w:lvlJc w:val="left"/>
      <w:pPr>
        <w:tabs>
          <w:tab w:val="num" w:pos="360"/>
        </w:tabs>
        <w:ind w:left="360" w:hanging="360"/>
      </w:pPr>
      <w:rPr>
        <w:rFonts w:ascii="Symbol" w:hAnsi="Symbol" w:hint="default"/>
      </w:rPr>
    </w:lvl>
  </w:abstractNum>
  <w:abstractNum w:abstractNumId="55" w15:restartNumberingAfterBreak="0">
    <w:nsid w:val="1F506FDE"/>
    <w:multiLevelType w:val="hybridMultilevel"/>
    <w:tmpl w:val="D7FC8D3E"/>
    <w:lvl w:ilvl="0" w:tplc="04180001">
      <w:start w:val="1"/>
      <w:numFmt w:val="bullet"/>
      <w:lvlText w:val=""/>
      <w:lvlJc w:val="left"/>
      <w:pPr>
        <w:ind w:left="760" w:hanging="360"/>
      </w:pPr>
      <w:rPr>
        <w:rFonts w:ascii="Symbol" w:hAnsi="Symbol" w:hint="default"/>
      </w:rPr>
    </w:lvl>
    <w:lvl w:ilvl="1" w:tplc="04180003" w:tentative="1">
      <w:start w:val="1"/>
      <w:numFmt w:val="bullet"/>
      <w:lvlText w:val="o"/>
      <w:lvlJc w:val="left"/>
      <w:pPr>
        <w:ind w:left="1480" w:hanging="360"/>
      </w:pPr>
      <w:rPr>
        <w:rFonts w:ascii="Courier New" w:hAnsi="Courier New" w:cs="Courier New" w:hint="default"/>
      </w:rPr>
    </w:lvl>
    <w:lvl w:ilvl="2" w:tplc="04180005" w:tentative="1">
      <w:start w:val="1"/>
      <w:numFmt w:val="bullet"/>
      <w:lvlText w:val=""/>
      <w:lvlJc w:val="left"/>
      <w:pPr>
        <w:ind w:left="2200" w:hanging="360"/>
      </w:pPr>
      <w:rPr>
        <w:rFonts w:ascii="Wingdings" w:hAnsi="Wingdings" w:hint="default"/>
      </w:rPr>
    </w:lvl>
    <w:lvl w:ilvl="3" w:tplc="04180001" w:tentative="1">
      <w:start w:val="1"/>
      <w:numFmt w:val="bullet"/>
      <w:lvlText w:val=""/>
      <w:lvlJc w:val="left"/>
      <w:pPr>
        <w:ind w:left="2920" w:hanging="360"/>
      </w:pPr>
      <w:rPr>
        <w:rFonts w:ascii="Symbol" w:hAnsi="Symbol" w:hint="default"/>
      </w:rPr>
    </w:lvl>
    <w:lvl w:ilvl="4" w:tplc="04180003" w:tentative="1">
      <w:start w:val="1"/>
      <w:numFmt w:val="bullet"/>
      <w:lvlText w:val="o"/>
      <w:lvlJc w:val="left"/>
      <w:pPr>
        <w:ind w:left="3640" w:hanging="360"/>
      </w:pPr>
      <w:rPr>
        <w:rFonts w:ascii="Courier New" w:hAnsi="Courier New" w:cs="Courier New" w:hint="default"/>
      </w:rPr>
    </w:lvl>
    <w:lvl w:ilvl="5" w:tplc="04180005" w:tentative="1">
      <w:start w:val="1"/>
      <w:numFmt w:val="bullet"/>
      <w:lvlText w:val=""/>
      <w:lvlJc w:val="left"/>
      <w:pPr>
        <w:ind w:left="4360" w:hanging="360"/>
      </w:pPr>
      <w:rPr>
        <w:rFonts w:ascii="Wingdings" w:hAnsi="Wingdings" w:hint="default"/>
      </w:rPr>
    </w:lvl>
    <w:lvl w:ilvl="6" w:tplc="04180001" w:tentative="1">
      <w:start w:val="1"/>
      <w:numFmt w:val="bullet"/>
      <w:lvlText w:val=""/>
      <w:lvlJc w:val="left"/>
      <w:pPr>
        <w:ind w:left="5080" w:hanging="360"/>
      </w:pPr>
      <w:rPr>
        <w:rFonts w:ascii="Symbol" w:hAnsi="Symbol" w:hint="default"/>
      </w:rPr>
    </w:lvl>
    <w:lvl w:ilvl="7" w:tplc="04180003" w:tentative="1">
      <w:start w:val="1"/>
      <w:numFmt w:val="bullet"/>
      <w:lvlText w:val="o"/>
      <w:lvlJc w:val="left"/>
      <w:pPr>
        <w:ind w:left="5800" w:hanging="360"/>
      </w:pPr>
      <w:rPr>
        <w:rFonts w:ascii="Courier New" w:hAnsi="Courier New" w:cs="Courier New" w:hint="default"/>
      </w:rPr>
    </w:lvl>
    <w:lvl w:ilvl="8" w:tplc="04180005" w:tentative="1">
      <w:start w:val="1"/>
      <w:numFmt w:val="bullet"/>
      <w:lvlText w:val=""/>
      <w:lvlJc w:val="left"/>
      <w:pPr>
        <w:ind w:left="6520" w:hanging="360"/>
      </w:pPr>
      <w:rPr>
        <w:rFonts w:ascii="Wingdings" w:hAnsi="Wingdings" w:hint="default"/>
      </w:rPr>
    </w:lvl>
  </w:abstractNum>
  <w:abstractNum w:abstractNumId="56" w15:restartNumberingAfterBreak="0">
    <w:nsid w:val="21526E48"/>
    <w:multiLevelType w:val="hybridMultilevel"/>
    <w:tmpl w:val="FC168EA2"/>
    <w:lvl w:ilvl="0" w:tplc="FFFFFFFF">
      <w:start w:val="1"/>
      <w:numFmt w:val="decimal"/>
      <w:lvlText w:val="OM%1."/>
      <w:lvlJc w:val="left"/>
      <w:pPr>
        <w:ind w:left="643"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21CF24F2"/>
    <w:multiLevelType w:val="hybridMultilevel"/>
    <w:tmpl w:val="FFFFFFFF"/>
    <w:lvl w:ilvl="0" w:tplc="644AFE28">
      <w:start w:val="1"/>
      <w:numFmt w:val="bullet"/>
      <w:lvlText w:val=""/>
      <w:lvlJc w:val="left"/>
      <w:pPr>
        <w:ind w:left="720" w:hanging="360"/>
      </w:pPr>
      <w:rPr>
        <w:rFonts w:ascii="Symbol" w:hAnsi="Symbol" w:hint="default"/>
      </w:rPr>
    </w:lvl>
    <w:lvl w:ilvl="1" w:tplc="FCBC6872">
      <w:start w:val="1"/>
      <w:numFmt w:val="bullet"/>
      <w:lvlText w:val="o"/>
      <w:lvlJc w:val="left"/>
      <w:pPr>
        <w:ind w:left="1440" w:hanging="360"/>
      </w:pPr>
      <w:rPr>
        <w:rFonts w:ascii="Courier New" w:hAnsi="Courier New" w:hint="default"/>
      </w:rPr>
    </w:lvl>
    <w:lvl w:ilvl="2" w:tplc="69403A20">
      <w:start w:val="1"/>
      <w:numFmt w:val="bullet"/>
      <w:lvlText w:val=""/>
      <w:lvlJc w:val="left"/>
      <w:pPr>
        <w:ind w:left="2160" w:hanging="360"/>
      </w:pPr>
      <w:rPr>
        <w:rFonts w:ascii="Wingdings" w:hAnsi="Wingdings" w:hint="default"/>
      </w:rPr>
    </w:lvl>
    <w:lvl w:ilvl="3" w:tplc="6DEA18E2">
      <w:start w:val="1"/>
      <w:numFmt w:val="bullet"/>
      <w:lvlText w:val=""/>
      <w:lvlJc w:val="left"/>
      <w:pPr>
        <w:ind w:left="2880" w:hanging="360"/>
      </w:pPr>
      <w:rPr>
        <w:rFonts w:ascii="Symbol" w:hAnsi="Symbol" w:hint="default"/>
      </w:rPr>
    </w:lvl>
    <w:lvl w:ilvl="4" w:tplc="EE6427D6">
      <w:start w:val="1"/>
      <w:numFmt w:val="bullet"/>
      <w:lvlText w:val="o"/>
      <w:lvlJc w:val="left"/>
      <w:pPr>
        <w:ind w:left="3600" w:hanging="360"/>
      </w:pPr>
      <w:rPr>
        <w:rFonts w:ascii="Courier New" w:hAnsi="Courier New" w:hint="default"/>
      </w:rPr>
    </w:lvl>
    <w:lvl w:ilvl="5" w:tplc="9C5C204E">
      <w:start w:val="1"/>
      <w:numFmt w:val="bullet"/>
      <w:lvlText w:val=""/>
      <w:lvlJc w:val="left"/>
      <w:pPr>
        <w:ind w:left="4320" w:hanging="360"/>
      </w:pPr>
      <w:rPr>
        <w:rFonts w:ascii="Wingdings" w:hAnsi="Wingdings" w:hint="default"/>
      </w:rPr>
    </w:lvl>
    <w:lvl w:ilvl="6" w:tplc="B05EB842">
      <w:start w:val="1"/>
      <w:numFmt w:val="bullet"/>
      <w:lvlText w:val=""/>
      <w:lvlJc w:val="left"/>
      <w:pPr>
        <w:ind w:left="5040" w:hanging="360"/>
      </w:pPr>
      <w:rPr>
        <w:rFonts w:ascii="Symbol" w:hAnsi="Symbol" w:hint="default"/>
      </w:rPr>
    </w:lvl>
    <w:lvl w:ilvl="7" w:tplc="7124EDAA">
      <w:start w:val="1"/>
      <w:numFmt w:val="bullet"/>
      <w:lvlText w:val="o"/>
      <w:lvlJc w:val="left"/>
      <w:pPr>
        <w:ind w:left="5760" w:hanging="360"/>
      </w:pPr>
      <w:rPr>
        <w:rFonts w:ascii="Courier New" w:hAnsi="Courier New" w:hint="default"/>
      </w:rPr>
    </w:lvl>
    <w:lvl w:ilvl="8" w:tplc="39026E80">
      <w:start w:val="1"/>
      <w:numFmt w:val="bullet"/>
      <w:lvlText w:val=""/>
      <w:lvlJc w:val="left"/>
      <w:pPr>
        <w:ind w:left="6480" w:hanging="360"/>
      </w:pPr>
      <w:rPr>
        <w:rFonts w:ascii="Wingdings" w:hAnsi="Wingdings" w:hint="default"/>
      </w:rPr>
    </w:lvl>
  </w:abstractNum>
  <w:abstractNum w:abstractNumId="58" w15:restartNumberingAfterBreak="0">
    <w:nsid w:val="226A041C"/>
    <w:multiLevelType w:val="hybridMultilevel"/>
    <w:tmpl w:val="B8BA6D6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9" w15:restartNumberingAfterBreak="0">
    <w:nsid w:val="22E14143"/>
    <w:multiLevelType w:val="hybridMultilevel"/>
    <w:tmpl w:val="4B267E56"/>
    <w:lvl w:ilvl="0" w:tplc="0418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60" w15:restartNumberingAfterBreak="0">
    <w:nsid w:val="23E424B6"/>
    <w:multiLevelType w:val="hybridMultilevel"/>
    <w:tmpl w:val="1276943E"/>
    <w:lvl w:ilvl="0" w:tplc="04180001">
      <w:start w:val="1"/>
      <w:numFmt w:val="bullet"/>
      <w:lvlText w:val=""/>
      <w:lvlJc w:val="left"/>
      <w:pPr>
        <w:ind w:left="700" w:hanging="360"/>
      </w:pPr>
      <w:rPr>
        <w:rFonts w:ascii="Symbol" w:hAnsi="Symbol" w:hint="default"/>
      </w:rPr>
    </w:lvl>
    <w:lvl w:ilvl="1" w:tplc="04180003" w:tentative="1">
      <w:start w:val="1"/>
      <w:numFmt w:val="bullet"/>
      <w:lvlText w:val="o"/>
      <w:lvlJc w:val="left"/>
      <w:pPr>
        <w:ind w:left="1420" w:hanging="360"/>
      </w:pPr>
      <w:rPr>
        <w:rFonts w:ascii="Courier New" w:hAnsi="Courier New" w:cs="Courier New" w:hint="default"/>
      </w:rPr>
    </w:lvl>
    <w:lvl w:ilvl="2" w:tplc="04180005" w:tentative="1">
      <w:start w:val="1"/>
      <w:numFmt w:val="bullet"/>
      <w:lvlText w:val=""/>
      <w:lvlJc w:val="left"/>
      <w:pPr>
        <w:ind w:left="2140" w:hanging="360"/>
      </w:pPr>
      <w:rPr>
        <w:rFonts w:ascii="Wingdings" w:hAnsi="Wingdings" w:hint="default"/>
      </w:rPr>
    </w:lvl>
    <w:lvl w:ilvl="3" w:tplc="04180001" w:tentative="1">
      <w:start w:val="1"/>
      <w:numFmt w:val="bullet"/>
      <w:lvlText w:val=""/>
      <w:lvlJc w:val="left"/>
      <w:pPr>
        <w:ind w:left="2860" w:hanging="360"/>
      </w:pPr>
      <w:rPr>
        <w:rFonts w:ascii="Symbol" w:hAnsi="Symbol" w:hint="default"/>
      </w:rPr>
    </w:lvl>
    <w:lvl w:ilvl="4" w:tplc="04180003" w:tentative="1">
      <w:start w:val="1"/>
      <w:numFmt w:val="bullet"/>
      <w:lvlText w:val="o"/>
      <w:lvlJc w:val="left"/>
      <w:pPr>
        <w:ind w:left="3580" w:hanging="360"/>
      </w:pPr>
      <w:rPr>
        <w:rFonts w:ascii="Courier New" w:hAnsi="Courier New" w:cs="Courier New" w:hint="default"/>
      </w:rPr>
    </w:lvl>
    <w:lvl w:ilvl="5" w:tplc="04180005" w:tentative="1">
      <w:start w:val="1"/>
      <w:numFmt w:val="bullet"/>
      <w:lvlText w:val=""/>
      <w:lvlJc w:val="left"/>
      <w:pPr>
        <w:ind w:left="4300" w:hanging="360"/>
      </w:pPr>
      <w:rPr>
        <w:rFonts w:ascii="Wingdings" w:hAnsi="Wingdings" w:hint="default"/>
      </w:rPr>
    </w:lvl>
    <w:lvl w:ilvl="6" w:tplc="04180001" w:tentative="1">
      <w:start w:val="1"/>
      <w:numFmt w:val="bullet"/>
      <w:lvlText w:val=""/>
      <w:lvlJc w:val="left"/>
      <w:pPr>
        <w:ind w:left="5020" w:hanging="360"/>
      </w:pPr>
      <w:rPr>
        <w:rFonts w:ascii="Symbol" w:hAnsi="Symbol" w:hint="default"/>
      </w:rPr>
    </w:lvl>
    <w:lvl w:ilvl="7" w:tplc="04180003" w:tentative="1">
      <w:start w:val="1"/>
      <w:numFmt w:val="bullet"/>
      <w:lvlText w:val="o"/>
      <w:lvlJc w:val="left"/>
      <w:pPr>
        <w:ind w:left="5740" w:hanging="360"/>
      </w:pPr>
      <w:rPr>
        <w:rFonts w:ascii="Courier New" w:hAnsi="Courier New" w:cs="Courier New" w:hint="default"/>
      </w:rPr>
    </w:lvl>
    <w:lvl w:ilvl="8" w:tplc="04180005" w:tentative="1">
      <w:start w:val="1"/>
      <w:numFmt w:val="bullet"/>
      <w:lvlText w:val=""/>
      <w:lvlJc w:val="left"/>
      <w:pPr>
        <w:ind w:left="6460" w:hanging="360"/>
      </w:pPr>
      <w:rPr>
        <w:rFonts w:ascii="Wingdings" w:hAnsi="Wingdings" w:hint="default"/>
      </w:rPr>
    </w:lvl>
  </w:abstractNum>
  <w:abstractNum w:abstractNumId="61" w15:restartNumberingAfterBreak="0">
    <w:nsid w:val="24D525DC"/>
    <w:multiLevelType w:val="hybridMultilevel"/>
    <w:tmpl w:val="EC7252FA"/>
    <w:styleLink w:val="StyleBulleted8pt"/>
    <w:lvl w:ilvl="0" w:tplc="9A42668E">
      <w:start w:val="1"/>
      <w:numFmt w:val="bullet"/>
      <w:lvlText w:val="o"/>
      <w:lvlJc w:val="left"/>
      <w:pPr>
        <w:ind w:left="720" w:hanging="360"/>
      </w:pPr>
      <w:rPr>
        <w:rFonts w:ascii="Courier New" w:hAnsi="Courier New" w:hint="default"/>
      </w:rPr>
    </w:lvl>
    <w:lvl w:ilvl="1" w:tplc="E3F4C406">
      <w:start w:val="1"/>
      <w:numFmt w:val="bullet"/>
      <w:lvlText w:val="o"/>
      <w:lvlJc w:val="left"/>
      <w:pPr>
        <w:ind w:left="1440" w:hanging="360"/>
      </w:pPr>
      <w:rPr>
        <w:rFonts w:ascii="Courier New" w:hAnsi="Courier New" w:hint="default"/>
      </w:rPr>
    </w:lvl>
    <w:lvl w:ilvl="2" w:tplc="B3C66338">
      <w:start w:val="1"/>
      <w:numFmt w:val="bullet"/>
      <w:lvlText w:val=""/>
      <w:lvlJc w:val="left"/>
      <w:pPr>
        <w:ind w:left="2160" w:hanging="360"/>
      </w:pPr>
      <w:rPr>
        <w:rFonts w:ascii="Wingdings" w:hAnsi="Wingdings" w:hint="default"/>
      </w:rPr>
    </w:lvl>
    <w:lvl w:ilvl="3" w:tplc="CFDE354A">
      <w:start w:val="1"/>
      <w:numFmt w:val="bullet"/>
      <w:lvlText w:val=""/>
      <w:lvlJc w:val="left"/>
      <w:pPr>
        <w:ind w:left="2880" w:hanging="360"/>
      </w:pPr>
      <w:rPr>
        <w:rFonts w:ascii="Symbol" w:hAnsi="Symbol" w:hint="default"/>
      </w:rPr>
    </w:lvl>
    <w:lvl w:ilvl="4" w:tplc="E33AC02C">
      <w:start w:val="1"/>
      <w:numFmt w:val="bullet"/>
      <w:lvlText w:val="o"/>
      <w:lvlJc w:val="left"/>
      <w:pPr>
        <w:ind w:left="3600" w:hanging="360"/>
      </w:pPr>
      <w:rPr>
        <w:rFonts w:ascii="Courier New" w:hAnsi="Courier New" w:hint="default"/>
      </w:rPr>
    </w:lvl>
    <w:lvl w:ilvl="5" w:tplc="E06C387C">
      <w:start w:val="1"/>
      <w:numFmt w:val="bullet"/>
      <w:lvlText w:val=""/>
      <w:lvlJc w:val="left"/>
      <w:pPr>
        <w:ind w:left="4320" w:hanging="360"/>
      </w:pPr>
      <w:rPr>
        <w:rFonts w:ascii="Wingdings" w:hAnsi="Wingdings" w:hint="default"/>
      </w:rPr>
    </w:lvl>
    <w:lvl w:ilvl="6" w:tplc="36EEBFA6">
      <w:start w:val="1"/>
      <w:numFmt w:val="bullet"/>
      <w:lvlText w:val=""/>
      <w:lvlJc w:val="left"/>
      <w:pPr>
        <w:ind w:left="5040" w:hanging="360"/>
      </w:pPr>
      <w:rPr>
        <w:rFonts w:ascii="Symbol" w:hAnsi="Symbol" w:hint="default"/>
      </w:rPr>
    </w:lvl>
    <w:lvl w:ilvl="7" w:tplc="C0A2A5F0">
      <w:start w:val="1"/>
      <w:numFmt w:val="bullet"/>
      <w:lvlText w:val="o"/>
      <w:lvlJc w:val="left"/>
      <w:pPr>
        <w:ind w:left="5760" w:hanging="360"/>
      </w:pPr>
      <w:rPr>
        <w:rFonts w:ascii="Courier New" w:hAnsi="Courier New" w:hint="default"/>
      </w:rPr>
    </w:lvl>
    <w:lvl w:ilvl="8" w:tplc="72D024C2">
      <w:start w:val="1"/>
      <w:numFmt w:val="bullet"/>
      <w:lvlText w:val=""/>
      <w:lvlJc w:val="left"/>
      <w:pPr>
        <w:ind w:left="6480" w:hanging="360"/>
      </w:pPr>
      <w:rPr>
        <w:rFonts w:ascii="Wingdings" w:hAnsi="Wingdings" w:hint="default"/>
      </w:rPr>
    </w:lvl>
  </w:abstractNum>
  <w:abstractNum w:abstractNumId="62" w15:restartNumberingAfterBreak="0">
    <w:nsid w:val="25235E1B"/>
    <w:multiLevelType w:val="hybridMultilevel"/>
    <w:tmpl w:val="685E6EE2"/>
    <w:styleLink w:val="Style1193"/>
    <w:lvl w:ilvl="0" w:tplc="54383F22">
      <w:start w:val="4"/>
      <w:numFmt w:val="lowerRoman"/>
      <w:lvlText w:val="%1."/>
      <w:lvlJc w:val="left"/>
      <w:pPr>
        <w:ind w:left="452" w:hanging="271"/>
      </w:pPr>
      <w:rPr>
        <w:rFonts w:ascii="Times New Roman" w:eastAsia="Times New Roman" w:hAnsi="Times New Roman" w:cs="Times New Roman" w:hint="default"/>
        <w:i/>
        <w:w w:val="100"/>
        <w:sz w:val="22"/>
        <w:szCs w:val="22"/>
        <w:u w:val="single" w:color="000000"/>
        <w:lang w:val="en-US" w:eastAsia="en-US" w:bidi="en-US"/>
      </w:rPr>
    </w:lvl>
    <w:lvl w:ilvl="1" w:tplc="8B6C594A">
      <w:numFmt w:val="bullet"/>
      <w:lvlText w:val=""/>
      <w:lvlJc w:val="left"/>
      <w:pPr>
        <w:ind w:left="901" w:hanging="360"/>
      </w:pPr>
      <w:rPr>
        <w:rFonts w:ascii="Symbol" w:eastAsia="Symbol" w:hAnsi="Symbol" w:cs="Symbol" w:hint="default"/>
        <w:w w:val="100"/>
        <w:sz w:val="22"/>
        <w:szCs w:val="22"/>
        <w:lang w:val="en-US" w:eastAsia="en-US" w:bidi="en-US"/>
      </w:rPr>
    </w:lvl>
    <w:lvl w:ilvl="2" w:tplc="CBC62908">
      <w:numFmt w:val="bullet"/>
      <w:lvlText w:val="•"/>
      <w:lvlJc w:val="left"/>
      <w:pPr>
        <w:ind w:left="1918" w:hanging="360"/>
      </w:pPr>
      <w:rPr>
        <w:lang w:val="en-US" w:eastAsia="en-US" w:bidi="en-US"/>
      </w:rPr>
    </w:lvl>
    <w:lvl w:ilvl="3" w:tplc="A0D0FE36">
      <w:numFmt w:val="bullet"/>
      <w:lvlText w:val="•"/>
      <w:lvlJc w:val="left"/>
      <w:pPr>
        <w:ind w:left="2936" w:hanging="360"/>
      </w:pPr>
      <w:rPr>
        <w:lang w:val="en-US" w:eastAsia="en-US" w:bidi="en-US"/>
      </w:rPr>
    </w:lvl>
    <w:lvl w:ilvl="4" w:tplc="0F5CAD24">
      <w:numFmt w:val="bullet"/>
      <w:lvlText w:val="•"/>
      <w:lvlJc w:val="left"/>
      <w:pPr>
        <w:ind w:left="3955" w:hanging="360"/>
      </w:pPr>
      <w:rPr>
        <w:lang w:val="en-US" w:eastAsia="en-US" w:bidi="en-US"/>
      </w:rPr>
    </w:lvl>
    <w:lvl w:ilvl="5" w:tplc="C60E93BA">
      <w:numFmt w:val="bullet"/>
      <w:lvlText w:val="•"/>
      <w:lvlJc w:val="left"/>
      <w:pPr>
        <w:ind w:left="4973" w:hanging="360"/>
      </w:pPr>
      <w:rPr>
        <w:lang w:val="en-US" w:eastAsia="en-US" w:bidi="en-US"/>
      </w:rPr>
    </w:lvl>
    <w:lvl w:ilvl="6" w:tplc="E502339A">
      <w:numFmt w:val="bullet"/>
      <w:lvlText w:val="•"/>
      <w:lvlJc w:val="left"/>
      <w:pPr>
        <w:ind w:left="5992" w:hanging="360"/>
      </w:pPr>
      <w:rPr>
        <w:lang w:val="en-US" w:eastAsia="en-US" w:bidi="en-US"/>
      </w:rPr>
    </w:lvl>
    <w:lvl w:ilvl="7" w:tplc="19A05E50">
      <w:numFmt w:val="bullet"/>
      <w:lvlText w:val="•"/>
      <w:lvlJc w:val="left"/>
      <w:pPr>
        <w:ind w:left="7010" w:hanging="360"/>
      </w:pPr>
      <w:rPr>
        <w:lang w:val="en-US" w:eastAsia="en-US" w:bidi="en-US"/>
      </w:rPr>
    </w:lvl>
    <w:lvl w:ilvl="8" w:tplc="A9DE1964">
      <w:numFmt w:val="bullet"/>
      <w:lvlText w:val="•"/>
      <w:lvlJc w:val="left"/>
      <w:pPr>
        <w:ind w:left="8029" w:hanging="360"/>
      </w:pPr>
      <w:rPr>
        <w:lang w:val="en-US" w:eastAsia="en-US" w:bidi="en-US"/>
      </w:rPr>
    </w:lvl>
  </w:abstractNum>
  <w:abstractNum w:abstractNumId="63" w15:restartNumberingAfterBreak="0">
    <w:nsid w:val="25375B7B"/>
    <w:multiLevelType w:val="hybridMultilevel"/>
    <w:tmpl w:val="B400F2BA"/>
    <w:lvl w:ilvl="0" w:tplc="8ADC9FDE">
      <w:start w:val="1"/>
      <w:numFmt w:val="bullet"/>
      <w:lvlText w:val="•"/>
      <w:lvlJc w:val="left"/>
      <w:pPr>
        <w:ind w:left="721"/>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1" w:tplc="A6024B36">
      <w:start w:val="1"/>
      <w:numFmt w:val="bullet"/>
      <w:lvlText w:val="o"/>
      <w:lvlJc w:val="left"/>
      <w:pPr>
        <w:ind w:left="1548"/>
      </w:pPr>
      <w:rPr>
        <w:rFonts w:ascii="Segoe UI Symbol" w:eastAsia="Segoe UI Symbol" w:hAnsi="Segoe UI Symbol" w:cs="Segoe UI Symbol"/>
        <w:b w:val="0"/>
        <w:i w:val="0"/>
        <w:strike w:val="0"/>
        <w:dstrike w:val="0"/>
        <w:color w:val="000000"/>
        <w:sz w:val="16"/>
        <w:szCs w:val="16"/>
        <w:u w:val="none" w:color="000000"/>
        <w:bdr w:val="none" w:sz="0" w:space="0" w:color="auto"/>
        <w:shd w:val="clear" w:color="auto" w:fill="auto"/>
        <w:vertAlign w:val="baseline"/>
      </w:rPr>
    </w:lvl>
    <w:lvl w:ilvl="2" w:tplc="DF5A3EE8">
      <w:start w:val="1"/>
      <w:numFmt w:val="bullet"/>
      <w:lvlText w:val="▪"/>
      <w:lvlJc w:val="left"/>
      <w:pPr>
        <w:ind w:left="2268"/>
      </w:pPr>
      <w:rPr>
        <w:rFonts w:ascii="Segoe UI Symbol" w:eastAsia="Segoe UI Symbol" w:hAnsi="Segoe UI Symbol" w:cs="Segoe UI Symbol"/>
        <w:b w:val="0"/>
        <w:i w:val="0"/>
        <w:strike w:val="0"/>
        <w:dstrike w:val="0"/>
        <w:color w:val="000000"/>
        <w:sz w:val="16"/>
        <w:szCs w:val="16"/>
        <w:u w:val="none" w:color="000000"/>
        <w:bdr w:val="none" w:sz="0" w:space="0" w:color="auto"/>
        <w:shd w:val="clear" w:color="auto" w:fill="auto"/>
        <w:vertAlign w:val="baseline"/>
      </w:rPr>
    </w:lvl>
    <w:lvl w:ilvl="3" w:tplc="D102C2CC">
      <w:start w:val="1"/>
      <w:numFmt w:val="bullet"/>
      <w:lvlText w:val="•"/>
      <w:lvlJc w:val="left"/>
      <w:pPr>
        <w:ind w:left="2988"/>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4" w:tplc="B3569CD4">
      <w:start w:val="1"/>
      <w:numFmt w:val="bullet"/>
      <w:lvlText w:val="o"/>
      <w:lvlJc w:val="left"/>
      <w:pPr>
        <w:ind w:left="3708"/>
      </w:pPr>
      <w:rPr>
        <w:rFonts w:ascii="Segoe UI Symbol" w:eastAsia="Segoe UI Symbol" w:hAnsi="Segoe UI Symbol" w:cs="Segoe UI Symbol"/>
        <w:b w:val="0"/>
        <w:i w:val="0"/>
        <w:strike w:val="0"/>
        <w:dstrike w:val="0"/>
        <w:color w:val="000000"/>
        <w:sz w:val="16"/>
        <w:szCs w:val="16"/>
        <w:u w:val="none" w:color="000000"/>
        <w:bdr w:val="none" w:sz="0" w:space="0" w:color="auto"/>
        <w:shd w:val="clear" w:color="auto" w:fill="auto"/>
        <w:vertAlign w:val="baseline"/>
      </w:rPr>
    </w:lvl>
    <w:lvl w:ilvl="5" w:tplc="FF5AEEBA">
      <w:start w:val="1"/>
      <w:numFmt w:val="bullet"/>
      <w:lvlText w:val="▪"/>
      <w:lvlJc w:val="left"/>
      <w:pPr>
        <w:ind w:left="4428"/>
      </w:pPr>
      <w:rPr>
        <w:rFonts w:ascii="Segoe UI Symbol" w:eastAsia="Segoe UI Symbol" w:hAnsi="Segoe UI Symbol" w:cs="Segoe UI Symbol"/>
        <w:b w:val="0"/>
        <w:i w:val="0"/>
        <w:strike w:val="0"/>
        <w:dstrike w:val="0"/>
        <w:color w:val="000000"/>
        <w:sz w:val="16"/>
        <w:szCs w:val="16"/>
        <w:u w:val="none" w:color="000000"/>
        <w:bdr w:val="none" w:sz="0" w:space="0" w:color="auto"/>
        <w:shd w:val="clear" w:color="auto" w:fill="auto"/>
        <w:vertAlign w:val="baseline"/>
      </w:rPr>
    </w:lvl>
    <w:lvl w:ilvl="6" w:tplc="EDFA1F94">
      <w:start w:val="1"/>
      <w:numFmt w:val="bullet"/>
      <w:lvlText w:val="•"/>
      <w:lvlJc w:val="left"/>
      <w:pPr>
        <w:ind w:left="5148"/>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7" w:tplc="C556EFCC">
      <w:start w:val="1"/>
      <w:numFmt w:val="bullet"/>
      <w:lvlText w:val="o"/>
      <w:lvlJc w:val="left"/>
      <w:pPr>
        <w:ind w:left="5868"/>
      </w:pPr>
      <w:rPr>
        <w:rFonts w:ascii="Segoe UI Symbol" w:eastAsia="Segoe UI Symbol" w:hAnsi="Segoe UI Symbol" w:cs="Segoe UI Symbol"/>
        <w:b w:val="0"/>
        <w:i w:val="0"/>
        <w:strike w:val="0"/>
        <w:dstrike w:val="0"/>
        <w:color w:val="000000"/>
        <w:sz w:val="16"/>
        <w:szCs w:val="16"/>
        <w:u w:val="none" w:color="000000"/>
        <w:bdr w:val="none" w:sz="0" w:space="0" w:color="auto"/>
        <w:shd w:val="clear" w:color="auto" w:fill="auto"/>
        <w:vertAlign w:val="baseline"/>
      </w:rPr>
    </w:lvl>
    <w:lvl w:ilvl="8" w:tplc="1B3ACA16">
      <w:start w:val="1"/>
      <w:numFmt w:val="bullet"/>
      <w:lvlText w:val="▪"/>
      <w:lvlJc w:val="left"/>
      <w:pPr>
        <w:ind w:left="6588"/>
      </w:pPr>
      <w:rPr>
        <w:rFonts w:ascii="Segoe UI Symbol" w:eastAsia="Segoe UI Symbol" w:hAnsi="Segoe UI Symbol" w:cs="Segoe UI Symbol"/>
        <w:b w:val="0"/>
        <w:i w:val="0"/>
        <w:strike w:val="0"/>
        <w:dstrike w:val="0"/>
        <w:color w:val="000000"/>
        <w:sz w:val="16"/>
        <w:szCs w:val="16"/>
        <w:u w:val="none" w:color="000000"/>
        <w:bdr w:val="none" w:sz="0" w:space="0" w:color="auto"/>
        <w:shd w:val="clear" w:color="auto" w:fill="auto"/>
        <w:vertAlign w:val="baseline"/>
      </w:rPr>
    </w:lvl>
  </w:abstractNum>
  <w:abstractNum w:abstractNumId="64" w15:restartNumberingAfterBreak="0">
    <w:nsid w:val="25AD0A40"/>
    <w:multiLevelType w:val="hybridMultilevel"/>
    <w:tmpl w:val="2042EEE2"/>
    <w:lvl w:ilvl="0" w:tplc="F93ADCB2">
      <w:start w:val="1"/>
      <w:numFmt w:val="bullet"/>
      <w:lvlText w:val="Ø"/>
      <w:lvlJc w:val="left"/>
      <w:pPr>
        <w:ind w:left="720" w:hanging="360"/>
      </w:pPr>
      <w:rPr>
        <w:rFonts w:ascii="Wingdings" w:hAnsi="Wingdings" w:hint="default"/>
      </w:rPr>
    </w:lvl>
    <w:lvl w:ilvl="1" w:tplc="44E456AA">
      <w:start w:val="1"/>
      <w:numFmt w:val="bullet"/>
      <w:lvlText w:val="o"/>
      <w:lvlJc w:val="left"/>
      <w:pPr>
        <w:ind w:left="1440" w:hanging="360"/>
      </w:pPr>
      <w:rPr>
        <w:rFonts w:ascii="Courier New" w:hAnsi="Courier New" w:hint="default"/>
      </w:rPr>
    </w:lvl>
    <w:lvl w:ilvl="2" w:tplc="2DEE7E5E">
      <w:start w:val="1"/>
      <w:numFmt w:val="bullet"/>
      <w:lvlText w:val=""/>
      <w:lvlJc w:val="left"/>
      <w:pPr>
        <w:ind w:left="2160" w:hanging="360"/>
      </w:pPr>
      <w:rPr>
        <w:rFonts w:ascii="Wingdings" w:hAnsi="Wingdings" w:hint="default"/>
      </w:rPr>
    </w:lvl>
    <w:lvl w:ilvl="3" w:tplc="62FCDCFA">
      <w:start w:val="1"/>
      <w:numFmt w:val="bullet"/>
      <w:lvlText w:val=""/>
      <w:lvlJc w:val="left"/>
      <w:pPr>
        <w:ind w:left="2880" w:hanging="360"/>
      </w:pPr>
      <w:rPr>
        <w:rFonts w:ascii="Symbol" w:hAnsi="Symbol" w:hint="default"/>
      </w:rPr>
    </w:lvl>
    <w:lvl w:ilvl="4" w:tplc="F1584DB8">
      <w:start w:val="1"/>
      <w:numFmt w:val="bullet"/>
      <w:lvlText w:val="o"/>
      <w:lvlJc w:val="left"/>
      <w:pPr>
        <w:ind w:left="3600" w:hanging="360"/>
      </w:pPr>
      <w:rPr>
        <w:rFonts w:ascii="Courier New" w:hAnsi="Courier New" w:hint="default"/>
      </w:rPr>
    </w:lvl>
    <w:lvl w:ilvl="5" w:tplc="18EA2054">
      <w:start w:val="1"/>
      <w:numFmt w:val="bullet"/>
      <w:lvlText w:val=""/>
      <w:lvlJc w:val="left"/>
      <w:pPr>
        <w:ind w:left="4320" w:hanging="360"/>
      </w:pPr>
      <w:rPr>
        <w:rFonts w:ascii="Wingdings" w:hAnsi="Wingdings" w:hint="default"/>
      </w:rPr>
    </w:lvl>
    <w:lvl w:ilvl="6" w:tplc="BFE67E88">
      <w:start w:val="1"/>
      <w:numFmt w:val="bullet"/>
      <w:lvlText w:val=""/>
      <w:lvlJc w:val="left"/>
      <w:pPr>
        <w:ind w:left="5040" w:hanging="360"/>
      </w:pPr>
      <w:rPr>
        <w:rFonts w:ascii="Symbol" w:hAnsi="Symbol" w:hint="default"/>
      </w:rPr>
    </w:lvl>
    <w:lvl w:ilvl="7" w:tplc="996C599A">
      <w:start w:val="1"/>
      <w:numFmt w:val="bullet"/>
      <w:lvlText w:val="o"/>
      <w:lvlJc w:val="left"/>
      <w:pPr>
        <w:ind w:left="5760" w:hanging="360"/>
      </w:pPr>
      <w:rPr>
        <w:rFonts w:ascii="Courier New" w:hAnsi="Courier New" w:hint="default"/>
      </w:rPr>
    </w:lvl>
    <w:lvl w:ilvl="8" w:tplc="03AC4850">
      <w:start w:val="1"/>
      <w:numFmt w:val="bullet"/>
      <w:lvlText w:val=""/>
      <w:lvlJc w:val="left"/>
      <w:pPr>
        <w:ind w:left="6480" w:hanging="360"/>
      </w:pPr>
      <w:rPr>
        <w:rFonts w:ascii="Wingdings" w:hAnsi="Wingdings" w:hint="default"/>
      </w:rPr>
    </w:lvl>
  </w:abstractNum>
  <w:abstractNum w:abstractNumId="65" w15:restartNumberingAfterBreak="0">
    <w:nsid w:val="27B90FF5"/>
    <w:multiLevelType w:val="hybridMultilevel"/>
    <w:tmpl w:val="C192A612"/>
    <w:lvl w:ilvl="0" w:tplc="04180001">
      <w:start w:val="1"/>
      <w:numFmt w:val="bullet"/>
      <w:lvlText w:val=""/>
      <w:lvlJc w:val="left"/>
      <w:pPr>
        <w:ind w:left="700" w:hanging="360"/>
      </w:pPr>
      <w:rPr>
        <w:rFonts w:ascii="Symbol" w:hAnsi="Symbol" w:hint="default"/>
      </w:rPr>
    </w:lvl>
    <w:lvl w:ilvl="1" w:tplc="04180003" w:tentative="1">
      <w:start w:val="1"/>
      <w:numFmt w:val="bullet"/>
      <w:lvlText w:val="o"/>
      <w:lvlJc w:val="left"/>
      <w:pPr>
        <w:ind w:left="1420" w:hanging="360"/>
      </w:pPr>
      <w:rPr>
        <w:rFonts w:ascii="Courier New" w:hAnsi="Courier New" w:cs="Courier New" w:hint="default"/>
      </w:rPr>
    </w:lvl>
    <w:lvl w:ilvl="2" w:tplc="04180005" w:tentative="1">
      <w:start w:val="1"/>
      <w:numFmt w:val="bullet"/>
      <w:lvlText w:val=""/>
      <w:lvlJc w:val="left"/>
      <w:pPr>
        <w:ind w:left="2140" w:hanging="360"/>
      </w:pPr>
      <w:rPr>
        <w:rFonts w:ascii="Wingdings" w:hAnsi="Wingdings" w:hint="default"/>
      </w:rPr>
    </w:lvl>
    <w:lvl w:ilvl="3" w:tplc="04180001" w:tentative="1">
      <w:start w:val="1"/>
      <w:numFmt w:val="bullet"/>
      <w:lvlText w:val=""/>
      <w:lvlJc w:val="left"/>
      <w:pPr>
        <w:ind w:left="2860" w:hanging="360"/>
      </w:pPr>
      <w:rPr>
        <w:rFonts w:ascii="Symbol" w:hAnsi="Symbol" w:hint="default"/>
      </w:rPr>
    </w:lvl>
    <w:lvl w:ilvl="4" w:tplc="04180003" w:tentative="1">
      <w:start w:val="1"/>
      <w:numFmt w:val="bullet"/>
      <w:lvlText w:val="o"/>
      <w:lvlJc w:val="left"/>
      <w:pPr>
        <w:ind w:left="3580" w:hanging="360"/>
      </w:pPr>
      <w:rPr>
        <w:rFonts w:ascii="Courier New" w:hAnsi="Courier New" w:cs="Courier New" w:hint="default"/>
      </w:rPr>
    </w:lvl>
    <w:lvl w:ilvl="5" w:tplc="04180005" w:tentative="1">
      <w:start w:val="1"/>
      <w:numFmt w:val="bullet"/>
      <w:lvlText w:val=""/>
      <w:lvlJc w:val="left"/>
      <w:pPr>
        <w:ind w:left="4300" w:hanging="360"/>
      </w:pPr>
      <w:rPr>
        <w:rFonts w:ascii="Wingdings" w:hAnsi="Wingdings" w:hint="default"/>
      </w:rPr>
    </w:lvl>
    <w:lvl w:ilvl="6" w:tplc="04180001" w:tentative="1">
      <w:start w:val="1"/>
      <w:numFmt w:val="bullet"/>
      <w:lvlText w:val=""/>
      <w:lvlJc w:val="left"/>
      <w:pPr>
        <w:ind w:left="5020" w:hanging="360"/>
      </w:pPr>
      <w:rPr>
        <w:rFonts w:ascii="Symbol" w:hAnsi="Symbol" w:hint="default"/>
      </w:rPr>
    </w:lvl>
    <w:lvl w:ilvl="7" w:tplc="04180003" w:tentative="1">
      <w:start w:val="1"/>
      <w:numFmt w:val="bullet"/>
      <w:lvlText w:val="o"/>
      <w:lvlJc w:val="left"/>
      <w:pPr>
        <w:ind w:left="5740" w:hanging="360"/>
      </w:pPr>
      <w:rPr>
        <w:rFonts w:ascii="Courier New" w:hAnsi="Courier New" w:cs="Courier New" w:hint="default"/>
      </w:rPr>
    </w:lvl>
    <w:lvl w:ilvl="8" w:tplc="04180005" w:tentative="1">
      <w:start w:val="1"/>
      <w:numFmt w:val="bullet"/>
      <w:lvlText w:val=""/>
      <w:lvlJc w:val="left"/>
      <w:pPr>
        <w:ind w:left="6460" w:hanging="360"/>
      </w:pPr>
      <w:rPr>
        <w:rFonts w:ascii="Wingdings" w:hAnsi="Wingdings" w:hint="default"/>
      </w:rPr>
    </w:lvl>
  </w:abstractNum>
  <w:abstractNum w:abstractNumId="66" w15:restartNumberingAfterBreak="0">
    <w:nsid w:val="287D0BC4"/>
    <w:multiLevelType w:val="hybridMultilevel"/>
    <w:tmpl w:val="17B601F8"/>
    <w:styleLink w:val="StyleOutlinenumberedWingdingssymbolComplexTimesNewRom"/>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7" w15:restartNumberingAfterBreak="0">
    <w:nsid w:val="28B5FB74"/>
    <w:multiLevelType w:val="singleLevel"/>
    <w:tmpl w:val="321CE814"/>
    <w:styleLink w:val="TabelBumbi"/>
    <w:lvl w:ilvl="0">
      <w:start w:val="1"/>
      <w:numFmt w:val="bullet"/>
      <w:lvlText w:val=""/>
      <w:lvlJc w:val="left"/>
      <w:pPr>
        <w:tabs>
          <w:tab w:val="num" w:pos="1701"/>
        </w:tabs>
        <w:ind w:left="1701" w:hanging="567"/>
      </w:pPr>
      <w:rPr>
        <w:rFonts w:ascii="Symbol" w:hAnsi="Symbol" w:hint="default"/>
        <w:sz w:val="32"/>
      </w:rPr>
    </w:lvl>
  </w:abstractNum>
  <w:abstractNum w:abstractNumId="68" w15:restartNumberingAfterBreak="0">
    <w:nsid w:val="2B0A4D6A"/>
    <w:multiLevelType w:val="hybridMultilevel"/>
    <w:tmpl w:val="6726954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9" w15:restartNumberingAfterBreak="0">
    <w:nsid w:val="2C3C442E"/>
    <w:multiLevelType w:val="multilevel"/>
    <w:tmpl w:val="4196A816"/>
    <w:styleLink w:val="BumbiIIIIII2"/>
    <w:lvl w:ilvl="0">
      <w:start w:val="1"/>
      <w:numFmt w:val="decimal"/>
      <w:pStyle w:val="StyleHeading1MainHeading95pt"/>
      <w:lvlText w:val="%1"/>
      <w:lvlJc w:val="left"/>
      <w:pPr>
        <w:tabs>
          <w:tab w:val="num" w:pos="0"/>
        </w:tabs>
        <w:ind w:left="432" w:hanging="432"/>
      </w:pPr>
      <w:rPr>
        <w:rFonts w:cs="Times New Roman" w:hint="default"/>
      </w:rPr>
    </w:lvl>
    <w:lvl w:ilvl="1">
      <w:start w:val="1"/>
      <w:numFmt w:val="decimal"/>
      <w:lvlText w:val="%1.%2"/>
      <w:lvlJc w:val="left"/>
      <w:pPr>
        <w:tabs>
          <w:tab w:val="num" w:pos="0"/>
        </w:tabs>
        <w:ind w:left="576" w:hanging="576"/>
      </w:pPr>
      <w:rPr>
        <w:rFonts w:cs="Times New Roman" w:hint="default"/>
      </w:rPr>
    </w:lvl>
    <w:lvl w:ilvl="2">
      <w:start w:val="1"/>
      <w:numFmt w:val="decimal"/>
      <w:lvlText w:val="%1.%2.%3"/>
      <w:lvlJc w:val="left"/>
      <w:pPr>
        <w:tabs>
          <w:tab w:val="num" w:pos="1276"/>
        </w:tabs>
        <w:ind w:left="1996" w:hanging="720"/>
      </w:pPr>
      <w:rPr>
        <w:rFonts w:cs="Times New Roman" w:hint="default"/>
      </w:rPr>
    </w:lvl>
    <w:lvl w:ilvl="3">
      <w:start w:val="1"/>
      <w:numFmt w:val="decimal"/>
      <w:lvlText w:val="%1.%2.%3.%4"/>
      <w:lvlJc w:val="left"/>
      <w:pPr>
        <w:tabs>
          <w:tab w:val="num" w:pos="0"/>
        </w:tabs>
        <w:ind w:left="864" w:hanging="864"/>
      </w:pPr>
      <w:rPr>
        <w:rFonts w:cs="Times New Roman" w:hint="default"/>
      </w:rPr>
    </w:lvl>
    <w:lvl w:ilvl="4">
      <w:start w:val="1"/>
      <w:numFmt w:val="decimal"/>
      <w:lvlText w:val="%1.%2.%3.%4.%5"/>
      <w:lvlJc w:val="left"/>
      <w:pPr>
        <w:tabs>
          <w:tab w:val="num" w:pos="0"/>
        </w:tabs>
        <w:ind w:left="1008" w:hanging="1008"/>
      </w:pPr>
      <w:rPr>
        <w:rFonts w:cs="Times New Roman" w:hint="default"/>
      </w:rPr>
    </w:lvl>
    <w:lvl w:ilvl="5">
      <w:start w:val="1"/>
      <w:numFmt w:val="decimal"/>
      <w:lvlText w:val="%1.%2.%3.%4.%5.%6"/>
      <w:lvlJc w:val="left"/>
      <w:pPr>
        <w:tabs>
          <w:tab w:val="num" w:pos="0"/>
        </w:tabs>
        <w:ind w:left="1152" w:hanging="1152"/>
      </w:pPr>
      <w:rPr>
        <w:rFonts w:cs="Times New Roman" w:hint="default"/>
      </w:rPr>
    </w:lvl>
    <w:lvl w:ilvl="6">
      <w:start w:val="1"/>
      <w:numFmt w:val="decimal"/>
      <w:lvlText w:val="%1.%2.%3.%4.%5.%6.%7"/>
      <w:lvlJc w:val="left"/>
      <w:pPr>
        <w:tabs>
          <w:tab w:val="num" w:pos="0"/>
        </w:tabs>
        <w:ind w:left="1296" w:hanging="1296"/>
      </w:pPr>
      <w:rPr>
        <w:rFonts w:cs="Times New Roman" w:hint="default"/>
      </w:rPr>
    </w:lvl>
    <w:lvl w:ilvl="7">
      <w:start w:val="1"/>
      <w:numFmt w:val="decimal"/>
      <w:lvlText w:val="%1.%2.%3.%4.%5.%6.%7.%8"/>
      <w:lvlJc w:val="left"/>
      <w:pPr>
        <w:tabs>
          <w:tab w:val="num" w:pos="0"/>
        </w:tabs>
        <w:ind w:left="1440" w:hanging="1440"/>
      </w:pPr>
      <w:rPr>
        <w:rFonts w:cs="Times New Roman" w:hint="default"/>
      </w:rPr>
    </w:lvl>
    <w:lvl w:ilvl="8">
      <w:start w:val="1"/>
      <w:numFmt w:val="decimal"/>
      <w:lvlText w:val="%1.%2.%3.%4.%5.%6.%7.%8.%9"/>
      <w:lvlJc w:val="left"/>
      <w:pPr>
        <w:tabs>
          <w:tab w:val="num" w:pos="0"/>
        </w:tabs>
        <w:ind w:left="1584" w:hanging="1584"/>
      </w:pPr>
      <w:rPr>
        <w:rFonts w:cs="Times New Roman" w:hint="default"/>
      </w:rPr>
    </w:lvl>
  </w:abstractNum>
  <w:abstractNum w:abstractNumId="70" w15:restartNumberingAfterBreak="0">
    <w:nsid w:val="2CDA5911"/>
    <w:multiLevelType w:val="multilevel"/>
    <w:tmpl w:val="FD44E114"/>
    <w:lvl w:ilvl="0">
      <w:start w:val="1"/>
      <w:numFmt w:val="bullet"/>
      <w:pStyle w:val="Absatz2"/>
      <w:lvlText w:val=""/>
      <w:lvlJc w:val="left"/>
      <w:pPr>
        <w:tabs>
          <w:tab w:val="num" w:pos="720"/>
        </w:tabs>
        <w:ind w:left="720" w:hanging="360"/>
      </w:pPr>
      <w:rPr>
        <w:rFonts w:ascii="Symbol" w:hAnsi="Symbol" w:hint="default"/>
        <w:color w:val="CC0000"/>
      </w:rPr>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71" w15:restartNumberingAfterBreak="0">
    <w:nsid w:val="2E3B49FA"/>
    <w:multiLevelType w:val="hybridMultilevel"/>
    <w:tmpl w:val="57DE3244"/>
    <w:lvl w:ilvl="0" w:tplc="A99C34DC">
      <w:start w:val="1"/>
      <w:numFmt w:val="decimal"/>
      <w:pStyle w:val="Puces2"/>
      <w:lvlText w:val="Figure N° %1."/>
      <w:lvlJc w:val="left"/>
      <w:pPr>
        <w:tabs>
          <w:tab w:val="num" w:pos="3195"/>
        </w:tabs>
        <w:ind w:left="3195" w:hanging="360"/>
      </w:pPr>
      <w:rPr>
        <w:rFonts w:cs="Times New Roman" w:hint="default"/>
      </w:rPr>
    </w:lvl>
    <w:lvl w:ilvl="1" w:tplc="528E9942">
      <w:start w:val="1"/>
      <w:numFmt w:val="lowerLetter"/>
      <w:lvlText w:val="%2."/>
      <w:lvlJc w:val="left"/>
      <w:pPr>
        <w:tabs>
          <w:tab w:val="num" w:pos="1440"/>
        </w:tabs>
        <w:ind w:left="1440" w:hanging="360"/>
      </w:pPr>
      <w:rPr>
        <w:rFonts w:cs="Times New Roman"/>
      </w:rPr>
    </w:lvl>
    <w:lvl w:ilvl="2" w:tplc="1CE601F4">
      <w:start w:val="1"/>
      <w:numFmt w:val="lowerRoman"/>
      <w:lvlText w:val="%3."/>
      <w:lvlJc w:val="right"/>
      <w:pPr>
        <w:tabs>
          <w:tab w:val="num" w:pos="2160"/>
        </w:tabs>
        <w:ind w:left="2160" w:hanging="180"/>
      </w:pPr>
      <w:rPr>
        <w:rFonts w:cs="Times New Roman"/>
      </w:rPr>
    </w:lvl>
    <w:lvl w:ilvl="3" w:tplc="4B42BC0A">
      <w:start w:val="1"/>
      <w:numFmt w:val="decimal"/>
      <w:lvlText w:val="%4."/>
      <w:lvlJc w:val="left"/>
      <w:pPr>
        <w:tabs>
          <w:tab w:val="num" w:pos="2880"/>
        </w:tabs>
        <w:ind w:left="2880" w:hanging="360"/>
      </w:pPr>
      <w:rPr>
        <w:rFonts w:cs="Times New Roman"/>
      </w:rPr>
    </w:lvl>
    <w:lvl w:ilvl="4" w:tplc="5C0EDD30">
      <w:start w:val="1"/>
      <w:numFmt w:val="lowerLetter"/>
      <w:lvlText w:val="%5."/>
      <w:lvlJc w:val="left"/>
      <w:pPr>
        <w:tabs>
          <w:tab w:val="num" w:pos="3600"/>
        </w:tabs>
        <w:ind w:left="3600" w:hanging="360"/>
      </w:pPr>
      <w:rPr>
        <w:rFonts w:cs="Times New Roman"/>
      </w:rPr>
    </w:lvl>
    <w:lvl w:ilvl="5" w:tplc="27B6E2B2">
      <w:start w:val="1"/>
      <w:numFmt w:val="lowerRoman"/>
      <w:lvlText w:val="%6."/>
      <w:lvlJc w:val="right"/>
      <w:pPr>
        <w:tabs>
          <w:tab w:val="num" w:pos="4320"/>
        </w:tabs>
        <w:ind w:left="4320" w:hanging="180"/>
      </w:pPr>
      <w:rPr>
        <w:rFonts w:cs="Times New Roman"/>
      </w:rPr>
    </w:lvl>
    <w:lvl w:ilvl="6" w:tplc="6B6EE70E">
      <w:start w:val="1"/>
      <w:numFmt w:val="decimal"/>
      <w:lvlText w:val="%7."/>
      <w:lvlJc w:val="left"/>
      <w:pPr>
        <w:tabs>
          <w:tab w:val="num" w:pos="5040"/>
        </w:tabs>
        <w:ind w:left="5040" w:hanging="360"/>
      </w:pPr>
      <w:rPr>
        <w:rFonts w:cs="Times New Roman"/>
      </w:rPr>
    </w:lvl>
    <w:lvl w:ilvl="7" w:tplc="B36A8794">
      <w:start w:val="1"/>
      <w:numFmt w:val="lowerLetter"/>
      <w:lvlText w:val="%8."/>
      <w:lvlJc w:val="left"/>
      <w:pPr>
        <w:tabs>
          <w:tab w:val="num" w:pos="5760"/>
        </w:tabs>
        <w:ind w:left="5760" w:hanging="360"/>
      </w:pPr>
      <w:rPr>
        <w:rFonts w:cs="Times New Roman"/>
      </w:rPr>
    </w:lvl>
    <w:lvl w:ilvl="8" w:tplc="C592FDCE">
      <w:start w:val="1"/>
      <w:numFmt w:val="lowerRoman"/>
      <w:lvlText w:val="%9."/>
      <w:lvlJc w:val="right"/>
      <w:pPr>
        <w:tabs>
          <w:tab w:val="num" w:pos="6480"/>
        </w:tabs>
        <w:ind w:left="6480" w:hanging="180"/>
      </w:pPr>
      <w:rPr>
        <w:rFonts w:cs="Times New Roman"/>
      </w:rPr>
    </w:lvl>
  </w:abstractNum>
  <w:abstractNum w:abstractNumId="72" w15:restartNumberingAfterBreak="0">
    <w:nsid w:val="2EA07F0A"/>
    <w:multiLevelType w:val="hybridMultilevel"/>
    <w:tmpl w:val="998E83AC"/>
    <w:styleLink w:val="Bumbi2"/>
    <w:lvl w:ilvl="0" w:tplc="FFFFFFFF">
      <w:start w:val="1"/>
      <w:numFmt w:val="bullet"/>
      <w:pStyle w:val="pfeilaufzhlungszeichen"/>
      <w:lvlText w:val=""/>
      <w:lvlJc w:val="left"/>
      <w:pPr>
        <w:tabs>
          <w:tab w:val="num" w:pos="360"/>
        </w:tabs>
        <w:ind w:left="360" w:hanging="360"/>
      </w:pPr>
      <w:rPr>
        <w:rFonts w:ascii="Wingdings" w:hAnsi="Wingdings" w:hint="default"/>
      </w:rPr>
    </w:lvl>
    <w:lvl w:ilvl="1" w:tplc="FFFFFFFF">
      <w:start w:val="1"/>
      <w:numFmt w:val="bullet"/>
      <w:lvlText w:val="-"/>
      <w:lvlJc w:val="left"/>
      <w:pPr>
        <w:tabs>
          <w:tab w:val="num" w:pos="805"/>
        </w:tabs>
        <w:ind w:left="805" w:hanging="360"/>
      </w:pPr>
      <w:rPr>
        <w:sz w:val="16"/>
      </w:rPr>
    </w:lvl>
    <w:lvl w:ilvl="2" w:tplc="FFFFFFFF">
      <w:start w:val="1"/>
      <w:numFmt w:val="bullet"/>
      <w:lvlText w:val=""/>
      <w:lvlJc w:val="left"/>
      <w:pPr>
        <w:tabs>
          <w:tab w:val="num" w:pos="1525"/>
        </w:tabs>
        <w:ind w:left="1525" w:hanging="360"/>
      </w:pPr>
      <w:rPr>
        <w:rFonts w:ascii="Wingdings" w:hAnsi="Wingdings" w:hint="default"/>
      </w:rPr>
    </w:lvl>
    <w:lvl w:ilvl="3" w:tplc="FFFFFFFF">
      <w:start w:val="1"/>
      <w:numFmt w:val="bullet"/>
      <w:lvlText w:val=""/>
      <w:lvlJc w:val="left"/>
      <w:pPr>
        <w:tabs>
          <w:tab w:val="num" w:pos="2245"/>
        </w:tabs>
        <w:ind w:left="2245" w:hanging="360"/>
      </w:pPr>
      <w:rPr>
        <w:rFonts w:ascii="Symbol" w:hAnsi="Symbol" w:hint="default"/>
      </w:rPr>
    </w:lvl>
    <w:lvl w:ilvl="4" w:tplc="FFFFFFFF" w:tentative="1">
      <w:start w:val="1"/>
      <w:numFmt w:val="bullet"/>
      <w:lvlText w:val="o"/>
      <w:lvlJc w:val="left"/>
      <w:pPr>
        <w:tabs>
          <w:tab w:val="num" w:pos="2965"/>
        </w:tabs>
        <w:ind w:left="2965" w:hanging="360"/>
      </w:pPr>
      <w:rPr>
        <w:rFonts w:ascii="Courier New" w:hAnsi="Courier New" w:hint="default"/>
      </w:rPr>
    </w:lvl>
    <w:lvl w:ilvl="5" w:tplc="FFFFFFFF" w:tentative="1">
      <w:start w:val="1"/>
      <w:numFmt w:val="bullet"/>
      <w:lvlText w:val=""/>
      <w:lvlJc w:val="left"/>
      <w:pPr>
        <w:tabs>
          <w:tab w:val="num" w:pos="3685"/>
        </w:tabs>
        <w:ind w:left="3685" w:hanging="360"/>
      </w:pPr>
      <w:rPr>
        <w:rFonts w:ascii="Wingdings" w:hAnsi="Wingdings" w:hint="default"/>
      </w:rPr>
    </w:lvl>
    <w:lvl w:ilvl="6" w:tplc="FFFFFFFF" w:tentative="1">
      <w:start w:val="1"/>
      <w:numFmt w:val="bullet"/>
      <w:lvlText w:val=""/>
      <w:lvlJc w:val="left"/>
      <w:pPr>
        <w:tabs>
          <w:tab w:val="num" w:pos="4405"/>
        </w:tabs>
        <w:ind w:left="4405" w:hanging="360"/>
      </w:pPr>
      <w:rPr>
        <w:rFonts w:ascii="Symbol" w:hAnsi="Symbol" w:hint="default"/>
      </w:rPr>
    </w:lvl>
    <w:lvl w:ilvl="7" w:tplc="FFFFFFFF" w:tentative="1">
      <w:start w:val="1"/>
      <w:numFmt w:val="bullet"/>
      <w:lvlText w:val="o"/>
      <w:lvlJc w:val="left"/>
      <w:pPr>
        <w:tabs>
          <w:tab w:val="num" w:pos="5125"/>
        </w:tabs>
        <w:ind w:left="5125" w:hanging="360"/>
      </w:pPr>
      <w:rPr>
        <w:rFonts w:ascii="Courier New" w:hAnsi="Courier New" w:hint="default"/>
      </w:rPr>
    </w:lvl>
    <w:lvl w:ilvl="8" w:tplc="FFFFFFFF" w:tentative="1">
      <w:start w:val="1"/>
      <w:numFmt w:val="bullet"/>
      <w:lvlText w:val=""/>
      <w:lvlJc w:val="left"/>
      <w:pPr>
        <w:tabs>
          <w:tab w:val="num" w:pos="5845"/>
        </w:tabs>
        <w:ind w:left="5845" w:hanging="360"/>
      </w:pPr>
      <w:rPr>
        <w:rFonts w:ascii="Wingdings" w:hAnsi="Wingdings" w:hint="default"/>
      </w:rPr>
    </w:lvl>
  </w:abstractNum>
  <w:abstractNum w:abstractNumId="73" w15:restartNumberingAfterBreak="0">
    <w:nsid w:val="2FFB5ECA"/>
    <w:multiLevelType w:val="hybridMultilevel"/>
    <w:tmpl w:val="680AE5A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4" w15:restartNumberingAfterBreak="0">
    <w:nsid w:val="307A0658"/>
    <w:multiLevelType w:val="multilevel"/>
    <w:tmpl w:val="B82AB5C2"/>
    <w:lvl w:ilvl="0">
      <w:start w:val="1"/>
      <w:numFmt w:val="lowerLetter"/>
      <w:pStyle w:val="Listalitere"/>
      <w:lvlText w:val="%1)"/>
      <w:lvlJc w:val="left"/>
      <w:pPr>
        <w:ind w:left="567" w:hanging="567"/>
      </w:pPr>
      <w:rPr>
        <w:rFonts w:hint="default"/>
        <w:b/>
      </w:rPr>
    </w:lvl>
    <w:lvl w:ilvl="1">
      <w:start w:val="1"/>
      <w:numFmt w:val="decimal"/>
      <w:lvlText w:val="%1.%2)"/>
      <w:lvlJc w:val="left"/>
      <w:pPr>
        <w:ind w:left="1134" w:hanging="283"/>
      </w:pPr>
      <w:rPr>
        <w:rFonts w:hint="default"/>
      </w:rPr>
    </w:lvl>
    <w:lvl w:ilvl="2">
      <w:start w:val="1"/>
      <w:numFmt w:val="lowerRoman"/>
      <w:lvlText w:val="%3)"/>
      <w:lvlJc w:val="right"/>
      <w:pPr>
        <w:ind w:left="1701" w:hanging="283"/>
      </w:pPr>
      <w:rPr>
        <w:rFonts w:hint="default"/>
      </w:rPr>
    </w:lvl>
    <w:lvl w:ilvl="3">
      <w:start w:val="1"/>
      <w:numFmt w:val="decimal"/>
      <w:lvlText w:val="%4."/>
      <w:lvlJc w:val="left"/>
      <w:pPr>
        <w:ind w:left="2268" w:hanging="283"/>
      </w:pPr>
      <w:rPr>
        <w:rFonts w:hint="default"/>
      </w:rPr>
    </w:lvl>
    <w:lvl w:ilvl="4">
      <w:start w:val="1"/>
      <w:numFmt w:val="lowerLetter"/>
      <w:lvlText w:val="%5."/>
      <w:lvlJc w:val="left"/>
      <w:pPr>
        <w:ind w:left="2835" w:hanging="283"/>
      </w:pPr>
      <w:rPr>
        <w:rFonts w:hint="default"/>
      </w:rPr>
    </w:lvl>
    <w:lvl w:ilvl="5">
      <w:start w:val="1"/>
      <w:numFmt w:val="lowerRoman"/>
      <w:lvlText w:val="%6."/>
      <w:lvlJc w:val="right"/>
      <w:pPr>
        <w:ind w:left="3402" w:hanging="283"/>
      </w:pPr>
      <w:rPr>
        <w:rFonts w:hint="default"/>
      </w:rPr>
    </w:lvl>
    <w:lvl w:ilvl="6">
      <w:start w:val="1"/>
      <w:numFmt w:val="decimal"/>
      <w:lvlText w:val="%7."/>
      <w:lvlJc w:val="left"/>
      <w:pPr>
        <w:ind w:left="3969" w:hanging="283"/>
      </w:pPr>
      <w:rPr>
        <w:rFonts w:hint="default"/>
      </w:rPr>
    </w:lvl>
    <w:lvl w:ilvl="7">
      <w:start w:val="1"/>
      <w:numFmt w:val="lowerLetter"/>
      <w:lvlText w:val="%8."/>
      <w:lvlJc w:val="left"/>
      <w:pPr>
        <w:ind w:left="4536" w:hanging="283"/>
      </w:pPr>
      <w:rPr>
        <w:rFonts w:hint="default"/>
      </w:rPr>
    </w:lvl>
    <w:lvl w:ilvl="8">
      <w:start w:val="1"/>
      <w:numFmt w:val="lowerRoman"/>
      <w:lvlText w:val="%9."/>
      <w:lvlJc w:val="right"/>
      <w:pPr>
        <w:ind w:left="5103" w:hanging="283"/>
      </w:pPr>
      <w:rPr>
        <w:rFonts w:hint="default"/>
      </w:rPr>
    </w:lvl>
  </w:abstractNum>
  <w:abstractNum w:abstractNumId="75" w15:restartNumberingAfterBreak="0">
    <w:nsid w:val="319B4331"/>
    <w:multiLevelType w:val="hybridMultilevel"/>
    <w:tmpl w:val="9DEA8C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6" w15:restartNumberingAfterBreak="0">
    <w:nsid w:val="322E3BC4"/>
    <w:multiLevelType w:val="multilevel"/>
    <w:tmpl w:val="B860AA9C"/>
    <w:lvl w:ilvl="0">
      <w:start w:val="4"/>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7" w15:restartNumberingAfterBreak="0">
    <w:nsid w:val="32C74C8D"/>
    <w:multiLevelType w:val="hybridMultilevel"/>
    <w:tmpl w:val="04180001"/>
    <w:numStyleLink w:val="cuprins11"/>
  </w:abstractNum>
  <w:abstractNum w:abstractNumId="78" w15:restartNumberingAfterBreak="0">
    <w:nsid w:val="33115170"/>
    <w:multiLevelType w:val="multilevel"/>
    <w:tmpl w:val="C126842E"/>
    <w:lvl w:ilvl="0">
      <w:start w:val="1"/>
      <w:numFmt w:val="decimal"/>
      <w:pStyle w:val="H1-NOTTOC"/>
      <w:suff w:val="space"/>
      <w:lvlText w:val="%1."/>
      <w:lvlJc w:val="left"/>
      <w:pPr>
        <w:ind w:left="0" w:firstLine="0"/>
      </w:pPr>
      <w:rPr>
        <w:rFonts w:ascii="Verdana" w:hAnsi="Verdana" w:hint="default"/>
        <w:b w:val="0"/>
        <w:i w:val="0"/>
        <w:color w:val="009DE0"/>
        <w:sz w:val="28"/>
      </w:rPr>
    </w:lvl>
    <w:lvl w:ilvl="1">
      <w:start w:val="1"/>
      <w:numFmt w:val="decimal"/>
      <w:pStyle w:val="H2-NOTTOC"/>
      <w:suff w:val="space"/>
      <w:lvlText w:val="%1.%2"/>
      <w:lvlJc w:val="left"/>
      <w:pPr>
        <w:ind w:left="0" w:firstLine="0"/>
      </w:pPr>
      <w:rPr>
        <w:rFonts w:ascii="Verdana" w:hAnsi="Verdana" w:hint="default"/>
        <w:b w:val="0"/>
        <w:i w:val="0"/>
        <w:color w:val="000000"/>
        <w:sz w:val="18"/>
      </w:rPr>
    </w:lvl>
    <w:lvl w:ilvl="2">
      <w:start w:val="1"/>
      <w:numFmt w:val="decimal"/>
      <w:pStyle w:val="H3-NOTTOC"/>
      <w:suff w:val="space"/>
      <w:lvlText w:val="%1.%2.%3"/>
      <w:lvlJc w:val="left"/>
      <w:pPr>
        <w:ind w:left="0" w:firstLine="0"/>
      </w:pPr>
      <w:rPr>
        <w:rFonts w:ascii="Verdana" w:hAnsi="Verdana" w:hint="default"/>
        <w:b w:val="0"/>
        <w:i w:val="0"/>
        <w:color w:val="000000"/>
        <w:sz w:val="18"/>
      </w:rPr>
    </w:lvl>
    <w:lvl w:ilvl="3">
      <w:start w:val="1"/>
      <w:numFmt w:val="decimal"/>
      <w:pStyle w:val="H4-NOTTOC"/>
      <w:suff w:val="space"/>
      <w:lvlText w:val="%1.%2.%3.%4"/>
      <w:lvlJc w:val="left"/>
      <w:pPr>
        <w:ind w:left="0" w:firstLine="0"/>
      </w:pPr>
      <w:rPr>
        <w:rFonts w:ascii="Verdana" w:hAnsi="Verdana" w:hint="default"/>
        <w:b w:val="0"/>
        <w:i w:val="0"/>
        <w:color w:val="auto"/>
        <w:sz w:val="18"/>
      </w:rPr>
    </w:lvl>
    <w:lvl w:ilvl="4">
      <w:start w:val="1"/>
      <w:numFmt w:val="decimal"/>
      <w:lvlRestart w:val="0"/>
      <w:lvlText w:val="%1.%2.%3.%4.%5"/>
      <w:lvlJc w:val="right"/>
      <w:pPr>
        <w:tabs>
          <w:tab w:val="num" w:pos="567"/>
        </w:tabs>
        <w:ind w:left="0" w:hanging="624"/>
      </w:pPr>
      <w:rPr>
        <w:rFonts w:hint="default"/>
      </w:rPr>
    </w:lvl>
    <w:lvl w:ilvl="5">
      <w:start w:val="1"/>
      <w:numFmt w:val="decimal"/>
      <w:lvlText w:val="%1.%2.%3.%4.%5.%6"/>
      <w:lvlJc w:val="right"/>
      <w:pPr>
        <w:tabs>
          <w:tab w:val="num" w:pos="567"/>
        </w:tabs>
        <w:ind w:left="0" w:hanging="624"/>
      </w:pPr>
      <w:rPr>
        <w:rFonts w:hint="default"/>
      </w:rPr>
    </w:lvl>
    <w:lvl w:ilvl="6">
      <w:start w:val="1"/>
      <w:numFmt w:val="decimal"/>
      <w:lvlText w:val="%1.%2.%3.%4.%5.%6.%7"/>
      <w:lvlJc w:val="right"/>
      <w:pPr>
        <w:tabs>
          <w:tab w:val="num" w:pos="851"/>
        </w:tabs>
        <w:ind w:left="0" w:hanging="624"/>
      </w:pPr>
      <w:rPr>
        <w:rFonts w:hint="default"/>
      </w:rPr>
    </w:lvl>
    <w:lvl w:ilvl="7">
      <w:start w:val="1"/>
      <w:numFmt w:val="decimal"/>
      <w:lvlText w:val="%1.%2.%3.%4.%5.%6.%7.%8"/>
      <w:lvlJc w:val="right"/>
      <w:pPr>
        <w:tabs>
          <w:tab w:val="num" w:pos="851"/>
        </w:tabs>
        <w:ind w:left="0" w:hanging="624"/>
      </w:pPr>
      <w:rPr>
        <w:rFonts w:hint="default"/>
      </w:rPr>
    </w:lvl>
    <w:lvl w:ilvl="8">
      <w:start w:val="1"/>
      <w:numFmt w:val="decimal"/>
      <w:lvlText w:val="%1.%2.%3.%4.%5.%6.%7.%8.%9"/>
      <w:lvlJc w:val="right"/>
      <w:pPr>
        <w:tabs>
          <w:tab w:val="num" w:pos="1134"/>
        </w:tabs>
        <w:ind w:left="0" w:hanging="624"/>
      </w:pPr>
      <w:rPr>
        <w:rFonts w:hint="default"/>
      </w:rPr>
    </w:lvl>
  </w:abstractNum>
  <w:abstractNum w:abstractNumId="79" w15:restartNumberingAfterBreak="0">
    <w:nsid w:val="33D075DF"/>
    <w:multiLevelType w:val="hybridMultilevel"/>
    <w:tmpl w:val="74729BE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0" w15:restartNumberingAfterBreak="0">
    <w:nsid w:val="357B6275"/>
    <w:multiLevelType w:val="multilevel"/>
    <w:tmpl w:val="09148006"/>
    <w:styleLink w:val="10101101112"/>
    <w:lvl w:ilvl="0">
      <w:start w:val="1"/>
      <w:numFmt w:val="bullet"/>
      <w:lvlText w:val=""/>
      <w:lvlJc w:val="left"/>
      <w:pPr>
        <w:tabs>
          <w:tab w:val="num" w:pos="1296"/>
        </w:tabs>
        <w:ind w:left="1440" w:hanging="216"/>
      </w:pPr>
      <w:rPr>
        <w:rFonts w:ascii="Symbol" w:hAnsi="Symbol" w:hint="default"/>
        <w:color w:val="auto"/>
        <w:sz w:val="22"/>
      </w:rPr>
    </w:lvl>
    <w:lvl w:ilvl="1">
      <w:start w:val="1"/>
      <w:numFmt w:val="bullet"/>
      <w:lvlText w:val=""/>
      <w:lvlJc w:val="left"/>
      <w:pPr>
        <w:tabs>
          <w:tab w:val="num" w:pos="1512"/>
        </w:tabs>
        <w:ind w:left="1656" w:hanging="216"/>
      </w:pPr>
      <w:rPr>
        <w:rFonts w:ascii="Symbol" w:hAnsi="Symbol" w:hint="default"/>
        <w:color w:val="auto"/>
        <w:sz w:val="22"/>
      </w:rPr>
    </w:lvl>
    <w:lvl w:ilvl="2">
      <w:start w:val="1"/>
      <w:numFmt w:val="bullet"/>
      <w:lvlText w:val=""/>
      <w:lvlJc w:val="left"/>
      <w:pPr>
        <w:tabs>
          <w:tab w:val="num" w:pos="1080"/>
        </w:tabs>
        <w:ind w:left="1080" w:hanging="360"/>
      </w:pPr>
      <w:rPr>
        <w:rFonts w:ascii="Symbol" w:hAnsi="Symbol" w:hint="default"/>
        <w:color w:val="auto"/>
        <w:sz w:val="22"/>
      </w:rPr>
    </w:lvl>
    <w:lvl w:ilvl="3">
      <w:start w:val="1"/>
      <w:numFmt w:val="bullet"/>
      <w:lvlText w:val=""/>
      <w:lvlJc w:val="left"/>
      <w:pPr>
        <w:tabs>
          <w:tab w:val="num" w:pos="1440"/>
        </w:tabs>
        <w:ind w:left="1440" w:hanging="360"/>
      </w:pPr>
      <w:rPr>
        <w:rFonts w:ascii="Symbol" w:hAnsi="Symbol" w:hint="default"/>
        <w:color w:val="auto"/>
        <w:sz w:val="22"/>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1" w15:restartNumberingAfterBreak="0">
    <w:nsid w:val="35885845"/>
    <w:multiLevelType w:val="singleLevel"/>
    <w:tmpl w:val="C2967EAE"/>
    <w:lvl w:ilvl="0">
      <w:start w:val="1"/>
      <w:numFmt w:val="decimal"/>
      <w:pStyle w:val="Lettre-3pt"/>
      <w:lvlText w:val="%1."/>
      <w:lvlJc w:val="left"/>
      <w:pPr>
        <w:tabs>
          <w:tab w:val="num" w:pos="425"/>
        </w:tabs>
        <w:ind w:left="425" w:hanging="425"/>
      </w:pPr>
      <w:rPr>
        <w:rFonts w:ascii="Arial" w:hAnsi="Arial" w:cs="Arial" w:hint="default"/>
        <w:b w:val="0"/>
        <w:bCs w:val="0"/>
        <w:i w:val="0"/>
        <w:iCs w:val="0"/>
        <w:color w:val="auto"/>
        <w:sz w:val="20"/>
        <w:szCs w:val="20"/>
      </w:rPr>
    </w:lvl>
  </w:abstractNum>
  <w:abstractNum w:abstractNumId="82" w15:restartNumberingAfterBreak="0">
    <w:nsid w:val="36982D63"/>
    <w:multiLevelType w:val="hybridMultilevel"/>
    <w:tmpl w:val="F612D4DC"/>
    <w:styleLink w:val="Bumbi11"/>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371F4DEF"/>
    <w:multiLevelType w:val="hybridMultilevel"/>
    <w:tmpl w:val="60DEB6FA"/>
    <w:styleLink w:val="CurrentList1111"/>
    <w:lvl w:ilvl="0" w:tplc="28BE4542">
      <w:start w:val="1"/>
      <w:numFmt w:val="bullet"/>
      <w:lvlText w:val="-"/>
      <w:lvlJc w:val="left"/>
      <w:pPr>
        <w:tabs>
          <w:tab w:val="num" w:pos="1080"/>
        </w:tabs>
        <w:ind w:left="1080" w:hanging="360"/>
      </w:pPr>
      <w:rPr>
        <w:rFonts w:ascii="Arial" w:eastAsia="Times New Roman" w:hAnsi="Arial" w:cs="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4" w15:restartNumberingAfterBreak="0">
    <w:nsid w:val="37CC3D18"/>
    <w:multiLevelType w:val="multilevel"/>
    <w:tmpl w:val="B1D270A0"/>
    <w:lvl w:ilvl="0">
      <w:numFmt w:val="decimal"/>
      <w:lvlText w:val=""/>
      <w:lvlJc w:val="left"/>
      <w:pPr>
        <w:ind w:left="0" w:firstLine="0"/>
      </w:pPr>
    </w:lvl>
    <w:lvl w:ilvl="1">
      <w:numFmt w:val="decimal"/>
      <w:lvlText w:val=""/>
      <w:lvlJc w:val="left"/>
      <w:pPr>
        <w:ind w:left="0" w:firstLine="0"/>
      </w:pPr>
    </w:lvl>
    <w:lvl w:ilvl="2">
      <w:numFmt w:val="decimal"/>
      <w:pStyle w:val="bskop5"/>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85" w15:restartNumberingAfterBreak="0">
    <w:nsid w:val="3AB74FD9"/>
    <w:multiLevelType w:val="hybridMultilevel"/>
    <w:tmpl w:val="E0280456"/>
    <w:lvl w:ilvl="0" w:tplc="37C857FA">
      <w:start w:val="1"/>
      <w:numFmt w:val="bullet"/>
      <w:lvlText w:val="-"/>
      <w:lvlJc w:val="left"/>
      <w:pPr>
        <w:tabs>
          <w:tab w:val="num" w:pos="1080"/>
        </w:tabs>
        <w:ind w:left="1080" w:hanging="360"/>
      </w:pPr>
      <w:rPr>
        <w:rFonts w:ascii="Times New Roman" w:eastAsia="Times New Roman" w:hAnsi="Times New Roman" w:cs="Times New Roman" w:hint="default"/>
      </w:rPr>
    </w:lvl>
    <w:lvl w:ilvl="1" w:tplc="654461CA">
      <w:start w:val="1"/>
      <w:numFmt w:val="bullet"/>
      <w:lvlText w:val="o"/>
      <w:lvlJc w:val="left"/>
      <w:pPr>
        <w:tabs>
          <w:tab w:val="num" w:pos="1440"/>
        </w:tabs>
        <w:ind w:left="1440" w:hanging="360"/>
      </w:pPr>
      <w:rPr>
        <w:rFonts w:ascii="Courier New" w:hAnsi="Courier New" w:cs="Courier New" w:hint="default"/>
      </w:rPr>
    </w:lvl>
    <w:lvl w:ilvl="2" w:tplc="F0DE3DF2">
      <w:start w:val="1"/>
      <w:numFmt w:val="bullet"/>
      <w:pStyle w:val="AuflistungRmV-2"/>
      <w:lvlText w:val=""/>
      <w:lvlJc w:val="left"/>
      <w:pPr>
        <w:tabs>
          <w:tab w:val="num" w:pos="2520"/>
        </w:tabs>
        <w:ind w:left="2520" w:hanging="360"/>
      </w:pPr>
      <w:rPr>
        <w:rFonts w:ascii="Symbol" w:hAnsi="Symbol" w:hint="default"/>
      </w:rPr>
    </w:lvl>
    <w:lvl w:ilvl="3" w:tplc="FCA4D1E4" w:tentative="1">
      <w:start w:val="1"/>
      <w:numFmt w:val="bullet"/>
      <w:lvlText w:val=""/>
      <w:lvlJc w:val="left"/>
      <w:pPr>
        <w:tabs>
          <w:tab w:val="num" w:pos="3240"/>
        </w:tabs>
        <w:ind w:left="3240" w:hanging="360"/>
      </w:pPr>
      <w:rPr>
        <w:rFonts w:ascii="Symbol" w:hAnsi="Symbol" w:hint="default"/>
      </w:rPr>
    </w:lvl>
    <w:lvl w:ilvl="4" w:tplc="AA02BD14" w:tentative="1">
      <w:start w:val="1"/>
      <w:numFmt w:val="bullet"/>
      <w:lvlText w:val="o"/>
      <w:lvlJc w:val="left"/>
      <w:pPr>
        <w:tabs>
          <w:tab w:val="num" w:pos="3960"/>
        </w:tabs>
        <w:ind w:left="3960" w:hanging="360"/>
      </w:pPr>
      <w:rPr>
        <w:rFonts w:ascii="Courier New" w:hAnsi="Courier New" w:cs="Courier New" w:hint="default"/>
      </w:rPr>
    </w:lvl>
    <w:lvl w:ilvl="5" w:tplc="1DCEDA9A" w:tentative="1">
      <w:start w:val="1"/>
      <w:numFmt w:val="bullet"/>
      <w:lvlText w:val=""/>
      <w:lvlJc w:val="left"/>
      <w:pPr>
        <w:tabs>
          <w:tab w:val="num" w:pos="4680"/>
        </w:tabs>
        <w:ind w:left="4680" w:hanging="360"/>
      </w:pPr>
      <w:rPr>
        <w:rFonts w:ascii="Wingdings" w:hAnsi="Wingdings" w:hint="default"/>
      </w:rPr>
    </w:lvl>
    <w:lvl w:ilvl="6" w:tplc="E8AE12FE" w:tentative="1">
      <w:start w:val="1"/>
      <w:numFmt w:val="bullet"/>
      <w:lvlText w:val=""/>
      <w:lvlJc w:val="left"/>
      <w:pPr>
        <w:tabs>
          <w:tab w:val="num" w:pos="5400"/>
        </w:tabs>
        <w:ind w:left="5400" w:hanging="360"/>
      </w:pPr>
      <w:rPr>
        <w:rFonts w:ascii="Symbol" w:hAnsi="Symbol" w:hint="default"/>
      </w:rPr>
    </w:lvl>
    <w:lvl w:ilvl="7" w:tplc="0876D132" w:tentative="1">
      <w:start w:val="1"/>
      <w:numFmt w:val="bullet"/>
      <w:lvlText w:val="o"/>
      <w:lvlJc w:val="left"/>
      <w:pPr>
        <w:tabs>
          <w:tab w:val="num" w:pos="6120"/>
        </w:tabs>
        <w:ind w:left="6120" w:hanging="360"/>
      </w:pPr>
      <w:rPr>
        <w:rFonts w:ascii="Courier New" w:hAnsi="Courier New" w:cs="Courier New" w:hint="default"/>
      </w:rPr>
    </w:lvl>
    <w:lvl w:ilvl="8" w:tplc="1BCE1B00" w:tentative="1">
      <w:start w:val="1"/>
      <w:numFmt w:val="bullet"/>
      <w:lvlText w:val=""/>
      <w:lvlJc w:val="left"/>
      <w:pPr>
        <w:tabs>
          <w:tab w:val="num" w:pos="6840"/>
        </w:tabs>
        <w:ind w:left="6840" w:hanging="360"/>
      </w:pPr>
      <w:rPr>
        <w:rFonts w:ascii="Wingdings" w:hAnsi="Wingdings" w:hint="default"/>
      </w:rPr>
    </w:lvl>
  </w:abstractNum>
  <w:abstractNum w:abstractNumId="86" w15:restartNumberingAfterBreak="0">
    <w:nsid w:val="3B6B25B7"/>
    <w:multiLevelType w:val="hybridMultilevel"/>
    <w:tmpl w:val="D98C7924"/>
    <w:styleLink w:val="Style1513"/>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7" w15:restartNumberingAfterBreak="0">
    <w:nsid w:val="3B6D1684"/>
    <w:multiLevelType w:val="hybridMultilevel"/>
    <w:tmpl w:val="D8E8E6CA"/>
    <w:lvl w:ilvl="0" w:tplc="04180001">
      <w:start w:val="1"/>
      <w:numFmt w:val="bullet"/>
      <w:lvlText w:val=""/>
      <w:lvlJc w:val="left"/>
      <w:pPr>
        <w:ind w:left="740" w:hanging="360"/>
      </w:pPr>
      <w:rPr>
        <w:rFonts w:ascii="Symbol" w:hAnsi="Symbol" w:hint="default"/>
      </w:rPr>
    </w:lvl>
    <w:lvl w:ilvl="1" w:tplc="04180003" w:tentative="1">
      <w:start w:val="1"/>
      <w:numFmt w:val="bullet"/>
      <w:lvlText w:val="o"/>
      <w:lvlJc w:val="left"/>
      <w:pPr>
        <w:ind w:left="1460" w:hanging="360"/>
      </w:pPr>
      <w:rPr>
        <w:rFonts w:ascii="Courier New" w:hAnsi="Courier New" w:cs="Courier New" w:hint="default"/>
      </w:rPr>
    </w:lvl>
    <w:lvl w:ilvl="2" w:tplc="04180005" w:tentative="1">
      <w:start w:val="1"/>
      <w:numFmt w:val="bullet"/>
      <w:lvlText w:val=""/>
      <w:lvlJc w:val="left"/>
      <w:pPr>
        <w:ind w:left="2180" w:hanging="360"/>
      </w:pPr>
      <w:rPr>
        <w:rFonts w:ascii="Wingdings" w:hAnsi="Wingdings" w:hint="default"/>
      </w:rPr>
    </w:lvl>
    <w:lvl w:ilvl="3" w:tplc="04180001" w:tentative="1">
      <w:start w:val="1"/>
      <w:numFmt w:val="bullet"/>
      <w:lvlText w:val=""/>
      <w:lvlJc w:val="left"/>
      <w:pPr>
        <w:ind w:left="2900" w:hanging="360"/>
      </w:pPr>
      <w:rPr>
        <w:rFonts w:ascii="Symbol" w:hAnsi="Symbol" w:hint="default"/>
      </w:rPr>
    </w:lvl>
    <w:lvl w:ilvl="4" w:tplc="04180003" w:tentative="1">
      <w:start w:val="1"/>
      <w:numFmt w:val="bullet"/>
      <w:lvlText w:val="o"/>
      <w:lvlJc w:val="left"/>
      <w:pPr>
        <w:ind w:left="3620" w:hanging="360"/>
      </w:pPr>
      <w:rPr>
        <w:rFonts w:ascii="Courier New" w:hAnsi="Courier New" w:cs="Courier New" w:hint="default"/>
      </w:rPr>
    </w:lvl>
    <w:lvl w:ilvl="5" w:tplc="04180005" w:tentative="1">
      <w:start w:val="1"/>
      <w:numFmt w:val="bullet"/>
      <w:lvlText w:val=""/>
      <w:lvlJc w:val="left"/>
      <w:pPr>
        <w:ind w:left="4340" w:hanging="360"/>
      </w:pPr>
      <w:rPr>
        <w:rFonts w:ascii="Wingdings" w:hAnsi="Wingdings" w:hint="default"/>
      </w:rPr>
    </w:lvl>
    <w:lvl w:ilvl="6" w:tplc="04180001" w:tentative="1">
      <w:start w:val="1"/>
      <w:numFmt w:val="bullet"/>
      <w:lvlText w:val=""/>
      <w:lvlJc w:val="left"/>
      <w:pPr>
        <w:ind w:left="5060" w:hanging="360"/>
      </w:pPr>
      <w:rPr>
        <w:rFonts w:ascii="Symbol" w:hAnsi="Symbol" w:hint="default"/>
      </w:rPr>
    </w:lvl>
    <w:lvl w:ilvl="7" w:tplc="04180003" w:tentative="1">
      <w:start w:val="1"/>
      <w:numFmt w:val="bullet"/>
      <w:lvlText w:val="o"/>
      <w:lvlJc w:val="left"/>
      <w:pPr>
        <w:ind w:left="5780" w:hanging="360"/>
      </w:pPr>
      <w:rPr>
        <w:rFonts w:ascii="Courier New" w:hAnsi="Courier New" w:cs="Courier New" w:hint="default"/>
      </w:rPr>
    </w:lvl>
    <w:lvl w:ilvl="8" w:tplc="04180005" w:tentative="1">
      <w:start w:val="1"/>
      <w:numFmt w:val="bullet"/>
      <w:lvlText w:val=""/>
      <w:lvlJc w:val="left"/>
      <w:pPr>
        <w:ind w:left="6500" w:hanging="360"/>
      </w:pPr>
      <w:rPr>
        <w:rFonts w:ascii="Wingdings" w:hAnsi="Wingdings" w:hint="default"/>
      </w:rPr>
    </w:lvl>
  </w:abstractNum>
  <w:abstractNum w:abstractNumId="88" w15:restartNumberingAfterBreak="0">
    <w:nsid w:val="3CA971A6"/>
    <w:multiLevelType w:val="hybridMultilevel"/>
    <w:tmpl w:val="E9342500"/>
    <w:lvl w:ilvl="0" w:tplc="FFFFFFFF">
      <w:start w:val="1"/>
      <w:numFmt w:val="bullet"/>
      <w:lvlText w:val=""/>
      <w:lvlJc w:val="left"/>
      <w:pPr>
        <w:ind w:left="760" w:hanging="360"/>
      </w:pPr>
      <w:rPr>
        <w:rFonts w:ascii="Symbol" w:hAnsi="Symbol" w:hint="default"/>
      </w:rPr>
    </w:lvl>
    <w:lvl w:ilvl="1" w:tplc="04180001">
      <w:start w:val="1"/>
      <w:numFmt w:val="bullet"/>
      <w:lvlText w:val=""/>
      <w:lvlJc w:val="left"/>
      <w:pPr>
        <w:ind w:left="782" w:hanging="360"/>
      </w:pPr>
      <w:rPr>
        <w:rFonts w:ascii="Symbol" w:hAnsi="Symbol" w:hint="default"/>
      </w:rPr>
    </w:lvl>
    <w:lvl w:ilvl="2" w:tplc="FFFFFFFF" w:tentative="1">
      <w:start w:val="1"/>
      <w:numFmt w:val="bullet"/>
      <w:lvlText w:val=""/>
      <w:lvlJc w:val="left"/>
      <w:pPr>
        <w:ind w:left="2200" w:hanging="360"/>
      </w:pPr>
      <w:rPr>
        <w:rFonts w:ascii="Wingdings" w:hAnsi="Wingdings" w:hint="default"/>
      </w:rPr>
    </w:lvl>
    <w:lvl w:ilvl="3" w:tplc="FFFFFFFF" w:tentative="1">
      <w:start w:val="1"/>
      <w:numFmt w:val="bullet"/>
      <w:lvlText w:val=""/>
      <w:lvlJc w:val="left"/>
      <w:pPr>
        <w:ind w:left="2920" w:hanging="360"/>
      </w:pPr>
      <w:rPr>
        <w:rFonts w:ascii="Symbol" w:hAnsi="Symbol" w:hint="default"/>
      </w:rPr>
    </w:lvl>
    <w:lvl w:ilvl="4" w:tplc="FFFFFFFF" w:tentative="1">
      <w:start w:val="1"/>
      <w:numFmt w:val="bullet"/>
      <w:lvlText w:val="o"/>
      <w:lvlJc w:val="left"/>
      <w:pPr>
        <w:ind w:left="3640" w:hanging="360"/>
      </w:pPr>
      <w:rPr>
        <w:rFonts w:ascii="Courier New" w:hAnsi="Courier New" w:cs="Courier New" w:hint="default"/>
      </w:rPr>
    </w:lvl>
    <w:lvl w:ilvl="5" w:tplc="FFFFFFFF" w:tentative="1">
      <w:start w:val="1"/>
      <w:numFmt w:val="bullet"/>
      <w:lvlText w:val=""/>
      <w:lvlJc w:val="left"/>
      <w:pPr>
        <w:ind w:left="4360" w:hanging="360"/>
      </w:pPr>
      <w:rPr>
        <w:rFonts w:ascii="Wingdings" w:hAnsi="Wingdings" w:hint="default"/>
      </w:rPr>
    </w:lvl>
    <w:lvl w:ilvl="6" w:tplc="FFFFFFFF" w:tentative="1">
      <w:start w:val="1"/>
      <w:numFmt w:val="bullet"/>
      <w:lvlText w:val=""/>
      <w:lvlJc w:val="left"/>
      <w:pPr>
        <w:ind w:left="5080" w:hanging="360"/>
      </w:pPr>
      <w:rPr>
        <w:rFonts w:ascii="Symbol" w:hAnsi="Symbol" w:hint="default"/>
      </w:rPr>
    </w:lvl>
    <w:lvl w:ilvl="7" w:tplc="FFFFFFFF" w:tentative="1">
      <w:start w:val="1"/>
      <w:numFmt w:val="bullet"/>
      <w:lvlText w:val="o"/>
      <w:lvlJc w:val="left"/>
      <w:pPr>
        <w:ind w:left="5800" w:hanging="360"/>
      </w:pPr>
      <w:rPr>
        <w:rFonts w:ascii="Courier New" w:hAnsi="Courier New" w:cs="Courier New" w:hint="default"/>
      </w:rPr>
    </w:lvl>
    <w:lvl w:ilvl="8" w:tplc="FFFFFFFF" w:tentative="1">
      <w:start w:val="1"/>
      <w:numFmt w:val="bullet"/>
      <w:lvlText w:val=""/>
      <w:lvlJc w:val="left"/>
      <w:pPr>
        <w:ind w:left="6520" w:hanging="360"/>
      </w:pPr>
      <w:rPr>
        <w:rFonts w:ascii="Wingdings" w:hAnsi="Wingdings" w:hint="default"/>
      </w:rPr>
    </w:lvl>
  </w:abstractNum>
  <w:abstractNum w:abstractNumId="89" w15:restartNumberingAfterBreak="0">
    <w:nsid w:val="3D3B32D4"/>
    <w:multiLevelType w:val="hybridMultilevel"/>
    <w:tmpl w:val="3B78F19E"/>
    <w:lvl w:ilvl="0" w:tplc="8B40A440">
      <w:start w:val="1"/>
      <w:numFmt w:val="bullet"/>
      <w:pStyle w:val="Puce"/>
      <w:lvlText w:val="o"/>
      <w:lvlJc w:val="left"/>
      <w:pPr>
        <w:tabs>
          <w:tab w:val="num" w:pos="1636"/>
        </w:tabs>
        <w:ind w:left="1636" w:hanging="360"/>
      </w:pPr>
      <w:rPr>
        <w:rFonts w:ascii="Courier New" w:hAnsi="Courier New" w:hint="default"/>
        <w:b/>
        <w:color w:val="008080"/>
        <w:sz w:val="20"/>
      </w:rPr>
    </w:lvl>
    <w:lvl w:ilvl="1" w:tplc="A1363E04" w:tentative="1">
      <w:start w:val="1"/>
      <w:numFmt w:val="bullet"/>
      <w:lvlText w:val="o"/>
      <w:lvlJc w:val="left"/>
      <w:pPr>
        <w:tabs>
          <w:tab w:val="num" w:pos="1440"/>
        </w:tabs>
        <w:ind w:left="1440" w:hanging="360"/>
      </w:pPr>
      <w:rPr>
        <w:rFonts w:ascii="Courier New" w:hAnsi="Courier New" w:hint="default"/>
      </w:rPr>
    </w:lvl>
    <w:lvl w:ilvl="2" w:tplc="9768FE88" w:tentative="1">
      <w:start w:val="1"/>
      <w:numFmt w:val="bullet"/>
      <w:lvlText w:val=""/>
      <w:lvlJc w:val="left"/>
      <w:pPr>
        <w:tabs>
          <w:tab w:val="num" w:pos="2160"/>
        </w:tabs>
        <w:ind w:left="2160" w:hanging="360"/>
      </w:pPr>
      <w:rPr>
        <w:rFonts w:ascii="Wingdings" w:hAnsi="Wingdings" w:hint="default"/>
      </w:rPr>
    </w:lvl>
    <w:lvl w:ilvl="3" w:tplc="320434A6" w:tentative="1">
      <w:start w:val="1"/>
      <w:numFmt w:val="bullet"/>
      <w:lvlText w:val=""/>
      <w:lvlJc w:val="left"/>
      <w:pPr>
        <w:tabs>
          <w:tab w:val="num" w:pos="2880"/>
        </w:tabs>
        <w:ind w:left="2880" w:hanging="360"/>
      </w:pPr>
      <w:rPr>
        <w:rFonts w:ascii="Symbol" w:hAnsi="Symbol" w:hint="default"/>
      </w:rPr>
    </w:lvl>
    <w:lvl w:ilvl="4" w:tplc="39246520" w:tentative="1">
      <w:start w:val="1"/>
      <w:numFmt w:val="bullet"/>
      <w:lvlText w:val="o"/>
      <w:lvlJc w:val="left"/>
      <w:pPr>
        <w:tabs>
          <w:tab w:val="num" w:pos="3600"/>
        </w:tabs>
        <w:ind w:left="3600" w:hanging="360"/>
      </w:pPr>
      <w:rPr>
        <w:rFonts w:ascii="Courier New" w:hAnsi="Courier New" w:hint="default"/>
      </w:rPr>
    </w:lvl>
    <w:lvl w:ilvl="5" w:tplc="DAF0D754" w:tentative="1">
      <w:start w:val="1"/>
      <w:numFmt w:val="bullet"/>
      <w:lvlText w:val=""/>
      <w:lvlJc w:val="left"/>
      <w:pPr>
        <w:tabs>
          <w:tab w:val="num" w:pos="4320"/>
        </w:tabs>
        <w:ind w:left="4320" w:hanging="360"/>
      </w:pPr>
      <w:rPr>
        <w:rFonts w:ascii="Wingdings" w:hAnsi="Wingdings" w:hint="default"/>
      </w:rPr>
    </w:lvl>
    <w:lvl w:ilvl="6" w:tplc="3B34AE7E" w:tentative="1">
      <w:start w:val="1"/>
      <w:numFmt w:val="bullet"/>
      <w:lvlText w:val=""/>
      <w:lvlJc w:val="left"/>
      <w:pPr>
        <w:tabs>
          <w:tab w:val="num" w:pos="5040"/>
        </w:tabs>
        <w:ind w:left="5040" w:hanging="360"/>
      </w:pPr>
      <w:rPr>
        <w:rFonts w:ascii="Symbol" w:hAnsi="Symbol" w:hint="default"/>
      </w:rPr>
    </w:lvl>
    <w:lvl w:ilvl="7" w:tplc="B0509150" w:tentative="1">
      <w:start w:val="1"/>
      <w:numFmt w:val="bullet"/>
      <w:lvlText w:val="o"/>
      <w:lvlJc w:val="left"/>
      <w:pPr>
        <w:tabs>
          <w:tab w:val="num" w:pos="5760"/>
        </w:tabs>
        <w:ind w:left="5760" w:hanging="360"/>
      </w:pPr>
      <w:rPr>
        <w:rFonts w:ascii="Courier New" w:hAnsi="Courier New" w:hint="default"/>
      </w:rPr>
    </w:lvl>
    <w:lvl w:ilvl="8" w:tplc="3DAE94EC"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3FE27514"/>
    <w:multiLevelType w:val="hybridMultilevel"/>
    <w:tmpl w:val="9F003550"/>
    <w:lvl w:ilvl="0" w:tplc="CB7CEF96">
      <w:start w:val="1"/>
      <w:numFmt w:val="bullet"/>
      <w:pStyle w:val="1bullmeto"/>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1" w15:restartNumberingAfterBreak="0">
    <w:nsid w:val="40BE6F2C"/>
    <w:multiLevelType w:val="singleLevel"/>
    <w:tmpl w:val="CB02C978"/>
    <w:styleLink w:val="BumbiABC2"/>
    <w:lvl w:ilvl="0">
      <w:start w:val="1"/>
      <w:numFmt w:val="bullet"/>
      <w:lvlRestart w:val="0"/>
      <w:pStyle w:val="Text2"/>
      <w:lvlText w:val="–"/>
      <w:lvlJc w:val="left"/>
      <w:pPr>
        <w:tabs>
          <w:tab w:val="num" w:pos="1417"/>
        </w:tabs>
        <w:ind w:left="1417" w:hanging="567"/>
      </w:pPr>
    </w:lvl>
  </w:abstractNum>
  <w:abstractNum w:abstractNumId="92" w15:restartNumberingAfterBreak="0">
    <w:nsid w:val="41B21782"/>
    <w:multiLevelType w:val="hybridMultilevel"/>
    <w:tmpl w:val="24342008"/>
    <w:lvl w:ilvl="0" w:tplc="E5D2268A">
      <w:start w:val="1"/>
      <w:numFmt w:val="decimal"/>
      <w:pStyle w:val="StyleComicSansMSBoldLinespacingMultiple12li"/>
      <w:lvlText w:val="%1."/>
      <w:lvlJc w:val="left"/>
      <w:pPr>
        <w:tabs>
          <w:tab w:val="num" w:pos="720"/>
        </w:tabs>
        <w:ind w:left="720" w:hanging="360"/>
      </w:pPr>
      <w:rPr>
        <w:rFonts w:cs="Times New Roman"/>
      </w:rPr>
    </w:lvl>
    <w:lvl w:ilvl="1" w:tplc="CB564E0E">
      <w:start w:val="1"/>
      <w:numFmt w:val="lowerLetter"/>
      <w:lvlText w:val="%2."/>
      <w:lvlJc w:val="left"/>
      <w:pPr>
        <w:tabs>
          <w:tab w:val="num" w:pos="1440"/>
        </w:tabs>
        <w:ind w:left="1440" w:hanging="360"/>
      </w:pPr>
      <w:rPr>
        <w:rFonts w:cs="Times New Roman"/>
      </w:rPr>
    </w:lvl>
    <w:lvl w:ilvl="2" w:tplc="BF6ACE2E">
      <w:start w:val="1"/>
      <w:numFmt w:val="lowerRoman"/>
      <w:lvlText w:val="%3."/>
      <w:lvlJc w:val="right"/>
      <w:pPr>
        <w:tabs>
          <w:tab w:val="num" w:pos="2160"/>
        </w:tabs>
        <w:ind w:left="2160" w:hanging="180"/>
      </w:pPr>
      <w:rPr>
        <w:rFonts w:cs="Times New Roman"/>
      </w:rPr>
    </w:lvl>
    <w:lvl w:ilvl="3" w:tplc="578AAFC0">
      <w:start w:val="1"/>
      <w:numFmt w:val="decimal"/>
      <w:lvlText w:val="%4."/>
      <w:lvlJc w:val="left"/>
      <w:pPr>
        <w:tabs>
          <w:tab w:val="num" w:pos="2880"/>
        </w:tabs>
        <w:ind w:left="2880" w:hanging="360"/>
      </w:pPr>
      <w:rPr>
        <w:rFonts w:cs="Times New Roman"/>
      </w:rPr>
    </w:lvl>
    <w:lvl w:ilvl="4" w:tplc="D494ED38">
      <w:start w:val="1"/>
      <w:numFmt w:val="lowerLetter"/>
      <w:lvlText w:val="%5."/>
      <w:lvlJc w:val="left"/>
      <w:pPr>
        <w:tabs>
          <w:tab w:val="num" w:pos="3600"/>
        </w:tabs>
        <w:ind w:left="3600" w:hanging="360"/>
      </w:pPr>
      <w:rPr>
        <w:rFonts w:cs="Times New Roman"/>
      </w:rPr>
    </w:lvl>
    <w:lvl w:ilvl="5" w:tplc="1B62BF1A">
      <w:start w:val="1"/>
      <w:numFmt w:val="lowerRoman"/>
      <w:lvlText w:val="%6."/>
      <w:lvlJc w:val="right"/>
      <w:pPr>
        <w:tabs>
          <w:tab w:val="num" w:pos="4320"/>
        </w:tabs>
        <w:ind w:left="4320" w:hanging="180"/>
      </w:pPr>
      <w:rPr>
        <w:rFonts w:cs="Times New Roman"/>
      </w:rPr>
    </w:lvl>
    <w:lvl w:ilvl="6" w:tplc="03D69D56">
      <w:start w:val="1"/>
      <w:numFmt w:val="decimal"/>
      <w:lvlText w:val="%7."/>
      <w:lvlJc w:val="left"/>
      <w:pPr>
        <w:tabs>
          <w:tab w:val="num" w:pos="5040"/>
        </w:tabs>
        <w:ind w:left="5040" w:hanging="360"/>
      </w:pPr>
      <w:rPr>
        <w:rFonts w:cs="Times New Roman"/>
      </w:rPr>
    </w:lvl>
    <w:lvl w:ilvl="7" w:tplc="78B8955C">
      <w:start w:val="1"/>
      <w:numFmt w:val="lowerLetter"/>
      <w:lvlText w:val="%8."/>
      <w:lvlJc w:val="left"/>
      <w:pPr>
        <w:tabs>
          <w:tab w:val="num" w:pos="5760"/>
        </w:tabs>
        <w:ind w:left="5760" w:hanging="360"/>
      </w:pPr>
      <w:rPr>
        <w:rFonts w:cs="Times New Roman"/>
      </w:rPr>
    </w:lvl>
    <w:lvl w:ilvl="8" w:tplc="5D76074C">
      <w:start w:val="1"/>
      <w:numFmt w:val="lowerRoman"/>
      <w:lvlText w:val="%9."/>
      <w:lvlJc w:val="right"/>
      <w:pPr>
        <w:tabs>
          <w:tab w:val="num" w:pos="6480"/>
        </w:tabs>
        <w:ind w:left="6480" w:hanging="180"/>
      </w:pPr>
      <w:rPr>
        <w:rFonts w:cs="Times New Roman"/>
      </w:rPr>
    </w:lvl>
  </w:abstractNum>
  <w:abstractNum w:abstractNumId="93" w15:restartNumberingAfterBreak="0">
    <w:nsid w:val="421C6CF9"/>
    <w:multiLevelType w:val="hybridMultilevel"/>
    <w:tmpl w:val="5462ACE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4" w15:restartNumberingAfterBreak="0">
    <w:nsid w:val="4262727C"/>
    <w:multiLevelType w:val="hybridMultilevel"/>
    <w:tmpl w:val="04180001"/>
    <w:numStyleLink w:val="cuprins11"/>
  </w:abstractNum>
  <w:abstractNum w:abstractNumId="95" w15:restartNumberingAfterBreak="0">
    <w:nsid w:val="4289E894"/>
    <w:multiLevelType w:val="hybridMultilevel"/>
    <w:tmpl w:val="FFFFFFFF"/>
    <w:lvl w:ilvl="0" w:tplc="12DCC1D8">
      <w:start w:val="1"/>
      <w:numFmt w:val="bullet"/>
      <w:lvlText w:val="·"/>
      <w:lvlJc w:val="left"/>
      <w:pPr>
        <w:ind w:left="720" w:hanging="360"/>
      </w:pPr>
      <w:rPr>
        <w:rFonts w:ascii="Symbol" w:hAnsi="Symbol" w:hint="default"/>
      </w:rPr>
    </w:lvl>
    <w:lvl w:ilvl="1" w:tplc="2ADC7E14">
      <w:start w:val="1"/>
      <w:numFmt w:val="bullet"/>
      <w:lvlText w:val="o"/>
      <w:lvlJc w:val="left"/>
      <w:pPr>
        <w:ind w:left="1440" w:hanging="360"/>
      </w:pPr>
      <w:rPr>
        <w:rFonts w:ascii="Courier New" w:hAnsi="Courier New" w:hint="default"/>
      </w:rPr>
    </w:lvl>
    <w:lvl w:ilvl="2" w:tplc="58E84450">
      <w:start w:val="1"/>
      <w:numFmt w:val="bullet"/>
      <w:lvlText w:val=""/>
      <w:lvlJc w:val="left"/>
      <w:pPr>
        <w:ind w:left="2160" w:hanging="360"/>
      </w:pPr>
      <w:rPr>
        <w:rFonts w:ascii="Wingdings" w:hAnsi="Wingdings" w:hint="default"/>
      </w:rPr>
    </w:lvl>
    <w:lvl w:ilvl="3" w:tplc="418609B6">
      <w:start w:val="1"/>
      <w:numFmt w:val="bullet"/>
      <w:lvlText w:val=""/>
      <w:lvlJc w:val="left"/>
      <w:pPr>
        <w:ind w:left="2880" w:hanging="360"/>
      </w:pPr>
      <w:rPr>
        <w:rFonts w:ascii="Symbol" w:hAnsi="Symbol" w:hint="default"/>
      </w:rPr>
    </w:lvl>
    <w:lvl w:ilvl="4" w:tplc="E6A04FE2">
      <w:start w:val="1"/>
      <w:numFmt w:val="bullet"/>
      <w:lvlText w:val="o"/>
      <w:lvlJc w:val="left"/>
      <w:pPr>
        <w:ind w:left="3600" w:hanging="360"/>
      </w:pPr>
      <w:rPr>
        <w:rFonts w:ascii="Courier New" w:hAnsi="Courier New" w:hint="default"/>
      </w:rPr>
    </w:lvl>
    <w:lvl w:ilvl="5" w:tplc="EF24C512">
      <w:start w:val="1"/>
      <w:numFmt w:val="bullet"/>
      <w:lvlText w:val=""/>
      <w:lvlJc w:val="left"/>
      <w:pPr>
        <w:ind w:left="4320" w:hanging="360"/>
      </w:pPr>
      <w:rPr>
        <w:rFonts w:ascii="Wingdings" w:hAnsi="Wingdings" w:hint="default"/>
      </w:rPr>
    </w:lvl>
    <w:lvl w:ilvl="6" w:tplc="E2BE3102">
      <w:start w:val="1"/>
      <w:numFmt w:val="bullet"/>
      <w:lvlText w:val=""/>
      <w:lvlJc w:val="left"/>
      <w:pPr>
        <w:ind w:left="5040" w:hanging="360"/>
      </w:pPr>
      <w:rPr>
        <w:rFonts w:ascii="Symbol" w:hAnsi="Symbol" w:hint="default"/>
      </w:rPr>
    </w:lvl>
    <w:lvl w:ilvl="7" w:tplc="998AEDE0">
      <w:start w:val="1"/>
      <w:numFmt w:val="bullet"/>
      <w:lvlText w:val="o"/>
      <w:lvlJc w:val="left"/>
      <w:pPr>
        <w:ind w:left="5760" w:hanging="360"/>
      </w:pPr>
      <w:rPr>
        <w:rFonts w:ascii="Courier New" w:hAnsi="Courier New" w:hint="default"/>
      </w:rPr>
    </w:lvl>
    <w:lvl w:ilvl="8" w:tplc="3E4EBA74">
      <w:start w:val="1"/>
      <w:numFmt w:val="bullet"/>
      <w:lvlText w:val=""/>
      <w:lvlJc w:val="left"/>
      <w:pPr>
        <w:ind w:left="6480" w:hanging="360"/>
      </w:pPr>
      <w:rPr>
        <w:rFonts w:ascii="Wingdings" w:hAnsi="Wingdings" w:hint="default"/>
      </w:rPr>
    </w:lvl>
  </w:abstractNum>
  <w:abstractNum w:abstractNumId="96" w15:restartNumberingAfterBreak="0">
    <w:nsid w:val="43000C0A"/>
    <w:multiLevelType w:val="hybridMultilevel"/>
    <w:tmpl w:val="EC8C6176"/>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7" w15:restartNumberingAfterBreak="0">
    <w:nsid w:val="439F67ED"/>
    <w:multiLevelType w:val="hybridMultilevel"/>
    <w:tmpl w:val="D98C7924"/>
    <w:styleLink w:val="1111111"/>
    <w:lvl w:ilvl="0" w:tplc="04180001">
      <w:start w:val="1"/>
      <w:numFmt w:val="bullet"/>
      <w:pStyle w:val="1titlu"/>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8" w15:restartNumberingAfterBreak="0">
    <w:nsid w:val="44E668FF"/>
    <w:multiLevelType w:val="hybridMultilevel"/>
    <w:tmpl w:val="344E210A"/>
    <w:styleLink w:val="StyleOutlinenumberedWingdingssymbolComplexTimesNewRom1"/>
    <w:lvl w:ilvl="0" w:tplc="FC8E9352">
      <w:numFmt w:val="bullet"/>
      <w:lvlText w:val="•"/>
      <w:lvlJc w:val="left"/>
      <w:pPr>
        <w:ind w:left="720" w:hanging="360"/>
      </w:pPr>
      <w:rPr>
        <w:rFonts w:ascii="Verdana" w:eastAsia="Times New Roman" w:hAnsi="Verdana" w:cs="Times New Roman" w:hint="default"/>
        <w:sz w:val="18"/>
        <w:szCs w:val="18"/>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9" w15:restartNumberingAfterBreak="0">
    <w:nsid w:val="483E23B1"/>
    <w:multiLevelType w:val="hybridMultilevel"/>
    <w:tmpl w:val="E0C810DA"/>
    <w:lvl w:ilvl="0" w:tplc="7B0AD2A2">
      <w:start w:val="1"/>
      <w:numFmt w:val="bullet"/>
      <w:pStyle w:val="Bullet30"/>
      <w:lvlText w:val="-"/>
      <w:lvlJc w:val="left"/>
      <w:pPr>
        <w:ind w:left="1287" w:hanging="360"/>
      </w:pPr>
      <w:rPr>
        <w:rFonts w:ascii="Arial" w:hAnsi="Arial" w:hint="default"/>
        <w:color w:val="62CAE3"/>
        <w:sz w:val="22"/>
        <w:szCs w:val="22"/>
      </w:rPr>
    </w:lvl>
    <w:lvl w:ilvl="1" w:tplc="19B20ED0" w:tentative="1">
      <w:start w:val="1"/>
      <w:numFmt w:val="bullet"/>
      <w:lvlText w:val="o"/>
      <w:lvlJc w:val="left"/>
      <w:pPr>
        <w:ind w:left="2007" w:hanging="360"/>
      </w:pPr>
      <w:rPr>
        <w:rFonts w:ascii="Courier New" w:hAnsi="Courier New" w:cs="Courier New" w:hint="default"/>
      </w:rPr>
    </w:lvl>
    <w:lvl w:ilvl="2" w:tplc="90D25D30" w:tentative="1">
      <w:start w:val="1"/>
      <w:numFmt w:val="bullet"/>
      <w:lvlText w:val=""/>
      <w:lvlJc w:val="left"/>
      <w:pPr>
        <w:ind w:left="2727" w:hanging="360"/>
      </w:pPr>
      <w:rPr>
        <w:rFonts w:ascii="Wingdings" w:hAnsi="Wingdings" w:hint="default"/>
      </w:rPr>
    </w:lvl>
    <w:lvl w:ilvl="3" w:tplc="6C068BDE" w:tentative="1">
      <w:start w:val="1"/>
      <w:numFmt w:val="bullet"/>
      <w:lvlText w:val=""/>
      <w:lvlJc w:val="left"/>
      <w:pPr>
        <w:ind w:left="3447" w:hanging="360"/>
      </w:pPr>
      <w:rPr>
        <w:rFonts w:ascii="Symbol" w:hAnsi="Symbol" w:hint="default"/>
      </w:rPr>
    </w:lvl>
    <w:lvl w:ilvl="4" w:tplc="6AD4B296" w:tentative="1">
      <w:start w:val="1"/>
      <w:numFmt w:val="bullet"/>
      <w:lvlText w:val="o"/>
      <w:lvlJc w:val="left"/>
      <w:pPr>
        <w:ind w:left="4167" w:hanging="360"/>
      </w:pPr>
      <w:rPr>
        <w:rFonts w:ascii="Courier New" w:hAnsi="Courier New" w:cs="Courier New" w:hint="default"/>
      </w:rPr>
    </w:lvl>
    <w:lvl w:ilvl="5" w:tplc="9C16A532" w:tentative="1">
      <w:start w:val="1"/>
      <w:numFmt w:val="bullet"/>
      <w:lvlText w:val=""/>
      <w:lvlJc w:val="left"/>
      <w:pPr>
        <w:ind w:left="4887" w:hanging="360"/>
      </w:pPr>
      <w:rPr>
        <w:rFonts w:ascii="Wingdings" w:hAnsi="Wingdings" w:hint="default"/>
      </w:rPr>
    </w:lvl>
    <w:lvl w:ilvl="6" w:tplc="FE9EAA50" w:tentative="1">
      <w:start w:val="1"/>
      <w:numFmt w:val="bullet"/>
      <w:lvlText w:val=""/>
      <w:lvlJc w:val="left"/>
      <w:pPr>
        <w:ind w:left="5607" w:hanging="360"/>
      </w:pPr>
      <w:rPr>
        <w:rFonts w:ascii="Symbol" w:hAnsi="Symbol" w:hint="default"/>
      </w:rPr>
    </w:lvl>
    <w:lvl w:ilvl="7" w:tplc="68C0E4A4" w:tentative="1">
      <w:start w:val="1"/>
      <w:numFmt w:val="bullet"/>
      <w:lvlText w:val="o"/>
      <w:lvlJc w:val="left"/>
      <w:pPr>
        <w:ind w:left="6327" w:hanging="360"/>
      </w:pPr>
      <w:rPr>
        <w:rFonts w:ascii="Courier New" w:hAnsi="Courier New" w:cs="Courier New" w:hint="default"/>
      </w:rPr>
    </w:lvl>
    <w:lvl w:ilvl="8" w:tplc="FF72645C" w:tentative="1">
      <w:start w:val="1"/>
      <w:numFmt w:val="bullet"/>
      <w:lvlText w:val=""/>
      <w:lvlJc w:val="left"/>
      <w:pPr>
        <w:ind w:left="7047" w:hanging="360"/>
      </w:pPr>
      <w:rPr>
        <w:rFonts w:ascii="Wingdings" w:hAnsi="Wingdings" w:hint="default"/>
      </w:rPr>
    </w:lvl>
  </w:abstractNum>
  <w:abstractNum w:abstractNumId="100" w15:restartNumberingAfterBreak="0">
    <w:nsid w:val="48CE4E9B"/>
    <w:multiLevelType w:val="hybridMultilevel"/>
    <w:tmpl w:val="AA9C94B4"/>
    <w:lvl w:ilvl="0" w:tplc="04180015">
      <w:start w:val="1"/>
      <w:numFmt w:val="upperLetter"/>
      <w:lvlText w:val="%1."/>
      <w:lvlJc w:val="left"/>
      <w:pPr>
        <w:ind w:left="700" w:hanging="360"/>
      </w:pPr>
    </w:lvl>
    <w:lvl w:ilvl="1" w:tplc="04180019" w:tentative="1">
      <w:start w:val="1"/>
      <w:numFmt w:val="lowerLetter"/>
      <w:lvlText w:val="%2."/>
      <w:lvlJc w:val="left"/>
      <w:pPr>
        <w:ind w:left="1420" w:hanging="360"/>
      </w:pPr>
    </w:lvl>
    <w:lvl w:ilvl="2" w:tplc="0418001B" w:tentative="1">
      <w:start w:val="1"/>
      <w:numFmt w:val="lowerRoman"/>
      <w:lvlText w:val="%3."/>
      <w:lvlJc w:val="right"/>
      <w:pPr>
        <w:ind w:left="2140" w:hanging="180"/>
      </w:pPr>
    </w:lvl>
    <w:lvl w:ilvl="3" w:tplc="0418000F" w:tentative="1">
      <w:start w:val="1"/>
      <w:numFmt w:val="decimal"/>
      <w:lvlText w:val="%4."/>
      <w:lvlJc w:val="left"/>
      <w:pPr>
        <w:ind w:left="2860" w:hanging="360"/>
      </w:pPr>
    </w:lvl>
    <w:lvl w:ilvl="4" w:tplc="04180019" w:tentative="1">
      <w:start w:val="1"/>
      <w:numFmt w:val="lowerLetter"/>
      <w:lvlText w:val="%5."/>
      <w:lvlJc w:val="left"/>
      <w:pPr>
        <w:ind w:left="3580" w:hanging="360"/>
      </w:pPr>
    </w:lvl>
    <w:lvl w:ilvl="5" w:tplc="0418001B" w:tentative="1">
      <w:start w:val="1"/>
      <w:numFmt w:val="lowerRoman"/>
      <w:lvlText w:val="%6."/>
      <w:lvlJc w:val="right"/>
      <w:pPr>
        <w:ind w:left="4300" w:hanging="180"/>
      </w:pPr>
    </w:lvl>
    <w:lvl w:ilvl="6" w:tplc="0418000F" w:tentative="1">
      <w:start w:val="1"/>
      <w:numFmt w:val="decimal"/>
      <w:lvlText w:val="%7."/>
      <w:lvlJc w:val="left"/>
      <w:pPr>
        <w:ind w:left="5020" w:hanging="360"/>
      </w:pPr>
    </w:lvl>
    <w:lvl w:ilvl="7" w:tplc="04180019" w:tentative="1">
      <w:start w:val="1"/>
      <w:numFmt w:val="lowerLetter"/>
      <w:lvlText w:val="%8."/>
      <w:lvlJc w:val="left"/>
      <w:pPr>
        <w:ind w:left="5740" w:hanging="360"/>
      </w:pPr>
    </w:lvl>
    <w:lvl w:ilvl="8" w:tplc="0418001B" w:tentative="1">
      <w:start w:val="1"/>
      <w:numFmt w:val="lowerRoman"/>
      <w:lvlText w:val="%9."/>
      <w:lvlJc w:val="right"/>
      <w:pPr>
        <w:ind w:left="6460" w:hanging="180"/>
      </w:pPr>
    </w:lvl>
  </w:abstractNum>
  <w:abstractNum w:abstractNumId="101" w15:restartNumberingAfterBreak="0">
    <w:nsid w:val="490334E5"/>
    <w:multiLevelType w:val="hybridMultilevel"/>
    <w:tmpl w:val="D158A4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490C4561"/>
    <w:multiLevelType w:val="multilevel"/>
    <w:tmpl w:val="01B4B1B8"/>
    <w:styleLink w:val="BumbiIIIIII112"/>
    <w:lvl w:ilvl="0">
      <w:numFmt w:val="decimal"/>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pStyle w:val="KopIV"/>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03" w15:restartNumberingAfterBreak="0">
    <w:nsid w:val="495D3788"/>
    <w:multiLevelType w:val="singleLevel"/>
    <w:tmpl w:val="DB084950"/>
    <w:lvl w:ilvl="0">
      <w:numFmt w:val="decimal"/>
      <w:pStyle w:val="nummering3"/>
      <w:lvlText w:val=""/>
      <w:lvlJc w:val="left"/>
      <w:pPr>
        <w:ind w:left="0" w:firstLine="0"/>
      </w:pPr>
    </w:lvl>
  </w:abstractNum>
  <w:abstractNum w:abstractNumId="104" w15:restartNumberingAfterBreak="0">
    <w:nsid w:val="496C7F47"/>
    <w:multiLevelType w:val="multilevel"/>
    <w:tmpl w:val="EEF4C2D8"/>
    <w:styleLink w:val="BumbiIIIIII3"/>
    <w:lvl w:ilvl="0">
      <w:start w:val="1"/>
      <w:numFmt w:val="upperRoman"/>
      <w:lvlText w:val="%1)"/>
      <w:lvlJc w:val="left"/>
      <w:pPr>
        <w:tabs>
          <w:tab w:val="num" w:pos="1584"/>
        </w:tabs>
        <w:ind w:left="1872" w:hanging="432"/>
      </w:pPr>
      <w:rPr>
        <w:rFonts w:ascii="Times New Roman" w:hAnsi="Times New Roman" w:hint="default"/>
        <w:b/>
        <w:sz w:val="22"/>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5" w15:restartNumberingAfterBreak="0">
    <w:nsid w:val="496E479B"/>
    <w:multiLevelType w:val="hybridMultilevel"/>
    <w:tmpl w:val="B1C45A56"/>
    <w:lvl w:ilvl="0" w:tplc="41A0F7E6">
      <w:start w:val="1"/>
      <w:numFmt w:val="bullet"/>
      <w:pStyle w:val="En-ttetitre-chapitre"/>
      <w:lvlText w:val=""/>
      <w:lvlJc w:val="left"/>
      <w:pPr>
        <w:tabs>
          <w:tab w:val="num" w:pos="425"/>
        </w:tabs>
        <w:ind w:left="425" w:hanging="425"/>
      </w:pPr>
      <w:rPr>
        <w:rFonts w:ascii="Wingdings" w:hAnsi="Wingdings" w:hint="default"/>
        <w:color w:val="008080"/>
        <w:sz w:val="20"/>
      </w:rPr>
    </w:lvl>
    <w:lvl w:ilvl="1" w:tplc="04180003">
      <w:start w:val="1"/>
      <w:numFmt w:val="bullet"/>
      <w:lvlText w:val="o"/>
      <w:lvlJc w:val="left"/>
      <w:pPr>
        <w:tabs>
          <w:tab w:val="num" w:pos="1440"/>
        </w:tabs>
        <w:ind w:left="1440" w:hanging="360"/>
      </w:pPr>
      <w:rPr>
        <w:rFonts w:ascii="Courier New" w:hAnsi="Courier New" w:hint="default"/>
      </w:rPr>
    </w:lvl>
    <w:lvl w:ilvl="2" w:tplc="04180005">
      <w:start w:val="1"/>
      <w:numFmt w:val="bullet"/>
      <w:lvlText w:val=""/>
      <w:lvlJc w:val="left"/>
      <w:pPr>
        <w:tabs>
          <w:tab w:val="num" w:pos="2160"/>
        </w:tabs>
        <w:ind w:left="2160" w:hanging="360"/>
      </w:pPr>
      <w:rPr>
        <w:rFonts w:ascii="Wingdings" w:hAnsi="Wingdings" w:hint="default"/>
      </w:rPr>
    </w:lvl>
    <w:lvl w:ilvl="3" w:tplc="04180001">
      <w:start w:val="1"/>
      <w:numFmt w:val="bullet"/>
      <w:lvlText w:val=""/>
      <w:lvlJc w:val="left"/>
      <w:pPr>
        <w:tabs>
          <w:tab w:val="num" w:pos="2880"/>
        </w:tabs>
        <w:ind w:left="2880" w:hanging="360"/>
      </w:pPr>
      <w:rPr>
        <w:rFonts w:ascii="Symbol" w:hAnsi="Symbol" w:hint="default"/>
      </w:rPr>
    </w:lvl>
    <w:lvl w:ilvl="4" w:tplc="04180003">
      <w:start w:val="1"/>
      <w:numFmt w:val="bullet"/>
      <w:lvlText w:val="o"/>
      <w:lvlJc w:val="left"/>
      <w:pPr>
        <w:tabs>
          <w:tab w:val="num" w:pos="3600"/>
        </w:tabs>
        <w:ind w:left="3600" w:hanging="360"/>
      </w:pPr>
      <w:rPr>
        <w:rFonts w:ascii="Courier New" w:hAnsi="Courier New" w:hint="default"/>
      </w:rPr>
    </w:lvl>
    <w:lvl w:ilvl="5" w:tplc="04180005">
      <w:start w:val="1"/>
      <w:numFmt w:val="bullet"/>
      <w:lvlText w:val=""/>
      <w:lvlJc w:val="left"/>
      <w:pPr>
        <w:tabs>
          <w:tab w:val="num" w:pos="4320"/>
        </w:tabs>
        <w:ind w:left="4320" w:hanging="360"/>
      </w:pPr>
      <w:rPr>
        <w:rFonts w:ascii="Wingdings" w:hAnsi="Wingdings" w:hint="default"/>
      </w:rPr>
    </w:lvl>
    <w:lvl w:ilvl="6" w:tplc="04180001">
      <w:start w:val="1"/>
      <w:numFmt w:val="bullet"/>
      <w:lvlText w:val=""/>
      <w:lvlJc w:val="left"/>
      <w:pPr>
        <w:tabs>
          <w:tab w:val="num" w:pos="5040"/>
        </w:tabs>
        <w:ind w:left="5040" w:hanging="360"/>
      </w:pPr>
      <w:rPr>
        <w:rFonts w:ascii="Symbol" w:hAnsi="Symbol" w:hint="default"/>
      </w:rPr>
    </w:lvl>
    <w:lvl w:ilvl="7" w:tplc="04180003">
      <w:start w:val="1"/>
      <w:numFmt w:val="bullet"/>
      <w:lvlText w:val="o"/>
      <w:lvlJc w:val="left"/>
      <w:pPr>
        <w:tabs>
          <w:tab w:val="num" w:pos="5760"/>
        </w:tabs>
        <w:ind w:left="5760" w:hanging="360"/>
      </w:pPr>
      <w:rPr>
        <w:rFonts w:ascii="Courier New" w:hAnsi="Courier New" w:hint="default"/>
      </w:rPr>
    </w:lvl>
    <w:lvl w:ilvl="8" w:tplc="04180005">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497E33D7"/>
    <w:multiLevelType w:val="hybridMultilevel"/>
    <w:tmpl w:val="8CE4A3A8"/>
    <w:lvl w:ilvl="0" w:tplc="08090001">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107" w15:restartNumberingAfterBreak="0">
    <w:nsid w:val="4A2771A8"/>
    <w:multiLevelType w:val="hybridMultilevel"/>
    <w:tmpl w:val="493E4C64"/>
    <w:styleLink w:val="10101101113"/>
    <w:lvl w:ilvl="0" w:tplc="25AA4DBA">
      <w:start w:val="1"/>
      <w:numFmt w:val="upperLetter"/>
      <w:lvlText w:val="%1."/>
      <w:lvlJc w:val="left"/>
      <w:pPr>
        <w:ind w:left="720" w:hanging="360"/>
      </w:pPr>
    </w:lvl>
    <w:lvl w:ilvl="1" w:tplc="49581D14">
      <w:start w:val="1"/>
      <w:numFmt w:val="lowerLetter"/>
      <w:lvlText w:val="%2."/>
      <w:lvlJc w:val="left"/>
      <w:pPr>
        <w:ind w:left="1440" w:hanging="360"/>
      </w:pPr>
    </w:lvl>
    <w:lvl w:ilvl="2" w:tplc="EF4E4C6A">
      <w:start w:val="1"/>
      <w:numFmt w:val="lowerRoman"/>
      <w:lvlText w:val="%3."/>
      <w:lvlJc w:val="right"/>
      <w:pPr>
        <w:ind w:left="2160" w:hanging="180"/>
      </w:pPr>
    </w:lvl>
    <w:lvl w:ilvl="3" w:tplc="F1BC560E">
      <w:start w:val="1"/>
      <w:numFmt w:val="decimal"/>
      <w:lvlText w:val="%4."/>
      <w:lvlJc w:val="left"/>
      <w:pPr>
        <w:ind w:left="2880" w:hanging="360"/>
      </w:pPr>
    </w:lvl>
    <w:lvl w:ilvl="4" w:tplc="CFA2F61C">
      <w:start w:val="1"/>
      <w:numFmt w:val="lowerLetter"/>
      <w:lvlText w:val="%5."/>
      <w:lvlJc w:val="left"/>
      <w:pPr>
        <w:ind w:left="3600" w:hanging="360"/>
      </w:pPr>
    </w:lvl>
    <w:lvl w:ilvl="5" w:tplc="5B70563C">
      <w:start w:val="1"/>
      <w:numFmt w:val="lowerRoman"/>
      <w:lvlText w:val="%6."/>
      <w:lvlJc w:val="right"/>
      <w:pPr>
        <w:ind w:left="4320" w:hanging="180"/>
      </w:pPr>
    </w:lvl>
    <w:lvl w:ilvl="6" w:tplc="AFA49B88">
      <w:start w:val="1"/>
      <w:numFmt w:val="decimal"/>
      <w:lvlText w:val="%7."/>
      <w:lvlJc w:val="left"/>
      <w:pPr>
        <w:ind w:left="5040" w:hanging="360"/>
      </w:pPr>
    </w:lvl>
    <w:lvl w:ilvl="7" w:tplc="35C07264">
      <w:start w:val="1"/>
      <w:numFmt w:val="lowerLetter"/>
      <w:lvlText w:val="%8."/>
      <w:lvlJc w:val="left"/>
      <w:pPr>
        <w:ind w:left="5760" w:hanging="360"/>
      </w:pPr>
    </w:lvl>
    <w:lvl w:ilvl="8" w:tplc="D6F4E87E">
      <w:start w:val="1"/>
      <w:numFmt w:val="lowerRoman"/>
      <w:lvlText w:val="%9."/>
      <w:lvlJc w:val="right"/>
      <w:pPr>
        <w:ind w:left="6480" w:hanging="180"/>
      </w:pPr>
    </w:lvl>
  </w:abstractNum>
  <w:abstractNum w:abstractNumId="108" w15:restartNumberingAfterBreak="0">
    <w:nsid w:val="4A2C3961"/>
    <w:multiLevelType w:val="hybridMultilevel"/>
    <w:tmpl w:val="D7BE3472"/>
    <w:styleLink w:val="Bumbi-111"/>
    <w:lvl w:ilvl="0" w:tplc="0409000B">
      <w:start w:val="1"/>
      <w:numFmt w:val="bullet"/>
      <w:lvlText w:val=""/>
      <w:lvlJc w:val="left"/>
      <w:pPr>
        <w:ind w:left="1068" w:hanging="360"/>
      </w:pPr>
      <w:rPr>
        <w:rFonts w:ascii="Wingdings" w:hAnsi="Wingdings" w:hint="default"/>
      </w:rPr>
    </w:lvl>
    <w:lvl w:ilvl="1" w:tplc="04180003" w:tentative="1">
      <w:start w:val="1"/>
      <w:numFmt w:val="bullet"/>
      <w:lvlText w:val="o"/>
      <w:lvlJc w:val="left"/>
      <w:pPr>
        <w:ind w:left="1788" w:hanging="360"/>
      </w:pPr>
      <w:rPr>
        <w:rFonts w:ascii="Courier New" w:hAnsi="Courier New" w:cs="Courier New" w:hint="default"/>
      </w:rPr>
    </w:lvl>
    <w:lvl w:ilvl="2" w:tplc="04180005" w:tentative="1">
      <w:start w:val="1"/>
      <w:numFmt w:val="bullet"/>
      <w:lvlText w:val=""/>
      <w:lvlJc w:val="left"/>
      <w:pPr>
        <w:ind w:left="2508" w:hanging="360"/>
      </w:pPr>
      <w:rPr>
        <w:rFonts w:ascii="Wingdings" w:hAnsi="Wingdings" w:hint="default"/>
      </w:rPr>
    </w:lvl>
    <w:lvl w:ilvl="3" w:tplc="04180001" w:tentative="1">
      <w:start w:val="1"/>
      <w:numFmt w:val="bullet"/>
      <w:lvlText w:val=""/>
      <w:lvlJc w:val="left"/>
      <w:pPr>
        <w:ind w:left="3228" w:hanging="360"/>
      </w:pPr>
      <w:rPr>
        <w:rFonts w:ascii="Symbol" w:hAnsi="Symbol" w:hint="default"/>
      </w:rPr>
    </w:lvl>
    <w:lvl w:ilvl="4" w:tplc="04180003" w:tentative="1">
      <w:start w:val="1"/>
      <w:numFmt w:val="bullet"/>
      <w:lvlText w:val="o"/>
      <w:lvlJc w:val="left"/>
      <w:pPr>
        <w:ind w:left="3948" w:hanging="360"/>
      </w:pPr>
      <w:rPr>
        <w:rFonts w:ascii="Courier New" w:hAnsi="Courier New" w:cs="Courier New" w:hint="default"/>
      </w:rPr>
    </w:lvl>
    <w:lvl w:ilvl="5" w:tplc="04180005" w:tentative="1">
      <w:start w:val="1"/>
      <w:numFmt w:val="bullet"/>
      <w:lvlText w:val=""/>
      <w:lvlJc w:val="left"/>
      <w:pPr>
        <w:ind w:left="4668" w:hanging="360"/>
      </w:pPr>
      <w:rPr>
        <w:rFonts w:ascii="Wingdings" w:hAnsi="Wingdings" w:hint="default"/>
      </w:rPr>
    </w:lvl>
    <w:lvl w:ilvl="6" w:tplc="04180001" w:tentative="1">
      <w:start w:val="1"/>
      <w:numFmt w:val="bullet"/>
      <w:lvlText w:val=""/>
      <w:lvlJc w:val="left"/>
      <w:pPr>
        <w:ind w:left="5388" w:hanging="360"/>
      </w:pPr>
      <w:rPr>
        <w:rFonts w:ascii="Symbol" w:hAnsi="Symbol" w:hint="default"/>
      </w:rPr>
    </w:lvl>
    <w:lvl w:ilvl="7" w:tplc="04180003" w:tentative="1">
      <w:start w:val="1"/>
      <w:numFmt w:val="bullet"/>
      <w:lvlText w:val="o"/>
      <w:lvlJc w:val="left"/>
      <w:pPr>
        <w:ind w:left="6108" w:hanging="360"/>
      </w:pPr>
      <w:rPr>
        <w:rFonts w:ascii="Courier New" w:hAnsi="Courier New" w:cs="Courier New" w:hint="default"/>
      </w:rPr>
    </w:lvl>
    <w:lvl w:ilvl="8" w:tplc="04180005" w:tentative="1">
      <w:start w:val="1"/>
      <w:numFmt w:val="bullet"/>
      <w:lvlText w:val=""/>
      <w:lvlJc w:val="left"/>
      <w:pPr>
        <w:ind w:left="6828" w:hanging="360"/>
      </w:pPr>
      <w:rPr>
        <w:rFonts w:ascii="Wingdings" w:hAnsi="Wingdings" w:hint="default"/>
      </w:rPr>
    </w:lvl>
  </w:abstractNum>
  <w:abstractNum w:abstractNumId="109" w15:restartNumberingAfterBreak="0">
    <w:nsid w:val="4C0E01C1"/>
    <w:multiLevelType w:val="hybridMultilevel"/>
    <w:tmpl w:val="8FD093CA"/>
    <w:styleLink w:val="111111"/>
    <w:lvl w:ilvl="0" w:tplc="04180003">
      <w:start w:val="1"/>
      <w:numFmt w:val="bullet"/>
      <w:lvlText w:val="o"/>
      <w:lvlJc w:val="left"/>
      <w:pPr>
        <w:ind w:left="1080" w:hanging="360"/>
      </w:pPr>
      <w:rPr>
        <w:rFonts w:ascii="Courier New" w:hAnsi="Courier New" w:cs="Courier New"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10" w15:restartNumberingAfterBreak="0">
    <w:nsid w:val="4C2B4E36"/>
    <w:multiLevelType w:val="hybridMultilevel"/>
    <w:tmpl w:val="B554F2B0"/>
    <w:lvl w:ilvl="0" w:tplc="DB784EF8">
      <w:start w:val="1"/>
      <w:numFmt w:val="bullet"/>
      <w:pStyle w:val="1bull"/>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1" w15:restartNumberingAfterBreak="0">
    <w:nsid w:val="4CCB5045"/>
    <w:multiLevelType w:val="hybridMultilevel"/>
    <w:tmpl w:val="FFFFFFFF"/>
    <w:styleLink w:val="Bumbi3"/>
    <w:lvl w:ilvl="0" w:tplc="0B3447D8">
      <w:start w:val="1"/>
      <w:numFmt w:val="bullet"/>
      <w:lvlText w:val=""/>
      <w:lvlJc w:val="left"/>
      <w:pPr>
        <w:ind w:left="720" w:hanging="360"/>
      </w:pPr>
      <w:rPr>
        <w:rFonts w:ascii="Symbol" w:hAnsi="Symbol" w:hint="default"/>
      </w:rPr>
    </w:lvl>
    <w:lvl w:ilvl="1" w:tplc="AA8EAC4C">
      <w:start w:val="1"/>
      <w:numFmt w:val="bullet"/>
      <w:lvlText w:val="o"/>
      <w:lvlJc w:val="left"/>
      <w:pPr>
        <w:ind w:left="1440" w:hanging="360"/>
      </w:pPr>
      <w:rPr>
        <w:rFonts w:ascii="Courier New" w:hAnsi="Courier New" w:hint="default"/>
      </w:rPr>
    </w:lvl>
    <w:lvl w:ilvl="2" w:tplc="784EC042">
      <w:start w:val="1"/>
      <w:numFmt w:val="bullet"/>
      <w:lvlText w:val=""/>
      <w:lvlJc w:val="left"/>
      <w:pPr>
        <w:ind w:left="2160" w:hanging="360"/>
      </w:pPr>
      <w:rPr>
        <w:rFonts w:ascii="Wingdings" w:hAnsi="Wingdings" w:hint="default"/>
      </w:rPr>
    </w:lvl>
    <w:lvl w:ilvl="3" w:tplc="22AC7A96">
      <w:start w:val="1"/>
      <w:numFmt w:val="bullet"/>
      <w:lvlText w:val=""/>
      <w:lvlJc w:val="left"/>
      <w:pPr>
        <w:ind w:left="2880" w:hanging="360"/>
      </w:pPr>
      <w:rPr>
        <w:rFonts w:ascii="Symbol" w:hAnsi="Symbol" w:hint="default"/>
      </w:rPr>
    </w:lvl>
    <w:lvl w:ilvl="4" w:tplc="27601C1E">
      <w:start w:val="1"/>
      <w:numFmt w:val="bullet"/>
      <w:lvlText w:val="o"/>
      <w:lvlJc w:val="left"/>
      <w:pPr>
        <w:ind w:left="3600" w:hanging="360"/>
      </w:pPr>
      <w:rPr>
        <w:rFonts w:ascii="Courier New" w:hAnsi="Courier New" w:hint="default"/>
      </w:rPr>
    </w:lvl>
    <w:lvl w:ilvl="5" w:tplc="2F2E6198">
      <w:start w:val="1"/>
      <w:numFmt w:val="bullet"/>
      <w:lvlText w:val=""/>
      <w:lvlJc w:val="left"/>
      <w:pPr>
        <w:ind w:left="4320" w:hanging="360"/>
      </w:pPr>
      <w:rPr>
        <w:rFonts w:ascii="Wingdings" w:hAnsi="Wingdings" w:hint="default"/>
      </w:rPr>
    </w:lvl>
    <w:lvl w:ilvl="6" w:tplc="6394AA7A">
      <w:start w:val="1"/>
      <w:numFmt w:val="bullet"/>
      <w:lvlText w:val=""/>
      <w:lvlJc w:val="left"/>
      <w:pPr>
        <w:ind w:left="5040" w:hanging="360"/>
      </w:pPr>
      <w:rPr>
        <w:rFonts w:ascii="Symbol" w:hAnsi="Symbol" w:hint="default"/>
      </w:rPr>
    </w:lvl>
    <w:lvl w:ilvl="7" w:tplc="77542CDA">
      <w:start w:val="1"/>
      <w:numFmt w:val="bullet"/>
      <w:lvlText w:val="o"/>
      <w:lvlJc w:val="left"/>
      <w:pPr>
        <w:ind w:left="5760" w:hanging="360"/>
      </w:pPr>
      <w:rPr>
        <w:rFonts w:ascii="Courier New" w:hAnsi="Courier New" w:hint="default"/>
      </w:rPr>
    </w:lvl>
    <w:lvl w:ilvl="8" w:tplc="32147B22">
      <w:start w:val="1"/>
      <w:numFmt w:val="bullet"/>
      <w:lvlText w:val=""/>
      <w:lvlJc w:val="left"/>
      <w:pPr>
        <w:ind w:left="6480" w:hanging="360"/>
      </w:pPr>
      <w:rPr>
        <w:rFonts w:ascii="Wingdings" w:hAnsi="Wingdings" w:hint="default"/>
      </w:rPr>
    </w:lvl>
  </w:abstractNum>
  <w:abstractNum w:abstractNumId="112" w15:restartNumberingAfterBreak="0">
    <w:nsid w:val="4CEE04A3"/>
    <w:multiLevelType w:val="singleLevel"/>
    <w:tmpl w:val="EA4E6D2E"/>
    <w:lvl w:ilvl="0">
      <w:numFmt w:val="decimal"/>
      <w:pStyle w:val="opsomming3"/>
      <w:lvlText w:val=""/>
      <w:lvlJc w:val="left"/>
      <w:pPr>
        <w:ind w:left="0" w:firstLine="0"/>
      </w:pPr>
    </w:lvl>
  </w:abstractNum>
  <w:abstractNum w:abstractNumId="113" w15:restartNumberingAfterBreak="0">
    <w:nsid w:val="4DAA45EE"/>
    <w:multiLevelType w:val="hybridMultilevel"/>
    <w:tmpl w:val="141009BE"/>
    <w:lvl w:ilvl="0" w:tplc="50009F0E">
      <w:start w:val="1"/>
      <w:numFmt w:val="bullet"/>
      <w:pStyle w:val="Bullet20"/>
      <w:lvlText w:val=""/>
      <w:lvlJc w:val="left"/>
      <w:pPr>
        <w:ind w:left="1152" w:hanging="360"/>
      </w:pPr>
      <w:rPr>
        <w:rFonts w:ascii="Symbol" w:hAnsi="Symbol" w:hint="default"/>
      </w:rPr>
    </w:lvl>
    <w:lvl w:ilvl="1" w:tplc="7D303234" w:tentative="1">
      <w:start w:val="1"/>
      <w:numFmt w:val="bullet"/>
      <w:lvlText w:val="o"/>
      <w:lvlJc w:val="left"/>
      <w:pPr>
        <w:ind w:left="1872" w:hanging="360"/>
      </w:pPr>
      <w:rPr>
        <w:rFonts w:ascii="Courier New" w:hAnsi="Courier New" w:hint="default"/>
      </w:rPr>
    </w:lvl>
    <w:lvl w:ilvl="2" w:tplc="7C3A48F0" w:tentative="1">
      <w:start w:val="1"/>
      <w:numFmt w:val="bullet"/>
      <w:lvlText w:val=""/>
      <w:lvlJc w:val="left"/>
      <w:pPr>
        <w:ind w:left="2592" w:hanging="360"/>
      </w:pPr>
      <w:rPr>
        <w:rFonts w:ascii="Wingdings" w:hAnsi="Wingdings" w:hint="default"/>
      </w:rPr>
    </w:lvl>
    <w:lvl w:ilvl="3" w:tplc="74AEA17C" w:tentative="1">
      <w:start w:val="1"/>
      <w:numFmt w:val="bullet"/>
      <w:lvlText w:val=""/>
      <w:lvlJc w:val="left"/>
      <w:pPr>
        <w:ind w:left="3312" w:hanging="360"/>
      </w:pPr>
      <w:rPr>
        <w:rFonts w:ascii="Symbol" w:hAnsi="Symbol" w:hint="default"/>
      </w:rPr>
    </w:lvl>
    <w:lvl w:ilvl="4" w:tplc="82D6AF8E" w:tentative="1">
      <w:start w:val="1"/>
      <w:numFmt w:val="bullet"/>
      <w:lvlText w:val="o"/>
      <w:lvlJc w:val="left"/>
      <w:pPr>
        <w:ind w:left="4032" w:hanging="360"/>
      </w:pPr>
      <w:rPr>
        <w:rFonts w:ascii="Courier New" w:hAnsi="Courier New" w:hint="default"/>
      </w:rPr>
    </w:lvl>
    <w:lvl w:ilvl="5" w:tplc="5FE8DFBC" w:tentative="1">
      <w:start w:val="1"/>
      <w:numFmt w:val="bullet"/>
      <w:lvlText w:val=""/>
      <w:lvlJc w:val="left"/>
      <w:pPr>
        <w:ind w:left="4752" w:hanging="360"/>
      </w:pPr>
      <w:rPr>
        <w:rFonts w:ascii="Wingdings" w:hAnsi="Wingdings" w:hint="default"/>
      </w:rPr>
    </w:lvl>
    <w:lvl w:ilvl="6" w:tplc="E67EFE60" w:tentative="1">
      <w:start w:val="1"/>
      <w:numFmt w:val="bullet"/>
      <w:lvlText w:val=""/>
      <w:lvlJc w:val="left"/>
      <w:pPr>
        <w:ind w:left="5472" w:hanging="360"/>
      </w:pPr>
      <w:rPr>
        <w:rFonts w:ascii="Symbol" w:hAnsi="Symbol" w:hint="default"/>
      </w:rPr>
    </w:lvl>
    <w:lvl w:ilvl="7" w:tplc="70CEFF0E" w:tentative="1">
      <w:start w:val="1"/>
      <w:numFmt w:val="bullet"/>
      <w:lvlText w:val="o"/>
      <w:lvlJc w:val="left"/>
      <w:pPr>
        <w:ind w:left="6192" w:hanging="360"/>
      </w:pPr>
      <w:rPr>
        <w:rFonts w:ascii="Courier New" w:hAnsi="Courier New" w:hint="default"/>
      </w:rPr>
    </w:lvl>
    <w:lvl w:ilvl="8" w:tplc="8230FD28" w:tentative="1">
      <w:start w:val="1"/>
      <w:numFmt w:val="bullet"/>
      <w:lvlText w:val=""/>
      <w:lvlJc w:val="left"/>
      <w:pPr>
        <w:ind w:left="6912" w:hanging="360"/>
      </w:pPr>
      <w:rPr>
        <w:rFonts w:ascii="Wingdings" w:hAnsi="Wingdings" w:hint="default"/>
      </w:rPr>
    </w:lvl>
  </w:abstractNum>
  <w:abstractNum w:abstractNumId="114" w15:restartNumberingAfterBreak="0">
    <w:nsid w:val="4E747B42"/>
    <w:multiLevelType w:val="singleLevel"/>
    <w:tmpl w:val="7B4440B6"/>
    <w:lvl w:ilvl="0">
      <w:start w:val="1"/>
      <w:numFmt w:val="decimal"/>
      <w:pStyle w:val="StyleHeading512pt"/>
      <w:lvlText w:val="%1."/>
      <w:lvlJc w:val="left"/>
      <w:pPr>
        <w:tabs>
          <w:tab w:val="num" w:pos="360"/>
        </w:tabs>
        <w:ind w:left="360" w:hanging="360"/>
      </w:pPr>
    </w:lvl>
  </w:abstractNum>
  <w:abstractNum w:abstractNumId="115" w15:restartNumberingAfterBreak="0">
    <w:nsid w:val="4E765392"/>
    <w:multiLevelType w:val="hybridMultilevel"/>
    <w:tmpl w:val="292CE2E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6" w15:restartNumberingAfterBreak="0">
    <w:nsid w:val="4E9F5E26"/>
    <w:multiLevelType w:val="hybridMultilevel"/>
    <w:tmpl w:val="4BDC94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4F99D89F"/>
    <w:multiLevelType w:val="hybridMultilevel"/>
    <w:tmpl w:val="323457F8"/>
    <w:styleLink w:val="TabelBumbi11"/>
    <w:lvl w:ilvl="0" w:tplc="32E4BCDE">
      <w:start w:val="1"/>
      <w:numFmt w:val="bullet"/>
      <w:lvlText w:val="·"/>
      <w:lvlJc w:val="left"/>
      <w:pPr>
        <w:ind w:left="720" w:hanging="360"/>
      </w:pPr>
      <w:rPr>
        <w:rFonts w:ascii="Symbol" w:hAnsi="Symbol" w:hint="default"/>
      </w:rPr>
    </w:lvl>
    <w:lvl w:ilvl="1" w:tplc="04180005">
      <w:start w:val="1"/>
      <w:numFmt w:val="bullet"/>
      <w:lvlText w:val=""/>
      <w:lvlJc w:val="left"/>
      <w:pPr>
        <w:ind w:left="1440" w:hanging="360"/>
      </w:pPr>
      <w:rPr>
        <w:rFonts w:ascii="Wingdings" w:hAnsi="Wingdings" w:hint="default"/>
      </w:rPr>
    </w:lvl>
    <w:lvl w:ilvl="2" w:tplc="711492B2">
      <w:start w:val="1"/>
      <w:numFmt w:val="bullet"/>
      <w:lvlText w:val="-"/>
      <w:lvlJc w:val="left"/>
      <w:pPr>
        <w:ind w:left="720" w:hanging="360"/>
      </w:pPr>
      <w:rPr>
        <w:rFonts w:ascii="&quot;Calibri&quot;,sans-serif" w:hAnsi="&quot;Calibri&quot;,sans-serif" w:hint="default"/>
      </w:rPr>
    </w:lvl>
    <w:lvl w:ilvl="3" w:tplc="FA4AAADA">
      <w:start w:val="1"/>
      <w:numFmt w:val="bullet"/>
      <w:lvlText w:val=""/>
      <w:lvlJc w:val="left"/>
      <w:pPr>
        <w:ind w:left="2880" w:hanging="360"/>
      </w:pPr>
      <w:rPr>
        <w:rFonts w:ascii="Symbol" w:hAnsi="Symbol" w:hint="default"/>
      </w:rPr>
    </w:lvl>
    <w:lvl w:ilvl="4" w:tplc="1D687B08">
      <w:start w:val="1"/>
      <w:numFmt w:val="bullet"/>
      <w:lvlText w:val="o"/>
      <w:lvlJc w:val="left"/>
      <w:pPr>
        <w:ind w:left="3600" w:hanging="360"/>
      </w:pPr>
      <w:rPr>
        <w:rFonts w:ascii="Courier New" w:hAnsi="Courier New" w:hint="default"/>
      </w:rPr>
    </w:lvl>
    <w:lvl w:ilvl="5" w:tplc="87147662">
      <w:start w:val="1"/>
      <w:numFmt w:val="bullet"/>
      <w:lvlText w:val=""/>
      <w:lvlJc w:val="left"/>
      <w:pPr>
        <w:ind w:left="4320" w:hanging="360"/>
      </w:pPr>
      <w:rPr>
        <w:rFonts w:ascii="Wingdings" w:hAnsi="Wingdings" w:hint="default"/>
      </w:rPr>
    </w:lvl>
    <w:lvl w:ilvl="6" w:tplc="F746D1F4">
      <w:start w:val="1"/>
      <w:numFmt w:val="bullet"/>
      <w:lvlText w:val=""/>
      <w:lvlJc w:val="left"/>
      <w:pPr>
        <w:ind w:left="5040" w:hanging="360"/>
      </w:pPr>
      <w:rPr>
        <w:rFonts w:ascii="Symbol" w:hAnsi="Symbol" w:hint="default"/>
      </w:rPr>
    </w:lvl>
    <w:lvl w:ilvl="7" w:tplc="2D0A5AF0">
      <w:start w:val="1"/>
      <w:numFmt w:val="bullet"/>
      <w:lvlText w:val="o"/>
      <w:lvlJc w:val="left"/>
      <w:pPr>
        <w:ind w:left="5760" w:hanging="360"/>
      </w:pPr>
      <w:rPr>
        <w:rFonts w:ascii="Courier New" w:hAnsi="Courier New" w:hint="default"/>
      </w:rPr>
    </w:lvl>
    <w:lvl w:ilvl="8" w:tplc="33500610">
      <w:start w:val="1"/>
      <w:numFmt w:val="bullet"/>
      <w:lvlText w:val=""/>
      <w:lvlJc w:val="left"/>
      <w:pPr>
        <w:ind w:left="6480" w:hanging="360"/>
      </w:pPr>
      <w:rPr>
        <w:rFonts w:ascii="Wingdings" w:hAnsi="Wingdings" w:hint="default"/>
      </w:rPr>
    </w:lvl>
  </w:abstractNum>
  <w:abstractNum w:abstractNumId="118" w15:restartNumberingAfterBreak="0">
    <w:nsid w:val="4FB75460"/>
    <w:multiLevelType w:val="hybridMultilevel"/>
    <w:tmpl w:val="40183AC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9" w15:restartNumberingAfterBreak="0">
    <w:nsid w:val="4FD8577F"/>
    <w:multiLevelType w:val="multilevel"/>
    <w:tmpl w:val="62720B3A"/>
    <w:lvl w:ilvl="0">
      <w:start w:val="6"/>
      <w:numFmt w:val="decimal"/>
      <w:lvlText w:val="%1."/>
      <w:lvlJc w:val="left"/>
      <w:pPr>
        <w:ind w:left="720" w:hanging="360"/>
      </w:pPr>
      <w:rPr>
        <w:rFonts w:hint="default"/>
        <w:b/>
        <w:bCs w:val="0"/>
      </w:rPr>
    </w:lvl>
    <w:lvl w:ilvl="1">
      <w:start w:val="1"/>
      <w:numFmt w:val="decimal"/>
      <w:isLgl/>
      <w:lvlText w:val="%1.%2."/>
      <w:lvlJc w:val="left"/>
      <w:pPr>
        <w:ind w:left="1855"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20" w15:restartNumberingAfterBreak="0">
    <w:nsid w:val="5006440D"/>
    <w:multiLevelType w:val="hybridMultilevel"/>
    <w:tmpl w:val="375C4E12"/>
    <w:styleLink w:val="1111112"/>
    <w:lvl w:ilvl="0" w:tplc="7FFEB546">
      <w:start w:val="1"/>
      <w:numFmt w:val="bullet"/>
      <w:pStyle w:val="JBA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511E305C"/>
    <w:multiLevelType w:val="hybridMultilevel"/>
    <w:tmpl w:val="3E9E8484"/>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22" w15:restartNumberingAfterBreak="0">
    <w:nsid w:val="51560E88"/>
    <w:multiLevelType w:val="hybridMultilevel"/>
    <w:tmpl w:val="4AA2A6B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3" w15:restartNumberingAfterBreak="0">
    <w:nsid w:val="5224A8E4"/>
    <w:multiLevelType w:val="hybridMultilevel"/>
    <w:tmpl w:val="E892D854"/>
    <w:styleLink w:val="Bumbi-3"/>
    <w:lvl w:ilvl="0" w:tplc="A446C01E">
      <w:start w:val="1"/>
      <w:numFmt w:val="bullet"/>
      <w:lvlText w:val=""/>
      <w:lvlJc w:val="left"/>
      <w:pPr>
        <w:ind w:left="1440" w:hanging="360"/>
      </w:pPr>
      <w:rPr>
        <w:rFonts w:ascii="Symbol" w:hAnsi="Symbol" w:hint="default"/>
        <w:b w:val="0"/>
        <w:i w:val="0"/>
        <w:strike w:val="0"/>
        <w:dstrike w:val="0"/>
        <w:color w:val="252525"/>
        <w:sz w:val="18"/>
        <w:szCs w:val="18"/>
        <w:u w:val="none" w:color="000000"/>
        <w:effect w:val="none"/>
        <w:bdr w:val="none" w:sz="0" w:space="0" w:color="auto" w:frame="1"/>
        <w:vertAlign w:val="baseline"/>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24" w15:restartNumberingAfterBreak="0">
    <w:nsid w:val="52A72541"/>
    <w:multiLevelType w:val="hybridMultilevel"/>
    <w:tmpl w:val="D8329F9C"/>
    <w:styleLink w:val="BumbiABC11"/>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53F109F6"/>
    <w:multiLevelType w:val="hybridMultilevel"/>
    <w:tmpl w:val="8006D6B6"/>
    <w:styleLink w:val="Bumbiabc1"/>
    <w:lvl w:ilvl="0" w:tplc="9F702110">
      <w:start w:val="1"/>
      <w:numFmt w:val="bullet"/>
      <w:lvlText w:val="-"/>
      <w:lvlJc w:val="left"/>
      <w:pPr>
        <w:ind w:left="720" w:hanging="360"/>
      </w:pPr>
      <w:rPr>
        <w:rFonts w:ascii="&quot;Calibri&quot;,sans-serif" w:hAnsi="&quot;Calibri&quot;,sans-serif" w:hint="default"/>
      </w:rPr>
    </w:lvl>
    <w:lvl w:ilvl="1" w:tplc="AA24A702">
      <w:start w:val="1"/>
      <w:numFmt w:val="bullet"/>
      <w:lvlText w:val="o"/>
      <w:lvlJc w:val="left"/>
      <w:pPr>
        <w:ind w:left="1440" w:hanging="360"/>
      </w:pPr>
      <w:rPr>
        <w:rFonts w:ascii="Courier New" w:hAnsi="Courier New" w:hint="default"/>
      </w:rPr>
    </w:lvl>
    <w:lvl w:ilvl="2" w:tplc="7B1A280C">
      <w:start w:val="1"/>
      <w:numFmt w:val="bullet"/>
      <w:lvlText w:val=""/>
      <w:lvlJc w:val="left"/>
      <w:pPr>
        <w:ind w:left="2160" w:hanging="360"/>
      </w:pPr>
      <w:rPr>
        <w:rFonts w:ascii="Wingdings" w:hAnsi="Wingdings" w:hint="default"/>
      </w:rPr>
    </w:lvl>
    <w:lvl w:ilvl="3" w:tplc="A29CC5BE">
      <w:start w:val="1"/>
      <w:numFmt w:val="bullet"/>
      <w:lvlText w:val=""/>
      <w:lvlJc w:val="left"/>
      <w:pPr>
        <w:ind w:left="2880" w:hanging="360"/>
      </w:pPr>
      <w:rPr>
        <w:rFonts w:ascii="Symbol" w:hAnsi="Symbol" w:hint="default"/>
      </w:rPr>
    </w:lvl>
    <w:lvl w:ilvl="4" w:tplc="8EBEB1FE">
      <w:start w:val="1"/>
      <w:numFmt w:val="bullet"/>
      <w:lvlText w:val="o"/>
      <w:lvlJc w:val="left"/>
      <w:pPr>
        <w:ind w:left="3600" w:hanging="360"/>
      </w:pPr>
      <w:rPr>
        <w:rFonts w:ascii="Courier New" w:hAnsi="Courier New" w:hint="default"/>
      </w:rPr>
    </w:lvl>
    <w:lvl w:ilvl="5" w:tplc="0DF6E81E">
      <w:start w:val="1"/>
      <w:numFmt w:val="bullet"/>
      <w:lvlText w:val=""/>
      <w:lvlJc w:val="left"/>
      <w:pPr>
        <w:ind w:left="4320" w:hanging="360"/>
      </w:pPr>
      <w:rPr>
        <w:rFonts w:ascii="Wingdings" w:hAnsi="Wingdings" w:hint="default"/>
      </w:rPr>
    </w:lvl>
    <w:lvl w:ilvl="6" w:tplc="5EAEC514">
      <w:start w:val="1"/>
      <w:numFmt w:val="bullet"/>
      <w:lvlText w:val=""/>
      <w:lvlJc w:val="left"/>
      <w:pPr>
        <w:ind w:left="5040" w:hanging="360"/>
      </w:pPr>
      <w:rPr>
        <w:rFonts w:ascii="Symbol" w:hAnsi="Symbol" w:hint="default"/>
      </w:rPr>
    </w:lvl>
    <w:lvl w:ilvl="7" w:tplc="21A08056">
      <w:start w:val="1"/>
      <w:numFmt w:val="bullet"/>
      <w:lvlText w:val="o"/>
      <w:lvlJc w:val="left"/>
      <w:pPr>
        <w:ind w:left="5760" w:hanging="360"/>
      </w:pPr>
      <w:rPr>
        <w:rFonts w:ascii="Courier New" w:hAnsi="Courier New" w:hint="default"/>
      </w:rPr>
    </w:lvl>
    <w:lvl w:ilvl="8" w:tplc="C10092F8">
      <w:start w:val="1"/>
      <w:numFmt w:val="bullet"/>
      <w:lvlText w:val=""/>
      <w:lvlJc w:val="left"/>
      <w:pPr>
        <w:ind w:left="6480" w:hanging="360"/>
      </w:pPr>
      <w:rPr>
        <w:rFonts w:ascii="Wingdings" w:hAnsi="Wingdings" w:hint="default"/>
      </w:rPr>
    </w:lvl>
  </w:abstractNum>
  <w:abstractNum w:abstractNumId="126" w15:restartNumberingAfterBreak="0">
    <w:nsid w:val="548671B7"/>
    <w:multiLevelType w:val="hybridMultilevel"/>
    <w:tmpl w:val="2DA20F4C"/>
    <w:lvl w:ilvl="0" w:tplc="FFFFFFFF">
      <w:start w:val="1"/>
      <w:numFmt w:val="bullet"/>
      <w:pStyle w:val="En-tteClient"/>
      <w:lvlText w:val="●"/>
      <w:lvlJc w:val="left"/>
      <w:pPr>
        <w:tabs>
          <w:tab w:val="num" w:pos="3261"/>
        </w:tabs>
        <w:ind w:left="3261" w:hanging="567"/>
      </w:pPr>
      <w:rPr>
        <w:rFonts w:ascii="Times New Roman" w:hint="default"/>
        <w:color w:val="008080"/>
      </w:rPr>
    </w:lvl>
    <w:lvl w:ilvl="1" w:tplc="FFFFFFFF">
      <w:start w:val="1"/>
      <w:numFmt w:val="decimal"/>
      <w:lvlText w:val="%2."/>
      <w:lvlJc w:val="left"/>
      <w:pPr>
        <w:tabs>
          <w:tab w:val="num" w:pos="3567"/>
        </w:tabs>
        <w:ind w:left="3567" w:hanging="360"/>
      </w:pPr>
      <w:rPr>
        <w:rFonts w:cs="Times New Roman" w:hint="default"/>
        <w:color w:val="008080"/>
      </w:rPr>
    </w:lvl>
    <w:lvl w:ilvl="2" w:tplc="FFFFFFFF">
      <w:start w:val="1"/>
      <w:numFmt w:val="bullet"/>
      <w:lvlText w:val=""/>
      <w:lvlJc w:val="left"/>
      <w:pPr>
        <w:tabs>
          <w:tab w:val="num" w:pos="4287"/>
        </w:tabs>
        <w:ind w:left="4287" w:hanging="360"/>
      </w:pPr>
      <w:rPr>
        <w:rFonts w:ascii="Wingdings" w:hAnsi="Wingdings" w:hint="default"/>
      </w:rPr>
    </w:lvl>
    <w:lvl w:ilvl="3" w:tplc="FFFFFFFF">
      <w:start w:val="1"/>
      <w:numFmt w:val="bullet"/>
      <w:lvlText w:val=""/>
      <w:lvlJc w:val="left"/>
      <w:pPr>
        <w:tabs>
          <w:tab w:val="num" w:pos="5007"/>
        </w:tabs>
        <w:ind w:left="5007" w:hanging="360"/>
      </w:pPr>
      <w:rPr>
        <w:rFonts w:ascii="Symbol" w:hAnsi="Symbol" w:hint="default"/>
      </w:rPr>
    </w:lvl>
    <w:lvl w:ilvl="4" w:tplc="FFFFFFFF">
      <w:start w:val="1"/>
      <w:numFmt w:val="bullet"/>
      <w:lvlText w:val="o"/>
      <w:lvlJc w:val="left"/>
      <w:pPr>
        <w:tabs>
          <w:tab w:val="num" w:pos="5727"/>
        </w:tabs>
        <w:ind w:left="5727" w:hanging="360"/>
      </w:pPr>
      <w:rPr>
        <w:rFonts w:ascii="Courier New" w:hAnsi="Courier New" w:hint="default"/>
      </w:rPr>
    </w:lvl>
    <w:lvl w:ilvl="5" w:tplc="FFFFFFFF">
      <w:start w:val="1"/>
      <w:numFmt w:val="bullet"/>
      <w:lvlText w:val=""/>
      <w:lvlJc w:val="left"/>
      <w:pPr>
        <w:tabs>
          <w:tab w:val="num" w:pos="6447"/>
        </w:tabs>
        <w:ind w:left="6447" w:hanging="360"/>
      </w:pPr>
      <w:rPr>
        <w:rFonts w:ascii="Wingdings" w:hAnsi="Wingdings" w:hint="default"/>
      </w:rPr>
    </w:lvl>
    <w:lvl w:ilvl="6" w:tplc="FFFFFFFF">
      <w:start w:val="1"/>
      <w:numFmt w:val="bullet"/>
      <w:lvlText w:val=""/>
      <w:lvlJc w:val="left"/>
      <w:pPr>
        <w:tabs>
          <w:tab w:val="num" w:pos="7167"/>
        </w:tabs>
        <w:ind w:left="7167" w:hanging="360"/>
      </w:pPr>
      <w:rPr>
        <w:rFonts w:ascii="Symbol" w:hAnsi="Symbol" w:hint="default"/>
      </w:rPr>
    </w:lvl>
    <w:lvl w:ilvl="7" w:tplc="FFFFFFFF">
      <w:start w:val="1"/>
      <w:numFmt w:val="bullet"/>
      <w:lvlText w:val="o"/>
      <w:lvlJc w:val="left"/>
      <w:pPr>
        <w:tabs>
          <w:tab w:val="num" w:pos="7887"/>
        </w:tabs>
        <w:ind w:left="7887" w:hanging="360"/>
      </w:pPr>
      <w:rPr>
        <w:rFonts w:ascii="Courier New" w:hAnsi="Courier New" w:hint="default"/>
      </w:rPr>
    </w:lvl>
    <w:lvl w:ilvl="8" w:tplc="FFFFFFFF">
      <w:start w:val="1"/>
      <w:numFmt w:val="bullet"/>
      <w:lvlText w:val=""/>
      <w:lvlJc w:val="left"/>
      <w:pPr>
        <w:tabs>
          <w:tab w:val="num" w:pos="8607"/>
        </w:tabs>
        <w:ind w:left="8607" w:hanging="360"/>
      </w:pPr>
      <w:rPr>
        <w:rFonts w:ascii="Wingdings" w:hAnsi="Wingdings" w:hint="default"/>
      </w:rPr>
    </w:lvl>
  </w:abstractNum>
  <w:abstractNum w:abstractNumId="127" w15:restartNumberingAfterBreak="0">
    <w:nsid w:val="54952B01"/>
    <w:multiLevelType w:val="multilevel"/>
    <w:tmpl w:val="ADE23D32"/>
    <w:styleLink w:val="BumbiIIIIII"/>
    <w:lvl w:ilvl="0">
      <w:start w:val="1"/>
      <w:numFmt w:val="decimal"/>
      <w:lvlText w:val="%1"/>
      <w:lvlJc w:val="left"/>
      <w:pPr>
        <w:ind w:left="715" w:hanging="432"/>
      </w:pPr>
      <w:rPr>
        <w:rFonts w:hint="default"/>
        <w:b/>
        <w:i w:val="0"/>
        <w:sz w:val="18"/>
        <w:szCs w:val="18"/>
      </w:rPr>
    </w:lvl>
    <w:lvl w:ilvl="1">
      <w:start w:val="1"/>
      <w:numFmt w:val="decimal"/>
      <w:lvlText w:val="%1.%2"/>
      <w:lvlJc w:val="left"/>
      <w:pPr>
        <w:ind w:left="576" w:hanging="576"/>
      </w:pPr>
      <w:rPr>
        <w:rFonts w:ascii="Verdana" w:hAnsi="Verdana" w:hint="default"/>
        <w:b/>
        <w:bCs w:val="0"/>
        <w:i w:val="0"/>
        <w:iCs w:val="0"/>
        <w:caps w:val="0"/>
        <w:smallCaps w:val="0"/>
        <w:strike w:val="0"/>
        <w:dstrike w:val="0"/>
        <w:outline w:val="0"/>
        <w:shadow w:val="0"/>
        <w:emboss w:val="0"/>
        <w:imprint w:val="0"/>
        <w:noProof w:val="0"/>
        <w:vanish w:val="0"/>
        <w:color w:val="00B0F0"/>
        <w:spacing w:val="0"/>
        <w:kern w:val="0"/>
        <w:position w:val="0"/>
        <w:sz w:val="18"/>
        <w:szCs w:val="18"/>
        <w:u w:val="none"/>
        <w:effect w:val="none"/>
        <w:vertAlign w:val="baseline"/>
        <w:em w:val="none"/>
        <w:specVanish w:val="0"/>
      </w:rPr>
    </w:lvl>
    <w:lvl w:ilvl="2">
      <w:start w:val="1"/>
      <w:numFmt w:val="decimal"/>
      <w:lvlText w:val="%1.%2.%3"/>
      <w:lvlJc w:val="left"/>
      <w:pPr>
        <w:ind w:left="-131" w:hanging="720"/>
      </w:pPr>
      <w:rPr>
        <w:b/>
        <w:color w:val="00B0F0"/>
      </w:rPr>
    </w:lvl>
    <w:lvl w:ilvl="3">
      <w:start w:val="1"/>
      <w:numFmt w:val="decimal"/>
      <w:lvlText w:val="%1.%2.%3.%4"/>
      <w:lvlJc w:val="left"/>
      <w:pPr>
        <w:ind w:left="13" w:hanging="864"/>
      </w:pPr>
      <w:rPr>
        <w:color w:val="00B0F0"/>
      </w:rPr>
    </w:lvl>
    <w:lvl w:ilvl="4">
      <w:start w:val="1"/>
      <w:numFmt w:val="decimal"/>
      <w:lvlText w:val="%1.%2.%3.%4.%5"/>
      <w:lvlJc w:val="left"/>
      <w:pPr>
        <w:ind w:left="1434" w:hanging="1008"/>
      </w:pPr>
      <w:rPr>
        <w:b/>
        <w:bCs/>
      </w:rPr>
    </w:lvl>
    <w:lvl w:ilvl="5">
      <w:start w:val="1"/>
      <w:numFmt w:val="decimal"/>
      <w:lvlText w:val="%1.%2.%3.%4.%5.%6"/>
      <w:lvlJc w:val="left"/>
      <w:pPr>
        <w:ind w:left="301" w:hanging="1152"/>
      </w:pPr>
      <w:rPr>
        <w:rFonts w:ascii="Verdana" w:hAnsi="Verdana" w:hint="default"/>
        <w:i/>
        <w:iCs/>
        <w:sz w:val="20"/>
        <w:szCs w:val="20"/>
      </w:rPr>
    </w:lvl>
    <w:lvl w:ilvl="6">
      <w:start w:val="1"/>
      <w:numFmt w:val="decimal"/>
      <w:lvlText w:val="%1.%2.%3.%4.%5.%6.%7"/>
      <w:lvlJc w:val="left"/>
      <w:pPr>
        <w:ind w:left="445" w:hanging="1296"/>
      </w:pPr>
    </w:lvl>
    <w:lvl w:ilvl="7">
      <w:start w:val="1"/>
      <w:numFmt w:val="decimal"/>
      <w:lvlText w:val="%1.%2.%3.%4.%5.%6.%7.%8"/>
      <w:lvlJc w:val="left"/>
      <w:pPr>
        <w:ind w:left="589" w:hanging="1440"/>
      </w:pPr>
    </w:lvl>
    <w:lvl w:ilvl="8">
      <w:start w:val="1"/>
      <w:numFmt w:val="decimal"/>
      <w:lvlText w:val="%1.%2.%3.%4.%5.%6.%7.%8.%9"/>
      <w:lvlJc w:val="left"/>
      <w:pPr>
        <w:ind w:left="733" w:hanging="1584"/>
      </w:pPr>
    </w:lvl>
  </w:abstractNum>
  <w:abstractNum w:abstractNumId="128" w15:restartNumberingAfterBreak="0">
    <w:nsid w:val="54CE268C"/>
    <w:multiLevelType w:val="hybridMultilevel"/>
    <w:tmpl w:val="AE823BCC"/>
    <w:lvl w:ilvl="0" w:tplc="FFFFFFFF">
      <w:start w:val="1"/>
      <w:numFmt w:val="bullet"/>
      <w:lvlText w:val=""/>
      <w:lvlJc w:val="left"/>
      <w:pPr>
        <w:ind w:left="720" w:hanging="360"/>
      </w:pPr>
      <w:rPr>
        <w:rFonts w:ascii="Symbol" w:hAnsi="Symbol" w:hint="default"/>
      </w:rPr>
    </w:lvl>
    <w:lvl w:ilvl="1" w:tplc="04180001">
      <w:start w:val="1"/>
      <w:numFmt w:val="bullet"/>
      <w:lvlText w:val=""/>
      <w:lvlJc w:val="left"/>
      <w:pPr>
        <w:ind w:left="644"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9" w15:restartNumberingAfterBreak="0">
    <w:nsid w:val="571B6776"/>
    <w:multiLevelType w:val="multilevel"/>
    <w:tmpl w:val="803E64B6"/>
    <w:lvl w:ilvl="0">
      <w:numFmt w:val="decimal"/>
      <w:pStyle w:val="4nostyle"/>
      <w:lvlText w:val=""/>
      <w:lvlJc w:val="left"/>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30" w15:restartNumberingAfterBreak="0">
    <w:nsid w:val="57411BDF"/>
    <w:multiLevelType w:val="hybridMultilevel"/>
    <w:tmpl w:val="ABF68CCC"/>
    <w:lvl w:ilvl="0" w:tplc="884644E4">
      <w:start w:val="1"/>
      <w:numFmt w:val="bullet"/>
      <w:pStyle w:val="P0"/>
      <w:lvlText w:val=""/>
      <w:lvlJc w:val="left"/>
      <w:pPr>
        <w:tabs>
          <w:tab w:val="num" w:pos="425"/>
        </w:tabs>
        <w:ind w:left="425" w:hanging="425"/>
      </w:pPr>
      <w:rPr>
        <w:rFonts w:ascii="Symbol" w:hAnsi="Symbol" w:hint="default"/>
      </w:rPr>
    </w:lvl>
    <w:lvl w:ilvl="1" w:tplc="04180003" w:tentative="1">
      <w:start w:val="1"/>
      <w:numFmt w:val="bullet"/>
      <w:lvlText w:val="o"/>
      <w:lvlJc w:val="left"/>
      <w:pPr>
        <w:tabs>
          <w:tab w:val="num" w:pos="1440"/>
        </w:tabs>
        <w:ind w:left="1440" w:hanging="360"/>
      </w:pPr>
      <w:rPr>
        <w:rFonts w:ascii="Courier New" w:hAnsi="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131" w15:restartNumberingAfterBreak="0">
    <w:nsid w:val="59170AEC"/>
    <w:multiLevelType w:val="hybridMultilevel"/>
    <w:tmpl w:val="E0DE638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2" w15:restartNumberingAfterBreak="0">
    <w:nsid w:val="59420748"/>
    <w:multiLevelType w:val="hybridMultilevel"/>
    <w:tmpl w:val="A1C2325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3" w15:restartNumberingAfterBreak="0">
    <w:nsid w:val="598C1C6E"/>
    <w:multiLevelType w:val="singleLevel"/>
    <w:tmpl w:val="DC80CA76"/>
    <w:lvl w:ilvl="0">
      <w:start w:val="1"/>
      <w:numFmt w:val="bullet"/>
      <w:pStyle w:val="Unnumbered"/>
      <w:lvlText w:val=""/>
      <w:lvlJc w:val="left"/>
      <w:pPr>
        <w:tabs>
          <w:tab w:val="num" w:pos="2160"/>
        </w:tabs>
        <w:ind w:left="2160" w:hanging="720"/>
      </w:pPr>
      <w:rPr>
        <w:rFonts w:ascii="Symbol" w:hAnsi="Symbol" w:cs="Symbol" w:hint="default"/>
        <w:sz w:val="20"/>
        <w:szCs w:val="20"/>
      </w:rPr>
    </w:lvl>
  </w:abstractNum>
  <w:abstractNum w:abstractNumId="134" w15:restartNumberingAfterBreak="0">
    <w:nsid w:val="5A6174B5"/>
    <w:multiLevelType w:val="hybridMultilevel"/>
    <w:tmpl w:val="3DAC4E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5B4E1573"/>
    <w:multiLevelType w:val="hybridMultilevel"/>
    <w:tmpl w:val="FC168EA2"/>
    <w:lvl w:ilvl="0" w:tplc="0EECC814">
      <w:start w:val="1"/>
      <w:numFmt w:val="decimal"/>
      <w:lvlText w:val="OM%1."/>
      <w:lvlJc w:val="left"/>
      <w:pPr>
        <w:ind w:left="643" w:hanging="360"/>
      </w:pPr>
      <w:rPr>
        <w:rFonts w:hint="default"/>
        <w:b/>
        <w:bCs/>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6" w15:restartNumberingAfterBreak="0">
    <w:nsid w:val="5BD66E7B"/>
    <w:multiLevelType w:val="hybridMultilevel"/>
    <w:tmpl w:val="1486C8DC"/>
    <w:styleLink w:val="BumbiIIIIII111"/>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37" w15:restartNumberingAfterBreak="0">
    <w:nsid w:val="5C55615F"/>
    <w:multiLevelType w:val="hybridMultilevel"/>
    <w:tmpl w:val="04180001"/>
    <w:numStyleLink w:val="cuprins11"/>
  </w:abstractNum>
  <w:abstractNum w:abstractNumId="138" w15:restartNumberingAfterBreak="0">
    <w:nsid w:val="5C590F63"/>
    <w:multiLevelType w:val="hybridMultilevel"/>
    <w:tmpl w:val="B330A62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9" w15:restartNumberingAfterBreak="0">
    <w:nsid w:val="5C5D2E14"/>
    <w:multiLevelType w:val="hybridMultilevel"/>
    <w:tmpl w:val="B8F4E77C"/>
    <w:lvl w:ilvl="0" w:tplc="04070001">
      <w:start w:val="1"/>
      <w:numFmt w:val="bullet"/>
      <w:pStyle w:val="P1"/>
      <w:lvlText w:val=""/>
      <w:lvlJc w:val="left"/>
      <w:pPr>
        <w:tabs>
          <w:tab w:val="num" w:pos="850"/>
        </w:tabs>
        <w:ind w:left="850" w:hanging="425"/>
      </w:pPr>
      <w:rPr>
        <w:rFonts w:ascii="Symbol" w:hAnsi="Symbol" w:hint="default"/>
      </w:rPr>
    </w:lvl>
    <w:lvl w:ilvl="1" w:tplc="04070003">
      <w:start w:val="1"/>
      <w:numFmt w:val="bullet"/>
      <w:lvlText w:val="o"/>
      <w:lvlJc w:val="left"/>
      <w:pPr>
        <w:tabs>
          <w:tab w:val="num" w:pos="1865"/>
        </w:tabs>
        <w:ind w:left="1865" w:hanging="360"/>
      </w:pPr>
      <w:rPr>
        <w:rFonts w:ascii="Courier New" w:hAnsi="Courier New" w:hint="default"/>
      </w:rPr>
    </w:lvl>
    <w:lvl w:ilvl="2" w:tplc="04070005" w:tentative="1">
      <w:start w:val="1"/>
      <w:numFmt w:val="bullet"/>
      <w:pStyle w:val="Heading10"/>
      <w:lvlText w:val=""/>
      <w:lvlJc w:val="left"/>
      <w:pPr>
        <w:tabs>
          <w:tab w:val="num" w:pos="2585"/>
        </w:tabs>
        <w:ind w:left="2585" w:hanging="360"/>
      </w:pPr>
      <w:rPr>
        <w:rFonts w:ascii="Wingdings" w:hAnsi="Wingdings" w:hint="default"/>
      </w:rPr>
    </w:lvl>
    <w:lvl w:ilvl="3" w:tplc="04070001">
      <w:start w:val="1"/>
      <w:numFmt w:val="bullet"/>
      <w:lvlText w:val=""/>
      <w:lvlJc w:val="left"/>
      <w:pPr>
        <w:tabs>
          <w:tab w:val="num" w:pos="3305"/>
        </w:tabs>
        <w:ind w:left="3305" w:hanging="360"/>
      </w:pPr>
      <w:rPr>
        <w:rFonts w:ascii="Symbol" w:hAnsi="Symbol" w:hint="default"/>
      </w:rPr>
    </w:lvl>
    <w:lvl w:ilvl="4" w:tplc="04070003" w:tentative="1">
      <w:start w:val="1"/>
      <w:numFmt w:val="bullet"/>
      <w:lvlText w:val="o"/>
      <w:lvlJc w:val="left"/>
      <w:pPr>
        <w:tabs>
          <w:tab w:val="num" w:pos="4025"/>
        </w:tabs>
        <w:ind w:left="4025" w:hanging="360"/>
      </w:pPr>
      <w:rPr>
        <w:rFonts w:ascii="Courier New" w:hAnsi="Courier New" w:hint="default"/>
      </w:rPr>
    </w:lvl>
    <w:lvl w:ilvl="5" w:tplc="04070005" w:tentative="1">
      <w:start w:val="1"/>
      <w:numFmt w:val="bullet"/>
      <w:lvlText w:val=""/>
      <w:lvlJc w:val="left"/>
      <w:pPr>
        <w:tabs>
          <w:tab w:val="num" w:pos="4745"/>
        </w:tabs>
        <w:ind w:left="4745" w:hanging="360"/>
      </w:pPr>
      <w:rPr>
        <w:rFonts w:ascii="Wingdings" w:hAnsi="Wingdings" w:hint="default"/>
      </w:rPr>
    </w:lvl>
    <w:lvl w:ilvl="6" w:tplc="04070001" w:tentative="1">
      <w:start w:val="1"/>
      <w:numFmt w:val="bullet"/>
      <w:lvlText w:val=""/>
      <w:lvlJc w:val="left"/>
      <w:pPr>
        <w:tabs>
          <w:tab w:val="num" w:pos="5465"/>
        </w:tabs>
        <w:ind w:left="5465" w:hanging="360"/>
      </w:pPr>
      <w:rPr>
        <w:rFonts w:ascii="Symbol" w:hAnsi="Symbol" w:hint="default"/>
      </w:rPr>
    </w:lvl>
    <w:lvl w:ilvl="7" w:tplc="04070003" w:tentative="1">
      <w:start w:val="1"/>
      <w:numFmt w:val="bullet"/>
      <w:lvlText w:val="o"/>
      <w:lvlJc w:val="left"/>
      <w:pPr>
        <w:tabs>
          <w:tab w:val="num" w:pos="6185"/>
        </w:tabs>
        <w:ind w:left="6185" w:hanging="360"/>
      </w:pPr>
      <w:rPr>
        <w:rFonts w:ascii="Courier New" w:hAnsi="Courier New" w:hint="default"/>
      </w:rPr>
    </w:lvl>
    <w:lvl w:ilvl="8" w:tplc="04070005" w:tentative="1">
      <w:start w:val="1"/>
      <w:numFmt w:val="bullet"/>
      <w:lvlText w:val=""/>
      <w:lvlJc w:val="left"/>
      <w:pPr>
        <w:tabs>
          <w:tab w:val="num" w:pos="6905"/>
        </w:tabs>
        <w:ind w:left="6905" w:hanging="360"/>
      </w:pPr>
      <w:rPr>
        <w:rFonts w:ascii="Wingdings" w:hAnsi="Wingdings" w:hint="default"/>
      </w:rPr>
    </w:lvl>
  </w:abstractNum>
  <w:abstractNum w:abstractNumId="140" w15:restartNumberingAfterBreak="0">
    <w:nsid w:val="5D1F4288"/>
    <w:multiLevelType w:val="multilevel"/>
    <w:tmpl w:val="470E6D68"/>
    <w:styleLink w:val="1ai"/>
    <w:lvl w:ilvl="0">
      <w:start w:val="1"/>
      <w:numFmt w:val="decimal"/>
      <w:pStyle w:val="WUMlevel1"/>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pStyle w:val="WUMlevel3"/>
      <w:lvlText w:val="%1.%2.%3"/>
      <w:lvlJc w:val="left"/>
      <w:pPr>
        <w:ind w:left="72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1" w15:restartNumberingAfterBreak="0">
    <w:nsid w:val="5D2101F8"/>
    <w:multiLevelType w:val="hybridMultilevel"/>
    <w:tmpl w:val="92AEC45E"/>
    <w:styleLink w:val="1010110111111"/>
    <w:lvl w:ilvl="0" w:tplc="8974BB98">
      <w:start w:val="1"/>
      <w:numFmt w:val="decimal"/>
      <w:pStyle w:val="listbulletcifre"/>
      <w:lvlText w:val="%1)"/>
      <w:lvlJc w:val="left"/>
      <w:pPr>
        <w:tabs>
          <w:tab w:val="num" w:pos="612"/>
        </w:tabs>
        <w:ind w:left="612" w:hanging="360"/>
      </w:pPr>
      <w:rPr>
        <w:rFonts w:hint="default"/>
      </w:rPr>
    </w:lvl>
    <w:lvl w:ilvl="1" w:tplc="04090003">
      <w:start w:val="1"/>
      <w:numFmt w:val="bullet"/>
      <w:lvlText w:val="o"/>
      <w:lvlJc w:val="left"/>
      <w:pPr>
        <w:tabs>
          <w:tab w:val="num" w:pos="1332"/>
        </w:tabs>
        <w:ind w:left="1332" w:hanging="360"/>
      </w:pPr>
      <w:rPr>
        <w:rFonts w:ascii="Courier New" w:hAnsi="Courier New" w:cs="Courier New" w:hint="default"/>
      </w:rPr>
    </w:lvl>
    <w:lvl w:ilvl="2" w:tplc="04090005" w:tentative="1">
      <w:start w:val="1"/>
      <w:numFmt w:val="bullet"/>
      <w:lvlText w:val=""/>
      <w:lvlJc w:val="left"/>
      <w:pPr>
        <w:tabs>
          <w:tab w:val="num" w:pos="2052"/>
        </w:tabs>
        <w:ind w:left="2052" w:hanging="360"/>
      </w:pPr>
      <w:rPr>
        <w:rFonts w:ascii="Wingdings" w:hAnsi="Wingdings" w:hint="default"/>
      </w:rPr>
    </w:lvl>
    <w:lvl w:ilvl="3" w:tplc="04090001" w:tentative="1">
      <w:start w:val="1"/>
      <w:numFmt w:val="bullet"/>
      <w:lvlText w:val=""/>
      <w:lvlJc w:val="left"/>
      <w:pPr>
        <w:tabs>
          <w:tab w:val="num" w:pos="2772"/>
        </w:tabs>
        <w:ind w:left="2772" w:hanging="360"/>
      </w:pPr>
      <w:rPr>
        <w:rFonts w:ascii="Symbol" w:hAnsi="Symbol" w:hint="default"/>
      </w:rPr>
    </w:lvl>
    <w:lvl w:ilvl="4" w:tplc="04090003" w:tentative="1">
      <w:start w:val="1"/>
      <w:numFmt w:val="bullet"/>
      <w:lvlText w:val="o"/>
      <w:lvlJc w:val="left"/>
      <w:pPr>
        <w:tabs>
          <w:tab w:val="num" w:pos="3492"/>
        </w:tabs>
        <w:ind w:left="3492" w:hanging="360"/>
      </w:pPr>
      <w:rPr>
        <w:rFonts w:ascii="Courier New" w:hAnsi="Courier New" w:cs="Courier New" w:hint="default"/>
      </w:rPr>
    </w:lvl>
    <w:lvl w:ilvl="5" w:tplc="04090005" w:tentative="1">
      <w:start w:val="1"/>
      <w:numFmt w:val="bullet"/>
      <w:lvlText w:val=""/>
      <w:lvlJc w:val="left"/>
      <w:pPr>
        <w:tabs>
          <w:tab w:val="num" w:pos="4212"/>
        </w:tabs>
        <w:ind w:left="4212" w:hanging="360"/>
      </w:pPr>
      <w:rPr>
        <w:rFonts w:ascii="Wingdings" w:hAnsi="Wingdings" w:hint="default"/>
      </w:rPr>
    </w:lvl>
    <w:lvl w:ilvl="6" w:tplc="04090001" w:tentative="1">
      <w:start w:val="1"/>
      <w:numFmt w:val="bullet"/>
      <w:lvlText w:val=""/>
      <w:lvlJc w:val="left"/>
      <w:pPr>
        <w:tabs>
          <w:tab w:val="num" w:pos="4932"/>
        </w:tabs>
        <w:ind w:left="4932" w:hanging="360"/>
      </w:pPr>
      <w:rPr>
        <w:rFonts w:ascii="Symbol" w:hAnsi="Symbol" w:hint="default"/>
      </w:rPr>
    </w:lvl>
    <w:lvl w:ilvl="7" w:tplc="04090003" w:tentative="1">
      <w:start w:val="1"/>
      <w:numFmt w:val="bullet"/>
      <w:lvlText w:val="o"/>
      <w:lvlJc w:val="left"/>
      <w:pPr>
        <w:tabs>
          <w:tab w:val="num" w:pos="5652"/>
        </w:tabs>
        <w:ind w:left="5652" w:hanging="360"/>
      </w:pPr>
      <w:rPr>
        <w:rFonts w:ascii="Courier New" w:hAnsi="Courier New" w:cs="Courier New" w:hint="default"/>
      </w:rPr>
    </w:lvl>
    <w:lvl w:ilvl="8" w:tplc="04090005" w:tentative="1">
      <w:start w:val="1"/>
      <w:numFmt w:val="bullet"/>
      <w:lvlText w:val=""/>
      <w:lvlJc w:val="left"/>
      <w:pPr>
        <w:tabs>
          <w:tab w:val="num" w:pos="6372"/>
        </w:tabs>
        <w:ind w:left="6372" w:hanging="360"/>
      </w:pPr>
      <w:rPr>
        <w:rFonts w:ascii="Wingdings" w:hAnsi="Wingdings" w:hint="default"/>
      </w:rPr>
    </w:lvl>
  </w:abstractNum>
  <w:abstractNum w:abstractNumId="142" w15:restartNumberingAfterBreak="0">
    <w:nsid w:val="5DDC185B"/>
    <w:multiLevelType w:val="hybridMultilevel"/>
    <w:tmpl w:val="EF9491C6"/>
    <w:styleLink w:val="StyleOutlinenumberedArial"/>
    <w:lvl w:ilvl="0" w:tplc="04180001">
      <w:start w:val="1"/>
      <w:numFmt w:val="bullet"/>
      <w:pStyle w:val="P2"/>
      <w:lvlText w:val=""/>
      <w:lvlJc w:val="left"/>
      <w:pPr>
        <w:tabs>
          <w:tab w:val="num" w:pos="1701"/>
        </w:tabs>
        <w:ind w:left="1701" w:hanging="425"/>
      </w:pPr>
      <w:rPr>
        <w:rFonts w:ascii="Symbol" w:hAnsi="Symbol" w:hint="default"/>
      </w:rPr>
    </w:lvl>
    <w:lvl w:ilvl="1" w:tplc="04180019">
      <w:start w:val="1"/>
      <w:numFmt w:val="bullet"/>
      <w:lvlText w:val=""/>
      <w:lvlJc w:val="left"/>
      <w:pPr>
        <w:tabs>
          <w:tab w:val="num" w:pos="2716"/>
        </w:tabs>
        <w:ind w:left="2716" w:hanging="360"/>
      </w:pPr>
      <w:rPr>
        <w:rFonts w:ascii="Symbol" w:hAnsi="Symbol" w:hint="default"/>
      </w:rPr>
    </w:lvl>
    <w:lvl w:ilvl="2" w:tplc="0418001B" w:tentative="1">
      <w:start w:val="1"/>
      <w:numFmt w:val="bullet"/>
      <w:lvlText w:val=""/>
      <w:lvlJc w:val="left"/>
      <w:pPr>
        <w:tabs>
          <w:tab w:val="num" w:pos="3436"/>
        </w:tabs>
        <w:ind w:left="3436" w:hanging="360"/>
      </w:pPr>
      <w:rPr>
        <w:rFonts w:ascii="Wingdings" w:hAnsi="Wingdings" w:hint="default"/>
      </w:rPr>
    </w:lvl>
    <w:lvl w:ilvl="3" w:tplc="0418000F" w:tentative="1">
      <w:start w:val="1"/>
      <w:numFmt w:val="bullet"/>
      <w:lvlText w:val=""/>
      <w:lvlJc w:val="left"/>
      <w:pPr>
        <w:tabs>
          <w:tab w:val="num" w:pos="4156"/>
        </w:tabs>
        <w:ind w:left="4156" w:hanging="360"/>
      </w:pPr>
      <w:rPr>
        <w:rFonts w:ascii="Symbol" w:hAnsi="Symbol" w:hint="default"/>
      </w:rPr>
    </w:lvl>
    <w:lvl w:ilvl="4" w:tplc="04180019" w:tentative="1">
      <w:start w:val="1"/>
      <w:numFmt w:val="bullet"/>
      <w:lvlText w:val="o"/>
      <w:lvlJc w:val="left"/>
      <w:pPr>
        <w:tabs>
          <w:tab w:val="num" w:pos="4876"/>
        </w:tabs>
        <w:ind w:left="4876" w:hanging="360"/>
      </w:pPr>
      <w:rPr>
        <w:rFonts w:ascii="Courier New" w:hAnsi="Courier New" w:hint="default"/>
      </w:rPr>
    </w:lvl>
    <w:lvl w:ilvl="5" w:tplc="0418001B" w:tentative="1">
      <w:start w:val="1"/>
      <w:numFmt w:val="bullet"/>
      <w:lvlText w:val=""/>
      <w:lvlJc w:val="left"/>
      <w:pPr>
        <w:tabs>
          <w:tab w:val="num" w:pos="5596"/>
        </w:tabs>
        <w:ind w:left="5596" w:hanging="360"/>
      </w:pPr>
      <w:rPr>
        <w:rFonts w:ascii="Wingdings" w:hAnsi="Wingdings" w:hint="default"/>
      </w:rPr>
    </w:lvl>
    <w:lvl w:ilvl="6" w:tplc="0418000F" w:tentative="1">
      <w:start w:val="1"/>
      <w:numFmt w:val="bullet"/>
      <w:lvlText w:val=""/>
      <w:lvlJc w:val="left"/>
      <w:pPr>
        <w:tabs>
          <w:tab w:val="num" w:pos="6316"/>
        </w:tabs>
        <w:ind w:left="6316" w:hanging="360"/>
      </w:pPr>
      <w:rPr>
        <w:rFonts w:ascii="Symbol" w:hAnsi="Symbol" w:hint="default"/>
      </w:rPr>
    </w:lvl>
    <w:lvl w:ilvl="7" w:tplc="04180019" w:tentative="1">
      <w:start w:val="1"/>
      <w:numFmt w:val="bullet"/>
      <w:lvlText w:val="o"/>
      <w:lvlJc w:val="left"/>
      <w:pPr>
        <w:tabs>
          <w:tab w:val="num" w:pos="7036"/>
        </w:tabs>
        <w:ind w:left="7036" w:hanging="360"/>
      </w:pPr>
      <w:rPr>
        <w:rFonts w:ascii="Courier New" w:hAnsi="Courier New" w:hint="default"/>
      </w:rPr>
    </w:lvl>
    <w:lvl w:ilvl="8" w:tplc="0418001B" w:tentative="1">
      <w:start w:val="1"/>
      <w:numFmt w:val="bullet"/>
      <w:lvlText w:val=""/>
      <w:lvlJc w:val="left"/>
      <w:pPr>
        <w:tabs>
          <w:tab w:val="num" w:pos="7756"/>
        </w:tabs>
        <w:ind w:left="7756" w:hanging="360"/>
      </w:pPr>
      <w:rPr>
        <w:rFonts w:ascii="Wingdings" w:hAnsi="Wingdings" w:hint="default"/>
      </w:rPr>
    </w:lvl>
  </w:abstractNum>
  <w:abstractNum w:abstractNumId="143" w15:restartNumberingAfterBreak="0">
    <w:nsid w:val="5EDF54B8"/>
    <w:multiLevelType w:val="hybridMultilevel"/>
    <w:tmpl w:val="A016D97E"/>
    <w:lvl w:ilvl="0" w:tplc="0418000B">
      <w:start w:val="1"/>
      <w:numFmt w:val="bullet"/>
      <w:pStyle w:val="Style168"/>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pStyle w:val="Style168"/>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44" w15:restartNumberingAfterBreak="0">
    <w:nsid w:val="5F394936"/>
    <w:multiLevelType w:val="multilevel"/>
    <w:tmpl w:val="B860AA9C"/>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5" w15:restartNumberingAfterBreak="0">
    <w:nsid w:val="5FF3452C"/>
    <w:multiLevelType w:val="multilevel"/>
    <w:tmpl w:val="C0341B68"/>
    <w:lvl w:ilvl="0">
      <w:start w:val="1"/>
      <w:numFmt w:val="bullet"/>
      <w:pStyle w:val="Normal-Bullet"/>
      <w:lvlText w:val=""/>
      <w:lvlJc w:val="left"/>
      <w:pPr>
        <w:tabs>
          <w:tab w:val="num" w:pos="567"/>
        </w:tabs>
        <w:ind w:left="567" w:hanging="567"/>
      </w:pPr>
      <w:rPr>
        <w:rFonts w:ascii="Wingdings" w:hAnsi="Wingdings" w:hint="default"/>
      </w:rPr>
    </w:lvl>
    <w:lvl w:ilvl="1">
      <w:start w:val="1"/>
      <w:numFmt w:val="bullet"/>
      <w:lvlText w:val=""/>
      <w:lvlJc w:val="left"/>
      <w:pPr>
        <w:tabs>
          <w:tab w:val="num" w:pos="1134"/>
        </w:tabs>
        <w:ind w:left="1134" w:hanging="567"/>
      </w:pPr>
      <w:rPr>
        <w:rFonts w:ascii="Wingdings" w:hAnsi="Wingdings" w:hint="default"/>
      </w:rPr>
    </w:lvl>
    <w:lvl w:ilvl="2">
      <w:start w:val="1"/>
      <w:numFmt w:val="bullet"/>
      <w:lvlText w:val=""/>
      <w:lvlJc w:val="left"/>
      <w:pPr>
        <w:tabs>
          <w:tab w:val="num" w:pos="1701"/>
        </w:tabs>
        <w:ind w:left="1701" w:hanging="567"/>
      </w:pPr>
      <w:rPr>
        <w:rFonts w:ascii="Wingdings" w:hAnsi="Wingdings" w:hint="default"/>
      </w:rPr>
    </w:lvl>
    <w:lvl w:ilvl="3">
      <w:start w:val="1"/>
      <w:numFmt w:val="bullet"/>
      <w:lvlText w:val=""/>
      <w:lvlJc w:val="left"/>
      <w:pPr>
        <w:tabs>
          <w:tab w:val="num" w:pos="2268"/>
        </w:tabs>
        <w:ind w:left="2268" w:hanging="567"/>
      </w:pPr>
      <w:rPr>
        <w:rFonts w:ascii="Wingdings" w:hAnsi="Wingdings" w:hint="default"/>
      </w:rPr>
    </w:lvl>
    <w:lvl w:ilvl="4">
      <w:start w:val="1"/>
      <w:numFmt w:val="bullet"/>
      <w:lvlText w:val=""/>
      <w:lvlJc w:val="left"/>
      <w:pPr>
        <w:tabs>
          <w:tab w:val="num" w:pos="2835"/>
        </w:tabs>
        <w:ind w:left="2835" w:hanging="567"/>
      </w:pPr>
      <w:rPr>
        <w:rFonts w:ascii="Wingdings" w:hAnsi="Wingdings" w:hint="default"/>
      </w:rPr>
    </w:lvl>
    <w:lvl w:ilvl="5">
      <w:start w:val="1"/>
      <w:numFmt w:val="bullet"/>
      <w:lvlText w:val=""/>
      <w:lvlJc w:val="left"/>
      <w:pPr>
        <w:tabs>
          <w:tab w:val="num" w:pos="2835"/>
        </w:tabs>
        <w:ind w:left="2835" w:hanging="567"/>
      </w:pPr>
      <w:rPr>
        <w:rFonts w:ascii="Wingdings" w:hAnsi="Wingdings" w:hint="default"/>
      </w:rPr>
    </w:lvl>
    <w:lvl w:ilvl="6">
      <w:start w:val="1"/>
      <w:numFmt w:val="bullet"/>
      <w:lvlText w:val=""/>
      <w:lvlJc w:val="left"/>
      <w:pPr>
        <w:tabs>
          <w:tab w:val="num" w:pos="2835"/>
        </w:tabs>
        <w:ind w:left="2835" w:hanging="567"/>
      </w:pPr>
      <w:rPr>
        <w:rFonts w:ascii="Wingdings" w:hAnsi="Wingdings" w:hint="default"/>
      </w:rPr>
    </w:lvl>
    <w:lvl w:ilvl="7">
      <w:start w:val="1"/>
      <w:numFmt w:val="bullet"/>
      <w:lvlText w:val=""/>
      <w:lvlJc w:val="left"/>
      <w:pPr>
        <w:tabs>
          <w:tab w:val="num" w:pos="2835"/>
        </w:tabs>
        <w:ind w:left="2835" w:hanging="567"/>
      </w:pPr>
      <w:rPr>
        <w:rFonts w:ascii="Wingdings" w:hAnsi="Wingdings" w:hint="default"/>
      </w:rPr>
    </w:lvl>
    <w:lvl w:ilvl="8">
      <w:start w:val="1"/>
      <w:numFmt w:val="bullet"/>
      <w:lvlText w:val=""/>
      <w:lvlJc w:val="left"/>
      <w:pPr>
        <w:tabs>
          <w:tab w:val="num" w:pos="2835"/>
        </w:tabs>
        <w:ind w:left="2835" w:hanging="567"/>
      </w:pPr>
      <w:rPr>
        <w:rFonts w:ascii="Wingdings" w:hAnsi="Wingdings" w:hint="default"/>
      </w:rPr>
    </w:lvl>
  </w:abstractNum>
  <w:abstractNum w:abstractNumId="146" w15:restartNumberingAfterBreak="0">
    <w:nsid w:val="60C10D6C"/>
    <w:multiLevelType w:val="hybridMultilevel"/>
    <w:tmpl w:val="56AA2996"/>
    <w:lvl w:ilvl="0" w:tplc="47E8193C">
      <w:start w:val="1"/>
      <w:numFmt w:val="bullet"/>
      <w:pStyle w:val="Heading2-NOTTOC"/>
      <w:lvlText w:val=""/>
      <w:lvlJc w:val="left"/>
      <w:pPr>
        <w:ind w:left="720" w:hanging="360"/>
      </w:pPr>
      <w:rPr>
        <w:rFonts w:ascii="Wingdings" w:hAnsi="Wingdings" w:hint="default"/>
      </w:rPr>
    </w:lvl>
    <w:lvl w:ilvl="1" w:tplc="762AC7D4" w:tentative="1">
      <w:start w:val="1"/>
      <w:numFmt w:val="bullet"/>
      <w:pStyle w:val="Heading2-NOTTOC"/>
      <w:lvlText w:val="o"/>
      <w:lvlJc w:val="left"/>
      <w:pPr>
        <w:ind w:left="1440" w:hanging="360"/>
      </w:pPr>
      <w:rPr>
        <w:rFonts w:ascii="Courier New" w:hAnsi="Courier New" w:cs="Courier New" w:hint="default"/>
      </w:rPr>
    </w:lvl>
    <w:lvl w:ilvl="2" w:tplc="8702C8CC" w:tentative="1">
      <w:start w:val="1"/>
      <w:numFmt w:val="bullet"/>
      <w:pStyle w:val="Heading3-NOTTOC"/>
      <w:lvlText w:val=""/>
      <w:lvlJc w:val="left"/>
      <w:pPr>
        <w:ind w:left="2160" w:hanging="360"/>
      </w:pPr>
      <w:rPr>
        <w:rFonts w:ascii="Wingdings" w:hAnsi="Wingdings" w:hint="default"/>
      </w:rPr>
    </w:lvl>
    <w:lvl w:ilvl="3" w:tplc="B6B860D8" w:tentative="1">
      <w:start w:val="1"/>
      <w:numFmt w:val="bullet"/>
      <w:lvlText w:val=""/>
      <w:lvlJc w:val="left"/>
      <w:pPr>
        <w:ind w:left="2880" w:hanging="360"/>
      </w:pPr>
      <w:rPr>
        <w:rFonts w:ascii="Symbol" w:hAnsi="Symbol" w:hint="default"/>
      </w:rPr>
    </w:lvl>
    <w:lvl w:ilvl="4" w:tplc="D5743AB8" w:tentative="1">
      <w:start w:val="1"/>
      <w:numFmt w:val="bullet"/>
      <w:lvlText w:val="o"/>
      <w:lvlJc w:val="left"/>
      <w:pPr>
        <w:ind w:left="3600" w:hanging="360"/>
      </w:pPr>
      <w:rPr>
        <w:rFonts w:ascii="Courier New" w:hAnsi="Courier New" w:cs="Courier New" w:hint="default"/>
      </w:rPr>
    </w:lvl>
    <w:lvl w:ilvl="5" w:tplc="F3A4796E" w:tentative="1">
      <w:start w:val="1"/>
      <w:numFmt w:val="bullet"/>
      <w:lvlText w:val=""/>
      <w:lvlJc w:val="left"/>
      <w:pPr>
        <w:ind w:left="4320" w:hanging="360"/>
      </w:pPr>
      <w:rPr>
        <w:rFonts w:ascii="Wingdings" w:hAnsi="Wingdings" w:hint="default"/>
      </w:rPr>
    </w:lvl>
    <w:lvl w:ilvl="6" w:tplc="11542F86" w:tentative="1">
      <w:start w:val="1"/>
      <w:numFmt w:val="bullet"/>
      <w:lvlText w:val=""/>
      <w:lvlJc w:val="left"/>
      <w:pPr>
        <w:ind w:left="5040" w:hanging="360"/>
      </w:pPr>
      <w:rPr>
        <w:rFonts w:ascii="Symbol" w:hAnsi="Symbol" w:hint="default"/>
      </w:rPr>
    </w:lvl>
    <w:lvl w:ilvl="7" w:tplc="A3BCD680" w:tentative="1">
      <w:start w:val="1"/>
      <w:numFmt w:val="bullet"/>
      <w:lvlText w:val="o"/>
      <w:lvlJc w:val="left"/>
      <w:pPr>
        <w:ind w:left="5760" w:hanging="360"/>
      </w:pPr>
      <w:rPr>
        <w:rFonts w:ascii="Courier New" w:hAnsi="Courier New" w:cs="Courier New" w:hint="default"/>
      </w:rPr>
    </w:lvl>
    <w:lvl w:ilvl="8" w:tplc="69A8CBA4" w:tentative="1">
      <w:start w:val="1"/>
      <w:numFmt w:val="bullet"/>
      <w:lvlText w:val=""/>
      <w:lvlJc w:val="left"/>
      <w:pPr>
        <w:ind w:left="6480" w:hanging="360"/>
      </w:pPr>
      <w:rPr>
        <w:rFonts w:ascii="Wingdings" w:hAnsi="Wingdings" w:hint="default"/>
      </w:rPr>
    </w:lvl>
  </w:abstractNum>
  <w:abstractNum w:abstractNumId="147" w15:restartNumberingAfterBreak="0">
    <w:nsid w:val="611828E5"/>
    <w:multiLevelType w:val="hybridMultilevel"/>
    <w:tmpl w:val="A3B4CA72"/>
    <w:lvl w:ilvl="0" w:tplc="6D54C2BA">
      <w:start w:val="1"/>
      <w:numFmt w:val="bullet"/>
      <w:pStyle w:val="TitreTAB"/>
      <w:lvlText w:val=""/>
      <w:lvlJc w:val="left"/>
      <w:pPr>
        <w:tabs>
          <w:tab w:val="num" w:pos="1276"/>
        </w:tabs>
        <w:ind w:left="1276" w:hanging="425"/>
      </w:pPr>
      <w:rPr>
        <w:rFonts w:ascii="Wingdings" w:hAnsi="Wingdings" w:hint="default"/>
        <w:b/>
        <w:color w:val="008080"/>
        <w:sz w:val="16"/>
      </w:rPr>
    </w:lvl>
    <w:lvl w:ilvl="1" w:tplc="08029A48">
      <w:start w:val="1"/>
      <w:numFmt w:val="bullet"/>
      <w:lvlText w:val="o"/>
      <w:lvlJc w:val="left"/>
      <w:pPr>
        <w:tabs>
          <w:tab w:val="num" w:pos="1440"/>
        </w:tabs>
        <w:ind w:left="1440" w:hanging="360"/>
      </w:pPr>
      <w:rPr>
        <w:rFonts w:ascii="Courier New" w:hAnsi="Courier New" w:hint="default"/>
      </w:rPr>
    </w:lvl>
    <w:lvl w:ilvl="2" w:tplc="552E274E">
      <w:start w:val="1"/>
      <w:numFmt w:val="bullet"/>
      <w:lvlText w:val=""/>
      <w:lvlJc w:val="left"/>
      <w:pPr>
        <w:tabs>
          <w:tab w:val="num" w:pos="2160"/>
        </w:tabs>
        <w:ind w:left="2160" w:hanging="360"/>
      </w:pPr>
      <w:rPr>
        <w:rFonts w:ascii="Wingdings" w:hAnsi="Wingdings" w:hint="default"/>
      </w:rPr>
    </w:lvl>
    <w:lvl w:ilvl="3" w:tplc="646CF342">
      <w:start w:val="1"/>
      <w:numFmt w:val="bullet"/>
      <w:lvlText w:val=""/>
      <w:lvlJc w:val="left"/>
      <w:pPr>
        <w:tabs>
          <w:tab w:val="num" w:pos="2880"/>
        </w:tabs>
        <w:ind w:left="2880" w:hanging="360"/>
      </w:pPr>
      <w:rPr>
        <w:rFonts w:ascii="Symbol" w:hAnsi="Symbol" w:hint="default"/>
      </w:rPr>
    </w:lvl>
    <w:lvl w:ilvl="4" w:tplc="D706C1C4">
      <w:start w:val="1"/>
      <w:numFmt w:val="bullet"/>
      <w:lvlText w:val="o"/>
      <w:lvlJc w:val="left"/>
      <w:pPr>
        <w:tabs>
          <w:tab w:val="num" w:pos="3600"/>
        </w:tabs>
        <w:ind w:left="3600" w:hanging="360"/>
      </w:pPr>
      <w:rPr>
        <w:rFonts w:ascii="Courier New" w:hAnsi="Courier New" w:hint="default"/>
      </w:rPr>
    </w:lvl>
    <w:lvl w:ilvl="5" w:tplc="309E8F3C">
      <w:start w:val="1"/>
      <w:numFmt w:val="bullet"/>
      <w:lvlText w:val=""/>
      <w:lvlJc w:val="left"/>
      <w:pPr>
        <w:tabs>
          <w:tab w:val="num" w:pos="4320"/>
        </w:tabs>
        <w:ind w:left="4320" w:hanging="360"/>
      </w:pPr>
      <w:rPr>
        <w:rFonts w:ascii="Wingdings" w:hAnsi="Wingdings" w:hint="default"/>
      </w:rPr>
    </w:lvl>
    <w:lvl w:ilvl="6" w:tplc="6A2817A6">
      <w:start w:val="1"/>
      <w:numFmt w:val="bullet"/>
      <w:lvlText w:val=""/>
      <w:lvlJc w:val="left"/>
      <w:pPr>
        <w:tabs>
          <w:tab w:val="num" w:pos="5040"/>
        </w:tabs>
        <w:ind w:left="5040" w:hanging="360"/>
      </w:pPr>
      <w:rPr>
        <w:rFonts w:ascii="Symbol" w:hAnsi="Symbol" w:hint="default"/>
      </w:rPr>
    </w:lvl>
    <w:lvl w:ilvl="7" w:tplc="9E6AD058">
      <w:start w:val="1"/>
      <w:numFmt w:val="bullet"/>
      <w:lvlText w:val="o"/>
      <w:lvlJc w:val="left"/>
      <w:pPr>
        <w:tabs>
          <w:tab w:val="num" w:pos="5760"/>
        </w:tabs>
        <w:ind w:left="5760" w:hanging="360"/>
      </w:pPr>
      <w:rPr>
        <w:rFonts w:ascii="Courier New" w:hAnsi="Courier New" w:hint="default"/>
      </w:rPr>
    </w:lvl>
    <w:lvl w:ilvl="8" w:tplc="5AF6F3E4">
      <w:start w:val="1"/>
      <w:numFmt w:val="bullet"/>
      <w:lvlText w:val=""/>
      <w:lvlJc w:val="left"/>
      <w:pPr>
        <w:tabs>
          <w:tab w:val="num" w:pos="6480"/>
        </w:tabs>
        <w:ind w:left="6480" w:hanging="360"/>
      </w:pPr>
      <w:rPr>
        <w:rFonts w:ascii="Wingdings" w:hAnsi="Wingdings" w:hint="default"/>
      </w:rPr>
    </w:lvl>
  </w:abstractNum>
  <w:abstractNum w:abstractNumId="148" w15:restartNumberingAfterBreak="0">
    <w:nsid w:val="615EF89A"/>
    <w:multiLevelType w:val="hybridMultilevel"/>
    <w:tmpl w:val="6052B58C"/>
    <w:styleLink w:val="Bumbi14"/>
    <w:lvl w:ilvl="0" w:tplc="5ECAF606">
      <w:start w:val="1"/>
      <w:numFmt w:val="bullet"/>
      <w:lvlText w:val="-"/>
      <w:lvlJc w:val="left"/>
      <w:pPr>
        <w:ind w:left="720" w:hanging="360"/>
      </w:pPr>
      <w:rPr>
        <w:rFonts w:ascii="Symbol" w:hAnsi="Symbol" w:hint="default"/>
      </w:rPr>
    </w:lvl>
    <w:lvl w:ilvl="1" w:tplc="C4CA1E10">
      <w:start w:val="1"/>
      <w:numFmt w:val="bullet"/>
      <w:lvlText w:val="o"/>
      <w:lvlJc w:val="left"/>
      <w:pPr>
        <w:ind w:left="1440" w:hanging="360"/>
      </w:pPr>
      <w:rPr>
        <w:rFonts w:ascii="Courier New" w:hAnsi="Courier New" w:hint="default"/>
      </w:rPr>
    </w:lvl>
    <w:lvl w:ilvl="2" w:tplc="A32C5B8A">
      <w:start w:val="1"/>
      <w:numFmt w:val="bullet"/>
      <w:lvlText w:val=""/>
      <w:lvlJc w:val="left"/>
      <w:pPr>
        <w:ind w:left="2160" w:hanging="360"/>
      </w:pPr>
      <w:rPr>
        <w:rFonts w:ascii="Wingdings" w:hAnsi="Wingdings" w:hint="default"/>
      </w:rPr>
    </w:lvl>
    <w:lvl w:ilvl="3" w:tplc="2B50E45A">
      <w:start w:val="1"/>
      <w:numFmt w:val="bullet"/>
      <w:lvlText w:val=""/>
      <w:lvlJc w:val="left"/>
      <w:pPr>
        <w:ind w:left="2880" w:hanging="360"/>
      </w:pPr>
      <w:rPr>
        <w:rFonts w:ascii="Symbol" w:hAnsi="Symbol" w:hint="default"/>
      </w:rPr>
    </w:lvl>
    <w:lvl w:ilvl="4" w:tplc="F0FCA4EC">
      <w:start w:val="1"/>
      <w:numFmt w:val="bullet"/>
      <w:lvlText w:val="o"/>
      <w:lvlJc w:val="left"/>
      <w:pPr>
        <w:ind w:left="3600" w:hanging="360"/>
      </w:pPr>
      <w:rPr>
        <w:rFonts w:ascii="Courier New" w:hAnsi="Courier New" w:hint="default"/>
      </w:rPr>
    </w:lvl>
    <w:lvl w:ilvl="5" w:tplc="86BA1044">
      <w:start w:val="1"/>
      <w:numFmt w:val="bullet"/>
      <w:lvlText w:val=""/>
      <w:lvlJc w:val="left"/>
      <w:pPr>
        <w:ind w:left="4320" w:hanging="360"/>
      </w:pPr>
      <w:rPr>
        <w:rFonts w:ascii="Wingdings" w:hAnsi="Wingdings" w:hint="default"/>
      </w:rPr>
    </w:lvl>
    <w:lvl w:ilvl="6" w:tplc="596051DC">
      <w:start w:val="1"/>
      <w:numFmt w:val="bullet"/>
      <w:lvlText w:val=""/>
      <w:lvlJc w:val="left"/>
      <w:pPr>
        <w:ind w:left="5040" w:hanging="360"/>
      </w:pPr>
      <w:rPr>
        <w:rFonts w:ascii="Symbol" w:hAnsi="Symbol" w:hint="default"/>
      </w:rPr>
    </w:lvl>
    <w:lvl w:ilvl="7" w:tplc="EE609632">
      <w:start w:val="1"/>
      <w:numFmt w:val="bullet"/>
      <w:lvlText w:val="o"/>
      <w:lvlJc w:val="left"/>
      <w:pPr>
        <w:ind w:left="5760" w:hanging="360"/>
      </w:pPr>
      <w:rPr>
        <w:rFonts w:ascii="Courier New" w:hAnsi="Courier New" w:hint="default"/>
      </w:rPr>
    </w:lvl>
    <w:lvl w:ilvl="8" w:tplc="7960E344">
      <w:start w:val="1"/>
      <w:numFmt w:val="bullet"/>
      <w:lvlText w:val=""/>
      <w:lvlJc w:val="left"/>
      <w:pPr>
        <w:ind w:left="6480" w:hanging="360"/>
      </w:pPr>
      <w:rPr>
        <w:rFonts w:ascii="Wingdings" w:hAnsi="Wingdings" w:hint="default"/>
      </w:rPr>
    </w:lvl>
  </w:abstractNum>
  <w:abstractNum w:abstractNumId="149" w15:restartNumberingAfterBreak="0">
    <w:nsid w:val="61D862A8"/>
    <w:multiLevelType w:val="hybridMultilevel"/>
    <w:tmpl w:val="BCFA369C"/>
    <w:styleLink w:val="CurrentList1"/>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0" w15:restartNumberingAfterBreak="0">
    <w:nsid w:val="6258157F"/>
    <w:multiLevelType w:val="multilevel"/>
    <w:tmpl w:val="52D2BFDC"/>
    <w:styleLink w:val="Bumbi-14"/>
    <w:lvl w:ilvl="0">
      <w:numFmt w:val="decimal"/>
      <w:lvlText w:val=""/>
      <w:lvlJc w:val="left"/>
      <w:rPr>
        <w:rFonts w:cs="Times New Roman"/>
      </w:rPr>
    </w:lvl>
    <w:lvl w:ilvl="1">
      <w:numFmt w:val="decimal"/>
      <w:lvlText w:val=""/>
      <w:lvlJc w:val="left"/>
      <w:rPr>
        <w:rFonts w:cs="Times New Roman"/>
      </w:rPr>
    </w:lvl>
    <w:lvl w:ilvl="2">
      <w:numFmt w:val="decimal"/>
      <w:pStyle w:val="Stil3"/>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51" w15:restartNumberingAfterBreak="0">
    <w:nsid w:val="647237DE"/>
    <w:multiLevelType w:val="hybridMultilevel"/>
    <w:tmpl w:val="BBB6AFF8"/>
    <w:lvl w:ilvl="0" w:tplc="29981C44">
      <w:start w:val="1"/>
      <w:numFmt w:val="bullet"/>
      <w:lvlText w:val=""/>
      <w:lvlJc w:val="left"/>
      <w:pPr>
        <w:ind w:left="720" w:hanging="360"/>
      </w:pPr>
      <w:rPr>
        <w:rFonts w:ascii="Symbol" w:hAnsi="Symbol" w:hint="default"/>
        <w:color w:val="00B0F0"/>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52" w15:restartNumberingAfterBreak="0">
    <w:nsid w:val="64E14C21"/>
    <w:multiLevelType w:val="multilevel"/>
    <w:tmpl w:val="33B27ACC"/>
    <w:styleLink w:val="ArticleSection1"/>
    <w:lvl w:ilvl="0">
      <w:start w:val="1"/>
      <w:numFmt w:val="decimal"/>
      <w:pStyle w:val="StyleStyleHeading2NotItalicLinespacing15linesBold"/>
      <w:lvlText w:val="CAP.%1."/>
      <w:lvlJc w:val="left"/>
      <w:pPr>
        <w:tabs>
          <w:tab w:val="num" w:pos="1531"/>
        </w:tabs>
        <w:ind w:left="3799" w:hanging="2914"/>
      </w:pPr>
      <w:rPr>
        <w:rFonts w:hint="default"/>
      </w:rPr>
    </w:lvl>
    <w:lvl w:ilvl="1">
      <w:start w:val="1"/>
      <w:numFmt w:val="decimal"/>
      <w:lvlText w:val="%1.%2."/>
      <w:lvlJc w:val="left"/>
      <w:pPr>
        <w:tabs>
          <w:tab w:val="num" w:pos="720"/>
        </w:tabs>
        <w:ind w:left="1021" w:hanging="301"/>
      </w:pPr>
      <w:rPr>
        <w:rFonts w:hint="default"/>
      </w:rPr>
    </w:lvl>
    <w:lvl w:ilvl="2">
      <w:start w:val="1"/>
      <w:numFmt w:val="decimal"/>
      <w:lvlRestart w:val="0"/>
      <w:lvlText w:val="%1.%2.%3."/>
      <w:lvlJc w:val="left"/>
      <w:pPr>
        <w:tabs>
          <w:tab w:val="num" w:pos="-419"/>
        </w:tabs>
        <w:ind w:left="737" w:hanging="17"/>
      </w:pPr>
      <w:rPr>
        <w:rFonts w:hint="default"/>
        <w:lang w:val="ro-RO"/>
      </w:rPr>
    </w:lvl>
    <w:lvl w:ilvl="3">
      <w:start w:val="1"/>
      <w:numFmt w:val="decimal"/>
      <w:lvlRestart w:val="0"/>
      <w:lvlText w:val="%1.%2.%3.%4"/>
      <w:lvlJc w:val="left"/>
      <w:pPr>
        <w:tabs>
          <w:tab w:val="num" w:pos="1418"/>
        </w:tabs>
        <w:ind w:left="1191" w:hanging="471"/>
      </w:pPr>
      <w:rPr>
        <w:rFonts w:hint="default"/>
      </w:rPr>
    </w:lvl>
    <w:lvl w:ilvl="4">
      <w:start w:val="1"/>
      <w:numFmt w:val="decimal"/>
      <w:lvlText w:val="%1.%2.%3.%4.%5"/>
      <w:lvlJc w:val="left"/>
      <w:pPr>
        <w:tabs>
          <w:tab w:val="num" w:pos="3168"/>
        </w:tabs>
        <w:ind w:left="3168" w:hanging="1008"/>
      </w:pPr>
      <w:rPr>
        <w:rFonts w:hint="default"/>
      </w:rPr>
    </w:lvl>
    <w:lvl w:ilvl="5">
      <w:start w:val="1"/>
      <w:numFmt w:val="decimal"/>
      <w:lvlText w:val="%1.%2.%3.%4.%5.%6"/>
      <w:lvlJc w:val="left"/>
      <w:pPr>
        <w:tabs>
          <w:tab w:val="num" w:pos="3312"/>
        </w:tabs>
        <w:ind w:left="3312" w:hanging="1152"/>
      </w:pPr>
      <w:rPr>
        <w:rFonts w:hint="default"/>
      </w:rPr>
    </w:lvl>
    <w:lvl w:ilvl="6">
      <w:start w:val="1"/>
      <w:numFmt w:val="decimal"/>
      <w:lvlText w:val="%1.%2.%3.%4.%5.%6.%7"/>
      <w:lvlJc w:val="left"/>
      <w:pPr>
        <w:tabs>
          <w:tab w:val="num" w:pos="3456"/>
        </w:tabs>
        <w:ind w:left="3456" w:hanging="1296"/>
      </w:pPr>
      <w:rPr>
        <w:rFonts w:hint="default"/>
      </w:rPr>
    </w:lvl>
    <w:lvl w:ilvl="7">
      <w:start w:val="1"/>
      <w:numFmt w:val="decimal"/>
      <w:lvlText w:val="%1.%2.%3.%4.%5.%6.%7.%8"/>
      <w:lvlJc w:val="left"/>
      <w:pPr>
        <w:tabs>
          <w:tab w:val="num" w:pos="3600"/>
        </w:tabs>
        <w:ind w:left="3600" w:hanging="1440"/>
      </w:pPr>
      <w:rPr>
        <w:rFonts w:hint="default"/>
      </w:rPr>
    </w:lvl>
    <w:lvl w:ilvl="8">
      <w:start w:val="1"/>
      <w:numFmt w:val="decimal"/>
      <w:lvlText w:val="%1.%2.%3.%4.%5.%6.%7.%8.%9"/>
      <w:lvlJc w:val="left"/>
      <w:pPr>
        <w:tabs>
          <w:tab w:val="num" w:pos="3744"/>
        </w:tabs>
        <w:ind w:left="3744" w:hanging="1584"/>
      </w:pPr>
      <w:rPr>
        <w:rFonts w:hint="default"/>
      </w:rPr>
    </w:lvl>
  </w:abstractNum>
  <w:abstractNum w:abstractNumId="153" w15:restartNumberingAfterBreak="0">
    <w:nsid w:val="65390C94"/>
    <w:multiLevelType w:val="hybridMultilevel"/>
    <w:tmpl w:val="00E6B752"/>
    <w:lvl w:ilvl="0" w:tplc="EC7E2AFE">
      <w:start w:val="1"/>
      <w:numFmt w:val="decimal"/>
      <w:pStyle w:val="Supplementtitle"/>
      <w:suff w:val="nothing"/>
      <w:lvlText w:val="%1."/>
      <w:lvlJc w:val="left"/>
      <w:rPr>
        <w:rFonts w:cs="Times New Roman" w:hint="default"/>
        <w:vanish/>
      </w:rPr>
    </w:lvl>
    <w:lvl w:ilvl="1" w:tplc="CB6CACF8" w:tentative="1">
      <w:start w:val="1"/>
      <w:numFmt w:val="lowerLetter"/>
      <w:lvlText w:val="%2."/>
      <w:lvlJc w:val="left"/>
      <w:pPr>
        <w:ind w:left="1440" w:hanging="360"/>
      </w:pPr>
      <w:rPr>
        <w:rFonts w:cs="Times New Roman"/>
      </w:rPr>
    </w:lvl>
    <w:lvl w:ilvl="2" w:tplc="195E9562" w:tentative="1">
      <w:start w:val="1"/>
      <w:numFmt w:val="lowerRoman"/>
      <w:lvlText w:val="%3."/>
      <w:lvlJc w:val="right"/>
      <w:pPr>
        <w:ind w:left="2160" w:hanging="180"/>
      </w:pPr>
      <w:rPr>
        <w:rFonts w:cs="Times New Roman"/>
      </w:rPr>
    </w:lvl>
    <w:lvl w:ilvl="3" w:tplc="71DA28A8" w:tentative="1">
      <w:start w:val="1"/>
      <w:numFmt w:val="decimal"/>
      <w:lvlText w:val="%4."/>
      <w:lvlJc w:val="left"/>
      <w:pPr>
        <w:ind w:left="2880" w:hanging="360"/>
      </w:pPr>
      <w:rPr>
        <w:rFonts w:cs="Times New Roman"/>
      </w:rPr>
    </w:lvl>
    <w:lvl w:ilvl="4" w:tplc="135AB854" w:tentative="1">
      <w:start w:val="1"/>
      <w:numFmt w:val="lowerLetter"/>
      <w:lvlText w:val="%5."/>
      <w:lvlJc w:val="left"/>
      <w:pPr>
        <w:ind w:left="3600" w:hanging="360"/>
      </w:pPr>
      <w:rPr>
        <w:rFonts w:cs="Times New Roman"/>
      </w:rPr>
    </w:lvl>
    <w:lvl w:ilvl="5" w:tplc="17DA5F44" w:tentative="1">
      <w:start w:val="1"/>
      <w:numFmt w:val="lowerRoman"/>
      <w:lvlText w:val="%6."/>
      <w:lvlJc w:val="right"/>
      <w:pPr>
        <w:ind w:left="4320" w:hanging="180"/>
      </w:pPr>
      <w:rPr>
        <w:rFonts w:cs="Times New Roman"/>
      </w:rPr>
    </w:lvl>
    <w:lvl w:ilvl="6" w:tplc="41AA6FDE" w:tentative="1">
      <w:start w:val="1"/>
      <w:numFmt w:val="decimal"/>
      <w:lvlText w:val="%7."/>
      <w:lvlJc w:val="left"/>
      <w:pPr>
        <w:ind w:left="5040" w:hanging="360"/>
      </w:pPr>
      <w:rPr>
        <w:rFonts w:cs="Times New Roman"/>
      </w:rPr>
    </w:lvl>
    <w:lvl w:ilvl="7" w:tplc="09BE03B8" w:tentative="1">
      <w:start w:val="1"/>
      <w:numFmt w:val="lowerLetter"/>
      <w:lvlText w:val="%8."/>
      <w:lvlJc w:val="left"/>
      <w:pPr>
        <w:ind w:left="5760" w:hanging="360"/>
      </w:pPr>
      <w:rPr>
        <w:rFonts w:cs="Times New Roman"/>
      </w:rPr>
    </w:lvl>
    <w:lvl w:ilvl="8" w:tplc="0D84D3E6" w:tentative="1">
      <w:start w:val="1"/>
      <w:numFmt w:val="lowerRoman"/>
      <w:lvlText w:val="%9."/>
      <w:lvlJc w:val="right"/>
      <w:pPr>
        <w:ind w:left="6480" w:hanging="180"/>
      </w:pPr>
      <w:rPr>
        <w:rFonts w:cs="Times New Roman"/>
      </w:rPr>
    </w:lvl>
  </w:abstractNum>
  <w:abstractNum w:abstractNumId="154" w15:restartNumberingAfterBreak="0">
    <w:nsid w:val="65485152"/>
    <w:multiLevelType w:val="hybridMultilevel"/>
    <w:tmpl w:val="2EE8D2F6"/>
    <w:styleLink w:val="BumbiABC3"/>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5" w15:restartNumberingAfterBreak="0">
    <w:nsid w:val="667B47E1"/>
    <w:multiLevelType w:val="multilevel"/>
    <w:tmpl w:val="CA6C249E"/>
    <w:lvl w:ilvl="0">
      <w:start w:val="1"/>
      <w:numFmt w:val="decimal"/>
      <w:lvlText w:val="%1."/>
      <w:lvlJc w:val="left"/>
      <w:pPr>
        <w:ind w:left="720" w:hanging="360"/>
      </w:pPr>
      <w:rPr>
        <w:rFonts w:hint="default"/>
        <w:b/>
        <w:bCs w:val="0"/>
      </w:rPr>
    </w:lvl>
    <w:lvl w:ilvl="1">
      <w:start w:val="2"/>
      <w:numFmt w:val="decimal"/>
      <w:isLgl/>
      <w:lvlText w:val="%1.%2."/>
      <w:lvlJc w:val="left"/>
      <w:pPr>
        <w:ind w:left="1855"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56" w15:restartNumberingAfterBreak="0">
    <w:nsid w:val="673522E8"/>
    <w:multiLevelType w:val="hybridMultilevel"/>
    <w:tmpl w:val="04CE8C02"/>
    <w:styleLink w:val="1010110111112"/>
    <w:lvl w:ilvl="0" w:tplc="8A8A44A2">
      <w:start w:val="1"/>
      <w:numFmt w:val="bullet"/>
      <w:lvlText w:val="-"/>
      <w:lvlJc w:val="left"/>
      <w:pPr>
        <w:ind w:left="720" w:hanging="360"/>
      </w:pPr>
      <w:rPr>
        <w:rFonts w:ascii="&quot;Times New Roman&quot;,serif" w:hAnsi="&quot;Times New Roman&quot;,serif" w:hint="default"/>
      </w:rPr>
    </w:lvl>
    <w:lvl w:ilvl="1" w:tplc="55CAB384">
      <w:start w:val="1"/>
      <w:numFmt w:val="bullet"/>
      <w:lvlText w:val="o"/>
      <w:lvlJc w:val="left"/>
      <w:pPr>
        <w:ind w:left="1440" w:hanging="360"/>
      </w:pPr>
      <w:rPr>
        <w:rFonts w:ascii="Courier New" w:hAnsi="Courier New" w:hint="default"/>
      </w:rPr>
    </w:lvl>
    <w:lvl w:ilvl="2" w:tplc="7ECE20D6">
      <w:start w:val="1"/>
      <w:numFmt w:val="bullet"/>
      <w:lvlText w:val=""/>
      <w:lvlJc w:val="left"/>
      <w:pPr>
        <w:ind w:left="2160" w:hanging="360"/>
      </w:pPr>
      <w:rPr>
        <w:rFonts w:ascii="Wingdings" w:hAnsi="Wingdings" w:hint="default"/>
      </w:rPr>
    </w:lvl>
    <w:lvl w:ilvl="3" w:tplc="2B4ED164">
      <w:start w:val="1"/>
      <w:numFmt w:val="bullet"/>
      <w:lvlText w:val=""/>
      <w:lvlJc w:val="left"/>
      <w:pPr>
        <w:ind w:left="2880" w:hanging="360"/>
      </w:pPr>
      <w:rPr>
        <w:rFonts w:ascii="Symbol" w:hAnsi="Symbol" w:hint="default"/>
      </w:rPr>
    </w:lvl>
    <w:lvl w:ilvl="4" w:tplc="8D7C5B44">
      <w:start w:val="1"/>
      <w:numFmt w:val="bullet"/>
      <w:lvlText w:val="o"/>
      <w:lvlJc w:val="left"/>
      <w:pPr>
        <w:ind w:left="3600" w:hanging="360"/>
      </w:pPr>
      <w:rPr>
        <w:rFonts w:ascii="Courier New" w:hAnsi="Courier New" w:hint="default"/>
      </w:rPr>
    </w:lvl>
    <w:lvl w:ilvl="5" w:tplc="B3B6F7EE">
      <w:start w:val="1"/>
      <w:numFmt w:val="bullet"/>
      <w:lvlText w:val=""/>
      <w:lvlJc w:val="left"/>
      <w:pPr>
        <w:ind w:left="4320" w:hanging="360"/>
      </w:pPr>
      <w:rPr>
        <w:rFonts w:ascii="Wingdings" w:hAnsi="Wingdings" w:hint="default"/>
      </w:rPr>
    </w:lvl>
    <w:lvl w:ilvl="6" w:tplc="F7A64630">
      <w:start w:val="1"/>
      <w:numFmt w:val="bullet"/>
      <w:lvlText w:val=""/>
      <w:lvlJc w:val="left"/>
      <w:pPr>
        <w:ind w:left="5040" w:hanging="360"/>
      </w:pPr>
      <w:rPr>
        <w:rFonts w:ascii="Symbol" w:hAnsi="Symbol" w:hint="default"/>
      </w:rPr>
    </w:lvl>
    <w:lvl w:ilvl="7" w:tplc="F676D822">
      <w:start w:val="1"/>
      <w:numFmt w:val="bullet"/>
      <w:lvlText w:val="o"/>
      <w:lvlJc w:val="left"/>
      <w:pPr>
        <w:ind w:left="5760" w:hanging="360"/>
      </w:pPr>
      <w:rPr>
        <w:rFonts w:ascii="Courier New" w:hAnsi="Courier New" w:hint="default"/>
      </w:rPr>
    </w:lvl>
    <w:lvl w:ilvl="8" w:tplc="46080BE4">
      <w:start w:val="1"/>
      <w:numFmt w:val="bullet"/>
      <w:lvlText w:val=""/>
      <w:lvlJc w:val="left"/>
      <w:pPr>
        <w:ind w:left="6480" w:hanging="360"/>
      </w:pPr>
      <w:rPr>
        <w:rFonts w:ascii="Wingdings" w:hAnsi="Wingdings" w:hint="default"/>
      </w:rPr>
    </w:lvl>
  </w:abstractNum>
  <w:abstractNum w:abstractNumId="157" w15:restartNumberingAfterBreak="0">
    <w:nsid w:val="681955EC"/>
    <w:multiLevelType w:val="hybridMultilevel"/>
    <w:tmpl w:val="1FD6BF1E"/>
    <w:lvl w:ilvl="0" w:tplc="04180001">
      <w:start w:val="1"/>
      <w:numFmt w:val="bullet"/>
      <w:lvlText w:val=""/>
      <w:lvlJc w:val="left"/>
      <w:pPr>
        <w:ind w:left="748" w:hanging="360"/>
      </w:pPr>
      <w:rPr>
        <w:rFonts w:ascii="Symbol" w:hAnsi="Symbol" w:hint="default"/>
      </w:rPr>
    </w:lvl>
    <w:lvl w:ilvl="1" w:tplc="04180003">
      <w:start w:val="1"/>
      <w:numFmt w:val="bullet"/>
      <w:lvlText w:val="o"/>
      <w:lvlJc w:val="left"/>
      <w:pPr>
        <w:ind w:left="1468" w:hanging="360"/>
      </w:pPr>
      <w:rPr>
        <w:rFonts w:ascii="Courier New" w:hAnsi="Courier New" w:cs="Courier New" w:hint="default"/>
      </w:rPr>
    </w:lvl>
    <w:lvl w:ilvl="2" w:tplc="04180005">
      <w:start w:val="1"/>
      <w:numFmt w:val="bullet"/>
      <w:lvlText w:val=""/>
      <w:lvlJc w:val="left"/>
      <w:pPr>
        <w:ind w:left="2188" w:hanging="360"/>
      </w:pPr>
      <w:rPr>
        <w:rFonts w:ascii="Wingdings" w:hAnsi="Wingdings" w:hint="default"/>
      </w:rPr>
    </w:lvl>
    <w:lvl w:ilvl="3" w:tplc="04180001" w:tentative="1">
      <w:start w:val="1"/>
      <w:numFmt w:val="bullet"/>
      <w:lvlText w:val=""/>
      <w:lvlJc w:val="left"/>
      <w:pPr>
        <w:ind w:left="2908" w:hanging="360"/>
      </w:pPr>
      <w:rPr>
        <w:rFonts w:ascii="Symbol" w:hAnsi="Symbol" w:hint="default"/>
      </w:rPr>
    </w:lvl>
    <w:lvl w:ilvl="4" w:tplc="04180003" w:tentative="1">
      <w:start w:val="1"/>
      <w:numFmt w:val="bullet"/>
      <w:lvlText w:val="o"/>
      <w:lvlJc w:val="left"/>
      <w:pPr>
        <w:ind w:left="3628" w:hanging="360"/>
      </w:pPr>
      <w:rPr>
        <w:rFonts w:ascii="Courier New" w:hAnsi="Courier New" w:cs="Courier New" w:hint="default"/>
      </w:rPr>
    </w:lvl>
    <w:lvl w:ilvl="5" w:tplc="04180005" w:tentative="1">
      <w:start w:val="1"/>
      <w:numFmt w:val="bullet"/>
      <w:lvlText w:val=""/>
      <w:lvlJc w:val="left"/>
      <w:pPr>
        <w:ind w:left="4348" w:hanging="360"/>
      </w:pPr>
      <w:rPr>
        <w:rFonts w:ascii="Wingdings" w:hAnsi="Wingdings" w:hint="default"/>
      </w:rPr>
    </w:lvl>
    <w:lvl w:ilvl="6" w:tplc="04180001" w:tentative="1">
      <w:start w:val="1"/>
      <w:numFmt w:val="bullet"/>
      <w:lvlText w:val=""/>
      <w:lvlJc w:val="left"/>
      <w:pPr>
        <w:ind w:left="5068" w:hanging="360"/>
      </w:pPr>
      <w:rPr>
        <w:rFonts w:ascii="Symbol" w:hAnsi="Symbol" w:hint="default"/>
      </w:rPr>
    </w:lvl>
    <w:lvl w:ilvl="7" w:tplc="04180003" w:tentative="1">
      <w:start w:val="1"/>
      <w:numFmt w:val="bullet"/>
      <w:lvlText w:val="o"/>
      <w:lvlJc w:val="left"/>
      <w:pPr>
        <w:ind w:left="5788" w:hanging="360"/>
      </w:pPr>
      <w:rPr>
        <w:rFonts w:ascii="Courier New" w:hAnsi="Courier New" w:cs="Courier New" w:hint="default"/>
      </w:rPr>
    </w:lvl>
    <w:lvl w:ilvl="8" w:tplc="04180005" w:tentative="1">
      <w:start w:val="1"/>
      <w:numFmt w:val="bullet"/>
      <w:lvlText w:val=""/>
      <w:lvlJc w:val="left"/>
      <w:pPr>
        <w:ind w:left="6508" w:hanging="360"/>
      </w:pPr>
      <w:rPr>
        <w:rFonts w:ascii="Wingdings" w:hAnsi="Wingdings" w:hint="default"/>
      </w:rPr>
    </w:lvl>
  </w:abstractNum>
  <w:abstractNum w:abstractNumId="158" w15:restartNumberingAfterBreak="0">
    <w:nsid w:val="690F2AAA"/>
    <w:multiLevelType w:val="hybridMultilevel"/>
    <w:tmpl w:val="0824AB74"/>
    <w:lvl w:ilvl="0" w:tplc="58C024C8">
      <w:start w:val="1"/>
      <w:numFmt w:val="bullet"/>
      <w:pStyle w:val="parbul1"/>
      <w:lvlText w:val=""/>
      <w:lvlJc w:val="left"/>
      <w:pPr>
        <w:ind w:left="420" w:hanging="360"/>
      </w:pPr>
      <w:rPr>
        <w:rFonts w:ascii="Symbol" w:hAnsi="Symbol" w:cs="Symbol"/>
      </w:rPr>
    </w:lvl>
    <w:lvl w:ilvl="1" w:tplc="4FCA878C">
      <w:start w:val="1"/>
      <w:numFmt w:val="bullet"/>
      <w:lvlText w:val="o"/>
      <w:lvlJc w:val="left"/>
      <w:pPr>
        <w:tabs>
          <w:tab w:val="num" w:pos="1140"/>
        </w:tabs>
        <w:ind w:left="1140" w:hanging="360"/>
      </w:pPr>
      <w:rPr>
        <w:rFonts w:ascii="Courier New" w:hAnsi="Courier New" w:cs="Courier New" w:hint="default"/>
      </w:rPr>
    </w:lvl>
    <w:lvl w:ilvl="2" w:tplc="8A86B968">
      <w:start w:val="1"/>
      <w:numFmt w:val="bullet"/>
      <w:lvlText w:val=""/>
      <w:lvlJc w:val="left"/>
      <w:pPr>
        <w:tabs>
          <w:tab w:val="num" w:pos="1860"/>
        </w:tabs>
        <w:ind w:left="1860" w:hanging="360"/>
      </w:pPr>
      <w:rPr>
        <w:rFonts w:ascii="Wingdings" w:hAnsi="Wingdings" w:hint="default"/>
      </w:rPr>
    </w:lvl>
    <w:lvl w:ilvl="3" w:tplc="6CAEC87E">
      <w:start w:val="1"/>
      <w:numFmt w:val="bullet"/>
      <w:lvlText w:val=""/>
      <w:lvlJc w:val="left"/>
      <w:pPr>
        <w:ind w:left="2580" w:hanging="360"/>
      </w:pPr>
      <w:rPr>
        <w:rFonts w:ascii="Symbol" w:hAnsi="Symbol" w:cs="Symbol" w:hint="default"/>
      </w:rPr>
    </w:lvl>
    <w:lvl w:ilvl="4" w:tplc="41C4740E">
      <w:start w:val="1"/>
      <w:numFmt w:val="bullet"/>
      <w:lvlText w:val="o"/>
      <w:lvlJc w:val="left"/>
      <w:pPr>
        <w:ind w:left="3300" w:hanging="360"/>
      </w:pPr>
      <w:rPr>
        <w:rFonts w:ascii="Courier New" w:hAnsi="Courier New" w:cs="Courier New" w:hint="default"/>
      </w:rPr>
    </w:lvl>
    <w:lvl w:ilvl="5" w:tplc="DB90A910">
      <w:start w:val="1"/>
      <w:numFmt w:val="bullet"/>
      <w:lvlText w:val=""/>
      <w:lvlJc w:val="left"/>
      <w:pPr>
        <w:ind w:left="4020" w:hanging="360"/>
      </w:pPr>
      <w:rPr>
        <w:rFonts w:ascii="Wingdings" w:hAnsi="Wingdings" w:cs="Wingdings" w:hint="default"/>
      </w:rPr>
    </w:lvl>
    <w:lvl w:ilvl="6" w:tplc="45DA4216">
      <w:start w:val="1"/>
      <w:numFmt w:val="bullet"/>
      <w:lvlText w:val=""/>
      <w:lvlJc w:val="left"/>
      <w:pPr>
        <w:ind w:left="4740" w:hanging="360"/>
      </w:pPr>
      <w:rPr>
        <w:rFonts w:ascii="Symbol" w:hAnsi="Symbol" w:cs="Symbol" w:hint="default"/>
      </w:rPr>
    </w:lvl>
    <w:lvl w:ilvl="7" w:tplc="ACD2A16A">
      <w:start w:val="1"/>
      <w:numFmt w:val="bullet"/>
      <w:lvlText w:val="o"/>
      <w:lvlJc w:val="left"/>
      <w:pPr>
        <w:ind w:left="5460" w:hanging="360"/>
      </w:pPr>
      <w:rPr>
        <w:rFonts w:ascii="Courier New" w:hAnsi="Courier New" w:cs="Courier New" w:hint="default"/>
      </w:rPr>
    </w:lvl>
    <w:lvl w:ilvl="8" w:tplc="C7AA605E">
      <w:start w:val="1"/>
      <w:numFmt w:val="bullet"/>
      <w:lvlText w:val=""/>
      <w:lvlJc w:val="left"/>
      <w:pPr>
        <w:ind w:left="6180" w:hanging="360"/>
      </w:pPr>
      <w:rPr>
        <w:rFonts w:ascii="Wingdings" w:hAnsi="Wingdings" w:cs="Wingdings" w:hint="default"/>
      </w:rPr>
    </w:lvl>
  </w:abstractNum>
  <w:abstractNum w:abstractNumId="159" w15:restartNumberingAfterBreak="0">
    <w:nsid w:val="69849684"/>
    <w:multiLevelType w:val="hybridMultilevel"/>
    <w:tmpl w:val="3980609E"/>
    <w:styleLink w:val="CurrentList111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0" w15:restartNumberingAfterBreak="0">
    <w:nsid w:val="6B933D25"/>
    <w:multiLevelType w:val="hybridMultilevel"/>
    <w:tmpl w:val="D6CE3CC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1" w15:restartNumberingAfterBreak="0">
    <w:nsid w:val="6BD92A0E"/>
    <w:multiLevelType w:val="hybridMultilevel"/>
    <w:tmpl w:val="592C6CF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2" w15:restartNumberingAfterBreak="0">
    <w:nsid w:val="6D2C7B3D"/>
    <w:multiLevelType w:val="multilevel"/>
    <w:tmpl w:val="509CCAE0"/>
    <w:styleLink w:val="ArticleSection"/>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63" w15:restartNumberingAfterBreak="0">
    <w:nsid w:val="6FAB44B4"/>
    <w:multiLevelType w:val="hybridMultilevel"/>
    <w:tmpl w:val="EE8AE60E"/>
    <w:lvl w:ilvl="0" w:tplc="08090001">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164" w15:restartNumberingAfterBreak="0">
    <w:nsid w:val="6FB544DC"/>
    <w:multiLevelType w:val="hybridMultilevel"/>
    <w:tmpl w:val="BC6E5F0A"/>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5" w15:restartNumberingAfterBreak="0">
    <w:nsid w:val="70703B3D"/>
    <w:multiLevelType w:val="hybridMultilevel"/>
    <w:tmpl w:val="2042EEE2"/>
    <w:styleLink w:val="cuprins111"/>
    <w:lvl w:ilvl="0" w:tplc="F93ADCB2">
      <w:start w:val="1"/>
      <w:numFmt w:val="bullet"/>
      <w:lvlText w:val="Ø"/>
      <w:lvlJc w:val="left"/>
      <w:pPr>
        <w:ind w:left="720" w:hanging="360"/>
      </w:pPr>
      <w:rPr>
        <w:rFonts w:ascii="Wingdings" w:hAnsi="Wingdings" w:hint="default"/>
      </w:rPr>
    </w:lvl>
    <w:lvl w:ilvl="1" w:tplc="44E456AA">
      <w:start w:val="1"/>
      <w:numFmt w:val="bullet"/>
      <w:lvlText w:val="o"/>
      <w:lvlJc w:val="left"/>
      <w:pPr>
        <w:ind w:left="1440" w:hanging="360"/>
      </w:pPr>
      <w:rPr>
        <w:rFonts w:ascii="Courier New" w:hAnsi="Courier New" w:hint="default"/>
      </w:rPr>
    </w:lvl>
    <w:lvl w:ilvl="2" w:tplc="2DEE7E5E">
      <w:start w:val="1"/>
      <w:numFmt w:val="bullet"/>
      <w:lvlText w:val=""/>
      <w:lvlJc w:val="left"/>
      <w:pPr>
        <w:ind w:left="2160" w:hanging="360"/>
      </w:pPr>
      <w:rPr>
        <w:rFonts w:ascii="Wingdings" w:hAnsi="Wingdings" w:hint="default"/>
      </w:rPr>
    </w:lvl>
    <w:lvl w:ilvl="3" w:tplc="62FCDCFA">
      <w:start w:val="1"/>
      <w:numFmt w:val="bullet"/>
      <w:lvlText w:val=""/>
      <w:lvlJc w:val="left"/>
      <w:pPr>
        <w:ind w:left="2880" w:hanging="360"/>
      </w:pPr>
      <w:rPr>
        <w:rFonts w:ascii="Symbol" w:hAnsi="Symbol" w:hint="default"/>
      </w:rPr>
    </w:lvl>
    <w:lvl w:ilvl="4" w:tplc="F1584DB8">
      <w:start w:val="1"/>
      <w:numFmt w:val="bullet"/>
      <w:lvlText w:val="o"/>
      <w:lvlJc w:val="left"/>
      <w:pPr>
        <w:ind w:left="3600" w:hanging="360"/>
      </w:pPr>
      <w:rPr>
        <w:rFonts w:ascii="Courier New" w:hAnsi="Courier New" w:hint="default"/>
      </w:rPr>
    </w:lvl>
    <w:lvl w:ilvl="5" w:tplc="18EA2054">
      <w:start w:val="1"/>
      <w:numFmt w:val="bullet"/>
      <w:lvlText w:val=""/>
      <w:lvlJc w:val="left"/>
      <w:pPr>
        <w:ind w:left="4320" w:hanging="360"/>
      </w:pPr>
      <w:rPr>
        <w:rFonts w:ascii="Wingdings" w:hAnsi="Wingdings" w:hint="default"/>
      </w:rPr>
    </w:lvl>
    <w:lvl w:ilvl="6" w:tplc="BFE67E88">
      <w:start w:val="1"/>
      <w:numFmt w:val="bullet"/>
      <w:lvlText w:val=""/>
      <w:lvlJc w:val="left"/>
      <w:pPr>
        <w:ind w:left="5040" w:hanging="360"/>
      </w:pPr>
      <w:rPr>
        <w:rFonts w:ascii="Symbol" w:hAnsi="Symbol" w:hint="default"/>
      </w:rPr>
    </w:lvl>
    <w:lvl w:ilvl="7" w:tplc="996C599A">
      <w:start w:val="1"/>
      <w:numFmt w:val="bullet"/>
      <w:lvlText w:val="o"/>
      <w:lvlJc w:val="left"/>
      <w:pPr>
        <w:ind w:left="5760" w:hanging="360"/>
      </w:pPr>
      <w:rPr>
        <w:rFonts w:ascii="Courier New" w:hAnsi="Courier New" w:hint="default"/>
      </w:rPr>
    </w:lvl>
    <w:lvl w:ilvl="8" w:tplc="03AC4850">
      <w:start w:val="1"/>
      <w:numFmt w:val="bullet"/>
      <w:lvlText w:val=""/>
      <w:lvlJc w:val="left"/>
      <w:pPr>
        <w:ind w:left="6480" w:hanging="360"/>
      </w:pPr>
      <w:rPr>
        <w:rFonts w:ascii="Wingdings" w:hAnsi="Wingdings" w:hint="default"/>
      </w:rPr>
    </w:lvl>
  </w:abstractNum>
  <w:abstractNum w:abstractNumId="166" w15:restartNumberingAfterBreak="0">
    <w:nsid w:val="70943CDB"/>
    <w:multiLevelType w:val="multilevel"/>
    <w:tmpl w:val="B860AA9C"/>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7" w15:restartNumberingAfterBreak="0">
    <w:nsid w:val="71043517"/>
    <w:multiLevelType w:val="hybridMultilevel"/>
    <w:tmpl w:val="F86A9176"/>
    <w:styleLink w:val="CurrentList2"/>
    <w:lvl w:ilvl="0" w:tplc="DEA64A4A">
      <w:start w:val="1"/>
      <w:numFmt w:val="decimal"/>
      <w:lvlText w:val="%1."/>
      <w:lvlJc w:val="left"/>
      <w:pPr>
        <w:ind w:left="720" w:hanging="360"/>
      </w:pPr>
    </w:lvl>
    <w:lvl w:ilvl="1" w:tplc="6A98D370">
      <w:start w:val="1"/>
      <w:numFmt w:val="lowerLetter"/>
      <w:lvlText w:val="%2."/>
      <w:lvlJc w:val="left"/>
      <w:pPr>
        <w:ind w:left="1440" w:hanging="360"/>
      </w:pPr>
    </w:lvl>
    <w:lvl w:ilvl="2" w:tplc="E90295D8">
      <w:start w:val="1"/>
      <w:numFmt w:val="lowerRoman"/>
      <w:lvlText w:val="%3."/>
      <w:lvlJc w:val="right"/>
      <w:pPr>
        <w:ind w:left="2160" w:hanging="180"/>
      </w:pPr>
    </w:lvl>
    <w:lvl w:ilvl="3" w:tplc="FC782B28">
      <w:start w:val="1"/>
      <w:numFmt w:val="decimal"/>
      <w:lvlText w:val="%4."/>
      <w:lvlJc w:val="left"/>
      <w:pPr>
        <w:ind w:left="2880" w:hanging="360"/>
      </w:pPr>
    </w:lvl>
    <w:lvl w:ilvl="4" w:tplc="0CA0DBB2">
      <w:start w:val="1"/>
      <w:numFmt w:val="lowerLetter"/>
      <w:lvlText w:val="%5."/>
      <w:lvlJc w:val="left"/>
      <w:pPr>
        <w:ind w:left="3600" w:hanging="360"/>
      </w:pPr>
    </w:lvl>
    <w:lvl w:ilvl="5" w:tplc="CD00F128">
      <w:start w:val="1"/>
      <w:numFmt w:val="lowerRoman"/>
      <w:lvlText w:val="%6."/>
      <w:lvlJc w:val="right"/>
      <w:pPr>
        <w:ind w:left="4320" w:hanging="180"/>
      </w:pPr>
    </w:lvl>
    <w:lvl w:ilvl="6" w:tplc="1DFCCEF8">
      <w:start w:val="1"/>
      <w:numFmt w:val="decimal"/>
      <w:lvlText w:val="%7."/>
      <w:lvlJc w:val="left"/>
      <w:pPr>
        <w:ind w:left="5040" w:hanging="360"/>
      </w:pPr>
    </w:lvl>
    <w:lvl w:ilvl="7" w:tplc="986A82DC">
      <w:start w:val="1"/>
      <w:numFmt w:val="lowerLetter"/>
      <w:lvlText w:val="%8."/>
      <w:lvlJc w:val="left"/>
      <w:pPr>
        <w:ind w:left="5760" w:hanging="360"/>
      </w:pPr>
    </w:lvl>
    <w:lvl w:ilvl="8" w:tplc="D2FC8538">
      <w:start w:val="1"/>
      <w:numFmt w:val="lowerRoman"/>
      <w:lvlText w:val="%9."/>
      <w:lvlJc w:val="right"/>
      <w:pPr>
        <w:ind w:left="6480" w:hanging="180"/>
      </w:pPr>
    </w:lvl>
  </w:abstractNum>
  <w:abstractNum w:abstractNumId="168" w15:restartNumberingAfterBreak="0">
    <w:nsid w:val="71730944"/>
    <w:multiLevelType w:val="multilevel"/>
    <w:tmpl w:val="75663774"/>
    <w:lvl w:ilvl="0">
      <w:start w:val="6"/>
      <w:numFmt w:val="decimal"/>
      <w:pStyle w:val="CharZchnZch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9" w15:restartNumberingAfterBreak="0">
    <w:nsid w:val="73CB7CA0"/>
    <w:multiLevelType w:val="multilevel"/>
    <w:tmpl w:val="695A2B9C"/>
    <w:lvl w:ilvl="0">
      <w:start w:val="1"/>
      <w:numFmt w:val="decimal"/>
      <w:lvlText w:val="%1."/>
      <w:lvlJc w:val="left"/>
      <w:pPr>
        <w:tabs>
          <w:tab w:val="num" w:pos="360"/>
        </w:tabs>
        <w:ind w:left="360" w:hanging="360"/>
      </w:pPr>
      <w:rPr>
        <w:rFonts w:hint="default"/>
      </w:rPr>
    </w:lvl>
    <w:lvl w:ilvl="1">
      <w:start w:val="1"/>
      <w:numFmt w:val="decimal"/>
      <w:pStyle w:val="Cuprins22"/>
      <w:lvlText w:val="%1.%2."/>
      <w:lvlJc w:val="left"/>
      <w:pPr>
        <w:tabs>
          <w:tab w:val="num" w:pos="999"/>
        </w:tabs>
        <w:ind w:left="999" w:hanging="432"/>
      </w:pPr>
      <w:rPr>
        <w:b/>
        <w:bCs w:val="0"/>
        <w:i/>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70" w15:restartNumberingAfterBreak="0">
    <w:nsid w:val="73F8E3A7"/>
    <w:multiLevelType w:val="hybridMultilevel"/>
    <w:tmpl w:val="F8ACA99C"/>
    <w:styleLink w:val="Bumbiabc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1" w15:restartNumberingAfterBreak="0">
    <w:nsid w:val="747209FD"/>
    <w:multiLevelType w:val="hybridMultilevel"/>
    <w:tmpl w:val="BDAC28E0"/>
    <w:styleLink w:val="Bumbi11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2" w15:restartNumberingAfterBreak="0">
    <w:nsid w:val="759E7A0E"/>
    <w:multiLevelType w:val="hybridMultilevel"/>
    <w:tmpl w:val="F13E986C"/>
    <w:styleLink w:val="Bumbi-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75CD0AFF"/>
    <w:multiLevelType w:val="hybridMultilevel"/>
    <w:tmpl w:val="1146F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764D35C6"/>
    <w:multiLevelType w:val="hybridMultilevel"/>
    <w:tmpl w:val="FA8EAAB2"/>
    <w:lvl w:ilvl="0" w:tplc="40DCC1B6">
      <w:numFmt w:val="bullet"/>
      <w:lvlText w:val="-"/>
      <w:lvlJc w:val="left"/>
      <w:pPr>
        <w:ind w:left="720" w:hanging="360"/>
      </w:pPr>
      <w:rPr>
        <w:rFonts w:ascii="Verdana" w:eastAsia="Times New Roman" w:hAnsi="Verdana"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5" w15:restartNumberingAfterBreak="0">
    <w:nsid w:val="767E1921"/>
    <w:multiLevelType w:val="hybridMultilevel"/>
    <w:tmpl w:val="A968A0C2"/>
    <w:lvl w:ilvl="0" w:tplc="C0CCD4F2">
      <w:start w:val="1"/>
      <w:numFmt w:val="decimal"/>
      <w:lvlText w:val="%1."/>
      <w:lvlJc w:val="left"/>
      <w:pPr>
        <w:ind w:left="720" w:hanging="360"/>
      </w:pPr>
      <w:rPr>
        <w:sz w:val="12"/>
        <w:szCs w:val="1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6" w15:restartNumberingAfterBreak="0">
    <w:nsid w:val="775308F4"/>
    <w:multiLevelType w:val="hybridMultilevel"/>
    <w:tmpl w:val="5E2066E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7" w15:restartNumberingAfterBreak="0">
    <w:nsid w:val="77B5211E"/>
    <w:multiLevelType w:val="multilevel"/>
    <w:tmpl w:val="B8844860"/>
    <w:lvl w:ilvl="0">
      <w:start w:val="1"/>
      <w:numFmt w:val="decimal"/>
      <w:pStyle w:val="StyleStyleStyleTable10ptCenteredLeftBefore72pt"/>
      <w:lvlText w:val="Articolul %1"/>
      <w:lvlJc w:val="left"/>
      <w:pPr>
        <w:tabs>
          <w:tab w:val="num" w:pos="1532"/>
        </w:tabs>
        <w:ind w:left="1532" w:hanging="992"/>
      </w:pPr>
      <w:rPr>
        <w:rFonts w:ascii="Arial" w:hAnsi="Arial" w:hint="default"/>
        <w:b/>
        <w:i w:val="0"/>
        <w:sz w:val="18"/>
      </w:rPr>
    </w:lvl>
    <w:lvl w:ilvl="1">
      <w:start w:val="1"/>
      <w:numFmt w:val="decimal"/>
      <w:lvlText w:val="%1.%2"/>
      <w:lvlJc w:val="left"/>
      <w:pPr>
        <w:tabs>
          <w:tab w:val="num" w:pos="747"/>
        </w:tabs>
        <w:ind w:left="747" w:hanging="567"/>
      </w:pPr>
      <w:rPr>
        <w:rFonts w:ascii="Arial" w:hAnsi="Arial" w:hint="default"/>
        <w:b/>
        <w:bCs w:val="0"/>
        <w:i w:val="0"/>
        <w:iCs w:val="0"/>
        <w:caps w:val="0"/>
        <w:smallCaps w:val="0"/>
        <w:strike w:val="0"/>
        <w:dstrike w:val="0"/>
        <w:color w:val="auto"/>
        <w:spacing w:val="0"/>
        <w:w w:val="100"/>
        <w:kern w:val="0"/>
        <w:position w:val="0"/>
        <w:sz w:val="18"/>
        <w:u w:val="none"/>
        <w:effect w:val="none"/>
        <w:em w:val="none"/>
      </w:rPr>
    </w:lvl>
    <w:lvl w:ilvl="2">
      <w:start w:val="1"/>
      <w:numFmt w:val="decimal"/>
      <w:lvlText w:val="%1.%2.%3"/>
      <w:lvlJc w:val="left"/>
      <w:pPr>
        <w:tabs>
          <w:tab w:val="num" w:pos="2268"/>
        </w:tabs>
        <w:ind w:left="2268" w:hanging="1701"/>
      </w:pPr>
      <w:rPr>
        <w:rFonts w:ascii="Arial" w:hAnsi="Arial" w:hint="default"/>
        <w:b w:val="0"/>
        <w:i w:val="0"/>
        <w:sz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8" w15:restartNumberingAfterBreak="0">
    <w:nsid w:val="797725EA"/>
    <w:multiLevelType w:val="hybridMultilevel"/>
    <w:tmpl w:val="04180001"/>
    <w:styleLink w:val="cuprins11"/>
    <w:lvl w:ilvl="0" w:tplc="04180001">
      <w:start w:val="1"/>
      <w:numFmt w:val="bullet"/>
      <w:lvlText w:val=""/>
      <w:lvlJc w:val="left"/>
      <w:pPr>
        <w:ind w:left="720" w:hanging="360"/>
      </w:pPr>
      <w:rPr>
        <w:rFonts w:ascii="Symbol" w:hAnsi="Symbol" w:hint="default"/>
      </w:rPr>
    </w:lvl>
    <w:lvl w:ilvl="1" w:tplc="44E456AA">
      <w:start w:val="1"/>
      <w:numFmt w:val="bullet"/>
      <w:lvlText w:val="o"/>
      <w:lvlJc w:val="left"/>
      <w:pPr>
        <w:ind w:left="1440" w:hanging="360"/>
      </w:pPr>
      <w:rPr>
        <w:rFonts w:ascii="Courier New" w:hAnsi="Courier New" w:hint="default"/>
      </w:rPr>
    </w:lvl>
    <w:lvl w:ilvl="2" w:tplc="2DEE7E5E">
      <w:start w:val="1"/>
      <w:numFmt w:val="bullet"/>
      <w:lvlText w:val=""/>
      <w:lvlJc w:val="left"/>
      <w:pPr>
        <w:ind w:left="2160" w:hanging="360"/>
      </w:pPr>
      <w:rPr>
        <w:rFonts w:ascii="Wingdings" w:hAnsi="Wingdings" w:hint="default"/>
      </w:rPr>
    </w:lvl>
    <w:lvl w:ilvl="3" w:tplc="62FCDCFA">
      <w:start w:val="1"/>
      <w:numFmt w:val="bullet"/>
      <w:lvlText w:val=""/>
      <w:lvlJc w:val="left"/>
      <w:pPr>
        <w:ind w:left="2880" w:hanging="360"/>
      </w:pPr>
      <w:rPr>
        <w:rFonts w:ascii="Symbol" w:hAnsi="Symbol" w:hint="default"/>
      </w:rPr>
    </w:lvl>
    <w:lvl w:ilvl="4" w:tplc="F1584DB8">
      <w:start w:val="1"/>
      <w:numFmt w:val="bullet"/>
      <w:lvlText w:val="o"/>
      <w:lvlJc w:val="left"/>
      <w:pPr>
        <w:ind w:left="3600" w:hanging="360"/>
      </w:pPr>
      <w:rPr>
        <w:rFonts w:ascii="Courier New" w:hAnsi="Courier New" w:hint="default"/>
      </w:rPr>
    </w:lvl>
    <w:lvl w:ilvl="5" w:tplc="18EA2054">
      <w:start w:val="1"/>
      <w:numFmt w:val="bullet"/>
      <w:lvlText w:val=""/>
      <w:lvlJc w:val="left"/>
      <w:pPr>
        <w:ind w:left="4320" w:hanging="360"/>
      </w:pPr>
      <w:rPr>
        <w:rFonts w:ascii="Wingdings" w:hAnsi="Wingdings" w:hint="default"/>
      </w:rPr>
    </w:lvl>
    <w:lvl w:ilvl="6" w:tplc="BFE67E88">
      <w:start w:val="1"/>
      <w:numFmt w:val="bullet"/>
      <w:lvlText w:val=""/>
      <w:lvlJc w:val="left"/>
      <w:pPr>
        <w:ind w:left="5040" w:hanging="360"/>
      </w:pPr>
      <w:rPr>
        <w:rFonts w:ascii="Symbol" w:hAnsi="Symbol" w:hint="default"/>
      </w:rPr>
    </w:lvl>
    <w:lvl w:ilvl="7" w:tplc="996C599A">
      <w:start w:val="1"/>
      <w:numFmt w:val="bullet"/>
      <w:lvlText w:val="o"/>
      <w:lvlJc w:val="left"/>
      <w:pPr>
        <w:ind w:left="5760" w:hanging="360"/>
      </w:pPr>
      <w:rPr>
        <w:rFonts w:ascii="Courier New" w:hAnsi="Courier New" w:hint="default"/>
      </w:rPr>
    </w:lvl>
    <w:lvl w:ilvl="8" w:tplc="03AC4850">
      <w:start w:val="1"/>
      <w:numFmt w:val="bullet"/>
      <w:lvlText w:val=""/>
      <w:lvlJc w:val="left"/>
      <w:pPr>
        <w:ind w:left="6480" w:hanging="360"/>
      </w:pPr>
      <w:rPr>
        <w:rFonts w:ascii="Wingdings" w:hAnsi="Wingdings" w:hint="default"/>
      </w:rPr>
    </w:lvl>
  </w:abstractNum>
  <w:abstractNum w:abstractNumId="179" w15:restartNumberingAfterBreak="0">
    <w:nsid w:val="79AE66E6"/>
    <w:multiLevelType w:val="multilevel"/>
    <w:tmpl w:val="EA74F81E"/>
    <w:styleLink w:val="JacobsBulletList18"/>
    <w:lvl w:ilvl="0">
      <w:numFmt w:val="decimal"/>
      <w:pStyle w:val="StyleHeading3"/>
      <w:lvlText w:val=""/>
      <w:lvlJc w:val="left"/>
      <w:pPr>
        <w:ind w:left="0" w:firstLine="0"/>
      </w:pPr>
      <w:rPr>
        <w:rFonts w:cs="Times New Roman"/>
      </w:rPr>
    </w:lvl>
    <w:lvl w:ilvl="1">
      <w:numFmt w:val="decimal"/>
      <w:lvlText w:val=""/>
      <w:lvlJc w:val="left"/>
      <w:pPr>
        <w:ind w:left="0" w:firstLine="0"/>
      </w:pPr>
      <w:rPr>
        <w:rFonts w:cs="Times New Roman"/>
      </w:rPr>
    </w:lvl>
    <w:lvl w:ilvl="2">
      <w:numFmt w:val="decimal"/>
      <w:pStyle w:val="StyleHeading3"/>
      <w:lvlText w:val=""/>
      <w:lvlJc w:val="left"/>
      <w:pPr>
        <w:ind w:left="0" w:firstLine="0"/>
      </w:pPr>
      <w:rPr>
        <w:rFonts w:cs="Times New Roman"/>
      </w:rPr>
    </w:lvl>
    <w:lvl w:ilvl="3">
      <w:numFmt w:val="decimal"/>
      <w:lvlText w:val=""/>
      <w:lvlJc w:val="left"/>
      <w:pPr>
        <w:ind w:left="0" w:firstLine="0"/>
      </w:pPr>
      <w:rPr>
        <w:rFonts w:cs="Times New Roman"/>
      </w:rPr>
    </w:lvl>
    <w:lvl w:ilvl="4">
      <w:numFmt w:val="decimal"/>
      <w:lvlText w:val=""/>
      <w:lvlJc w:val="left"/>
      <w:pPr>
        <w:ind w:left="0" w:firstLine="0"/>
      </w:pPr>
      <w:rPr>
        <w:rFonts w:cs="Times New Roman"/>
      </w:rPr>
    </w:lvl>
    <w:lvl w:ilvl="5">
      <w:numFmt w:val="decimal"/>
      <w:lvlText w:val=""/>
      <w:lvlJc w:val="left"/>
      <w:pPr>
        <w:ind w:left="0" w:firstLine="0"/>
      </w:pPr>
      <w:rPr>
        <w:rFonts w:cs="Times New Roman"/>
      </w:rPr>
    </w:lvl>
    <w:lvl w:ilvl="6">
      <w:numFmt w:val="decimal"/>
      <w:lvlText w:val=""/>
      <w:lvlJc w:val="left"/>
      <w:pPr>
        <w:ind w:left="0" w:firstLine="0"/>
      </w:pPr>
      <w:rPr>
        <w:rFonts w:cs="Times New Roman"/>
      </w:rPr>
    </w:lvl>
    <w:lvl w:ilvl="7">
      <w:numFmt w:val="decimal"/>
      <w:lvlText w:val=""/>
      <w:lvlJc w:val="left"/>
      <w:pPr>
        <w:ind w:left="0" w:firstLine="0"/>
      </w:pPr>
      <w:rPr>
        <w:rFonts w:cs="Times New Roman"/>
      </w:rPr>
    </w:lvl>
    <w:lvl w:ilvl="8">
      <w:numFmt w:val="decimal"/>
      <w:lvlText w:val=""/>
      <w:lvlJc w:val="left"/>
      <w:pPr>
        <w:ind w:left="0" w:firstLine="0"/>
      </w:pPr>
      <w:rPr>
        <w:rFonts w:cs="Times New Roman"/>
      </w:rPr>
    </w:lvl>
  </w:abstractNum>
  <w:abstractNum w:abstractNumId="180" w15:restartNumberingAfterBreak="0">
    <w:nsid w:val="7B582B53"/>
    <w:multiLevelType w:val="hybridMultilevel"/>
    <w:tmpl w:val="CA48C99E"/>
    <w:styleLink w:val="Bumbi-"/>
    <w:lvl w:ilvl="0" w:tplc="FEE665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7C7B4FAA"/>
    <w:multiLevelType w:val="hybridMultilevel"/>
    <w:tmpl w:val="9F9CB8A4"/>
    <w:lvl w:ilvl="0" w:tplc="FFFFFFFF">
      <w:start w:val="1"/>
      <w:numFmt w:val="decimal"/>
      <w:lvlText w:val="OM%1."/>
      <w:lvlJc w:val="left"/>
      <w:pPr>
        <w:ind w:left="643"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2" w15:restartNumberingAfterBreak="0">
    <w:nsid w:val="7DBE2BDC"/>
    <w:multiLevelType w:val="multilevel"/>
    <w:tmpl w:val="A9EC35A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3" w15:restartNumberingAfterBreak="0">
    <w:nsid w:val="7DF2FC46"/>
    <w:multiLevelType w:val="multilevel"/>
    <w:tmpl w:val="DF3EECDE"/>
    <w:styleLink w:val="CurrentList13"/>
    <w:lvl w:ilvl="0">
      <w:start w:val="1"/>
      <w:numFmt w:val="bullet"/>
      <w:pStyle w:val="Para0bullet"/>
      <w:lvlText w:val=""/>
      <w:lvlJc w:val="left"/>
      <w:pPr>
        <w:ind w:left="425" w:hanging="425"/>
      </w:pPr>
      <w:rPr>
        <w:rFonts w:ascii="Symbol" w:hAnsi="Symbol" w:hint="default"/>
        <w:color w:val="auto"/>
        <w:sz w:val="18"/>
      </w:rPr>
    </w:lvl>
    <w:lvl w:ilvl="1">
      <w:start w:val="1"/>
      <w:numFmt w:val="bullet"/>
      <w:pStyle w:val="Para1narrowarrow"/>
      <w:lvlText w:val="-"/>
      <w:lvlJc w:val="left"/>
      <w:pPr>
        <w:ind w:left="851" w:hanging="426"/>
      </w:pPr>
      <w:rPr>
        <w:rFonts w:ascii="Arial" w:hAnsi="Arial" w:hint="default"/>
        <w:color w:val="000000"/>
        <w:sz w:val="18"/>
      </w:rPr>
    </w:lvl>
    <w:lvl w:ilvl="2">
      <w:start w:val="1"/>
      <w:numFmt w:val="none"/>
      <w:lvlRestart w:val="0"/>
      <w:lvlText w:val=""/>
      <w:lvlJc w:val="left"/>
      <w:pPr>
        <w:ind w:left="851" w:hanging="426"/>
      </w:pPr>
      <w:rPr>
        <w:rFonts w:hint="default"/>
      </w:rPr>
    </w:lvl>
    <w:lvl w:ilvl="3">
      <w:start w:val="1"/>
      <w:numFmt w:val="none"/>
      <w:lvlRestart w:val="0"/>
      <w:lvlText w:val=""/>
      <w:lvlJc w:val="left"/>
      <w:pPr>
        <w:ind w:left="851" w:hanging="426"/>
      </w:pPr>
      <w:rPr>
        <w:rFonts w:hint="default"/>
      </w:rPr>
    </w:lvl>
    <w:lvl w:ilvl="4">
      <w:start w:val="1"/>
      <w:numFmt w:val="none"/>
      <w:lvlRestart w:val="0"/>
      <w:lvlText w:val=""/>
      <w:lvlJc w:val="left"/>
      <w:pPr>
        <w:ind w:left="851" w:hanging="426"/>
      </w:pPr>
      <w:rPr>
        <w:rFonts w:hint="default"/>
      </w:rPr>
    </w:lvl>
    <w:lvl w:ilvl="5">
      <w:start w:val="1"/>
      <w:numFmt w:val="none"/>
      <w:lvlRestart w:val="0"/>
      <w:lvlText w:val=""/>
      <w:lvlJc w:val="left"/>
      <w:pPr>
        <w:ind w:left="851" w:hanging="426"/>
      </w:pPr>
      <w:rPr>
        <w:rFonts w:hint="default"/>
      </w:rPr>
    </w:lvl>
    <w:lvl w:ilvl="6">
      <w:start w:val="1"/>
      <w:numFmt w:val="none"/>
      <w:lvlRestart w:val="0"/>
      <w:lvlText w:val=""/>
      <w:lvlJc w:val="left"/>
      <w:pPr>
        <w:ind w:left="851" w:hanging="426"/>
      </w:pPr>
      <w:rPr>
        <w:rFonts w:hint="default"/>
      </w:rPr>
    </w:lvl>
    <w:lvl w:ilvl="7">
      <w:start w:val="1"/>
      <w:numFmt w:val="none"/>
      <w:lvlRestart w:val="0"/>
      <w:lvlText w:val=""/>
      <w:lvlJc w:val="left"/>
      <w:pPr>
        <w:ind w:left="851" w:hanging="426"/>
      </w:pPr>
      <w:rPr>
        <w:rFonts w:hint="default"/>
      </w:rPr>
    </w:lvl>
    <w:lvl w:ilvl="8">
      <w:start w:val="1"/>
      <w:numFmt w:val="none"/>
      <w:lvlRestart w:val="0"/>
      <w:lvlText w:val=""/>
      <w:lvlJc w:val="left"/>
      <w:pPr>
        <w:ind w:left="851" w:hanging="426"/>
      </w:pPr>
      <w:rPr>
        <w:rFonts w:hint="default"/>
      </w:rPr>
    </w:lvl>
  </w:abstractNum>
  <w:abstractNum w:abstractNumId="184" w15:restartNumberingAfterBreak="0">
    <w:nsid w:val="7E20588C"/>
    <w:multiLevelType w:val="multilevel"/>
    <w:tmpl w:val="F1EA2C2E"/>
    <w:lvl w:ilvl="0">
      <w:start w:val="1"/>
      <w:numFmt w:val="decimal"/>
      <w:pStyle w:val="ListNumber"/>
      <w:lvlText w:val="%1."/>
      <w:lvlJc w:val="left"/>
      <w:pPr>
        <w:ind w:left="340" w:hanging="340"/>
      </w:pPr>
      <w:rPr>
        <w:rFonts w:hint="default"/>
      </w:rPr>
    </w:lvl>
    <w:lvl w:ilvl="1">
      <w:start w:val="1"/>
      <w:numFmt w:val="decimal"/>
      <w:lvlText w:val="%1.%2."/>
      <w:lvlJc w:val="left"/>
      <w:pPr>
        <w:ind w:left="964" w:hanging="624"/>
      </w:pPr>
      <w:rPr>
        <w:rFonts w:hint="default"/>
      </w:rPr>
    </w:lvl>
    <w:lvl w:ilvl="2">
      <w:start w:val="1"/>
      <w:numFmt w:val="decimal"/>
      <w:lvlText w:val="%1.%2.%3."/>
      <w:lvlJc w:val="left"/>
      <w:pPr>
        <w:ind w:left="1758" w:hanging="794"/>
      </w:pPr>
      <w:rPr>
        <w:rFonts w:hint="default"/>
      </w:rPr>
    </w:lvl>
    <w:lvl w:ilvl="3">
      <w:start w:val="1"/>
      <w:numFmt w:val="decimal"/>
      <w:lvlText w:val="%1.%2.%3.%4."/>
      <w:lvlJc w:val="left"/>
      <w:pPr>
        <w:tabs>
          <w:tab w:val="num" w:pos="4536"/>
        </w:tabs>
        <w:ind w:left="2722" w:hanging="964"/>
      </w:pPr>
      <w:rPr>
        <w:rFonts w:hint="default"/>
      </w:rPr>
    </w:lvl>
    <w:lvl w:ilvl="4">
      <w:start w:val="1"/>
      <w:numFmt w:val="decimal"/>
      <w:lvlText w:val="%1.%2.%3.%4.%5."/>
      <w:lvlJc w:val="left"/>
      <w:pPr>
        <w:ind w:left="2892" w:hanging="1134"/>
      </w:pPr>
      <w:rPr>
        <w:rFonts w:hint="default"/>
      </w:rPr>
    </w:lvl>
    <w:lvl w:ilvl="5">
      <w:start w:val="1"/>
      <w:numFmt w:val="decimal"/>
      <w:lvlText w:val="%1.%2.%3.%4.%5.%6."/>
      <w:lvlJc w:val="left"/>
      <w:pPr>
        <w:tabs>
          <w:tab w:val="num" w:pos="17577"/>
        </w:tabs>
        <w:ind w:left="3119" w:hanging="1361"/>
      </w:pPr>
      <w:rPr>
        <w:rFonts w:hint="default"/>
      </w:rPr>
    </w:lvl>
    <w:lvl w:ilvl="6">
      <w:start w:val="1"/>
      <w:numFmt w:val="decimal"/>
      <w:lvlText w:val="%1.%2.%3.%4.%5.%6.%7."/>
      <w:lvlJc w:val="left"/>
      <w:pPr>
        <w:ind w:left="3289" w:hanging="1531"/>
      </w:pPr>
      <w:rPr>
        <w:rFonts w:hint="default"/>
      </w:rPr>
    </w:lvl>
    <w:lvl w:ilvl="7">
      <w:start w:val="1"/>
      <w:numFmt w:val="decimal"/>
      <w:lvlText w:val="%1.%2.%3.%4.%5.%6.%7.%8."/>
      <w:lvlJc w:val="left"/>
      <w:pPr>
        <w:ind w:left="3459" w:hanging="1701"/>
      </w:pPr>
      <w:rPr>
        <w:rFonts w:hint="default"/>
      </w:rPr>
    </w:lvl>
    <w:lvl w:ilvl="8">
      <w:start w:val="1"/>
      <w:numFmt w:val="decimal"/>
      <w:lvlText w:val="%1.%2.%3.%4.%5.%6.%7.%8.%9."/>
      <w:lvlJc w:val="left"/>
      <w:pPr>
        <w:ind w:left="3686" w:hanging="1928"/>
      </w:pPr>
      <w:rPr>
        <w:rFonts w:hint="default"/>
      </w:rPr>
    </w:lvl>
  </w:abstractNum>
  <w:abstractNum w:abstractNumId="185" w15:restartNumberingAfterBreak="0">
    <w:nsid w:val="7EB0508B"/>
    <w:multiLevelType w:val="hybridMultilevel"/>
    <w:tmpl w:val="3980609E"/>
    <w:styleLink w:val="CurrentList111"/>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6" w15:restartNumberingAfterBreak="0">
    <w:nsid w:val="7FB354B8"/>
    <w:multiLevelType w:val="multilevel"/>
    <w:tmpl w:val="B52AAC72"/>
    <w:lvl w:ilvl="0">
      <w:start w:val="1"/>
      <w:numFmt w:val="bullet"/>
      <w:pStyle w:val="List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Symbol" w:hAnsi="Symbol" w:hint="default"/>
        <w:color w:val="auto"/>
      </w:rPr>
    </w:lvl>
    <w:lvl w:ilvl="2">
      <w:start w:val="1"/>
      <w:numFmt w:val="bullet"/>
      <w:lvlText w:val=""/>
      <w:lvlJc w:val="left"/>
      <w:pPr>
        <w:ind w:left="852" w:hanging="284"/>
      </w:pPr>
      <w:rPr>
        <w:rFonts w:ascii="Symbol" w:hAnsi="Symbol" w:hint="default"/>
        <w:color w:val="auto"/>
      </w:rPr>
    </w:lvl>
    <w:lvl w:ilvl="3">
      <w:start w:val="1"/>
      <w:numFmt w:val="bullet"/>
      <w:lvlText w:val=""/>
      <w:lvlJc w:val="left"/>
      <w:pPr>
        <w:ind w:left="1136" w:hanging="284"/>
      </w:pPr>
      <w:rPr>
        <w:rFonts w:ascii="Symbol" w:hAnsi="Symbol" w:hint="default"/>
      </w:rPr>
    </w:lvl>
    <w:lvl w:ilvl="4">
      <w:start w:val="1"/>
      <w:numFmt w:val="bullet"/>
      <w:lvlText w:val=""/>
      <w:lvlJc w:val="left"/>
      <w:pPr>
        <w:ind w:left="1420" w:hanging="284"/>
      </w:pPr>
      <w:rPr>
        <w:rFonts w:ascii="Symbol" w:hAnsi="Symbol" w:hint="default"/>
        <w:color w:val="auto"/>
      </w:rPr>
    </w:lvl>
    <w:lvl w:ilvl="5">
      <w:start w:val="1"/>
      <w:numFmt w:val="bullet"/>
      <w:lvlText w:val=""/>
      <w:lvlJc w:val="left"/>
      <w:pPr>
        <w:ind w:left="1704" w:hanging="284"/>
      </w:pPr>
      <w:rPr>
        <w:rFonts w:ascii="Symbol" w:hAnsi="Symbol" w:hint="default"/>
        <w:color w:val="auto"/>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Symbol" w:hAnsi="Symbol" w:hint="default"/>
      </w:rPr>
    </w:lvl>
    <w:lvl w:ilvl="8">
      <w:start w:val="1"/>
      <w:numFmt w:val="bullet"/>
      <w:lvlText w:val=""/>
      <w:lvlJc w:val="left"/>
      <w:pPr>
        <w:ind w:left="2556" w:hanging="284"/>
      </w:pPr>
      <w:rPr>
        <w:rFonts w:ascii="Symbol" w:hAnsi="Symbol" w:hint="default"/>
        <w:color w:val="auto"/>
      </w:rPr>
    </w:lvl>
  </w:abstractNum>
  <w:num w:numId="1" w16cid:durableId="25644482">
    <w:abstractNumId w:val="78"/>
  </w:num>
  <w:num w:numId="2" w16cid:durableId="1205021078">
    <w:abstractNumId w:val="33"/>
  </w:num>
  <w:num w:numId="3" w16cid:durableId="522015526">
    <w:abstractNumId w:val="186"/>
  </w:num>
  <w:num w:numId="4" w16cid:durableId="639001854">
    <w:abstractNumId w:val="7"/>
  </w:num>
  <w:num w:numId="5" w16cid:durableId="877857891">
    <w:abstractNumId w:val="6"/>
  </w:num>
  <w:num w:numId="6" w16cid:durableId="1450007267">
    <w:abstractNumId w:val="5"/>
  </w:num>
  <w:num w:numId="7" w16cid:durableId="313991465">
    <w:abstractNumId w:val="4"/>
  </w:num>
  <w:num w:numId="8" w16cid:durableId="1712224518">
    <w:abstractNumId w:val="184"/>
  </w:num>
  <w:num w:numId="9" w16cid:durableId="652562637">
    <w:abstractNumId w:val="3"/>
  </w:num>
  <w:num w:numId="10" w16cid:durableId="422260272">
    <w:abstractNumId w:val="2"/>
  </w:num>
  <w:num w:numId="11" w16cid:durableId="898321517">
    <w:abstractNumId w:val="1"/>
  </w:num>
  <w:num w:numId="12" w16cid:durableId="678585821">
    <w:abstractNumId w:val="0"/>
  </w:num>
  <w:num w:numId="13" w16cid:durableId="449056615">
    <w:abstractNumId w:val="153"/>
  </w:num>
  <w:num w:numId="14" w16cid:durableId="403647888">
    <w:abstractNumId w:val="73"/>
  </w:num>
  <w:num w:numId="15" w16cid:durableId="2075157329">
    <w:abstractNumId w:val="151"/>
  </w:num>
  <w:num w:numId="16" w16cid:durableId="1275790390">
    <w:abstractNumId w:val="155"/>
  </w:num>
  <w:num w:numId="17" w16cid:durableId="171072664">
    <w:abstractNumId w:val="24"/>
  </w:num>
  <w:num w:numId="18" w16cid:durableId="1006127833">
    <w:abstractNumId w:val="75"/>
  </w:num>
  <w:num w:numId="19" w16cid:durableId="1595673932">
    <w:abstractNumId w:val="34"/>
  </w:num>
  <w:num w:numId="20" w16cid:durableId="1162887979">
    <w:abstractNumId w:val="182"/>
  </w:num>
  <w:num w:numId="21" w16cid:durableId="1356688634">
    <w:abstractNumId w:val="166"/>
  </w:num>
  <w:num w:numId="22" w16cid:durableId="735470630">
    <w:abstractNumId w:val="118"/>
  </w:num>
  <w:num w:numId="23" w16cid:durableId="932280904">
    <w:abstractNumId w:val="138"/>
  </w:num>
  <w:num w:numId="24" w16cid:durableId="837378515">
    <w:abstractNumId w:val="43"/>
  </w:num>
  <w:num w:numId="25" w16cid:durableId="881018634">
    <w:abstractNumId w:val="79"/>
  </w:num>
  <w:num w:numId="26" w16cid:durableId="1240753721">
    <w:abstractNumId w:val="88"/>
  </w:num>
  <w:num w:numId="27" w16cid:durableId="1152016934">
    <w:abstractNumId w:val="55"/>
  </w:num>
  <w:num w:numId="28" w16cid:durableId="1774284862">
    <w:abstractNumId w:val="96"/>
  </w:num>
  <w:num w:numId="29" w16cid:durableId="383287271">
    <w:abstractNumId w:val="65"/>
  </w:num>
  <w:num w:numId="30" w16cid:durableId="756173317">
    <w:abstractNumId w:val="20"/>
  </w:num>
  <w:num w:numId="31" w16cid:durableId="777288547">
    <w:abstractNumId w:val="141"/>
  </w:num>
  <w:num w:numId="32" w16cid:durableId="1456290475">
    <w:abstractNumId w:val="31"/>
  </w:num>
  <w:num w:numId="33" w16cid:durableId="66000303">
    <w:abstractNumId w:val="19"/>
  </w:num>
  <w:num w:numId="34" w16cid:durableId="413666879">
    <w:abstractNumId w:val="83"/>
  </w:num>
  <w:num w:numId="35" w16cid:durableId="1132140091">
    <w:abstractNumId w:val="108"/>
  </w:num>
  <w:num w:numId="36" w16cid:durableId="374038580">
    <w:abstractNumId w:val="48"/>
  </w:num>
  <w:num w:numId="37" w16cid:durableId="1709718892">
    <w:abstractNumId w:val="82"/>
  </w:num>
  <w:num w:numId="38" w16cid:durableId="439568271">
    <w:abstractNumId w:val="22"/>
  </w:num>
  <w:num w:numId="39" w16cid:durableId="71708321">
    <w:abstractNumId w:val="172"/>
  </w:num>
  <w:num w:numId="40" w16cid:durableId="385686519">
    <w:abstractNumId w:val="72"/>
  </w:num>
  <w:num w:numId="41" w16cid:durableId="570233214">
    <w:abstractNumId w:val="91"/>
  </w:num>
  <w:num w:numId="42" w16cid:durableId="1225068761">
    <w:abstractNumId w:val="69"/>
  </w:num>
  <w:num w:numId="43" w16cid:durableId="2109109442">
    <w:abstractNumId w:val="180"/>
  </w:num>
  <w:num w:numId="44" w16cid:durableId="2122795422">
    <w:abstractNumId w:val="80"/>
  </w:num>
  <w:num w:numId="45" w16cid:durableId="1808353775">
    <w:abstractNumId w:val="8"/>
  </w:num>
  <w:num w:numId="46" w16cid:durableId="702289114">
    <w:abstractNumId w:val="30"/>
  </w:num>
  <w:num w:numId="47" w16cid:durableId="1744840528">
    <w:abstractNumId w:val="109"/>
  </w:num>
  <w:num w:numId="48" w16cid:durableId="63991663">
    <w:abstractNumId w:val="136"/>
  </w:num>
  <w:num w:numId="49" w16cid:durableId="1809350527">
    <w:abstractNumId w:val="53"/>
  </w:num>
  <w:num w:numId="50" w16cid:durableId="1720282087">
    <w:abstractNumId w:val="127"/>
  </w:num>
  <w:num w:numId="51" w16cid:durableId="1286546275">
    <w:abstractNumId w:val="87"/>
  </w:num>
  <w:num w:numId="52" w16cid:durableId="892077104">
    <w:abstractNumId w:val="149"/>
  </w:num>
  <w:num w:numId="53" w16cid:durableId="98379411">
    <w:abstractNumId w:val="124"/>
  </w:num>
  <w:num w:numId="54" w16cid:durableId="1211499944">
    <w:abstractNumId w:val="64"/>
  </w:num>
  <w:num w:numId="55" w16cid:durableId="903949141">
    <w:abstractNumId w:val="185"/>
  </w:num>
  <w:num w:numId="56" w16cid:durableId="1355885315">
    <w:abstractNumId w:val="135"/>
  </w:num>
  <w:num w:numId="57" w16cid:durableId="1739207912">
    <w:abstractNumId w:val="144"/>
  </w:num>
  <w:num w:numId="58" w16cid:durableId="593972386">
    <w:abstractNumId w:val="51"/>
  </w:num>
  <w:num w:numId="59" w16cid:durableId="806168659">
    <w:abstractNumId w:val="58"/>
  </w:num>
  <w:num w:numId="60" w16cid:durableId="2118719174">
    <w:abstractNumId w:val="76"/>
  </w:num>
  <w:num w:numId="61" w16cid:durableId="1623725068">
    <w:abstractNumId w:val="14"/>
  </w:num>
  <w:num w:numId="62" w16cid:durableId="1888834058">
    <w:abstractNumId w:val="178"/>
  </w:num>
  <w:num w:numId="63" w16cid:durableId="347412106">
    <w:abstractNumId w:val="59"/>
  </w:num>
  <w:num w:numId="64" w16cid:durableId="1618026974">
    <w:abstractNumId w:val="94"/>
  </w:num>
  <w:num w:numId="65" w16cid:durableId="95174501">
    <w:abstractNumId w:val="77"/>
  </w:num>
  <w:num w:numId="66" w16cid:durableId="1237477590">
    <w:abstractNumId w:val="137"/>
  </w:num>
  <w:num w:numId="67" w16cid:durableId="543567565">
    <w:abstractNumId w:val="63"/>
  </w:num>
  <w:num w:numId="68" w16cid:durableId="1457722388">
    <w:abstractNumId w:val="128"/>
  </w:num>
  <w:num w:numId="69" w16cid:durableId="1038048328">
    <w:abstractNumId w:val="157"/>
  </w:num>
  <w:num w:numId="70" w16cid:durableId="347296598">
    <w:abstractNumId w:val="176"/>
  </w:num>
  <w:num w:numId="71" w16cid:durableId="1205170301">
    <w:abstractNumId w:val="57"/>
  </w:num>
  <w:num w:numId="72" w16cid:durableId="729309967">
    <w:abstractNumId w:val="95"/>
  </w:num>
  <w:num w:numId="73" w16cid:durableId="908156185">
    <w:abstractNumId w:val="49"/>
  </w:num>
  <w:num w:numId="74" w16cid:durableId="848521579">
    <w:abstractNumId w:val="46"/>
  </w:num>
  <w:num w:numId="75" w16cid:durableId="1810129847">
    <w:abstractNumId w:val="122"/>
  </w:num>
  <w:num w:numId="76" w16cid:durableId="1334065466">
    <w:abstractNumId w:val="93"/>
  </w:num>
  <w:num w:numId="77" w16cid:durableId="2132438532">
    <w:abstractNumId w:val="119"/>
  </w:num>
  <w:num w:numId="78" w16cid:durableId="241649443">
    <w:abstractNumId w:val="68"/>
  </w:num>
  <w:num w:numId="79" w16cid:durableId="1793590361">
    <w:abstractNumId w:val="161"/>
  </w:num>
  <w:num w:numId="80" w16cid:durableId="44332643">
    <w:abstractNumId w:val="32"/>
  </w:num>
  <w:num w:numId="81" w16cid:durableId="345446766">
    <w:abstractNumId w:val="131"/>
  </w:num>
  <w:num w:numId="82" w16cid:durableId="656227355">
    <w:abstractNumId w:val="174"/>
  </w:num>
  <w:num w:numId="83" w16cid:durableId="1735273079">
    <w:abstractNumId w:val="181"/>
  </w:num>
  <w:num w:numId="84" w16cid:durableId="376321816">
    <w:abstractNumId w:val="16"/>
  </w:num>
  <w:num w:numId="85" w16cid:durableId="1859732874">
    <w:abstractNumId w:val="45"/>
  </w:num>
  <w:num w:numId="86" w16cid:durableId="40591867">
    <w:abstractNumId w:val="50"/>
  </w:num>
  <w:num w:numId="87" w16cid:durableId="798452543">
    <w:abstractNumId w:val="115"/>
  </w:num>
  <w:num w:numId="88" w16cid:durableId="2143109774">
    <w:abstractNumId w:val="175"/>
  </w:num>
  <w:num w:numId="89" w16cid:durableId="309796602">
    <w:abstractNumId w:val="56"/>
  </w:num>
  <w:num w:numId="90" w16cid:durableId="1621916066">
    <w:abstractNumId w:val="98"/>
  </w:num>
  <w:num w:numId="91" w16cid:durableId="1097215893">
    <w:abstractNumId w:val="36"/>
  </w:num>
  <w:num w:numId="92" w16cid:durableId="112603133">
    <w:abstractNumId w:val="132"/>
  </w:num>
  <w:num w:numId="93" w16cid:durableId="745494092">
    <w:abstractNumId w:val="164"/>
  </w:num>
  <w:num w:numId="94" w16cid:durableId="404958230">
    <w:abstractNumId w:val="123"/>
  </w:num>
  <w:num w:numId="95" w16cid:durableId="1902985014">
    <w:abstractNumId w:val="35"/>
  </w:num>
  <w:num w:numId="96" w16cid:durableId="364795040">
    <w:abstractNumId w:val="39"/>
  </w:num>
  <w:num w:numId="97" w16cid:durableId="1126238685">
    <w:abstractNumId w:val="37"/>
  </w:num>
  <w:num w:numId="98" w16cid:durableId="597180309">
    <w:abstractNumId w:val="40"/>
  </w:num>
  <w:num w:numId="99" w16cid:durableId="97333779">
    <w:abstractNumId w:val="139"/>
  </w:num>
  <w:num w:numId="100" w16cid:durableId="1258173197">
    <w:abstractNumId w:val="146"/>
  </w:num>
  <w:num w:numId="101" w16cid:durableId="687101662">
    <w:abstractNumId w:val="129"/>
  </w:num>
  <w:num w:numId="102" w16cid:durableId="1488279802">
    <w:abstractNumId w:val="26"/>
  </w:num>
  <w:num w:numId="103" w16cid:durableId="654770825">
    <w:abstractNumId w:val="11"/>
  </w:num>
  <w:num w:numId="104" w16cid:durableId="1638876800">
    <w:abstractNumId w:val="145"/>
  </w:num>
  <w:num w:numId="105" w16cid:durableId="1330794216">
    <w:abstractNumId w:val="177"/>
  </w:num>
  <w:num w:numId="106" w16cid:durableId="1588998936">
    <w:abstractNumId w:val="105"/>
  </w:num>
  <w:num w:numId="107" w16cid:durableId="1335498264">
    <w:abstractNumId w:val="147"/>
  </w:num>
  <w:num w:numId="108" w16cid:durableId="1260258309">
    <w:abstractNumId w:val="114"/>
  </w:num>
  <w:num w:numId="109" w16cid:durableId="1687704928">
    <w:abstractNumId w:val="89"/>
  </w:num>
  <w:num w:numId="110" w16cid:durableId="2141073448">
    <w:abstractNumId w:val="113"/>
  </w:num>
  <w:num w:numId="111" w16cid:durableId="831216282">
    <w:abstractNumId w:val="81"/>
  </w:num>
  <w:num w:numId="112" w16cid:durableId="334773840">
    <w:abstractNumId w:val="71"/>
  </w:num>
  <w:num w:numId="113" w16cid:durableId="1014461242">
    <w:abstractNumId w:val="158"/>
  </w:num>
  <w:num w:numId="114" w16cid:durableId="1387218446">
    <w:abstractNumId w:val="140"/>
  </w:num>
  <w:num w:numId="115" w16cid:durableId="1018892845">
    <w:abstractNumId w:val="47"/>
  </w:num>
  <w:num w:numId="116" w16cid:durableId="2142769074">
    <w:abstractNumId w:val="168"/>
  </w:num>
  <w:num w:numId="117" w16cid:durableId="1272280575">
    <w:abstractNumId w:val="17"/>
  </w:num>
  <w:num w:numId="118" w16cid:durableId="440802408">
    <w:abstractNumId w:val="169"/>
  </w:num>
  <w:num w:numId="119" w16cid:durableId="2018463278">
    <w:abstractNumId w:val="10"/>
  </w:num>
  <w:num w:numId="120" w16cid:durableId="261842451">
    <w:abstractNumId w:val="38"/>
  </w:num>
  <w:num w:numId="121" w16cid:durableId="668101115">
    <w:abstractNumId w:val="92"/>
  </w:num>
  <w:num w:numId="122" w16cid:durableId="2111663394">
    <w:abstractNumId w:val="150"/>
  </w:num>
  <w:num w:numId="123" w16cid:durableId="266158882">
    <w:abstractNumId w:val="44"/>
  </w:num>
  <w:num w:numId="124" w16cid:durableId="913510538">
    <w:abstractNumId w:val="99"/>
  </w:num>
  <w:num w:numId="125" w16cid:durableId="852304860">
    <w:abstractNumId w:val="70"/>
  </w:num>
  <w:num w:numId="126" w16cid:durableId="2004116543">
    <w:abstractNumId w:val="54"/>
  </w:num>
  <w:num w:numId="127" w16cid:durableId="100685683">
    <w:abstractNumId w:val="13"/>
  </w:num>
  <w:num w:numId="128" w16cid:durableId="1487824056">
    <w:abstractNumId w:val="28"/>
  </w:num>
  <w:num w:numId="129" w16cid:durableId="1039547669">
    <w:abstractNumId w:val="18"/>
  </w:num>
  <w:num w:numId="130" w16cid:durableId="341902046">
    <w:abstractNumId w:val="85"/>
  </w:num>
  <w:num w:numId="131" w16cid:durableId="873424137">
    <w:abstractNumId w:val="107"/>
  </w:num>
  <w:num w:numId="132" w16cid:durableId="1744335785">
    <w:abstractNumId w:val="86"/>
  </w:num>
  <w:num w:numId="133" w16cid:durableId="2114931552">
    <w:abstractNumId w:val="66"/>
  </w:num>
  <w:num w:numId="134" w16cid:durableId="1766806477">
    <w:abstractNumId w:val="165"/>
  </w:num>
  <w:num w:numId="135" w16cid:durableId="620692047">
    <w:abstractNumId w:val="117"/>
  </w:num>
  <w:num w:numId="136" w16cid:durableId="945117276">
    <w:abstractNumId w:val="67"/>
  </w:num>
  <w:num w:numId="137" w16cid:durableId="2106726005">
    <w:abstractNumId w:val="183"/>
  </w:num>
  <w:num w:numId="138" w16cid:durableId="1147550532">
    <w:abstractNumId w:val="167"/>
  </w:num>
  <w:num w:numId="139" w16cid:durableId="1405758212">
    <w:abstractNumId w:val="142"/>
  </w:num>
  <w:num w:numId="140" w16cid:durableId="1631351735">
    <w:abstractNumId w:val="152"/>
  </w:num>
  <w:num w:numId="141" w16cid:durableId="68120536">
    <w:abstractNumId w:val="120"/>
  </w:num>
  <w:num w:numId="142" w16cid:durableId="133252910">
    <w:abstractNumId w:val="110"/>
  </w:num>
  <w:num w:numId="143" w16cid:durableId="63181479">
    <w:abstractNumId w:val="90"/>
  </w:num>
  <w:num w:numId="144" w16cid:durableId="1200167946">
    <w:abstractNumId w:val="23"/>
  </w:num>
  <w:num w:numId="145" w16cid:durableId="1890992368">
    <w:abstractNumId w:val="179"/>
  </w:num>
  <w:num w:numId="146" w16cid:durableId="1769041237">
    <w:abstractNumId w:val="41"/>
  </w:num>
  <w:num w:numId="147" w16cid:durableId="487719805">
    <w:abstractNumId w:val="12"/>
  </w:num>
  <w:num w:numId="148" w16cid:durableId="2059086251">
    <w:abstractNumId w:val="103"/>
  </w:num>
  <w:num w:numId="149" w16cid:durableId="907499578">
    <w:abstractNumId w:val="112"/>
  </w:num>
  <w:num w:numId="150" w16cid:durableId="1970816402">
    <w:abstractNumId w:val="84"/>
  </w:num>
  <w:num w:numId="151" w16cid:durableId="893854335">
    <w:abstractNumId w:val="143"/>
  </w:num>
  <w:num w:numId="152" w16cid:durableId="283581933">
    <w:abstractNumId w:val="102"/>
  </w:num>
  <w:num w:numId="153" w16cid:durableId="1202283478">
    <w:abstractNumId w:val="148"/>
  </w:num>
  <w:num w:numId="154" w16cid:durableId="1309282496">
    <w:abstractNumId w:val="159"/>
  </w:num>
  <w:num w:numId="155" w16cid:durableId="999426579">
    <w:abstractNumId w:val="111"/>
  </w:num>
  <w:num w:numId="156" w16cid:durableId="464664741">
    <w:abstractNumId w:val="154"/>
  </w:num>
  <w:num w:numId="157" w16cid:durableId="1477574966">
    <w:abstractNumId w:val="156"/>
  </w:num>
  <w:num w:numId="158" w16cid:durableId="683753172">
    <w:abstractNumId w:val="29"/>
  </w:num>
  <w:num w:numId="159" w16cid:durableId="128910111">
    <w:abstractNumId w:val="133"/>
  </w:num>
  <w:num w:numId="160" w16cid:durableId="2052223497">
    <w:abstractNumId w:val="74"/>
  </w:num>
  <w:num w:numId="161" w16cid:durableId="290526150">
    <w:abstractNumId w:val="170"/>
  </w:num>
  <w:num w:numId="162" w16cid:durableId="1966737011">
    <w:abstractNumId w:val="15"/>
    <w:lvlOverride w:ilvl="0">
      <w:startOverride w:val="1"/>
    </w:lvlOverride>
  </w:num>
  <w:num w:numId="163" w16cid:durableId="2144079918">
    <w:abstractNumId w:val="162"/>
  </w:num>
  <w:num w:numId="164" w16cid:durableId="1705015229">
    <w:abstractNumId w:val="97"/>
  </w:num>
  <w:num w:numId="165" w16cid:durableId="1639997608">
    <w:abstractNumId w:val="27"/>
  </w:num>
  <w:num w:numId="166" w16cid:durableId="1233353015">
    <w:abstractNumId w:val="126"/>
  </w:num>
  <w:num w:numId="167" w16cid:durableId="75178322">
    <w:abstractNumId w:val="42"/>
  </w:num>
  <w:num w:numId="168" w16cid:durableId="1955936180">
    <w:abstractNumId w:val="130"/>
  </w:num>
  <w:num w:numId="169" w16cid:durableId="1075709131">
    <w:abstractNumId w:val="171"/>
  </w:num>
  <w:num w:numId="170" w16cid:durableId="110706649">
    <w:abstractNumId w:val="62"/>
  </w:num>
  <w:num w:numId="171" w16cid:durableId="670258345">
    <w:abstractNumId w:val="125"/>
  </w:num>
  <w:num w:numId="172" w16cid:durableId="260837486">
    <w:abstractNumId w:val="21"/>
  </w:num>
  <w:num w:numId="173" w16cid:durableId="294718862">
    <w:abstractNumId w:val="61"/>
  </w:num>
  <w:num w:numId="174" w16cid:durableId="709955227">
    <w:abstractNumId w:val="104"/>
  </w:num>
  <w:num w:numId="175" w16cid:durableId="95709781">
    <w:abstractNumId w:val="25"/>
  </w:num>
  <w:num w:numId="176" w16cid:durableId="1202747146">
    <w:abstractNumId w:val="121"/>
  </w:num>
  <w:num w:numId="177" w16cid:durableId="1208176253">
    <w:abstractNumId w:val="134"/>
  </w:num>
  <w:num w:numId="178" w16cid:durableId="1416708096">
    <w:abstractNumId w:val="173"/>
  </w:num>
  <w:num w:numId="179" w16cid:durableId="915362264">
    <w:abstractNumId w:val="52"/>
  </w:num>
  <w:num w:numId="180" w16cid:durableId="1077358770">
    <w:abstractNumId w:val="101"/>
  </w:num>
  <w:num w:numId="181" w16cid:durableId="1957985249">
    <w:abstractNumId w:val="106"/>
  </w:num>
  <w:num w:numId="182" w16cid:durableId="1072318407">
    <w:abstractNumId w:val="163"/>
  </w:num>
  <w:num w:numId="183" w16cid:durableId="1244493396">
    <w:abstractNumId w:val="116"/>
  </w:num>
  <w:num w:numId="184" w16cid:durableId="92095498">
    <w:abstractNumId w:val="160"/>
  </w:num>
  <w:num w:numId="185" w16cid:durableId="1175727939">
    <w:abstractNumId w:val="100"/>
  </w:num>
  <w:num w:numId="186" w16cid:durableId="50420429">
    <w:abstractNumId w:val="60"/>
  </w:num>
  <w:numIdMacAtCleanup w:val="1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attachedTemplate r:id="rId1"/>
  <w:defaultTabStop w:val="1304"/>
  <w:hyphenationZone w:val="425"/>
  <w:characterSpacingControl w:val="doNotCompress"/>
  <w:hdrShapeDefaults>
    <o:shapedefaults v:ext="edit" spidmax="2050">
      <o:colormru v:ext="edit" colors="white,#0cf"/>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1FE2"/>
    <w:rsid w:val="00000083"/>
    <w:rsid w:val="0000026A"/>
    <w:rsid w:val="000002AF"/>
    <w:rsid w:val="00000B68"/>
    <w:rsid w:val="00000B88"/>
    <w:rsid w:val="00000E62"/>
    <w:rsid w:val="00000F8E"/>
    <w:rsid w:val="00001305"/>
    <w:rsid w:val="00001394"/>
    <w:rsid w:val="00001A32"/>
    <w:rsid w:val="00001C47"/>
    <w:rsid w:val="00001E27"/>
    <w:rsid w:val="000024C8"/>
    <w:rsid w:val="00002527"/>
    <w:rsid w:val="000028B4"/>
    <w:rsid w:val="00002967"/>
    <w:rsid w:val="00002BDE"/>
    <w:rsid w:val="00003338"/>
    <w:rsid w:val="0000333E"/>
    <w:rsid w:val="000034CC"/>
    <w:rsid w:val="00003890"/>
    <w:rsid w:val="00003CD7"/>
    <w:rsid w:val="000043CF"/>
    <w:rsid w:val="000044AA"/>
    <w:rsid w:val="00004865"/>
    <w:rsid w:val="000052AC"/>
    <w:rsid w:val="00005318"/>
    <w:rsid w:val="000053AA"/>
    <w:rsid w:val="00006505"/>
    <w:rsid w:val="00006719"/>
    <w:rsid w:val="0000694B"/>
    <w:rsid w:val="000070A2"/>
    <w:rsid w:val="00007473"/>
    <w:rsid w:val="000074A1"/>
    <w:rsid w:val="0000790F"/>
    <w:rsid w:val="00007C45"/>
    <w:rsid w:val="0001013B"/>
    <w:rsid w:val="000101EC"/>
    <w:rsid w:val="000106E1"/>
    <w:rsid w:val="00010B7B"/>
    <w:rsid w:val="00010E03"/>
    <w:rsid w:val="00011BD1"/>
    <w:rsid w:val="00011D03"/>
    <w:rsid w:val="00011DD2"/>
    <w:rsid w:val="00011EFC"/>
    <w:rsid w:val="000128CE"/>
    <w:rsid w:val="000128EE"/>
    <w:rsid w:val="00012A61"/>
    <w:rsid w:val="00012A82"/>
    <w:rsid w:val="0001306E"/>
    <w:rsid w:val="000131F7"/>
    <w:rsid w:val="00013264"/>
    <w:rsid w:val="000133DD"/>
    <w:rsid w:val="0001352C"/>
    <w:rsid w:val="000139DD"/>
    <w:rsid w:val="00013E22"/>
    <w:rsid w:val="000141F9"/>
    <w:rsid w:val="00014629"/>
    <w:rsid w:val="00014D94"/>
    <w:rsid w:val="00014F4A"/>
    <w:rsid w:val="00014FD3"/>
    <w:rsid w:val="00015095"/>
    <w:rsid w:val="000151AF"/>
    <w:rsid w:val="00015438"/>
    <w:rsid w:val="00015499"/>
    <w:rsid w:val="00015BFD"/>
    <w:rsid w:val="00016173"/>
    <w:rsid w:val="000162D0"/>
    <w:rsid w:val="000167CE"/>
    <w:rsid w:val="00016B11"/>
    <w:rsid w:val="00016F65"/>
    <w:rsid w:val="00017184"/>
    <w:rsid w:val="00017B7D"/>
    <w:rsid w:val="00017BC5"/>
    <w:rsid w:val="00017D63"/>
    <w:rsid w:val="0002023B"/>
    <w:rsid w:val="00020818"/>
    <w:rsid w:val="000210C7"/>
    <w:rsid w:val="000210F6"/>
    <w:rsid w:val="0002142B"/>
    <w:rsid w:val="00021479"/>
    <w:rsid w:val="0002156B"/>
    <w:rsid w:val="00021A3B"/>
    <w:rsid w:val="00022441"/>
    <w:rsid w:val="0002250F"/>
    <w:rsid w:val="00022C88"/>
    <w:rsid w:val="00023CAB"/>
    <w:rsid w:val="00023D68"/>
    <w:rsid w:val="000240B8"/>
    <w:rsid w:val="0002428A"/>
    <w:rsid w:val="00024384"/>
    <w:rsid w:val="00024784"/>
    <w:rsid w:val="00024A03"/>
    <w:rsid w:val="00024B5D"/>
    <w:rsid w:val="00024E85"/>
    <w:rsid w:val="00024F05"/>
    <w:rsid w:val="00024FA5"/>
    <w:rsid w:val="0002552B"/>
    <w:rsid w:val="00025620"/>
    <w:rsid w:val="00025683"/>
    <w:rsid w:val="000258E8"/>
    <w:rsid w:val="00025EFA"/>
    <w:rsid w:val="000264DF"/>
    <w:rsid w:val="00026700"/>
    <w:rsid w:val="00026732"/>
    <w:rsid w:val="00026FF9"/>
    <w:rsid w:val="00027256"/>
    <w:rsid w:val="000275D6"/>
    <w:rsid w:val="000277A1"/>
    <w:rsid w:val="00030034"/>
    <w:rsid w:val="00030372"/>
    <w:rsid w:val="000305CC"/>
    <w:rsid w:val="00030763"/>
    <w:rsid w:val="000308E3"/>
    <w:rsid w:val="00030B47"/>
    <w:rsid w:val="00030F4D"/>
    <w:rsid w:val="00030FC6"/>
    <w:rsid w:val="00030FE1"/>
    <w:rsid w:val="00030FFA"/>
    <w:rsid w:val="00031552"/>
    <w:rsid w:val="00031BB8"/>
    <w:rsid w:val="00031C67"/>
    <w:rsid w:val="00031F33"/>
    <w:rsid w:val="00032A18"/>
    <w:rsid w:val="00032E5F"/>
    <w:rsid w:val="000331C5"/>
    <w:rsid w:val="00033889"/>
    <w:rsid w:val="000339A1"/>
    <w:rsid w:val="000339F9"/>
    <w:rsid w:val="00033A18"/>
    <w:rsid w:val="00033B59"/>
    <w:rsid w:val="00033BA9"/>
    <w:rsid w:val="00033D4D"/>
    <w:rsid w:val="00033E70"/>
    <w:rsid w:val="000345AB"/>
    <w:rsid w:val="00034874"/>
    <w:rsid w:val="00034CB3"/>
    <w:rsid w:val="00034F6A"/>
    <w:rsid w:val="00034F9A"/>
    <w:rsid w:val="00035360"/>
    <w:rsid w:val="0003582D"/>
    <w:rsid w:val="000359A3"/>
    <w:rsid w:val="00035D1E"/>
    <w:rsid w:val="00035F3C"/>
    <w:rsid w:val="000361C4"/>
    <w:rsid w:val="00036654"/>
    <w:rsid w:val="0003678B"/>
    <w:rsid w:val="00036867"/>
    <w:rsid w:val="0003686F"/>
    <w:rsid w:val="00036958"/>
    <w:rsid w:val="000369B1"/>
    <w:rsid w:val="00036A8B"/>
    <w:rsid w:val="00036B80"/>
    <w:rsid w:val="00036ED2"/>
    <w:rsid w:val="00036F2C"/>
    <w:rsid w:val="00037027"/>
    <w:rsid w:val="00037784"/>
    <w:rsid w:val="000379B8"/>
    <w:rsid w:val="0004068C"/>
    <w:rsid w:val="000408F8"/>
    <w:rsid w:val="0004098C"/>
    <w:rsid w:val="00041520"/>
    <w:rsid w:val="00041D5D"/>
    <w:rsid w:val="00041FD0"/>
    <w:rsid w:val="000426F8"/>
    <w:rsid w:val="00042D83"/>
    <w:rsid w:val="000430B1"/>
    <w:rsid w:val="00043E42"/>
    <w:rsid w:val="00044272"/>
    <w:rsid w:val="0004451B"/>
    <w:rsid w:val="0004469C"/>
    <w:rsid w:val="00044848"/>
    <w:rsid w:val="00044B14"/>
    <w:rsid w:val="00044FE7"/>
    <w:rsid w:val="00045034"/>
    <w:rsid w:val="00045108"/>
    <w:rsid w:val="00045344"/>
    <w:rsid w:val="00045B17"/>
    <w:rsid w:val="00045C43"/>
    <w:rsid w:val="00045DD0"/>
    <w:rsid w:val="00045F6C"/>
    <w:rsid w:val="000466A8"/>
    <w:rsid w:val="00046707"/>
    <w:rsid w:val="00046C7B"/>
    <w:rsid w:val="00046CA6"/>
    <w:rsid w:val="00046D22"/>
    <w:rsid w:val="000470CE"/>
    <w:rsid w:val="00047E05"/>
    <w:rsid w:val="00047F75"/>
    <w:rsid w:val="00050266"/>
    <w:rsid w:val="00050588"/>
    <w:rsid w:val="00051126"/>
    <w:rsid w:val="000512CE"/>
    <w:rsid w:val="00051B15"/>
    <w:rsid w:val="00051C9D"/>
    <w:rsid w:val="0005232B"/>
    <w:rsid w:val="000528BA"/>
    <w:rsid w:val="00052C4F"/>
    <w:rsid w:val="00052D87"/>
    <w:rsid w:val="00053160"/>
    <w:rsid w:val="00053179"/>
    <w:rsid w:val="00053AFD"/>
    <w:rsid w:val="00053E7C"/>
    <w:rsid w:val="00053F0B"/>
    <w:rsid w:val="000541B6"/>
    <w:rsid w:val="00054713"/>
    <w:rsid w:val="00054820"/>
    <w:rsid w:val="000548F1"/>
    <w:rsid w:val="00054AFD"/>
    <w:rsid w:val="00054F6C"/>
    <w:rsid w:val="000551D5"/>
    <w:rsid w:val="00055523"/>
    <w:rsid w:val="00055AA5"/>
    <w:rsid w:val="0005622D"/>
    <w:rsid w:val="000563DB"/>
    <w:rsid w:val="000566BB"/>
    <w:rsid w:val="000567EE"/>
    <w:rsid w:val="00056818"/>
    <w:rsid w:val="00056A9D"/>
    <w:rsid w:val="00057825"/>
    <w:rsid w:val="00057E85"/>
    <w:rsid w:val="00057EA4"/>
    <w:rsid w:val="000607E9"/>
    <w:rsid w:val="00060946"/>
    <w:rsid w:val="00061054"/>
    <w:rsid w:val="000619F8"/>
    <w:rsid w:val="00061E0B"/>
    <w:rsid w:val="00062047"/>
    <w:rsid w:val="000622D7"/>
    <w:rsid w:val="00062547"/>
    <w:rsid w:val="000626CC"/>
    <w:rsid w:val="0006292B"/>
    <w:rsid w:val="00062FB7"/>
    <w:rsid w:val="00062FEF"/>
    <w:rsid w:val="0006339A"/>
    <w:rsid w:val="00063554"/>
    <w:rsid w:val="00063845"/>
    <w:rsid w:val="0006386E"/>
    <w:rsid w:val="00063AB3"/>
    <w:rsid w:val="000641ED"/>
    <w:rsid w:val="0006428A"/>
    <w:rsid w:val="00064865"/>
    <w:rsid w:val="00064898"/>
    <w:rsid w:val="000648F2"/>
    <w:rsid w:val="00064981"/>
    <w:rsid w:val="00064C0A"/>
    <w:rsid w:val="00064EC8"/>
    <w:rsid w:val="0006515B"/>
    <w:rsid w:val="00065394"/>
    <w:rsid w:val="00065C23"/>
    <w:rsid w:val="00065C3C"/>
    <w:rsid w:val="0006600F"/>
    <w:rsid w:val="0006644E"/>
    <w:rsid w:val="00066591"/>
    <w:rsid w:val="0006671E"/>
    <w:rsid w:val="00066787"/>
    <w:rsid w:val="00066BB1"/>
    <w:rsid w:val="00066FF3"/>
    <w:rsid w:val="00067217"/>
    <w:rsid w:val="00067AF3"/>
    <w:rsid w:val="000702F0"/>
    <w:rsid w:val="00070A32"/>
    <w:rsid w:val="00070E20"/>
    <w:rsid w:val="00070EDF"/>
    <w:rsid w:val="0007194F"/>
    <w:rsid w:val="00071A87"/>
    <w:rsid w:val="00071A9E"/>
    <w:rsid w:val="00071CC7"/>
    <w:rsid w:val="00071E5C"/>
    <w:rsid w:val="000725E6"/>
    <w:rsid w:val="0007318F"/>
    <w:rsid w:val="00073885"/>
    <w:rsid w:val="000738E3"/>
    <w:rsid w:val="00073CC2"/>
    <w:rsid w:val="00073EF9"/>
    <w:rsid w:val="000740C9"/>
    <w:rsid w:val="00074725"/>
    <w:rsid w:val="00074B68"/>
    <w:rsid w:val="00074C20"/>
    <w:rsid w:val="00074D19"/>
    <w:rsid w:val="00074E17"/>
    <w:rsid w:val="0007526B"/>
    <w:rsid w:val="000761CF"/>
    <w:rsid w:val="00076650"/>
    <w:rsid w:val="00076A6F"/>
    <w:rsid w:val="00076D04"/>
    <w:rsid w:val="000775ED"/>
    <w:rsid w:val="000778A1"/>
    <w:rsid w:val="00077E43"/>
    <w:rsid w:val="00080306"/>
    <w:rsid w:val="00080655"/>
    <w:rsid w:val="00080A4F"/>
    <w:rsid w:val="00080DA7"/>
    <w:rsid w:val="00080E0D"/>
    <w:rsid w:val="000818F9"/>
    <w:rsid w:val="00081991"/>
    <w:rsid w:val="000819B4"/>
    <w:rsid w:val="00081C47"/>
    <w:rsid w:val="00081DE3"/>
    <w:rsid w:val="00082456"/>
    <w:rsid w:val="000827D5"/>
    <w:rsid w:val="00082873"/>
    <w:rsid w:val="00082F1C"/>
    <w:rsid w:val="00082F7E"/>
    <w:rsid w:val="00082F92"/>
    <w:rsid w:val="0008322D"/>
    <w:rsid w:val="00083396"/>
    <w:rsid w:val="000833D8"/>
    <w:rsid w:val="0008345A"/>
    <w:rsid w:val="00083594"/>
    <w:rsid w:val="00083870"/>
    <w:rsid w:val="00083DAD"/>
    <w:rsid w:val="000847E1"/>
    <w:rsid w:val="00084D28"/>
    <w:rsid w:val="00084D9A"/>
    <w:rsid w:val="0008502C"/>
    <w:rsid w:val="000851B7"/>
    <w:rsid w:val="0008523F"/>
    <w:rsid w:val="00086009"/>
    <w:rsid w:val="000862D8"/>
    <w:rsid w:val="00086334"/>
    <w:rsid w:val="0008688B"/>
    <w:rsid w:val="00086D1C"/>
    <w:rsid w:val="00086EEC"/>
    <w:rsid w:val="00086F64"/>
    <w:rsid w:val="00086F6B"/>
    <w:rsid w:val="000870AC"/>
    <w:rsid w:val="00087142"/>
    <w:rsid w:val="00087172"/>
    <w:rsid w:val="000873D3"/>
    <w:rsid w:val="00090027"/>
    <w:rsid w:val="000900CB"/>
    <w:rsid w:val="000902FA"/>
    <w:rsid w:val="0009042E"/>
    <w:rsid w:val="00090843"/>
    <w:rsid w:val="00091115"/>
    <w:rsid w:val="0009128C"/>
    <w:rsid w:val="0009136C"/>
    <w:rsid w:val="000914C3"/>
    <w:rsid w:val="000915AB"/>
    <w:rsid w:val="000915D9"/>
    <w:rsid w:val="00091946"/>
    <w:rsid w:val="0009194F"/>
    <w:rsid w:val="00091DE1"/>
    <w:rsid w:val="00091E26"/>
    <w:rsid w:val="00092552"/>
    <w:rsid w:val="00092907"/>
    <w:rsid w:val="00093034"/>
    <w:rsid w:val="0009303F"/>
    <w:rsid w:val="00093604"/>
    <w:rsid w:val="00093738"/>
    <w:rsid w:val="00093946"/>
    <w:rsid w:val="00093EA7"/>
    <w:rsid w:val="000942A5"/>
    <w:rsid w:val="000944D6"/>
    <w:rsid w:val="00094ABD"/>
    <w:rsid w:val="00094BD2"/>
    <w:rsid w:val="00094FD5"/>
    <w:rsid w:val="0009500D"/>
    <w:rsid w:val="000953BE"/>
    <w:rsid w:val="00095B9B"/>
    <w:rsid w:val="000960F8"/>
    <w:rsid w:val="0009632A"/>
    <w:rsid w:val="000963A4"/>
    <w:rsid w:val="00096477"/>
    <w:rsid w:val="0009662E"/>
    <w:rsid w:val="00096743"/>
    <w:rsid w:val="0009677E"/>
    <w:rsid w:val="00096C82"/>
    <w:rsid w:val="00096D9A"/>
    <w:rsid w:val="00096EF1"/>
    <w:rsid w:val="00097519"/>
    <w:rsid w:val="000976B7"/>
    <w:rsid w:val="000A0265"/>
    <w:rsid w:val="000A0346"/>
    <w:rsid w:val="000A062D"/>
    <w:rsid w:val="000A0816"/>
    <w:rsid w:val="000A0C24"/>
    <w:rsid w:val="000A0DA2"/>
    <w:rsid w:val="000A0E2A"/>
    <w:rsid w:val="000A0E91"/>
    <w:rsid w:val="000A0EB3"/>
    <w:rsid w:val="000A0F6E"/>
    <w:rsid w:val="000A11A8"/>
    <w:rsid w:val="000A1280"/>
    <w:rsid w:val="000A15B0"/>
    <w:rsid w:val="000A1894"/>
    <w:rsid w:val="000A1C4D"/>
    <w:rsid w:val="000A2257"/>
    <w:rsid w:val="000A2939"/>
    <w:rsid w:val="000A2948"/>
    <w:rsid w:val="000A2B9D"/>
    <w:rsid w:val="000A31B1"/>
    <w:rsid w:val="000A3469"/>
    <w:rsid w:val="000A373F"/>
    <w:rsid w:val="000A38D6"/>
    <w:rsid w:val="000A3940"/>
    <w:rsid w:val="000A3FE1"/>
    <w:rsid w:val="000A3FF5"/>
    <w:rsid w:val="000A4734"/>
    <w:rsid w:val="000A4BE3"/>
    <w:rsid w:val="000A4D04"/>
    <w:rsid w:val="000A5521"/>
    <w:rsid w:val="000A5E79"/>
    <w:rsid w:val="000A5F10"/>
    <w:rsid w:val="000A60D5"/>
    <w:rsid w:val="000A6CD1"/>
    <w:rsid w:val="000A7904"/>
    <w:rsid w:val="000A7C1C"/>
    <w:rsid w:val="000A7D0C"/>
    <w:rsid w:val="000B0255"/>
    <w:rsid w:val="000B10D1"/>
    <w:rsid w:val="000B17C3"/>
    <w:rsid w:val="000B1B5F"/>
    <w:rsid w:val="000B2137"/>
    <w:rsid w:val="000B26F7"/>
    <w:rsid w:val="000B2A59"/>
    <w:rsid w:val="000B2CCF"/>
    <w:rsid w:val="000B2CD8"/>
    <w:rsid w:val="000B2F3E"/>
    <w:rsid w:val="000B32EF"/>
    <w:rsid w:val="000B3505"/>
    <w:rsid w:val="000B35B4"/>
    <w:rsid w:val="000B3ADE"/>
    <w:rsid w:val="000B424B"/>
    <w:rsid w:val="000B4383"/>
    <w:rsid w:val="000B4BF6"/>
    <w:rsid w:val="000B4E56"/>
    <w:rsid w:val="000B4F3E"/>
    <w:rsid w:val="000B529E"/>
    <w:rsid w:val="000B55AA"/>
    <w:rsid w:val="000B5773"/>
    <w:rsid w:val="000B59DA"/>
    <w:rsid w:val="000B5D58"/>
    <w:rsid w:val="000B5FD2"/>
    <w:rsid w:val="000B603E"/>
    <w:rsid w:val="000B61AD"/>
    <w:rsid w:val="000B650D"/>
    <w:rsid w:val="000B66E0"/>
    <w:rsid w:val="000B670C"/>
    <w:rsid w:val="000B671E"/>
    <w:rsid w:val="000B6C8B"/>
    <w:rsid w:val="000B72BF"/>
    <w:rsid w:val="000B745A"/>
    <w:rsid w:val="000B7948"/>
    <w:rsid w:val="000B7AC4"/>
    <w:rsid w:val="000B7C57"/>
    <w:rsid w:val="000B7D49"/>
    <w:rsid w:val="000C0267"/>
    <w:rsid w:val="000C05A4"/>
    <w:rsid w:val="000C10AE"/>
    <w:rsid w:val="000C12BB"/>
    <w:rsid w:val="000C1329"/>
    <w:rsid w:val="000C16CF"/>
    <w:rsid w:val="000C1D02"/>
    <w:rsid w:val="000C1E60"/>
    <w:rsid w:val="000C23B2"/>
    <w:rsid w:val="000C27B9"/>
    <w:rsid w:val="000C2A48"/>
    <w:rsid w:val="000C3054"/>
    <w:rsid w:val="000C34D6"/>
    <w:rsid w:val="000C3A4B"/>
    <w:rsid w:val="000C3D7B"/>
    <w:rsid w:val="000C44BB"/>
    <w:rsid w:val="000C4731"/>
    <w:rsid w:val="000C47E0"/>
    <w:rsid w:val="000C4935"/>
    <w:rsid w:val="000C4AF5"/>
    <w:rsid w:val="000C583C"/>
    <w:rsid w:val="000C677F"/>
    <w:rsid w:val="000C6BD9"/>
    <w:rsid w:val="000C7524"/>
    <w:rsid w:val="000C7637"/>
    <w:rsid w:val="000C78A0"/>
    <w:rsid w:val="000C7C30"/>
    <w:rsid w:val="000C7C7A"/>
    <w:rsid w:val="000C7D9A"/>
    <w:rsid w:val="000C7ED0"/>
    <w:rsid w:val="000C7F18"/>
    <w:rsid w:val="000D00EF"/>
    <w:rsid w:val="000D024D"/>
    <w:rsid w:val="000D0A4D"/>
    <w:rsid w:val="000D0AD1"/>
    <w:rsid w:val="000D0E73"/>
    <w:rsid w:val="000D1086"/>
    <w:rsid w:val="000D11C8"/>
    <w:rsid w:val="000D13A3"/>
    <w:rsid w:val="000D1555"/>
    <w:rsid w:val="000D16E0"/>
    <w:rsid w:val="000D1B51"/>
    <w:rsid w:val="000D1C38"/>
    <w:rsid w:val="000D1DE9"/>
    <w:rsid w:val="000D253B"/>
    <w:rsid w:val="000D25FE"/>
    <w:rsid w:val="000D2BF6"/>
    <w:rsid w:val="000D2CC6"/>
    <w:rsid w:val="000D2D22"/>
    <w:rsid w:val="000D2F2D"/>
    <w:rsid w:val="000D303F"/>
    <w:rsid w:val="000D33EC"/>
    <w:rsid w:val="000D36E2"/>
    <w:rsid w:val="000D38BC"/>
    <w:rsid w:val="000D4144"/>
    <w:rsid w:val="000D472A"/>
    <w:rsid w:val="000D47E5"/>
    <w:rsid w:val="000D4BE6"/>
    <w:rsid w:val="000D4F4B"/>
    <w:rsid w:val="000D501C"/>
    <w:rsid w:val="000D5465"/>
    <w:rsid w:val="000D5608"/>
    <w:rsid w:val="000D57C1"/>
    <w:rsid w:val="000D5B21"/>
    <w:rsid w:val="000D5BB8"/>
    <w:rsid w:val="000D5F08"/>
    <w:rsid w:val="000D64E9"/>
    <w:rsid w:val="000D65C1"/>
    <w:rsid w:val="000D65EC"/>
    <w:rsid w:val="000D6D9E"/>
    <w:rsid w:val="000D7204"/>
    <w:rsid w:val="000D72BC"/>
    <w:rsid w:val="000D72C7"/>
    <w:rsid w:val="000D7581"/>
    <w:rsid w:val="000D76FF"/>
    <w:rsid w:val="000D77FE"/>
    <w:rsid w:val="000D79B4"/>
    <w:rsid w:val="000D7B5D"/>
    <w:rsid w:val="000D7ED0"/>
    <w:rsid w:val="000E0091"/>
    <w:rsid w:val="000E029E"/>
    <w:rsid w:val="000E03BC"/>
    <w:rsid w:val="000E0A22"/>
    <w:rsid w:val="000E0B8C"/>
    <w:rsid w:val="000E0E37"/>
    <w:rsid w:val="000E1190"/>
    <w:rsid w:val="000E13CD"/>
    <w:rsid w:val="000E148F"/>
    <w:rsid w:val="000E176C"/>
    <w:rsid w:val="000E1AE6"/>
    <w:rsid w:val="000E1AF6"/>
    <w:rsid w:val="000E1FB4"/>
    <w:rsid w:val="000E2034"/>
    <w:rsid w:val="000E21B1"/>
    <w:rsid w:val="000E2756"/>
    <w:rsid w:val="000E297F"/>
    <w:rsid w:val="000E2BB2"/>
    <w:rsid w:val="000E2BF6"/>
    <w:rsid w:val="000E2E5E"/>
    <w:rsid w:val="000E2EAF"/>
    <w:rsid w:val="000E310D"/>
    <w:rsid w:val="000E3140"/>
    <w:rsid w:val="000E3685"/>
    <w:rsid w:val="000E38DB"/>
    <w:rsid w:val="000E38E9"/>
    <w:rsid w:val="000E3ED1"/>
    <w:rsid w:val="000E4362"/>
    <w:rsid w:val="000E453E"/>
    <w:rsid w:val="000E4728"/>
    <w:rsid w:val="000E4817"/>
    <w:rsid w:val="000E486B"/>
    <w:rsid w:val="000E4B67"/>
    <w:rsid w:val="000E4CBB"/>
    <w:rsid w:val="000E50BC"/>
    <w:rsid w:val="000E5613"/>
    <w:rsid w:val="000E59BA"/>
    <w:rsid w:val="000E6273"/>
    <w:rsid w:val="000E65F0"/>
    <w:rsid w:val="000E6604"/>
    <w:rsid w:val="000E6788"/>
    <w:rsid w:val="000E67E0"/>
    <w:rsid w:val="000E67E7"/>
    <w:rsid w:val="000E6A6B"/>
    <w:rsid w:val="000E71A6"/>
    <w:rsid w:val="000E7DDB"/>
    <w:rsid w:val="000F012B"/>
    <w:rsid w:val="000F0873"/>
    <w:rsid w:val="000F08E5"/>
    <w:rsid w:val="000F1252"/>
    <w:rsid w:val="000F13A7"/>
    <w:rsid w:val="000F180A"/>
    <w:rsid w:val="000F18D1"/>
    <w:rsid w:val="000F1B17"/>
    <w:rsid w:val="000F1CEC"/>
    <w:rsid w:val="000F1E68"/>
    <w:rsid w:val="000F20B7"/>
    <w:rsid w:val="000F22CD"/>
    <w:rsid w:val="000F2641"/>
    <w:rsid w:val="000F2E00"/>
    <w:rsid w:val="000F2F73"/>
    <w:rsid w:val="000F3217"/>
    <w:rsid w:val="000F3309"/>
    <w:rsid w:val="000F35CA"/>
    <w:rsid w:val="000F38E3"/>
    <w:rsid w:val="000F3906"/>
    <w:rsid w:val="000F3EA4"/>
    <w:rsid w:val="000F413C"/>
    <w:rsid w:val="000F43B0"/>
    <w:rsid w:val="000F4849"/>
    <w:rsid w:val="000F4937"/>
    <w:rsid w:val="000F4B50"/>
    <w:rsid w:val="000F4E10"/>
    <w:rsid w:val="000F4E6C"/>
    <w:rsid w:val="000F5766"/>
    <w:rsid w:val="000F5B1C"/>
    <w:rsid w:val="000F5B41"/>
    <w:rsid w:val="000F6029"/>
    <w:rsid w:val="000F65D1"/>
    <w:rsid w:val="000F68C7"/>
    <w:rsid w:val="000F696C"/>
    <w:rsid w:val="000F6A42"/>
    <w:rsid w:val="000F6CA6"/>
    <w:rsid w:val="000F6DA8"/>
    <w:rsid w:val="000F70F5"/>
    <w:rsid w:val="000F7185"/>
    <w:rsid w:val="000F735D"/>
    <w:rsid w:val="000F79B5"/>
    <w:rsid w:val="000F7A55"/>
    <w:rsid w:val="000F7F46"/>
    <w:rsid w:val="001001E3"/>
    <w:rsid w:val="0010038F"/>
    <w:rsid w:val="001006DA"/>
    <w:rsid w:val="001006E1"/>
    <w:rsid w:val="001007A2"/>
    <w:rsid w:val="00100C23"/>
    <w:rsid w:val="00101082"/>
    <w:rsid w:val="00101295"/>
    <w:rsid w:val="00101524"/>
    <w:rsid w:val="00101B30"/>
    <w:rsid w:val="00101DA8"/>
    <w:rsid w:val="00101DC7"/>
    <w:rsid w:val="00101DEC"/>
    <w:rsid w:val="00102011"/>
    <w:rsid w:val="00102814"/>
    <w:rsid w:val="00102D30"/>
    <w:rsid w:val="00102F38"/>
    <w:rsid w:val="00103048"/>
    <w:rsid w:val="0010361D"/>
    <w:rsid w:val="00103A84"/>
    <w:rsid w:val="00103B4E"/>
    <w:rsid w:val="00103B58"/>
    <w:rsid w:val="00103DB4"/>
    <w:rsid w:val="00103E3F"/>
    <w:rsid w:val="00104435"/>
    <w:rsid w:val="0010458B"/>
    <w:rsid w:val="001045F8"/>
    <w:rsid w:val="00104785"/>
    <w:rsid w:val="0010488D"/>
    <w:rsid w:val="00104C0C"/>
    <w:rsid w:val="00105055"/>
    <w:rsid w:val="001051E9"/>
    <w:rsid w:val="00105CCD"/>
    <w:rsid w:val="00106B3D"/>
    <w:rsid w:val="00106CD7"/>
    <w:rsid w:val="00106DB7"/>
    <w:rsid w:val="0010725D"/>
    <w:rsid w:val="00107619"/>
    <w:rsid w:val="00107C80"/>
    <w:rsid w:val="00107E45"/>
    <w:rsid w:val="00107F6E"/>
    <w:rsid w:val="001101CE"/>
    <w:rsid w:val="00110792"/>
    <w:rsid w:val="00110855"/>
    <w:rsid w:val="00110B41"/>
    <w:rsid w:val="00110BFE"/>
    <w:rsid w:val="00110CF1"/>
    <w:rsid w:val="00111759"/>
    <w:rsid w:val="00111C91"/>
    <w:rsid w:val="001120DA"/>
    <w:rsid w:val="00112233"/>
    <w:rsid w:val="0011243A"/>
    <w:rsid w:val="00112474"/>
    <w:rsid w:val="001127E4"/>
    <w:rsid w:val="00112E93"/>
    <w:rsid w:val="00113376"/>
    <w:rsid w:val="00113960"/>
    <w:rsid w:val="00113AAB"/>
    <w:rsid w:val="00113D1E"/>
    <w:rsid w:val="001141C3"/>
    <w:rsid w:val="00114AE1"/>
    <w:rsid w:val="00114EE1"/>
    <w:rsid w:val="00114F51"/>
    <w:rsid w:val="00115050"/>
    <w:rsid w:val="001151F9"/>
    <w:rsid w:val="0011570C"/>
    <w:rsid w:val="00115C9C"/>
    <w:rsid w:val="00115EAC"/>
    <w:rsid w:val="00115FCD"/>
    <w:rsid w:val="00116533"/>
    <w:rsid w:val="00116D05"/>
    <w:rsid w:val="00116D5E"/>
    <w:rsid w:val="00117609"/>
    <w:rsid w:val="001178ED"/>
    <w:rsid w:val="00117CE6"/>
    <w:rsid w:val="00117D4F"/>
    <w:rsid w:val="00117ECC"/>
    <w:rsid w:val="00120207"/>
    <w:rsid w:val="00120214"/>
    <w:rsid w:val="00120253"/>
    <w:rsid w:val="001203D3"/>
    <w:rsid w:val="001207E0"/>
    <w:rsid w:val="00120A12"/>
    <w:rsid w:val="00120B2D"/>
    <w:rsid w:val="00120E1D"/>
    <w:rsid w:val="00120FD6"/>
    <w:rsid w:val="0012180E"/>
    <w:rsid w:val="001224CA"/>
    <w:rsid w:val="00122B2B"/>
    <w:rsid w:val="00122EE0"/>
    <w:rsid w:val="00122FC9"/>
    <w:rsid w:val="001231DF"/>
    <w:rsid w:val="00123385"/>
    <w:rsid w:val="0012342F"/>
    <w:rsid w:val="00123618"/>
    <w:rsid w:val="001237DB"/>
    <w:rsid w:val="00123AE2"/>
    <w:rsid w:val="00123AEF"/>
    <w:rsid w:val="00123B39"/>
    <w:rsid w:val="001240D7"/>
    <w:rsid w:val="001246CD"/>
    <w:rsid w:val="00124E63"/>
    <w:rsid w:val="00125090"/>
    <w:rsid w:val="0012534C"/>
    <w:rsid w:val="00125B64"/>
    <w:rsid w:val="00125C88"/>
    <w:rsid w:val="00125F99"/>
    <w:rsid w:val="0012610A"/>
    <w:rsid w:val="0012629C"/>
    <w:rsid w:val="0012656E"/>
    <w:rsid w:val="0012665E"/>
    <w:rsid w:val="001267E5"/>
    <w:rsid w:val="001269ED"/>
    <w:rsid w:val="00126B59"/>
    <w:rsid w:val="00127A73"/>
    <w:rsid w:val="00127ABF"/>
    <w:rsid w:val="00127B47"/>
    <w:rsid w:val="00127CDA"/>
    <w:rsid w:val="00127DFD"/>
    <w:rsid w:val="00127F5D"/>
    <w:rsid w:val="00130180"/>
    <w:rsid w:val="00130C77"/>
    <w:rsid w:val="0013147C"/>
    <w:rsid w:val="00131677"/>
    <w:rsid w:val="001319AF"/>
    <w:rsid w:val="00131DB6"/>
    <w:rsid w:val="0013244F"/>
    <w:rsid w:val="0013260C"/>
    <w:rsid w:val="001326CA"/>
    <w:rsid w:val="00132963"/>
    <w:rsid w:val="00132F60"/>
    <w:rsid w:val="00132F7D"/>
    <w:rsid w:val="001334AD"/>
    <w:rsid w:val="001335DC"/>
    <w:rsid w:val="0013369E"/>
    <w:rsid w:val="00133760"/>
    <w:rsid w:val="001337F0"/>
    <w:rsid w:val="00133A22"/>
    <w:rsid w:val="00133DC2"/>
    <w:rsid w:val="00133F14"/>
    <w:rsid w:val="00133F7D"/>
    <w:rsid w:val="00133FF0"/>
    <w:rsid w:val="001341CE"/>
    <w:rsid w:val="001344B2"/>
    <w:rsid w:val="00134526"/>
    <w:rsid w:val="00134EBE"/>
    <w:rsid w:val="00134F89"/>
    <w:rsid w:val="00135311"/>
    <w:rsid w:val="00136DF7"/>
    <w:rsid w:val="001370E0"/>
    <w:rsid w:val="00137292"/>
    <w:rsid w:val="001373EF"/>
    <w:rsid w:val="00137522"/>
    <w:rsid w:val="001376D7"/>
    <w:rsid w:val="00137898"/>
    <w:rsid w:val="00137AF2"/>
    <w:rsid w:val="00137E19"/>
    <w:rsid w:val="00140396"/>
    <w:rsid w:val="00140C7C"/>
    <w:rsid w:val="00141005"/>
    <w:rsid w:val="001410A9"/>
    <w:rsid w:val="00141579"/>
    <w:rsid w:val="00141FD7"/>
    <w:rsid w:val="00142110"/>
    <w:rsid w:val="00142597"/>
    <w:rsid w:val="00142A24"/>
    <w:rsid w:val="00142A31"/>
    <w:rsid w:val="00142A6C"/>
    <w:rsid w:val="00142A91"/>
    <w:rsid w:val="00142AB4"/>
    <w:rsid w:val="00142CB8"/>
    <w:rsid w:val="001433B5"/>
    <w:rsid w:val="0014351A"/>
    <w:rsid w:val="00143536"/>
    <w:rsid w:val="00143608"/>
    <w:rsid w:val="00143DB4"/>
    <w:rsid w:val="0014400A"/>
    <w:rsid w:val="00144362"/>
    <w:rsid w:val="00144453"/>
    <w:rsid w:val="00144697"/>
    <w:rsid w:val="00144813"/>
    <w:rsid w:val="00144990"/>
    <w:rsid w:val="00144A47"/>
    <w:rsid w:val="00144B9D"/>
    <w:rsid w:val="00144C1C"/>
    <w:rsid w:val="00144F8B"/>
    <w:rsid w:val="00144FF8"/>
    <w:rsid w:val="0014518B"/>
    <w:rsid w:val="0014580E"/>
    <w:rsid w:val="00145A6E"/>
    <w:rsid w:val="00145A7E"/>
    <w:rsid w:val="00145DFF"/>
    <w:rsid w:val="00145F2E"/>
    <w:rsid w:val="00146094"/>
    <w:rsid w:val="00146645"/>
    <w:rsid w:val="00146712"/>
    <w:rsid w:val="00146763"/>
    <w:rsid w:val="00146849"/>
    <w:rsid w:val="00146994"/>
    <w:rsid w:val="00146995"/>
    <w:rsid w:val="00146CA5"/>
    <w:rsid w:val="00146CB7"/>
    <w:rsid w:val="00146D35"/>
    <w:rsid w:val="00146F74"/>
    <w:rsid w:val="0014701A"/>
    <w:rsid w:val="001470FC"/>
    <w:rsid w:val="0014734E"/>
    <w:rsid w:val="001474C6"/>
    <w:rsid w:val="00147BCF"/>
    <w:rsid w:val="00150180"/>
    <w:rsid w:val="00150305"/>
    <w:rsid w:val="00150361"/>
    <w:rsid w:val="00150678"/>
    <w:rsid w:val="0015091A"/>
    <w:rsid w:val="00150C82"/>
    <w:rsid w:val="00151068"/>
    <w:rsid w:val="001516B6"/>
    <w:rsid w:val="001517ED"/>
    <w:rsid w:val="00151DE8"/>
    <w:rsid w:val="00152188"/>
    <w:rsid w:val="00152A68"/>
    <w:rsid w:val="00152B4D"/>
    <w:rsid w:val="00152C30"/>
    <w:rsid w:val="00153688"/>
    <w:rsid w:val="001536A4"/>
    <w:rsid w:val="00153771"/>
    <w:rsid w:val="00153C14"/>
    <w:rsid w:val="00153EBB"/>
    <w:rsid w:val="001544BF"/>
    <w:rsid w:val="00154E02"/>
    <w:rsid w:val="00154FED"/>
    <w:rsid w:val="00155882"/>
    <w:rsid w:val="00155C29"/>
    <w:rsid w:val="00155CBC"/>
    <w:rsid w:val="00155E88"/>
    <w:rsid w:val="00155F9E"/>
    <w:rsid w:val="00156467"/>
    <w:rsid w:val="00156D3A"/>
    <w:rsid w:val="00156EB3"/>
    <w:rsid w:val="0015701B"/>
    <w:rsid w:val="001572F2"/>
    <w:rsid w:val="0015732F"/>
    <w:rsid w:val="00157759"/>
    <w:rsid w:val="00157953"/>
    <w:rsid w:val="00157D0D"/>
    <w:rsid w:val="00157FC5"/>
    <w:rsid w:val="00160041"/>
    <w:rsid w:val="00160129"/>
    <w:rsid w:val="001604F0"/>
    <w:rsid w:val="00160770"/>
    <w:rsid w:val="00160A1A"/>
    <w:rsid w:val="0016109F"/>
    <w:rsid w:val="001611B3"/>
    <w:rsid w:val="0016139C"/>
    <w:rsid w:val="001614F0"/>
    <w:rsid w:val="001615AF"/>
    <w:rsid w:val="00161FD6"/>
    <w:rsid w:val="001625C8"/>
    <w:rsid w:val="001628FD"/>
    <w:rsid w:val="00162A78"/>
    <w:rsid w:val="00163334"/>
    <w:rsid w:val="001638EC"/>
    <w:rsid w:val="00163B0C"/>
    <w:rsid w:val="00163DB2"/>
    <w:rsid w:val="001640A4"/>
    <w:rsid w:val="001646B4"/>
    <w:rsid w:val="0016492E"/>
    <w:rsid w:val="00164A37"/>
    <w:rsid w:val="00164B45"/>
    <w:rsid w:val="00164DD6"/>
    <w:rsid w:val="00164E1C"/>
    <w:rsid w:val="0016522C"/>
    <w:rsid w:val="001653CF"/>
    <w:rsid w:val="001656C3"/>
    <w:rsid w:val="00165976"/>
    <w:rsid w:val="001659EC"/>
    <w:rsid w:val="00165BD6"/>
    <w:rsid w:val="00165CED"/>
    <w:rsid w:val="0016602B"/>
    <w:rsid w:val="00166083"/>
    <w:rsid w:val="0016643A"/>
    <w:rsid w:val="001668D8"/>
    <w:rsid w:val="00166D68"/>
    <w:rsid w:val="00166E1F"/>
    <w:rsid w:val="00167DBA"/>
    <w:rsid w:val="001700AC"/>
    <w:rsid w:val="001706E8"/>
    <w:rsid w:val="0017072F"/>
    <w:rsid w:val="00170A3A"/>
    <w:rsid w:val="00170C1B"/>
    <w:rsid w:val="00170FFB"/>
    <w:rsid w:val="001715FC"/>
    <w:rsid w:val="00171B73"/>
    <w:rsid w:val="00171CAF"/>
    <w:rsid w:val="001727CC"/>
    <w:rsid w:val="00172A3B"/>
    <w:rsid w:val="00172FD3"/>
    <w:rsid w:val="0017362A"/>
    <w:rsid w:val="0017400E"/>
    <w:rsid w:val="0017424A"/>
    <w:rsid w:val="00174294"/>
    <w:rsid w:val="00174E45"/>
    <w:rsid w:val="00174ECE"/>
    <w:rsid w:val="00174EEF"/>
    <w:rsid w:val="00175138"/>
    <w:rsid w:val="00175615"/>
    <w:rsid w:val="001757CB"/>
    <w:rsid w:val="00175A1A"/>
    <w:rsid w:val="00175A4E"/>
    <w:rsid w:val="0017611A"/>
    <w:rsid w:val="001761F6"/>
    <w:rsid w:val="00176228"/>
    <w:rsid w:val="00176338"/>
    <w:rsid w:val="001763A4"/>
    <w:rsid w:val="00176581"/>
    <w:rsid w:val="001769F0"/>
    <w:rsid w:val="00176B0A"/>
    <w:rsid w:val="001770AF"/>
    <w:rsid w:val="00177201"/>
    <w:rsid w:val="001772DF"/>
    <w:rsid w:val="001777C2"/>
    <w:rsid w:val="0017783B"/>
    <w:rsid w:val="00177CDC"/>
    <w:rsid w:val="00177CE4"/>
    <w:rsid w:val="00177F39"/>
    <w:rsid w:val="001809C9"/>
    <w:rsid w:val="00180A01"/>
    <w:rsid w:val="00180E6B"/>
    <w:rsid w:val="00180EAC"/>
    <w:rsid w:val="00180EEC"/>
    <w:rsid w:val="00181444"/>
    <w:rsid w:val="0018181D"/>
    <w:rsid w:val="00181DEE"/>
    <w:rsid w:val="00181F94"/>
    <w:rsid w:val="00182651"/>
    <w:rsid w:val="00182B21"/>
    <w:rsid w:val="00182C8E"/>
    <w:rsid w:val="00182EA5"/>
    <w:rsid w:val="0018305D"/>
    <w:rsid w:val="00183089"/>
    <w:rsid w:val="00183143"/>
    <w:rsid w:val="0018363F"/>
    <w:rsid w:val="00183BBE"/>
    <w:rsid w:val="00184057"/>
    <w:rsid w:val="001840D1"/>
    <w:rsid w:val="0018466C"/>
    <w:rsid w:val="001847B5"/>
    <w:rsid w:val="00184AF0"/>
    <w:rsid w:val="00185116"/>
    <w:rsid w:val="0018546C"/>
    <w:rsid w:val="001855A1"/>
    <w:rsid w:val="00185670"/>
    <w:rsid w:val="0018696E"/>
    <w:rsid w:val="00186AF5"/>
    <w:rsid w:val="00186CAE"/>
    <w:rsid w:val="001870D4"/>
    <w:rsid w:val="0019039E"/>
    <w:rsid w:val="001904EC"/>
    <w:rsid w:val="00190638"/>
    <w:rsid w:val="00190CB0"/>
    <w:rsid w:val="00190DA6"/>
    <w:rsid w:val="0019184B"/>
    <w:rsid w:val="00191920"/>
    <w:rsid w:val="00191DD7"/>
    <w:rsid w:val="00191FDF"/>
    <w:rsid w:val="00192231"/>
    <w:rsid w:val="0019264E"/>
    <w:rsid w:val="00192B60"/>
    <w:rsid w:val="001930CC"/>
    <w:rsid w:val="00193351"/>
    <w:rsid w:val="001933F5"/>
    <w:rsid w:val="001933FC"/>
    <w:rsid w:val="00193810"/>
    <w:rsid w:val="0019394E"/>
    <w:rsid w:val="00193B93"/>
    <w:rsid w:val="00194272"/>
    <w:rsid w:val="00195323"/>
    <w:rsid w:val="001954A1"/>
    <w:rsid w:val="001954C1"/>
    <w:rsid w:val="00195744"/>
    <w:rsid w:val="00195A2D"/>
    <w:rsid w:val="00195DC3"/>
    <w:rsid w:val="00195FFD"/>
    <w:rsid w:val="001960A2"/>
    <w:rsid w:val="0019673C"/>
    <w:rsid w:val="001968AE"/>
    <w:rsid w:val="001969F1"/>
    <w:rsid w:val="001969F9"/>
    <w:rsid w:val="00196A79"/>
    <w:rsid w:val="00196BB2"/>
    <w:rsid w:val="00196CC1"/>
    <w:rsid w:val="00196D29"/>
    <w:rsid w:val="00196D2C"/>
    <w:rsid w:val="00196EB1"/>
    <w:rsid w:val="001A00A7"/>
    <w:rsid w:val="001A0604"/>
    <w:rsid w:val="001A071A"/>
    <w:rsid w:val="001A0736"/>
    <w:rsid w:val="001A08D8"/>
    <w:rsid w:val="001A0DE3"/>
    <w:rsid w:val="001A1238"/>
    <w:rsid w:val="001A1394"/>
    <w:rsid w:val="001A153E"/>
    <w:rsid w:val="001A18C8"/>
    <w:rsid w:val="001A18DB"/>
    <w:rsid w:val="001A1F81"/>
    <w:rsid w:val="001A32D5"/>
    <w:rsid w:val="001A3317"/>
    <w:rsid w:val="001A344A"/>
    <w:rsid w:val="001A34DE"/>
    <w:rsid w:val="001A3530"/>
    <w:rsid w:val="001A388B"/>
    <w:rsid w:val="001A3967"/>
    <w:rsid w:val="001A3C05"/>
    <w:rsid w:val="001A46BA"/>
    <w:rsid w:val="001A4782"/>
    <w:rsid w:val="001A4AE9"/>
    <w:rsid w:val="001A4E34"/>
    <w:rsid w:val="001A4FAD"/>
    <w:rsid w:val="001A50F9"/>
    <w:rsid w:val="001A5131"/>
    <w:rsid w:val="001A5779"/>
    <w:rsid w:val="001A5ABA"/>
    <w:rsid w:val="001A648A"/>
    <w:rsid w:val="001A68AD"/>
    <w:rsid w:val="001A6FB1"/>
    <w:rsid w:val="001A79E9"/>
    <w:rsid w:val="001A7AA4"/>
    <w:rsid w:val="001A7B73"/>
    <w:rsid w:val="001A7D9E"/>
    <w:rsid w:val="001B030E"/>
    <w:rsid w:val="001B05AA"/>
    <w:rsid w:val="001B06BE"/>
    <w:rsid w:val="001B07C7"/>
    <w:rsid w:val="001B0DF8"/>
    <w:rsid w:val="001B1261"/>
    <w:rsid w:val="001B15F1"/>
    <w:rsid w:val="001B196E"/>
    <w:rsid w:val="001B1A06"/>
    <w:rsid w:val="001B1E67"/>
    <w:rsid w:val="001B2278"/>
    <w:rsid w:val="001B22E6"/>
    <w:rsid w:val="001B2512"/>
    <w:rsid w:val="001B2ED4"/>
    <w:rsid w:val="001B323E"/>
    <w:rsid w:val="001B3332"/>
    <w:rsid w:val="001B3760"/>
    <w:rsid w:val="001B37C8"/>
    <w:rsid w:val="001B3912"/>
    <w:rsid w:val="001B3FF9"/>
    <w:rsid w:val="001B40DD"/>
    <w:rsid w:val="001B42E8"/>
    <w:rsid w:val="001B47DE"/>
    <w:rsid w:val="001B4B9C"/>
    <w:rsid w:val="001B5258"/>
    <w:rsid w:val="001B54BD"/>
    <w:rsid w:val="001B5B50"/>
    <w:rsid w:val="001B5CDD"/>
    <w:rsid w:val="001B5E84"/>
    <w:rsid w:val="001B5EF2"/>
    <w:rsid w:val="001B60B9"/>
    <w:rsid w:val="001B622B"/>
    <w:rsid w:val="001B6344"/>
    <w:rsid w:val="001B6428"/>
    <w:rsid w:val="001B6819"/>
    <w:rsid w:val="001B68FF"/>
    <w:rsid w:val="001B7552"/>
    <w:rsid w:val="001B787D"/>
    <w:rsid w:val="001B7A11"/>
    <w:rsid w:val="001B7BDB"/>
    <w:rsid w:val="001B7C14"/>
    <w:rsid w:val="001B7CE2"/>
    <w:rsid w:val="001B7D02"/>
    <w:rsid w:val="001B7D68"/>
    <w:rsid w:val="001B7E2D"/>
    <w:rsid w:val="001B7FF9"/>
    <w:rsid w:val="001C0501"/>
    <w:rsid w:val="001C0C20"/>
    <w:rsid w:val="001C0C29"/>
    <w:rsid w:val="001C0D0A"/>
    <w:rsid w:val="001C0F4D"/>
    <w:rsid w:val="001C10A1"/>
    <w:rsid w:val="001C1290"/>
    <w:rsid w:val="001C1883"/>
    <w:rsid w:val="001C1A69"/>
    <w:rsid w:val="001C1C8A"/>
    <w:rsid w:val="001C1CA5"/>
    <w:rsid w:val="001C1DAD"/>
    <w:rsid w:val="001C20AE"/>
    <w:rsid w:val="001C210F"/>
    <w:rsid w:val="001C2147"/>
    <w:rsid w:val="001C2755"/>
    <w:rsid w:val="001C2C28"/>
    <w:rsid w:val="001C2DE5"/>
    <w:rsid w:val="001C2F45"/>
    <w:rsid w:val="001C3159"/>
    <w:rsid w:val="001C319B"/>
    <w:rsid w:val="001C36AA"/>
    <w:rsid w:val="001C3BD0"/>
    <w:rsid w:val="001C3CCF"/>
    <w:rsid w:val="001C3D11"/>
    <w:rsid w:val="001C4446"/>
    <w:rsid w:val="001C4510"/>
    <w:rsid w:val="001C4655"/>
    <w:rsid w:val="001C48E2"/>
    <w:rsid w:val="001C490F"/>
    <w:rsid w:val="001C537D"/>
    <w:rsid w:val="001C5390"/>
    <w:rsid w:val="001C54FE"/>
    <w:rsid w:val="001C596F"/>
    <w:rsid w:val="001C5AE3"/>
    <w:rsid w:val="001C5B26"/>
    <w:rsid w:val="001C5D5F"/>
    <w:rsid w:val="001C5D9D"/>
    <w:rsid w:val="001C5FCC"/>
    <w:rsid w:val="001C603B"/>
    <w:rsid w:val="001C615D"/>
    <w:rsid w:val="001C64AE"/>
    <w:rsid w:val="001C6B65"/>
    <w:rsid w:val="001C7040"/>
    <w:rsid w:val="001C71AB"/>
    <w:rsid w:val="001C77B5"/>
    <w:rsid w:val="001C7F5D"/>
    <w:rsid w:val="001D00CE"/>
    <w:rsid w:val="001D0364"/>
    <w:rsid w:val="001D071E"/>
    <w:rsid w:val="001D103F"/>
    <w:rsid w:val="001D1064"/>
    <w:rsid w:val="001D11B1"/>
    <w:rsid w:val="001D1294"/>
    <w:rsid w:val="001D1490"/>
    <w:rsid w:val="001D16ED"/>
    <w:rsid w:val="001D1B6D"/>
    <w:rsid w:val="001D1B70"/>
    <w:rsid w:val="001D1E8A"/>
    <w:rsid w:val="001D21BC"/>
    <w:rsid w:val="001D27B3"/>
    <w:rsid w:val="001D2849"/>
    <w:rsid w:val="001D2BB7"/>
    <w:rsid w:val="001D3079"/>
    <w:rsid w:val="001D3603"/>
    <w:rsid w:val="001D377D"/>
    <w:rsid w:val="001D3F61"/>
    <w:rsid w:val="001D43AF"/>
    <w:rsid w:val="001D59EB"/>
    <w:rsid w:val="001D6673"/>
    <w:rsid w:val="001D6D62"/>
    <w:rsid w:val="001D700E"/>
    <w:rsid w:val="001D72CD"/>
    <w:rsid w:val="001D7688"/>
    <w:rsid w:val="001D7CCC"/>
    <w:rsid w:val="001D7D2B"/>
    <w:rsid w:val="001D7DD6"/>
    <w:rsid w:val="001E0714"/>
    <w:rsid w:val="001E09E7"/>
    <w:rsid w:val="001E0A85"/>
    <w:rsid w:val="001E0A96"/>
    <w:rsid w:val="001E0AC6"/>
    <w:rsid w:val="001E0B13"/>
    <w:rsid w:val="001E0BB9"/>
    <w:rsid w:val="001E0EEB"/>
    <w:rsid w:val="001E119C"/>
    <w:rsid w:val="001E1321"/>
    <w:rsid w:val="001E135B"/>
    <w:rsid w:val="001E1595"/>
    <w:rsid w:val="001E15C0"/>
    <w:rsid w:val="001E1890"/>
    <w:rsid w:val="001E1FBA"/>
    <w:rsid w:val="001E2378"/>
    <w:rsid w:val="001E245A"/>
    <w:rsid w:val="001E25B7"/>
    <w:rsid w:val="001E25CA"/>
    <w:rsid w:val="001E265C"/>
    <w:rsid w:val="001E2689"/>
    <w:rsid w:val="001E2C0D"/>
    <w:rsid w:val="001E2DB7"/>
    <w:rsid w:val="001E326A"/>
    <w:rsid w:val="001E3D3E"/>
    <w:rsid w:val="001E4164"/>
    <w:rsid w:val="001E43FE"/>
    <w:rsid w:val="001E50DC"/>
    <w:rsid w:val="001E5BCD"/>
    <w:rsid w:val="001E5C85"/>
    <w:rsid w:val="001E6187"/>
    <w:rsid w:val="001E64E8"/>
    <w:rsid w:val="001E6AD9"/>
    <w:rsid w:val="001E6C26"/>
    <w:rsid w:val="001E6F56"/>
    <w:rsid w:val="001E6FC5"/>
    <w:rsid w:val="001E70F9"/>
    <w:rsid w:val="001E712F"/>
    <w:rsid w:val="001E72A4"/>
    <w:rsid w:val="001E74E1"/>
    <w:rsid w:val="001E7FC4"/>
    <w:rsid w:val="001F01F7"/>
    <w:rsid w:val="001F08CB"/>
    <w:rsid w:val="001F0ABB"/>
    <w:rsid w:val="001F0B4E"/>
    <w:rsid w:val="001F0D04"/>
    <w:rsid w:val="001F0D7D"/>
    <w:rsid w:val="001F0D89"/>
    <w:rsid w:val="001F1250"/>
    <w:rsid w:val="001F132A"/>
    <w:rsid w:val="001F165F"/>
    <w:rsid w:val="001F1FE0"/>
    <w:rsid w:val="001F2A78"/>
    <w:rsid w:val="001F2D2F"/>
    <w:rsid w:val="001F2D85"/>
    <w:rsid w:val="001F3006"/>
    <w:rsid w:val="001F3696"/>
    <w:rsid w:val="001F3DE3"/>
    <w:rsid w:val="001F40D6"/>
    <w:rsid w:val="001F439A"/>
    <w:rsid w:val="001F4681"/>
    <w:rsid w:val="001F499A"/>
    <w:rsid w:val="001F50BE"/>
    <w:rsid w:val="001F5454"/>
    <w:rsid w:val="001F55B5"/>
    <w:rsid w:val="001F5725"/>
    <w:rsid w:val="001F5AEB"/>
    <w:rsid w:val="001F5DEA"/>
    <w:rsid w:val="001F6031"/>
    <w:rsid w:val="001F6A9C"/>
    <w:rsid w:val="001F6D43"/>
    <w:rsid w:val="001F7A89"/>
    <w:rsid w:val="001F7ADB"/>
    <w:rsid w:val="001F7DE3"/>
    <w:rsid w:val="00200A14"/>
    <w:rsid w:val="00200C8C"/>
    <w:rsid w:val="00200E1C"/>
    <w:rsid w:val="002011F9"/>
    <w:rsid w:val="0020122B"/>
    <w:rsid w:val="00201CE1"/>
    <w:rsid w:val="00201DFE"/>
    <w:rsid w:val="00202286"/>
    <w:rsid w:val="002024BD"/>
    <w:rsid w:val="00202B4A"/>
    <w:rsid w:val="00202DB6"/>
    <w:rsid w:val="00202F91"/>
    <w:rsid w:val="002031C6"/>
    <w:rsid w:val="00203318"/>
    <w:rsid w:val="0020333B"/>
    <w:rsid w:val="002033C6"/>
    <w:rsid w:val="002034F7"/>
    <w:rsid w:val="00203923"/>
    <w:rsid w:val="00203E86"/>
    <w:rsid w:val="00204070"/>
    <w:rsid w:val="002040DC"/>
    <w:rsid w:val="00204367"/>
    <w:rsid w:val="00204462"/>
    <w:rsid w:val="0020455B"/>
    <w:rsid w:val="002046B7"/>
    <w:rsid w:val="00204756"/>
    <w:rsid w:val="002049A2"/>
    <w:rsid w:val="00204D53"/>
    <w:rsid w:val="00205043"/>
    <w:rsid w:val="0020505E"/>
    <w:rsid w:val="00205117"/>
    <w:rsid w:val="00205535"/>
    <w:rsid w:val="0020612F"/>
    <w:rsid w:val="0020642A"/>
    <w:rsid w:val="0020692C"/>
    <w:rsid w:val="00206CD5"/>
    <w:rsid w:val="00207398"/>
    <w:rsid w:val="00207762"/>
    <w:rsid w:val="0020797D"/>
    <w:rsid w:val="00207AB6"/>
    <w:rsid w:val="002101F0"/>
    <w:rsid w:val="002103D5"/>
    <w:rsid w:val="00210420"/>
    <w:rsid w:val="002107B0"/>
    <w:rsid w:val="00210F81"/>
    <w:rsid w:val="002111E5"/>
    <w:rsid w:val="00211460"/>
    <w:rsid w:val="0021156F"/>
    <w:rsid w:val="00211666"/>
    <w:rsid w:val="0021179D"/>
    <w:rsid w:val="00211840"/>
    <w:rsid w:val="00211890"/>
    <w:rsid w:val="00211D14"/>
    <w:rsid w:val="0021205C"/>
    <w:rsid w:val="00212BB3"/>
    <w:rsid w:val="00212C31"/>
    <w:rsid w:val="00212E64"/>
    <w:rsid w:val="00212FB1"/>
    <w:rsid w:val="00213359"/>
    <w:rsid w:val="0021395A"/>
    <w:rsid w:val="00213E47"/>
    <w:rsid w:val="00213F43"/>
    <w:rsid w:val="002147B6"/>
    <w:rsid w:val="00214A6D"/>
    <w:rsid w:val="00214CED"/>
    <w:rsid w:val="00214E41"/>
    <w:rsid w:val="0021523B"/>
    <w:rsid w:val="0021523E"/>
    <w:rsid w:val="0021530A"/>
    <w:rsid w:val="00215691"/>
    <w:rsid w:val="002156B8"/>
    <w:rsid w:val="00215A3E"/>
    <w:rsid w:val="00216551"/>
    <w:rsid w:val="0021671B"/>
    <w:rsid w:val="00216948"/>
    <w:rsid w:val="002172E7"/>
    <w:rsid w:val="0021788E"/>
    <w:rsid w:val="00217C80"/>
    <w:rsid w:val="00220359"/>
    <w:rsid w:val="00220BA5"/>
    <w:rsid w:val="00220C08"/>
    <w:rsid w:val="00220D68"/>
    <w:rsid w:val="00220FE0"/>
    <w:rsid w:val="00221120"/>
    <w:rsid w:val="002216F4"/>
    <w:rsid w:val="00221A5A"/>
    <w:rsid w:val="00221D60"/>
    <w:rsid w:val="00221EAF"/>
    <w:rsid w:val="00222505"/>
    <w:rsid w:val="0022278F"/>
    <w:rsid w:val="00222997"/>
    <w:rsid w:val="00222DA8"/>
    <w:rsid w:val="00222E06"/>
    <w:rsid w:val="00222E0A"/>
    <w:rsid w:val="002231D5"/>
    <w:rsid w:val="002238B2"/>
    <w:rsid w:val="00223BB6"/>
    <w:rsid w:val="00223E40"/>
    <w:rsid w:val="00224364"/>
    <w:rsid w:val="00224435"/>
    <w:rsid w:val="002246E5"/>
    <w:rsid w:val="002248D0"/>
    <w:rsid w:val="00224908"/>
    <w:rsid w:val="00224B6E"/>
    <w:rsid w:val="00224D5B"/>
    <w:rsid w:val="00224E9A"/>
    <w:rsid w:val="00225A8E"/>
    <w:rsid w:val="00225B05"/>
    <w:rsid w:val="00225CBE"/>
    <w:rsid w:val="00225DC7"/>
    <w:rsid w:val="0022645F"/>
    <w:rsid w:val="002265FB"/>
    <w:rsid w:val="00226727"/>
    <w:rsid w:val="00226A92"/>
    <w:rsid w:val="00227195"/>
    <w:rsid w:val="002271D2"/>
    <w:rsid w:val="00227355"/>
    <w:rsid w:val="0022750F"/>
    <w:rsid w:val="0022795D"/>
    <w:rsid w:val="00227969"/>
    <w:rsid w:val="0023041A"/>
    <w:rsid w:val="002304C1"/>
    <w:rsid w:val="0023060D"/>
    <w:rsid w:val="00230843"/>
    <w:rsid w:val="00230BFC"/>
    <w:rsid w:val="002315F0"/>
    <w:rsid w:val="002315FA"/>
    <w:rsid w:val="0023212B"/>
    <w:rsid w:val="002321B5"/>
    <w:rsid w:val="0023242B"/>
    <w:rsid w:val="00232754"/>
    <w:rsid w:val="00232993"/>
    <w:rsid w:val="00232C3B"/>
    <w:rsid w:val="00233198"/>
    <w:rsid w:val="0023413B"/>
    <w:rsid w:val="002346C2"/>
    <w:rsid w:val="0023472D"/>
    <w:rsid w:val="00234D0E"/>
    <w:rsid w:val="00234E09"/>
    <w:rsid w:val="00235B52"/>
    <w:rsid w:val="00235D9A"/>
    <w:rsid w:val="00235DCA"/>
    <w:rsid w:val="0023622A"/>
    <w:rsid w:val="00236633"/>
    <w:rsid w:val="00236BD1"/>
    <w:rsid w:val="00236CBB"/>
    <w:rsid w:val="00236DEA"/>
    <w:rsid w:val="002370C5"/>
    <w:rsid w:val="0023779B"/>
    <w:rsid w:val="002378B6"/>
    <w:rsid w:val="00237EED"/>
    <w:rsid w:val="0024004A"/>
    <w:rsid w:val="002405B5"/>
    <w:rsid w:val="002407D0"/>
    <w:rsid w:val="00240903"/>
    <w:rsid w:val="00240A0E"/>
    <w:rsid w:val="00240FA1"/>
    <w:rsid w:val="002415DF"/>
    <w:rsid w:val="002419A0"/>
    <w:rsid w:val="002423F6"/>
    <w:rsid w:val="0024246C"/>
    <w:rsid w:val="00242486"/>
    <w:rsid w:val="00242A41"/>
    <w:rsid w:val="00242A6E"/>
    <w:rsid w:val="00242FC2"/>
    <w:rsid w:val="002430D6"/>
    <w:rsid w:val="0024368F"/>
    <w:rsid w:val="00243F06"/>
    <w:rsid w:val="0024443E"/>
    <w:rsid w:val="002449BB"/>
    <w:rsid w:val="00244B28"/>
    <w:rsid w:val="00244D5D"/>
    <w:rsid w:val="00244D70"/>
    <w:rsid w:val="00244D91"/>
    <w:rsid w:val="002458BE"/>
    <w:rsid w:val="00245AF6"/>
    <w:rsid w:val="00246589"/>
    <w:rsid w:val="00246608"/>
    <w:rsid w:val="0024685C"/>
    <w:rsid w:val="002469F1"/>
    <w:rsid w:val="00246A08"/>
    <w:rsid w:val="00246A90"/>
    <w:rsid w:val="00246AA0"/>
    <w:rsid w:val="00246BD0"/>
    <w:rsid w:val="00247334"/>
    <w:rsid w:val="00247927"/>
    <w:rsid w:val="002503A6"/>
    <w:rsid w:val="002505B5"/>
    <w:rsid w:val="00250E4B"/>
    <w:rsid w:val="002511AA"/>
    <w:rsid w:val="002511C3"/>
    <w:rsid w:val="0025182A"/>
    <w:rsid w:val="00251A52"/>
    <w:rsid w:val="00251CD0"/>
    <w:rsid w:val="00251F5F"/>
    <w:rsid w:val="0025216A"/>
    <w:rsid w:val="002524EA"/>
    <w:rsid w:val="0025286B"/>
    <w:rsid w:val="00252BDF"/>
    <w:rsid w:val="0025339A"/>
    <w:rsid w:val="00253421"/>
    <w:rsid w:val="00253574"/>
    <w:rsid w:val="002535E6"/>
    <w:rsid w:val="00253768"/>
    <w:rsid w:val="0025378D"/>
    <w:rsid w:val="002539B8"/>
    <w:rsid w:val="00253BF8"/>
    <w:rsid w:val="00253FF0"/>
    <w:rsid w:val="00254214"/>
    <w:rsid w:val="0025444E"/>
    <w:rsid w:val="00254C3A"/>
    <w:rsid w:val="002550D0"/>
    <w:rsid w:val="00255225"/>
    <w:rsid w:val="0025551E"/>
    <w:rsid w:val="00255591"/>
    <w:rsid w:val="0025563B"/>
    <w:rsid w:val="002557CA"/>
    <w:rsid w:val="00255ADB"/>
    <w:rsid w:val="00255E88"/>
    <w:rsid w:val="00255E92"/>
    <w:rsid w:val="00256100"/>
    <w:rsid w:val="00256225"/>
    <w:rsid w:val="00256288"/>
    <w:rsid w:val="002562EA"/>
    <w:rsid w:val="00256BEB"/>
    <w:rsid w:val="00256C28"/>
    <w:rsid w:val="00257745"/>
    <w:rsid w:val="00257A78"/>
    <w:rsid w:val="00257FAB"/>
    <w:rsid w:val="0026068B"/>
    <w:rsid w:val="00260762"/>
    <w:rsid w:val="0026113A"/>
    <w:rsid w:val="00261211"/>
    <w:rsid w:val="00261453"/>
    <w:rsid w:val="002615F3"/>
    <w:rsid w:val="002619D4"/>
    <w:rsid w:val="00261C8C"/>
    <w:rsid w:val="00261EC8"/>
    <w:rsid w:val="00261F27"/>
    <w:rsid w:val="00262083"/>
    <w:rsid w:val="00262467"/>
    <w:rsid w:val="00262E8F"/>
    <w:rsid w:val="00263140"/>
    <w:rsid w:val="00263239"/>
    <w:rsid w:val="00263317"/>
    <w:rsid w:val="00263473"/>
    <w:rsid w:val="00263987"/>
    <w:rsid w:val="0026457C"/>
    <w:rsid w:val="00264744"/>
    <w:rsid w:val="002649C0"/>
    <w:rsid w:val="00265259"/>
    <w:rsid w:val="00265413"/>
    <w:rsid w:val="002654A7"/>
    <w:rsid w:val="002658DF"/>
    <w:rsid w:val="00265CAF"/>
    <w:rsid w:val="00265D06"/>
    <w:rsid w:val="00265DD0"/>
    <w:rsid w:val="00265E34"/>
    <w:rsid w:val="002662ED"/>
    <w:rsid w:val="002664A4"/>
    <w:rsid w:val="00266989"/>
    <w:rsid w:val="00266A1A"/>
    <w:rsid w:val="002675C0"/>
    <w:rsid w:val="00267680"/>
    <w:rsid w:val="002676A7"/>
    <w:rsid w:val="00267C49"/>
    <w:rsid w:val="002700E8"/>
    <w:rsid w:val="002701F3"/>
    <w:rsid w:val="00270417"/>
    <w:rsid w:val="00270637"/>
    <w:rsid w:val="00270951"/>
    <w:rsid w:val="00270C75"/>
    <w:rsid w:val="0027105E"/>
    <w:rsid w:val="00271272"/>
    <w:rsid w:val="002715C8"/>
    <w:rsid w:val="002717DE"/>
    <w:rsid w:val="00271B3C"/>
    <w:rsid w:val="00272001"/>
    <w:rsid w:val="00272124"/>
    <w:rsid w:val="00272247"/>
    <w:rsid w:val="002722BE"/>
    <w:rsid w:val="00272BCA"/>
    <w:rsid w:val="00273029"/>
    <w:rsid w:val="0027304A"/>
    <w:rsid w:val="0027307E"/>
    <w:rsid w:val="0027311F"/>
    <w:rsid w:val="00273E9C"/>
    <w:rsid w:val="00273F51"/>
    <w:rsid w:val="00273FF9"/>
    <w:rsid w:val="00274646"/>
    <w:rsid w:val="00274929"/>
    <w:rsid w:val="00274B38"/>
    <w:rsid w:val="00274DDF"/>
    <w:rsid w:val="00275035"/>
    <w:rsid w:val="00275876"/>
    <w:rsid w:val="00275BC0"/>
    <w:rsid w:val="00275CB7"/>
    <w:rsid w:val="002760F1"/>
    <w:rsid w:val="00276D36"/>
    <w:rsid w:val="002772DC"/>
    <w:rsid w:val="00277422"/>
    <w:rsid w:val="00277625"/>
    <w:rsid w:val="00277A3D"/>
    <w:rsid w:val="00280058"/>
    <w:rsid w:val="00280E71"/>
    <w:rsid w:val="00281203"/>
    <w:rsid w:val="00281273"/>
    <w:rsid w:val="00281712"/>
    <w:rsid w:val="002819D9"/>
    <w:rsid w:val="00282188"/>
    <w:rsid w:val="00282B2B"/>
    <w:rsid w:val="00282C26"/>
    <w:rsid w:val="00282CD1"/>
    <w:rsid w:val="00282DA2"/>
    <w:rsid w:val="002838CB"/>
    <w:rsid w:val="002839BA"/>
    <w:rsid w:val="00283DFC"/>
    <w:rsid w:val="002842F5"/>
    <w:rsid w:val="002842FA"/>
    <w:rsid w:val="00284385"/>
    <w:rsid w:val="00284487"/>
    <w:rsid w:val="00284F06"/>
    <w:rsid w:val="00285132"/>
    <w:rsid w:val="00285192"/>
    <w:rsid w:val="002852CF"/>
    <w:rsid w:val="002853DF"/>
    <w:rsid w:val="00285765"/>
    <w:rsid w:val="00285813"/>
    <w:rsid w:val="00286347"/>
    <w:rsid w:val="0028698D"/>
    <w:rsid w:val="00286BD5"/>
    <w:rsid w:val="00286D97"/>
    <w:rsid w:val="002900B8"/>
    <w:rsid w:val="002907F9"/>
    <w:rsid w:val="00291238"/>
    <w:rsid w:val="002916A6"/>
    <w:rsid w:val="00291B5A"/>
    <w:rsid w:val="00291F7A"/>
    <w:rsid w:val="00292448"/>
    <w:rsid w:val="00292536"/>
    <w:rsid w:val="002928D6"/>
    <w:rsid w:val="00292A3B"/>
    <w:rsid w:val="00292E2A"/>
    <w:rsid w:val="00293080"/>
    <w:rsid w:val="00293148"/>
    <w:rsid w:val="002931C5"/>
    <w:rsid w:val="00293664"/>
    <w:rsid w:val="002936F9"/>
    <w:rsid w:val="00293B33"/>
    <w:rsid w:val="00293B80"/>
    <w:rsid w:val="00293BDB"/>
    <w:rsid w:val="00293C8E"/>
    <w:rsid w:val="00294565"/>
    <w:rsid w:val="002949B8"/>
    <w:rsid w:val="00294B68"/>
    <w:rsid w:val="002951C1"/>
    <w:rsid w:val="00295328"/>
    <w:rsid w:val="00295910"/>
    <w:rsid w:val="00295B5D"/>
    <w:rsid w:val="00295DE8"/>
    <w:rsid w:val="00295F76"/>
    <w:rsid w:val="002961E6"/>
    <w:rsid w:val="0029629D"/>
    <w:rsid w:val="0029658B"/>
    <w:rsid w:val="0029670D"/>
    <w:rsid w:val="0029670F"/>
    <w:rsid w:val="00296B2F"/>
    <w:rsid w:val="00296E72"/>
    <w:rsid w:val="00297207"/>
    <w:rsid w:val="002976EF"/>
    <w:rsid w:val="00297FC3"/>
    <w:rsid w:val="002A005B"/>
    <w:rsid w:val="002A0072"/>
    <w:rsid w:val="002A01DB"/>
    <w:rsid w:val="002A0525"/>
    <w:rsid w:val="002A074E"/>
    <w:rsid w:val="002A07DE"/>
    <w:rsid w:val="002A09F1"/>
    <w:rsid w:val="002A0C87"/>
    <w:rsid w:val="002A0E29"/>
    <w:rsid w:val="002A13D1"/>
    <w:rsid w:val="002A1D87"/>
    <w:rsid w:val="002A1E2E"/>
    <w:rsid w:val="002A2423"/>
    <w:rsid w:val="002A2599"/>
    <w:rsid w:val="002A26E2"/>
    <w:rsid w:val="002A284E"/>
    <w:rsid w:val="002A2D97"/>
    <w:rsid w:val="002A2E27"/>
    <w:rsid w:val="002A2FD5"/>
    <w:rsid w:val="002A3464"/>
    <w:rsid w:val="002A3910"/>
    <w:rsid w:val="002A3BB2"/>
    <w:rsid w:val="002A3C2F"/>
    <w:rsid w:val="002A3DEA"/>
    <w:rsid w:val="002A431F"/>
    <w:rsid w:val="002A4EC1"/>
    <w:rsid w:val="002A5243"/>
    <w:rsid w:val="002A5334"/>
    <w:rsid w:val="002A56B1"/>
    <w:rsid w:val="002A594E"/>
    <w:rsid w:val="002A5999"/>
    <w:rsid w:val="002A5D51"/>
    <w:rsid w:val="002A5DB3"/>
    <w:rsid w:val="002A673C"/>
    <w:rsid w:val="002A67CD"/>
    <w:rsid w:val="002A686B"/>
    <w:rsid w:val="002A69AB"/>
    <w:rsid w:val="002A6BA3"/>
    <w:rsid w:val="002A6C68"/>
    <w:rsid w:val="002A6CB0"/>
    <w:rsid w:val="002A723A"/>
    <w:rsid w:val="002A7CF4"/>
    <w:rsid w:val="002B01D5"/>
    <w:rsid w:val="002B025E"/>
    <w:rsid w:val="002B0558"/>
    <w:rsid w:val="002B094E"/>
    <w:rsid w:val="002B0D6F"/>
    <w:rsid w:val="002B0E79"/>
    <w:rsid w:val="002B13D1"/>
    <w:rsid w:val="002B15E1"/>
    <w:rsid w:val="002B1E03"/>
    <w:rsid w:val="002B22EC"/>
    <w:rsid w:val="002B243D"/>
    <w:rsid w:val="002B2B2B"/>
    <w:rsid w:val="002B2F8E"/>
    <w:rsid w:val="002B3871"/>
    <w:rsid w:val="002B3A88"/>
    <w:rsid w:val="002B3E30"/>
    <w:rsid w:val="002B3F73"/>
    <w:rsid w:val="002B45A0"/>
    <w:rsid w:val="002B47F2"/>
    <w:rsid w:val="002B48F6"/>
    <w:rsid w:val="002B4C5E"/>
    <w:rsid w:val="002B4E99"/>
    <w:rsid w:val="002B5020"/>
    <w:rsid w:val="002B51F0"/>
    <w:rsid w:val="002B528A"/>
    <w:rsid w:val="002B5852"/>
    <w:rsid w:val="002B605A"/>
    <w:rsid w:val="002B6D77"/>
    <w:rsid w:val="002B6DA8"/>
    <w:rsid w:val="002B6DDD"/>
    <w:rsid w:val="002B701F"/>
    <w:rsid w:val="002B7199"/>
    <w:rsid w:val="002B75C3"/>
    <w:rsid w:val="002B75F5"/>
    <w:rsid w:val="002B7B1C"/>
    <w:rsid w:val="002B7EA7"/>
    <w:rsid w:val="002C072B"/>
    <w:rsid w:val="002C076C"/>
    <w:rsid w:val="002C076E"/>
    <w:rsid w:val="002C0E39"/>
    <w:rsid w:val="002C0EE7"/>
    <w:rsid w:val="002C1A4E"/>
    <w:rsid w:val="002C1BEA"/>
    <w:rsid w:val="002C1DE9"/>
    <w:rsid w:val="002C207A"/>
    <w:rsid w:val="002C251B"/>
    <w:rsid w:val="002C28DC"/>
    <w:rsid w:val="002C29C3"/>
    <w:rsid w:val="002C36EB"/>
    <w:rsid w:val="002C3869"/>
    <w:rsid w:val="002C39B0"/>
    <w:rsid w:val="002C3AA8"/>
    <w:rsid w:val="002C3D91"/>
    <w:rsid w:val="002C402E"/>
    <w:rsid w:val="002C4231"/>
    <w:rsid w:val="002C4768"/>
    <w:rsid w:val="002C5297"/>
    <w:rsid w:val="002C5302"/>
    <w:rsid w:val="002C53C6"/>
    <w:rsid w:val="002C55D9"/>
    <w:rsid w:val="002C577E"/>
    <w:rsid w:val="002C590C"/>
    <w:rsid w:val="002C5E24"/>
    <w:rsid w:val="002C6604"/>
    <w:rsid w:val="002C689C"/>
    <w:rsid w:val="002C6F72"/>
    <w:rsid w:val="002C7061"/>
    <w:rsid w:val="002C732A"/>
    <w:rsid w:val="002C73D8"/>
    <w:rsid w:val="002C744E"/>
    <w:rsid w:val="002C7940"/>
    <w:rsid w:val="002D055B"/>
    <w:rsid w:val="002D05D6"/>
    <w:rsid w:val="002D0695"/>
    <w:rsid w:val="002D0DFC"/>
    <w:rsid w:val="002D0F01"/>
    <w:rsid w:val="002D0F69"/>
    <w:rsid w:val="002D15AE"/>
    <w:rsid w:val="002D1669"/>
    <w:rsid w:val="002D1E1F"/>
    <w:rsid w:val="002D1F54"/>
    <w:rsid w:val="002D214C"/>
    <w:rsid w:val="002D2307"/>
    <w:rsid w:val="002D23AA"/>
    <w:rsid w:val="002D2594"/>
    <w:rsid w:val="002D266D"/>
    <w:rsid w:val="002D26BE"/>
    <w:rsid w:val="002D28E7"/>
    <w:rsid w:val="002D2CE5"/>
    <w:rsid w:val="002D3C0B"/>
    <w:rsid w:val="002D459B"/>
    <w:rsid w:val="002D45C2"/>
    <w:rsid w:val="002D4692"/>
    <w:rsid w:val="002D47EA"/>
    <w:rsid w:val="002D482E"/>
    <w:rsid w:val="002D4954"/>
    <w:rsid w:val="002D49E7"/>
    <w:rsid w:val="002D4D7C"/>
    <w:rsid w:val="002D4DE4"/>
    <w:rsid w:val="002D4E8E"/>
    <w:rsid w:val="002D5083"/>
    <w:rsid w:val="002D521C"/>
    <w:rsid w:val="002D54E6"/>
    <w:rsid w:val="002D5562"/>
    <w:rsid w:val="002D5D41"/>
    <w:rsid w:val="002D5D82"/>
    <w:rsid w:val="002D5DEB"/>
    <w:rsid w:val="002D5E92"/>
    <w:rsid w:val="002D622E"/>
    <w:rsid w:val="002D64FA"/>
    <w:rsid w:val="002D696D"/>
    <w:rsid w:val="002D6976"/>
    <w:rsid w:val="002D6CF3"/>
    <w:rsid w:val="002D6D60"/>
    <w:rsid w:val="002D6EA9"/>
    <w:rsid w:val="002D7BE0"/>
    <w:rsid w:val="002E003B"/>
    <w:rsid w:val="002E0381"/>
    <w:rsid w:val="002E0D90"/>
    <w:rsid w:val="002E13A8"/>
    <w:rsid w:val="002E193F"/>
    <w:rsid w:val="002E26AC"/>
    <w:rsid w:val="002E277D"/>
    <w:rsid w:val="002E27B6"/>
    <w:rsid w:val="002E2824"/>
    <w:rsid w:val="002E28EF"/>
    <w:rsid w:val="002E3048"/>
    <w:rsid w:val="002E3168"/>
    <w:rsid w:val="002E3254"/>
    <w:rsid w:val="002E377A"/>
    <w:rsid w:val="002E3BB1"/>
    <w:rsid w:val="002E3CE0"/>
    <w:rsid w:val="002E3DD9"/>
    <w:rsid w:val="002E3E31"/>
    <w:rsid w:val="002E4484"/>
    <w:rsid w:val="002E4E65"/>
    <w:rsid w:val="002E4ED1"/>
    <w:rsid w:val="002E4F1A"/>
    <w:rsid w:val="002E53AF"/>
    <w:rsid w:val="002E58E2"/>
    <w:rsid w:val="002E62A2"/>
    <w:rsid w:val="002E633A"/>
    <w:rsid w:val="002E6609"/>
    <w:rsid w:val="002E67B9"/>
    <w:rsid w:val="002E6DF5"/>
    <w:rsid w:val="002E7375"/>
    <w:rsid w:val="002E74A4"/>
    <w:rsid w:val="002E786D"/>
    <w:rsid w:val="002E799A"/>
    <w:rsid w:val="002E7BFA"/>
    <w:rsid w:val="002E7C1E"/>
    <w:rsid w:val="002E7F74"/>
    <w:rsid w:val="002F061B"/>
    <w:rsid w:val="002F0FCF"/>
    <w:rsid w:val="002F1676"/>
    <w:rsid w:val="002F1C51"/>
    <w:rsid w:val="002F1CA5"/>
    <w:rsid w:val="002F1FB3"/>
    <w:rsid w:val="002F2006"/>
    <w:rsid w:val="002F2B94"/>
    <w:rsid w:val="002F2DD1"/>
    <w:rsid w:val="002F33E7"/>
    <w:rsid w:val="002F34CB"/>
    <w:rsid w:val="002F36AE"/>
    <w:rsid w:val="002F3B67"/>
    <w:rsid w:val="002F3E6B"/>
    <w:rsid w:val="002F3F5F"/>
    <w:rsid w:val="002F4188"/>
    <w:rsid w:val="002F4301"/>
    <w:rsid w:val="002F447F"/>
    <w:rsid w:val="002F483C"/>
    <w:rsid w:val="002F49B0"/>
    <w:rsid w:val="002F5139"/>
    <w:rsid w:val="002F514F"/>
    <w:rsid w:val="002F56F8"/>
    <w:rsid w:val="002F579F"/>
    <w:rsid w:val="002F5C1E"/>
    <w:rsid w:val="002F5E31"/>
    <w:rsid w:val="002F6AB1"/>
    <w:rsid w:val="002F6CC6"/>
    <w:rsid w:val="002F6EF0"/>
    <w:rsid w:val="002F7035"/>
    <w:rsid w:val="002F730E"/>
    <w:rsid w:val="002F73AF"/>
    <w:rsid w:val="002F753B"/>
    <w:rsid w:val="002F79DE"/>
    <w:rsid w:val="002F7EE7"/>
    <w:rsid w:val="002F7F12"/>
    <w:rsid w:val="002F7FBE"/>
    <w:rsid w:val="003001E5"/>
    <w:rsid w:val="00300484"/>
    <w:rsid w:val="003005AE"/>
    <w:rsid w:val="003007C9"/>
    <w:rsid w:val="00300842"/>
    <w:rsid w:val="00300880"/>
    <w:rsid w:val="00300A95"/>
    <w:rsid w:val="003011C5"/>
    <w:rsid w:val="0030125C"/>
    <w:rsid w:val="0030146B"/>
    <w:rsid w:val="00301532"/>
    <w:rsid w:val="0030157F"/>
    <w:rsid w:val="003015DA"/>
    <w:rsid w:val="00301623"/>
    <w:rsid w:val="003017B3"/>
    <w:rsid w:val="00301906"/>
    <w:rsid w:val="00301A32"/>
    <w:rsid w:val="00301E86"/>
    <w:rsid w:val="00301EB7"/>
    <w:rsid w:val="0030227E"/>
    <w:rsid w:val="003023F3"/>
    <w:rsid w:val="003026B8"/>
    <w:rsid w:val="0030287D"/>
    <w:rsid w:val="00302B03"/>
    <w:rsid w:val="00302B2A"/>
    <w:rsid w:val="00302F32"/>
    <w:rsid w:val="0030312B"/>
    <w:rsid w:val="003036A6"/>
    <w:rsid w:val="00303711"/>
    <w:rsid w:val="00303A93"/>
    <w:rsid w:val="00303E80"/>
    <w:rsid w:val="00303F81"/>
    <w:rsid w:val="00304013"/>
    <w:rsid w:val="0030439B"/>
    <w:rsid w:val="003047DE"/>
    <w:rsid w:val="0030492B"/>
    <w:rsid w:val="00304A99"/>
    <w:rsid w:val="00304AE1"/>
    <w:rsid w:val="00304DEC"/>
    <w:rsid w:val="00304F10"/>
    <w:rsid w:val="0030500D"/>
    <w:rsid w:val="0030526E"/>
    <w:rsid w:val="00305467"/>
    <w:rsid w:val="003055CF"/>
    <w:rsid w:val="00306106"/>
    <w:rsid w:val="00306FBD"/>
    <w:rsid w:val="0030746B"/>
    <w:rsid w:val="003077B9"/>
    <w:rsid w:val="003077E2"/>
    <w:rsid w:val="00310375"/>
    <w:rsid w:val="003103E4"/>
    <w:rsid w:val="0031049F"/>
    <w:rsid w:val="0031099F"/>
    <w:rsid w:val="00310C7F"/>
    <w:rsid w:val="00310FE0"/>
    <w:rsid w:val="0031120F"/>
    <w:rsid w:val="00311976"/>
    <w:rsid w:val="0031205A"/>
    <w:rsid w:val="003127BA"/>
    <w:rsid w:val="00312BF6"/>
    <w:rsid w:val="00312E5E"/>
    <w:rsid w:val="00312EF0"/>
    <w:rsid w:val="0031332F"/>
    <w:rsid w:val="00313B65"/>
    <w:rsid w:val="00314236"/>
    <w:rsid w:val="003144E0"/>
    <w:rsid w:val="00314556"/>
    <w:rsid w:val="00314652"/>
    <w:rsid w:val="003149A2"/>
    <w:rsid w:val="00314E67"/>
    <w:rsid w:val="00314F0A"/>
    <w:rsid w:val="00315020"/>
    <w:rsid w:val="00315021"/>
    <w:rsid w:val="0031551D"/>
    <w:rsid w:val="0031575B"/>
    <w:rsid w:val="00315BB4"/>
    <w:rsid w:val="00316D70"/>
    <w:rsid w:val="00316E1E"/>
    <w:rsid w:val="00316FB6"/>
    <w:rsid w:val="003171D8"/>
    <w:rsid w:val="00317521"/>
    <w:rsid w:val="003177C9"/>
    <w:rsid w:val="00317B23"/>
    <w:rsid w:val="0032002C"/>
    <w:rsid w:val="00320113"/>
    <w:rsid w:val="00320468"/>
    <w:rsid w:val="003206D1"/>
    <w:rsid w:val="00320C05"/>
    <w:rsid w:val="0032127D"/>
    <w:rsid w:val="003215C1"/>
    <w:rsid w:val="00321AF3"/>
    <w:rsid w:val="00321EE1"/>
    <w:rsid w:val="00321F35"/>
    <w:rsid w:val="003223B4"/>
    <w:rsid w:val="00322A8E"/>
    <w:rsid w:val="003230FB"/>
    <w:rsid w:val="00323125"/>
    <w:rsid w:val="003239A4"/>
    <w:rsid w:val="00323D9F"/>
    <w:rsid w:val="00323DF4"/>
    <w:rsid w:val="003241B4"/>
    <w:rsid w:val="00324331"/>
    <w:rsid w:val="003246A1"/>
    <w:rsid w:val="003247D2"/>
    <w:rsid w:val="00324D2C"/>
    <w:rsid w:val="00324EBC"/>
    <w:rsid w:val="00324FD6"/>
    <w:rsid w:val="003252AD"/>
    <w:rsid w:val="0032531C"/>
    <w:rsid w:val="00325573"/>
    <w:rsid w:val="003262A0"/>
    <w:rsid w:val="00326897"/>
    <w:rsid w:val="003268D7"/>
    <w:rsid w:val="00326C0D"/>
    <w:rsid w:val="0032701C"/>
    <w:rsid w:val="00327070"/>
    <w:rsid w:val="0032722E"/>
    <w:rsid w:val="0032739E"/>
    <w:rsid w:val="00327536"/>
    <w:rsid w:val="00327831"/>
    <w:rsid w:val="00327841"/>
    <w:rsid w:val="0032786A"/>
    <w:rsid w:val="00327A8B"/>
    <w:rsid w:val="00327B06"/>
    <w:rsid w:val="00327D3E"/>
    <w:rsid w:val="00330163"/>
    <w:rsid w:val="00331764"/>
    <w:rsid w:val="003318E4"/>
    <w:rsid w:val="003319B3"/>
    <w:rsid w:val="00331A95"/>
    <w:rsid w:val="00331C09"/>
    <w:rsid w:val="003321B5"/>
    <w:rsid w:val="003328F6"/>
    <w:rsid w:val="00332B91"/>
    <w:rsid w:val="00332BB4"/>
    <w:rsid w:val="0033308F"/>
    <w:rsid w:val="00333519"/>
    <w:rsid w:val="003335C7"/>
    <w:rsid w:val="003336F7"/>
    <w:rsid w:val="00333BD6"/>
    <w:rsid w:val="003343D4"/>
    <w:rsid w:val="00334414"/>
    <w:rsid w:val="00334863"/>
    <w:rsid w:val="00334B09"/>
    <w:rsid w:val="00334E94"/>
    <w:rsid w:val="0033505E"/>
    <w:rsid w:val="003351B6"/>
    <w:rsid w:val="00335415"/>
    <w:rsid w:val="003356D5"/>
    <w:rsid w:val="00335FA8"/>
    <w:rsid w:val="003364C0"/>
    <w:rsid w:val="003365AD"/>
    <w:rsid w:val="00336D09"/>
    <w:rsid w:val="00337488"/>
    <w:rsid w:val="003375EA"/>
    <w:rsid w:val="003377A6"/>
    <w:rsid w:val="00337C28"/>
    <w:rsid w:val="00337CA9"/>
    <w:rsid w:val="00337CD3"/>
    <w:rsid w:val="003404D8"/>
    <w:rsid w:val="00340703"/>
    <w:rsid w:val="00340B78"/>
    <w:rsid w:val="00341023"/>
    <w:rsid w:val="003410E1"/>
    <w:rsid w:val="00341139"/>
    <w:rsid w:val="0034140C"/>
    <w:rsid w:val="00341AD0"/>
    <w:rsid w:val="00341BBB"/>
    <w:rsid w:val="00341CEE"/>
    <w:rsid w:val="00341D0E"/>
    <w:rsid w:val="00341E4C"/>
    <w:rsid w:val="00341F2D"/>
    <w:rsid w:val="00342073"/>
    <w:rsid w:val="0034211E"/>
    <w:rsid w:val="00342286"/>
    <w:rsid w:val="003426F7"/>
    <w:rsid w:val="0034279D"/>
    <w:rsid w:val="003429E8"/>
    <w:rsid w:val="0034375E"/>
    <w:rsid w:val="00343AD0"/>
    <w:rsid w:val="00343CC7"/>
    <w:rsid w:val="00343DAB"/>
    <w:rsid w:val="003446F9"/>
    <w:rsid w:val="00344876"/>
    <w:rsid w:val="00344B38"/>
    <w:rsid w:val="00344C55"/>
    <w:rsid w:val="00344E3C"/>
    <w:rsid w:val="00345AE0"/>
    <w:rsid w:val="00345D7E"/>
    <w:rsid w:val="0034666C"/>
    <w:rsid w:val="00346720"/>
    <w:rsid w:val="00346C66"/>
    <w:rsid w:val="00347064"/>
    <w:rsid w:val="00347256"/>
    <w:rsid w:val="00347315"/>
    <w:rsid w:val="0034766F"/>
    <w:rsid w:val="003477F2"/>
    <w:rsid w:val="003479E8"/>
    <w:rsid w:val="00347DAE"/>
    <w:rsid w:val="00350303"/>
    <w:rsid w:val="0035038C"/>
    <w:rsid w:val="003506CC"/>
    <w:rsid w:val="0035095D"/>
    <w:rsid w:val="00350C05"/>
    <w:rsid w:val="00350CFE"/>
    <w:rsid w:val="00351122"/>
    <w:rsid w:val="00351130"/>
    <w:rsid w:val="003511AD"/>
    <w:rsid w:val="003513E7"/>
    <w:rsid w:val="0035177C"/>
    <w:rsid w:val="00352062"/>
    <w:rsid w:val="003521A6"/>
    <w:rsid w:val="003525DD"/>
    <w:rsid w:val="00352775"/>
    <w:rsid w:val="003533AB"/>
    <w:rsid w:val="003536AB"/>
    <w:rsid w:val="00354140"/>
    <w:rsid w:val="003544A2"/>
    <w:rsid w:val="00354909"/>
    <w:rsid w:val="0035491F"/>
    <w:rsid w:val="0035499E"/>
    <w:rsid w:val="00354B48"/>
    <w:rsid w:val="00354E68"/>
    <w:rsid w:val="003557A4"/>
    <w:rsid w:val="00355C34"/>
    <w:rsid w:val="00355DC6"/>
    <w:rsid w:val="00355E58"/>
    <w:rsid w:val="00355F47"/>
    <w:rsid w:val="0035606C"/>
    <w:rsid w:val="00356F60"/>
    <w:rsid w:val="00357955"/>
    <w:rsid w:val="00357AAF"/>
    <w:rsid w:val="00357B99"/>
    <w:rsid w:val="00357C7E"/>
    <w:rsid w:val="00357D91"/>
    <w:rsid w:val="0036010F"/>
    <w:rsid w:val="00360B6B"/>
    <w:rsid w:val="00360BCC"/>
    <w:rsid w:val="00360BF1"/>
    <w:rsid w:val="00360EE8"/>
    <w:rsid w:val="0036115D"/>
    <w:rsid w:val="0036169A"/>
    <w:rsid w:val="003618A4"/>
    <w:rsid w:val="00362178"/>
    <w:rsid w:val="00362190"/>
    <w:rsid w:val="0036228F"/>
    <w:rsid w:val="00362373"/>
    <w:rsid w:val="00362602"/>
    <w:rsid w:val="003626F8"/>
    <w:rsid w:val="00362876"/>
    <w:rsid w:val="0036302C"/>
    <w:rsid w:val="00363030"/>
    <w:rsid w:val="003633CF"/>
    <w:rsid w:val="00363694"/>
    <w:rsid w:val="00363828"/>
    <w:rsid w:val="00363A3E"/>
    <w:rsid w:val="00363D3D"/>
    <w:rsid w:val="00363FDA"/>
    <w:rsid w:val="00363FDC"/>
    <w:rsid w:val="003642D8"/>
    <w:rsid w:val="003643A0"/>
    <w:rsid w:val="003644C7"/>
    <w:rsid w:val="00364BF3"/>
    <w:rsid w:val="00365895"/>
    <w:rsid w:val="00365D7A"/>
    <w:rsid w:val="00365EA7"/>
    <w:rsid w:val="00366008"/>
    <w:rsid w:val="00366580"/>
    <w:rsid w:val="0036691E"/>
    <w:rsid w:val="00366B1A"/>
    <w:rsid w:val="00366E84"/>
    <w:rsid w:val="00366FD3"/>
    <w:rsid w:val="00367718"/>
    <w:rsid w:val="00367F44"/>
    <w:rsid w:val="00370434"/>
    <w:rsid w:val="00370B50"/>
    <w:rsid w:val="00370BBE"/>
    <w:rsid w:val="00370C4B"/>
    <w:rsid w:val="00370FE8"/>
    <w:rsid w:val="0037145A"/>
    <w:rsid w:val="00371625"/>
    <w:rsid w:val="00371A5A"/>
    <w:rsid w:val="00371DD0"/>
    <w:rsid w:val="0037213A"/>
    <w:rsid w:val="003726E4"/>
    <w:rsid w:val="003728E6"/>
    <w:rsid w:val="00372A69"/>
    <w:rsid w:val="00372B9C"/>
    <w:rsid w:val="00372EF3"/>
    <w:rsid w:val="00372FB5"/>
    <w:rsid w:val="003731C0"/>
    <w:rsid w:val="00373912"/>
    <w:rsid w:val="00373B44"/>
    <w:rsid w:val="00373F03"/>
    <w:rsid w:val="003745A9"/>
    <w:rsid w:val="00374FB0"/>
    <w:rsid w:val="0037516E"/>
    <w:rsid w:val="003753BD"/>
    <w:rsid w:val="003757A5"/>
    <w:rsid w:val="0037595B"/>
    <w:rsid w:val="00375D06"/>
    <w:rsid w:val="00376106"/>
    <w:rsid w:val="00376776"/>
    <w:rsid w:val="00376A62"/>
    <w:rsid w:val="00376BD3"/>
    <w:rsid w:val="00376C11"/>
    <w:rsid w:val="00376CCC"/>
    <w:rsid w:val="00376DEF"/>
    <w:rsid w:val="00377080"/>
    <w:rsid w:val="0037744C"/>
    <w:rsid w:val="00377478"/>
    <w:rsid w:val="003777B3"/>
    <w:rsid w:val="0037781F"/>
    <w:rsid w:val="00377BF4"/>
    <w:rsid w:val="003802E8"/>
    <w:rsid w:val="00380720"/>
    <w:rsid w:val="003807BB"/>
    <w:rsid w:val="00381539"/>
    <w:rsid w:val="00381AF1"/>
    <w:rsid w:val="00382A2D"/>
    <w:rsid w:val="00382E20"/>
    <w:rsid w:val="0038317C"/>
    <w:rsid w:val="00383280"/>
    <w:rsid w:val="00383A4C"/>
    <w:rsid w:val="00383ADA"/>
    <w:rsid w:val="00383AFB"/>
    <w:rsid w:val="00383ECC"/>
    <w:rsid w:val="00383FF7"/>
    <w:rsid w:val="00384814"/>
    <w:rsid w:val="00384823"/>
    <w:rsid w:val="003848A0"/>
    <w:rsid w:val="003851BD"/>
    <w:rsid w:val="00385386"/>
    <w:rsid w:val="003853EB"/>
    <w:rsid w:val="00385425"/>
    <w:rsid w:val="00385764"/>
    <w:rsid w:val="00385A78"/>
    <w:rsid w:val="00385C65"/>
    <w:rsid w:val="00385E4A"/>
    <w:rsid w:val="00386195"/>
    <w:rsid w:val="00386542"/>
    <w:rsid w:val="00386870"/>
    <w:rsid w:val="00386E96"/>
    <w:rsid w:val="00387243"/>
    <w:rsid w:val="003873A7"/>
    <w:rsid w:val="003873ED"/>
    <w:rsid w:val="003874BB"/>
    <w:rsid w:val="00387D1C"/>
    <w:rsid w:val="00390C42"/>
    <w:rsid w:val="003911DF"/>
    <w:rsid w:val="003913F4"/>
    <w:rsid w:val="003915CA"/>
    <w:rsid w:val="00391E41"/>
    <w:rsid w:val="0039259E"/>
    <w:rsid w:val="00392BB3"/>
    <w:rsid w:val="00392BBC"/>
    <w:rsid w:val="00392C71"/>
    <w:rsid w:val="00392D8F"/>
    <w:rsid w:val="00392FDC"/>
    <w:rsid w:val="003932AF"/>
    <w:rsid w:val="00393581"/>
    <w:rsid w:val="003935CE"/>
    <w:rsid w:val="00393963"/>
    <w:rsid w:val="003939BB"/>
    <w:rsid w:val="00393A7C"/>
    <w:rsid w:val="0039445B"/>
    <w:rsid w:val="00394B2D"/>
    <w:rsid w:val="00394EE6"/>
    <w:rsid w:val="003955A8"/>
    <w:rsid w:val="0039566A"/>
    <w:rsid w:val="003957C4"/>
    <w:rsid w:val="00395FF8"/>
    <w:rsid w:val="00396D53"/>
    <w:rsid w:val="00397BFF"/>
    <w:rsid w:val="003A0018"/>
    <w:rsid w:val="003A06E6"/>
    <w:rsid w:val="003A0863"/>
    <w:rsid w:val="003A0AE3"/>
    <w:rsid w:val="003A0C28"/>
    <w:rsid w:val="003A1480"/>
    <w:rsid w:val="003A18B2"/>
    <w:rsid w:val="003A1A43"/>
    <w:rsid w:val="003A1E70"/>
    <w:rsid w:val="003A242E"/>
    <w:rsid w:val="003A25E2"/>
    <w:rsid w:val="003A2763"/>
    <w:rsid w:val="003A29A8"/>
    <w:rsid w:val="003A2A62"/>
    <w:rsid w:val="003A2D24"/>
    <w:rsid w:val="003A2D50"/>
    <w:rsid w:val="003A2EF9"/>
    <w:rsid w:val="003A3052"/>
    <w:rsid w:val="003A318F"/>
    <w:rsid w:val="003A38E7"/>
    <w:rsid w:val="003A3983"/>
    <w:rsid w:val="003A3AC2"/>
    <w:rsid w:val="003A3E9F"/>
    <w:rsid w:val="003A41C0"/>
    <w:rsid w:val="003A44DA"/>
    <w:rsid w:val="003A44E5"/>
    <w:rsid w:val="003A4924"/>
    <w:rsid w:val="003A5328"/>
    <w:rsid w:val="003A58A0"/>
    <w:rsid w:val="003A5A51"/>
    <w:rsid w:val="003A5FCD"/>
    <w:rsid w:val="003A6178"/>
    <w:rsid w:val="003A65E7"/>
    <w:rsid w:val="003A66A1"/>
    <w:rsid w:val="003A679F"/>
    <w:rsid w:val="003A6826"/>
    <w:rsid w:val="003A6976"/>
    <w:rsid w:val="003A69DD"/>
    <w:rsid w:val="003A6FA1"/>
    <w:rsid w:val="003A7BDB"/>
    <w:rsid w:val="003A7CBF"/>
    <w:rsid w:val="003B0527"/>
    <w:rsid w:val="003B0673"/>
    <w:rsid w:val="003B0DB8"/>
    <w:rsid w:val="003B0E51"/>
    <w:rsid w:val="003B1405"/>
    <w:rsid w:val="003B1843"/>
    <w:rsid w:val="003B1986"/>
    <w:rsid w:val="003B1A3E"/>
    <w:rsid w:val="003B1ACE"/>
    <w:rsid w:val="003B1C1B"/>
    <w:rsid w:val="003B1C70"/>
    <w:rsid w:val="003B1DA1"/>
    <w:rsid w:val="003B1E43"/>
    <w:rsid w:val="003B1E8B"/>
    <w:rsid w:val="003B2004"/>
    <w:rsid w:val="003B204D"/>
    <w:rsid w:val="003B2072"/>
    <w:rsid w:val="003B2138"/>
    <w:rsid w:val="003B2636"/>
    <w:rsid w:val="003B2A66"/>
    <w:rsid w:val="003B2AC7"/>
    <w:rsid w:val="003B2EAA"/>
    <w:rsid w:val="003B31C4"/>
    <w:rsid w:val="003B35B0"/>
    <w:rsid w:val="003B36B1"/>
    <w:rsid w:val="003B3D86"/>
    <w:rsid w:val="003B44C6"/>
    <w:rsid w:val="003B481D"/>
    <w:rsid w:val="003B4D2D"/>
    <w:rsid w:val="003B50C9"/>
    <w:rsid w:val="003B5160"/>
    <w:rsid w:val="003B5AC5"/>
    <w:rsid w:val="003B5CFC"/>
    <w:rsid w:val="003B6B0F"/>
    <w:rsid w:val="003B6B1D"/>
    <w:rsid w:val="003B6EB4"/>
    <w:rsid w:val="003B731C"/>
    <w:rsid w:val="003B7355"/>
    <w:rsid w:val="003B745F"/>
    <w:rsid w:val="003B761E"/>
    <w:rsid w:val="003C02E3"/>
    <w:rsid w:val="003C088B"/>
    <w:rsid w:val="003C0E42"/>
    <w:rsid w:val="003C1712"/>
    <w:rsid w:val="003C1B1F"/>
    <w:rsid w:val="003C20F6"/>
    <w:rsid w:val="003C2401"/>
    <w:rsid w:val="003C249B"/>
    <w:rsid w:val="003C2505"/>
    <w:rsid w:val="003C2658"/>
    <w:rsid w:val="003C2746"/>
    <w:rsid w:val="003C27FD"/>
    <w:rsid w:val="003C29C1"/>
    <w:rsid w:val="003C3311"/>
    <w:rsid w:val="003C3773"/>
    <w:rsid w:val="003C3C0E"/>
    <w:rsid w:val="003C3EDC"/>
    <w:rsid w:val="003C3F10"/>
    <w:rsid w:val="003C42D3"/>
    <w:rsid w:val="003C42E3"/>
    <w:rsid w:val="003C4445"/>
    <w:rsid w:val="003C47AF"/>
    <w:rsid w:val="003C4B2F"/>
    <w:rsid w:val="003C4CE2"/>
    <w:rsid w:val="003C4F9F"/>
    <w:rsid w:val="003C58A8"/>
    <w:rsid w:val="003C598B"/>
    <w:rsid w:val="003C5E57"/>
    <w:rsid w:val="003C60F1"/>
    <w:rsid w:val="003C61E9"/>
    <w:rsid w:val="003C6810"/>
    <w:rsid w:val="003C6B30"/>
    <w:rsid w:val="003C7E00"/>
    <w:rsid w:val="003C7E72"/>
    <w:rsid w:val="003C7EED"/>
    <w:rsid w:val="003D02CC"/>
    <w:rsid w:val="003D0891"/>
    <w:rsid w:val="003D0E00"/>
    <w:rsid w:val="003D1274"/>
    <w:rsid w:val="003D12A2"/>
    <w:rsid w:val="003D1469"/>
    <w:rsid w:val="003D1782"/>
    <w:rsid w:val="003D1952"/>
    <w:rsid w:val="003D1ABD"/>
    <w:rsid w:val="003D2634"/>
    <w:rsid w:val="003D2A4E"/>
    <w:rsid w:val="003D2C4B"/>
    <w:rsid w:val="003D2D79"/>
    <w:rsid w:val="003D31DF"/>
    <w:rsid w:val="003D37E5"/>
    <w:rsid w:val="003D39C1"/>
    <w:rsid w:val="003D3D42"/>
    <w:rsid w:val="003D4292"/>
    <w:rsid w:val="003D42CC"/>
    <w:rsid w:val="003D4323"/>
    <w:rsid w:val="003D4F01"/>
    <w:rsid w:val="003D4FAE"/>
    <w:rsid w:val="003D59DF"/>
    <w:rsid w:val="003D5ABB"/>
    <w:rsid w:val="003D5D30"/>
    <w:rsid w:val="003D5D89"/>
    <w:rsid w:val="003D5E0E"/>
    <w:rsid w:val="003D60E5"/>
    <w:rsid w:val="003D6474"/>
    <w:rsid w:val="003D66ED"/>
    <w:rsid w:val="003D6DAB"/>
    <w:rsid w:val="003D7101"/>
    <w:rsid w:val="003D719A"/>
    <w:rsid w:val="003D74C5"/>
    <w:rsid w:val="003D755C"/>
    <w:rsid w:val="003D75B4"/>
    <w:rsid w:val="003D77D4"/>
    <w:rsid w:val="003D7CC0"/>
    <w:rsid w:val="003D7E67"/>
    <w:rsid w:val="003E0337"/>
    <w:rsid w:val="003E1029"/>
    <w:rsid w:val="003E14D2"/>
    <w:rsid w:val="003E15FA"/>
    <w:rsid w:val="003E1B31"/>
    <w:rsid w:val="003E1D93"/>
    <w:rsid w:val="003E1FE2"/>
    <w:rsid w:val="003E2851"/>
    <w:rsid w:val="003E2A2A"/>
    <w:rsid w:val="003E2DC9"/>
    <w:rsid w:val="003E30BC"/>
    <w:rsid w:val="003E35A4"/>
    <w:rsid w:val="003E36AA"/>
    <w:rsid w:val="003E38A3"/>
    <w:rsid w:val="003E3B8B"/>
    <w:rsid w:val="003E407A"/>
    <w:rsid w:val="003E4485"/>
    <w:rsid w:val="003E46B1"/>
    <w:rsid w:val="003E4A46"/>
    <w:rsid w:val="003E4BB2"/>
    <w:rsid w:val="003E5107"/>
    <w:rsid w:val="003E59D7"/>
    <w:rsid w:val="003E59E0"/>
    <w:rsid w:val="003E5F08"/>
    <w:rsid w:val="003E5F32"/>
    <w:rsid w:val="003E6021"/>
    <w:rsid w:val="003E6303"/>
    <w:rsid w:val="003E64CC"/>
    <w:rsid w:val="003E6A55"/>
    <w:rsid w:val="003E6C16"/>
    <w:rsid w:val="003E6D51"/>
    <w:rsid w:val="003E70B2"/>
    <w:rsid w:val="003E73EB"/>
    <w:rsid w:val="003E7AA0"/>
    <w:rsid w:val="003E7B30"/>
    <w:rsid w:val="003E7C11"/>
    <w:rsid w:val="003F03FA"/>
    <w:rsid w:val="003F0FA4"/>
    <w:rsid w:val="003F1263"/>
    <w:rsid w:val="003F133A"/>
    <w:rsid w:val="003F190E"/>
    <w:rsid w:val="003F193F"/>
    <w:rsid w:val="003F1F81"/>
    <w:rsid w:val="003F2038"/>
    <w:rsid w:val="003F2363"/>
    <w:rsid w:val="003F24C0"/>
    <w:rsid w:val="003F283D"/>
    <w:rsid w:val="003F2A2D"/>
    <w:rsid w:val="003F2B64"/>
    <w:rsid w:val="003F2E1B"/>
    <w:rsid w:val="003F2FDB"/>
    <w:rsid w:val="003F305E"/>
    <w:rsid w:val="003F3136"/>
    <w:rsid w:val="003F3284"/>
    <w:rsid w:val="003F398C"/>
    <w:rsid w:val="003F3A60"/>
    <w:rsid w:val="003F3B06"/>
    <w:rsid w:val="003F3C11"/>
    <w:rsid w:val="003F4106"/>
    <w:rsid w:val="003F4A24"/>
    <w:rsid w:val="003F4D6D"/>
    <w:rsid w:val="003F4DAD"/>
    <w:rsid w:val="003F4E0F"/>
    <w:rsid w:val="003F5305"/>
    <w:rsid w:val="003F54BC"/>
    <w:rsid w:val="003F5671"/>
    <w:rsid w:val="003F5788"/>
    <w:rsid w:val="003F5CC2"/>
    <w:rsid w:val="003F5CE6"/>
    <w:rsid w:val="003F5E2A"/>
    <w:rsid w:val="003F604A"/>
    <w:rsid w:val="003F69C7"/>
    <w:rsid w:val="003F6A39"/>
    <w:rsid w:val="003F7253"/>
    <w:rsid w:val="003F7325"/>
    <w:rsid w:val="003F7680"/>
    <w:rsid w:val="003F7AFC"/>
    <w:rsid w:val="003F7C73"/>
    <w:rsid w:val="003F7E27"/>
    <w:rsid w:val="003F7E6E"/>
    <w:rsid w:val="003F7F58"/>
    <w:rsid w:val="00400146"/>
    <w:rsid w:val="00400779"/>
    <w:rsid w:val="0040161E"/>
    <w:rsid w:val="00401AD1"/>
    <w:rsid w:val="00401E26"/>
    <w:rsid w:val="0040211E"/>
    <w:rsid w:val="00402696"/>
    <w:rsid w:val="004029BE"/>
    <w:rsid w:val="00402BED"/>
    <w:rsid w:val="00402C52"/>
    <w:rsid w:val="00402C5C"/>
    <w:rsid w:val="00402F03"/>
    <w:rsid w:val="00403011"/>
    <w:rsid w:val="00403099"/>
    <w:rsid w:val="004032DA"/>
    <w:rsid w:val="004033B0"/>
    <w:rsid w:val="004033C1"/>
    <w:rsid w:val="00403889"/>
    <w:rsid w:val="00404158"/>
    <w:rsid w:val="00404DC7"/>
    <w:rsid w:val="00405064"/>
    <w:rsid w:val="00405218"/>
    <w:rsid w:val="004054E4"/>
    <w:rsid w:val="00405629"/>
    <w:rsid w:val="004058AC"/>
    <w:rsid w:val="00405C40"/>
    <w:rsid w:val="00405D85"/>
    <w:rsid w:val="004061AF"/>
    <w:rsid w:val="00406C9A"/>
    <w:rsid w:val="004070E4"/>
    <w:rsid w:val="00407160"/>
    <w:rsid w:val="0040747D"/>
    <w:rsid w:val="004074A2"/>
    <w:rsid w:val="004076EA"/>
    <w:rsid w:val="004077BD"/>
    <w:rsid w:val="004101A8"/>
    <w:rsid w:val="00410208"/>
    <w:rsid w:val="004104C9"/>
    <w:rsid w:val="00410F12"/>
    <w:rsid w:val="00412B33"/>
    <w:rsid w:val="00412D79"/>
    <w:rsid w:val="00413416"/>
    <w:rsid w:val="00413763"/>
    <w:rsid w:val="0041379D"/>
    <w:rsid w:val="00413B5A"/>
    <w:rsid w:val="00414021"/>
    <w:rsid w:val="00414317"/>
    <w:rsid w:val="00414428"/>
    <w:rsid w:val="004146E8"/>
    <w:rsid w:val="00414D07"/>
    <w:rsid w:val="00414EBA"/>
    <w:rsid w:val="00415234"/>
    <w:rsid w:val="0041531F"/>
    <w:rsid w:val="004157FA"/>
    <w:rsid w:val="004159DE"/>
    <w:rsid w:val="00415C8C"/>
    <w:rsid w:val="00416387"/>
    <w:rsid w:val="004164C9"/>
    <w:rsid w:val="0041661D"/>
    <w:rsid w:val="00416BEE"/>
    <w:rsid w:val="00416F34"/>
    <w:rsid w:val="0041745F"/>
    <w:rsid w:val="0041765E"/>
    <w:rsid w:val="0041786C"/>
    <w:rsid w:val="00417B73"/>
    <w:rsid w:val="00420155"/>
    <w:rsid w:val="004203D2"/>
    <w:rsid w:val="0042053E"/>
    <w:rsid w:val="00420915"/>
    <w:rsid w:val="0042105D"/>
    <w:rsid w:val="0042107C"/>
    <w:rsid w:val="004211A4"/>
    <w:rsid w:val="0042164F"/>
    <w:rsid w:val="00421824"/>
    <w:rsid w:val="00421A14"/>
    <w:rsid w:val="00421D07"/>
    <w:rsid w:val="00421F19"/>
    <w:rsid w:val="00422371"/>
    <w:rsid w:val="00422705"/>
    <w:rsid w:val="00422749"/>
    <w:rsid w:val="00422801"/>
    <w:rsid w:val="00422900"/>
    <w:rsid w:val="0042306A"/>
    <w:rsid w:val="00423136"/>
    <w:rsid w:val="0042388F"/>
    <w:rsid w:val="00423E20"/>
    <w:rsid w:val="00424071"/>
    <w:rsid w:val="0042432A"/>
    <w:rsid w:val="00424366"/>
    <w:rsid w:val="00424709"/>
    <w:rsid w:val="00424AD9"/>
    <w:rsid w:val="00424B5F"/>
    <w:rsid w:val="00424FDA"/>
    <w:rsid w:val="00425224"/>
    <w:rsid w:val="0042539A"/>
    <w:rsid w:val="004254B3"/>
    <w:rsid w:val="0042551E"/>
    <w:rsid w:val="00425593"/>
    <w:rsid w:val="00425B0A"/>
    <w:rsid w:val="00425F9A"/>
    <w:rsid w:val="00426021"/>
    <w:rsid w:val="004264C3"/>
    <w:rsid w:val="00426719"/>
    <w:rsid w:val="004267E2"/>
    <w:rsid w:val="00426D65"/>
    <w:rsid w:val="00427239"/>
    <w:rsid w:val="0042743A"/>
    <w:rsid w:val="004275B3"/>
    <w:rsid w:val="00427D18"/>
    <w:rsid w:val="00427D57"/>
    <w:rsid w:val="0043004A"/>
    <w:rsid w:val="0043051E"/>
    <w:rsid w:val="004308B3"/>
    <w:rsid w:val="00430B20"/>
    <w:rsid w:val="00430CA4"/>
    <w:rsid w:val="00430CEB"/>
    <w:rsid w:val="004318BA"/>
    <w:rsid w:val="00431D20"/>
    <w:rsid w:val="00431DD6"/>
    <w:rsid w:val="00431ED5"/>
    <w:rsid w:val="004322ED"/>
    <w:rsid w:val="00432618"/>
    <w:rsid w:val="004330DB"/>
    <w:rsid w:val="00433341"/>
    <w:rsid w:val="00433578"/>
    <w:rsid w:val="004336AD"/>
    <w:rsid w:val="00433BF6"/>
    <w:rsid w:val="0043408C"/>
    <w:rsid w:val="00434338"/>
    <w:rsid w:val="00434717"/>
    <w:rsid w:val="00434F94"/>
    <w:rsid w:val="0043512B"/>
    <w:rsid w:val="00435624"/>
    <w:rsid w:val="004357E9"/>
    <w:rsid w:val="00435997"/>
    <w:rsid w:val="00435CA6"/>
    <w:rsid w:val="00435EB9"/>
    <w:rsid w:val="00435F72"/>
    <w:rsid w:val="004360E4"/>
    <w:rsid w:val="0043617C"/>
    <w:rsid w:val="004361BA"/>
    <w:rsid w:val="004364D4"/>
    <w:rsid w:val="004367BF"/>
    <w:rsid w:val="00436FA9"/>
    <w:rsid w:val="004371C6"/>
    <w:rsid w:val="00437918"/>
    <w:rsid w:val="00437B38"/>
    <w:rsid w:val="00440015"/>
    <w:rsid w:val="004402B8"/>
    <w:rsid w:val="004405A2"/>
    <w:rsid w:val="004405DC"/>
    <w:rsid w:val="0044083C"/>
    <w:rsid w:val="0044086D"/>
    <w:rsid w:val="00441031"/>
    <w:rsid w:val="004414D5"/>
    <w:rsid w:val="0044169B"/>
    <w:rsid w:val="00441B46"/>
    <w:rsid w:val="00441B69"/>
    <w:rsid w:val="00441C3F"/>
    <w:rsid w:val="00441CD3"/>
    <w:rsid w:val="004425B8"/>
    <w:rsid w:val="004428B8"/>
    <w:rsid w:val="00442C7E"/>
    <w:rsid w:val="00442DA1"/>
    <w:rsid w:val="0044303A"/>
    <w:rsid w:val="004430B5"/>
    <w:rsid w:val="004434E7"/>
    <w:rsid w:val="004437F3"/>
    <w:rsid w:val="004438F0"/>
    <w:rsid w:val="0044392C"/>
    <w:rsid w:val="00443ECC"/>
    <w:rsid w:val="00444634"/>
    <w:rsid w:val="0044494D"/>
    <w:rsid w:val="00444BB9"/>
    <w:rsid w:val="004450F7"/>
    <w:rsid w:val="00445172"/>
    <w:rsid w:val="00445631"/>
    <w:rsid w:val="00445E1B"/>
    <w:rsid w:val="00445EEB"/>
    <w:rsid w:val="0044601E"/>
    <w:rsid w:val="004464BC"/>
    <w:rsid w:val="00446786"/>
    <w:rsid w:val="00446A02"/>
    <w:rsid w:val="00446B03"/>
    <w:rsid w:val="00446B27"/>
    <w:rsid w:val="00446EEB"/>
    <w:rsid w:val="00447350"/>
    <w:rsid w:val="00447479"/>
    <w:rsid w:val="00447AC4"/>
    <w:rsid w:val="00450077"/>
    <w:rsid w:val="00450374"/>
    <w:rsid w:val="0045051D"/>
    <w:rsid w:val="004506A9"/>
    <w:rsid w:val="004508A6"/>
    <w:rsid w:val="004508EB"/>
    <w:rsid w:val="00450BA7"/>
    <w:rsid w:val="00450C69"/>
    <w:rsid w:val="00450D83"/>
    <w:rsid w:val="00450E3D"/>
    <w:rsid w:val="00451008"/>
    <w:rsid w:val="004510B8"/>
    <w:rsid w:val="004512B2"/>
    <w:rsid w:val="004518B7"/>
    <w:rsid w:val="00451958"/>
    <w:rsid w:val="00451AFE"/>
    <w:rsid w:val="004522AF"/>
    <w:rsid w:val="00452883"/>
    <w:rsid w:val="00452948"/>
    <w:rsid w:val="00452A27"/>
    <w:rsid w:val="00453212"/>
    <w:rsid w:val="00453265"/>
    <w:rsid w:val="004532F4"/>
    <w:rsid w:val="004532FB"/>
    <w:rsid w:val="0045340A"/>
    <w:rsid w:val="00453BC2"/>
    <w:rsid w:val="00453D32"/>
    <w:rsid w:val="0045404F"/>
    <w:rsid w:val="004541AF"/>
    <w:rsid w:val="004546D2"/>
    <w:rsid w:val="00454A1E"/>
    <w:rsid w:val="0045508E"/>
    <w:rsid w:val="0045520D"/>
    <w:rsid w:val="00455365"/>
    <w:rsid w:val="0045579F"/>
    <w:rsid w:val="00455991"/>
    <w:rsid w:val="004559A0"/>
    <w:rsid w:val="00455A49"/>
    <w:rsid w:val="00455B6F"/>
    <w:rsid w:val="00455B7C"/>
    <w:rsid w:val="00455E7C"/>
    <w:rsid w:val="0045602F"/>
    <w:rsid w:val="00456387"/>
    <w:rsid w:val="0045665D"/>
    <w:rsid w:val="0045681C"/>
    <w:rsid w:val="00456ADA"/>
    <w:rsid w:val="00456F84"/>
    <w:rsid w:val="004570B0"/>
    <w:rsid w:val="00457620"/>
    <w:rsid w:val="00457D12"/>
    <w:rsid w:val="004605AD"/>
    <w:rsid w:val="00460928"/>
    <w:rsid w:val="00460F5D"/>
    <w:rsid w:val="004616EE"/>
    <w:rsid w:val="00461F7C"/>
    <w:rsid w:val="00462105"/>
    <w:rsid w:val="00462294"/>
    <w:rsid w:val="004623F3"/>
    <w:rsid w:val="004631FE"/>
    <w:rsid w:val="00463221"/>
    <w:rsid w:val="004637BD"/>
    <w:rsid w:val="00463B16"/>
    <w:rsid w:val="0046410A"/>
    <w:rsid w:val="00464465"/>
    <w:rsid w:val="004648FD"/>
    <w:rsid w:val="00464DAA"/>
    <w:rsid w:val="004652BC"/>
    <w:rsid w:val="004652D4"/>
    <w:rsid w:val="004652F3"/>
    <w:rsid w:val="00465458"/>
    <w:rsid w:val="00465552"/>
    <w:rsid w:val="004656D0"/>
    <w:rsid w:val="00465CF5"/>
    <w:rsid w:val="00465D99"/>
    <w:rsid w:val="00465E35"/>
    <w:rsid w:val="00465EA1"/>
    <w:rsid w:val="00466029"/>
    <w:rsid w:val="004660AC"/>
    <w:rsid w:val="004663A2"/>
    <w:rsid w:val="0046642A"/>
    <w:rsid w:val="00466721"/>
    <w:rsid w:val="00466982"/>
    <w:rsid w:val="00466A86"/>
    <w:rsid w:val="00466B98"/>
    <w:rsid w:val="00467169"/>
    <w:rsid w:val="004672F7"/>
    <w:rsid w:val="004677EA"/>
    <w:rsid w:val="00467823"/>
    <w:rsid w:val="00467E63"/>
    <w:rsid w:val="00467EE4"/>
    <w:rsid w:val="00470562"/>
    <w:rsid w:val="0047062B"/>
    <w:rsid w:val="004709AC"/>
    <w:rsid w:val="00470F69"/>
    <w:rsid w:val="004713A3"/>
    <w:rsid w:val="0047159D"/>
    <w:rsid w:val="00471CCB"/>
    <w:rsid w:val="00471E23"/>
    <w:rsid w:val="00471F30"/>
    <w:rsid w:val="004726FA"/>
    <w:rsid w:val="00472A5D"/>
    <w:rsid w:val="00472A7F"/>
    <w:rsid w:val="00472C23"/>
    <w:rsid w:val="004731F7"/>
    <w:rsid w:val="00473639"/>
    <w:rsid w:val="004736D0"/>
    <w:rsid w:val="00473A09"/>
    <w:rsid w:val="00473BCF"/>
    <w:rsid w:val="00473F5A"/>
    <w:rsid w:val="00474CDA"/>
    <w:rsid w:val="00474D0F"/>
    <w:rsid w:val="00475417"/>
    <w:rsid w:val="00475567"/>
    <w:rsid w:val="0047557E"/>
    <w:rsid w:val="00475730"/>
    <w:rsid w:val="00475AC8"/>
    <w:rsid w:val="00475B6F"/>
    <w:rsid w:val="00475B77"/>
    <w:rsid w:val="00475F29"/>
    <w:rsid w:val="00475FA1"/>
    <w:rsid w:val="0047623E"/>
    <w:rsid w:val="00476283"/>
    <w:rsid w:val="004762D2"/>
    <w:rsid w:val="00476333"/>
    <w:rsid w:val="00476807"/>
    <w:rsid w:val="00476B0F"/>
    <w:rsid w:val="00476C1A"/>
    <w:rsid w:val="00476CF3"/>
    <w:rsid w:val="00476E02"/>
    <w:rsid w:val="00477B8A"/>
    <w:rsid w:val="00480429"/>
    <w:rsid w:val="00480A7C"/>
    <w:rsid w:val="00480DFD"/>
    <w:rsid w:val="004810EA"/>
    <w:rsid w:val="00481BF2"/>
    <w:rsid w:val="00481EAF"/>
    <w:rsid w:val="00482139"/>
    <w:rsid w:val="004821A5"/>
    <w:rsid w:val="004826A5"/>
    <w:rsid w:val="004829A6"/>
    <w:rsid w:val="00482F05"/>
    <w:rsid w:val="00482FC5"/>
    <w:rsid w:val="00483235"/>
    <w:rsid w:val="004834C7"/>
    <w:rsid w:val="00483910"/>
    <w:rsid w:val="00483C1B"/>
    <w:rsid w:val="00483EEF"/>
    <w:rsid w:val="004840FC"/>
    <w:rsid w:val="00484272"/>
    <w:rsid w:val="00484377"/>
    <w:rsid w:val="00484836"/>
    <w:rsid w:val="00484C70"/>
    <w:rsid w:val="0048533D"/>
    <w:rsid w:val="00485679"/>
    <w:rsid w:val="0048584B"/>
    <w:rsid w:val="004858AC"/>
    <w:rsid w:val="00485AB0"/>
    <w:rsid w:val="00485C3A"/>
    <w:rsid w:val="00485C6F"/>
    <w:rsid w:val="00485F84"/>
    <w:rsid w:val="0048739A"/>
    <w:rsid w:val="004878BB"/>
    <w:rsid w:val="00487AEC"/>
    <w:rsid w:val="00487BA2"/>
    <w:rsid w:val="00487D94"/>
    <w:rsid w:val="00487F84"/>
    <w:rsid w:val="00487FBF"/>
    <w:rsid w:val="00490031"/>
    <w:rsid w:val="004906AA"/>
    <w:rsid w:val="00490EED"/>
    <w:rsid w:val="00491BED"/>
    <w:rsid w:val="00491CD8"/>
    <w:rsid w:val="00491CFB"/>
    <w:rsid w:val="0049208C"/>
    <w:rsid w:val="0049215B"/>
    <w:rsid w:val="0049272E"/>
    <w:rsid w:val="004929D1"/>
    <w:rsid w:val="00492C15"/>
    <w:rsid w:val="00492C63"/>
    <w:rsid w:val="0049335F"/>
    <w:rsid w:val="00493987"/>
    <w:rsid w:val="00493C16"/>
    <w:rsid w:val="00493E81"/>
    <w:rsid w:val="004940A8"/>
    <w:rsid w:val="00494678"/>
    <w:rsid w:val="004947EF"/>
    <w:rsid w:val="00494E6D"/>
    <w:rsid w:val="0049563F"/>
    <w:rsid w:val="004957DA"/>
    <w:rsid w:val="00495FCF"/>
    <w:rsid w:val="00496AC7"/>
    <w:rsid w:val="00496D95"/>
    <w:rsid w:val="0049702B"/>
    <w:rsid w:val="00497113"/>
    <w:rsid w:val="0049715B"/>
    <w:rsid w:val="00497171"/>
    <w:rsid w:val="00497359"/>
    <w:rsid w:val="00497566"/>
    <w:rsid w:val="00497992"/>
    <w:rsid w:val="00497BFC"/>
    <w:rsid w:val="00497C35"/>
    <w:rsid w:val="00497DCD"/>
    <w:rsid w:val="004A0254"/>
    <w:rsid w:val="004A0554"/>
    <w:rsid w:val="004A0805"/>
    <w:rsid w:val="004A0BF0"/>
    <w:rsid w:val="004A1138"/>
    <w:rsid w:val="004A1687"/>
    <w:rsid w:val="004A191D"/>
    <w:rsid w:val="004A1969"/>
    <w:rsid w:val="004A2349"/>
    <w:rsid w:val="004A2702"/>
    <w:rsid w:val="004A2870"/>
    <w:rsid w:val="004A29E1"/>
    <w:rsid w:val="004A2BB9"/>
    <w:rsid w:val="004A2D36"/>
    <w:rsid w:val="004A30A3"/>
    <w:rsid w:val="004A34F0"/>
    <w:rsid w:val="004A3A21"/>
    <w:rsid w:val="004A3BCB"/>
    <w:rsid w:val="004A3DB0"/>
    <w:rsid w:val="004A4053"/>
    <w:rsid w:val="004A4327"/>
    <w:rsid w:val="004A47EA"/>
    <w:rsid w:val="004A489D"/>
    <w:rsid w:val="004A4967"/>
    <w:rsid w:val="004A505B"/>
    <w:rsid w:val="004A524C"/>
    <w:rsid w:val="004A5656"/>
    <w:rsid w:val="004A5A2A"/>
    <w:rsid w:val="004A5AAA"/>
    <w:rsid w:val="004A5BE9"/>
    <w:rsid w:val="004A5FFD"/>
    <w:rsid w:val="004A669A"/>
    <w:rsid w:val="004A673F"/>
    <w:rsid w:val="004A689F"/>
    <w:rsid w:val="004A68D0"/>
    <w:rsid w:val="004A7182"/>
    <w:rsid w:val="004A7378"/>
    <w:rsid w:val="004A74B3"/>
    <w:rsid w:val="004A7C0E"/>
    <w:rsid w:val="004A7E21"/>
    <w:rsid w:val="004B01D7"/>
    <w:rsid w:val="004B039E"/>
    <w:rsid w:val="004B04BE"/>
    <w:rsid w:val="004B0848"/>
    <w:rsid w:val="004B0948"/>
    <w:rsid w:val="004B0BCD"/>
    <w:rsid w:val="004B0E52"/>
    <w:rsid w:val="004B0F7E"/>
    <w:rsid w:val="004B1444"/>
    <w:rsid w:val="004B15DD"/>
    <w:rsid w:val="004B1B0A"/>
    <w:rsid w:val="004B2204"/>
    <w:rsid w:val="004B225B"/>
    <w:rsid w:val="004B281D"/>
    <w:rsid w:val="004B2A88"/>
    <w:rsid w:val="004B2B2A"/>
    <w:rsid w:val="004B2CF7"/>
    <w:rsid w:val="004B303F"/>
    <w:rsid w:val="004B33A7"/>
    <w:rsid w:val="004B3C71"/>
    <w:rsid w:val="004B48E3"/>
    <w:rsid w:val="004B49C2"/>
    <w:rsid w:val="004B4A27"/>
    <w:rsid w:val="004B4E2D"/>
    <w:rsid w:val="004B57DC"/>
    <w:rsid w:val="004B5AE8"/>
    <w:rsid w:val="004B5D04"/>
    <w:rsid w:val="004B5DD0"/>
    <w:rsid w:val="004B5FA4"/>
    <w:rsid w:val="004B72A7"/>
    <w:rsid w:val="004B75A7"/>
    <w:rsid w:val="004B76DB"/>
    <w:rsid w:val="004B7735"/>
    <w:rsid w:val="004B780F"/>
    <w:rsid w:val="004B7AA0"/>
    <w:rsid w:val="004B7DA9"/>
    <w:rsid w:val="004B7F3E"/>
    <w:rsid w:val="004C019C"/>
    <w:rsid w:val="004C01B2"/>
    <w:rsid w:val="004C040F"/>
    <w:rsid w:val="004C0428"/>
    <w:rsid w:val="004C06B5"/>
    <w:rsid w:val="004C081E"/>
    <w:rsid w:val="004C131A"/>
    <w:rsid w:val="004C1341"/>
    <w:rsid w:val="004C14A6"/>
    <w:rsid w:val="004C1536"/>
    <w:rsid w:val="004C1A8E"/>
    <w:rsid w:val="004C1E16"/>
    <w:rsid w:val="004C2C37"/>
    <w:rsid w:val="004C2DC3"/>
    <w:rsid w:val="004C3071"/>
    <w:rsid w:val="004C32AE"/>
    <w:rsid w:val="004C3CE6"/>
    <w:rsid w:val="004C3F13"/>
    <w:rsid w:val="004C3FD4"/>
    <w:rsid w:val="004C433D"/>
    <w:rsid w:val="004C455B"/>
    <w:rsid w:val="004C5217"/>
    <w:rsid w:val="004C5736"/>
    <w:rsid w:val="004C57A1"/>
    <w:rsid w:val="004C57B1"/>
    <w:rsid w:val="004C5881"/>
    <w:rsid w:val="004C5886"/>
    <w:rsid w:val="004C61BB"/>
    <w:rsid w:val="004C68FC"/>
    <w:rsid w:val="004C6BE9"/>
    <w:rsid w:val="004C700D"/>
    <w:rsid w:val="004C70DC"/>
    <w:rsid w:val="004C7285"/>
    <w:rsid w:val="004C733A"/>
    <w:rsid w:val="004C74BE"/>
    <w:rsid w:val="004C76F0"/>
    <w:rsid w:val="004C7CD7"/>
    <w:rsid w:val="004D024A"/>
    <w:rsid w:val="004D048B"/>
    <w:rsid w:val="004D06CE"/>
    <w:rsid w:val="004D07DF"/>
    <w:rsid w:val="004D097A"/>
    <w:rsid w:val="004D0AD5"/>
    <w:rsid w:val="004D0D23"/>
    <w:rsid w:val="004D138A"/>
    <w:rsid w:val="004D15DA"/>
    <w:rsid w:val="004D168B"/>
    <w:rsid w:val="004D18B5"/>
    <w:rsid w:val="004D19F7"/>
    <w:rsid w:val="004D1E11"/>
    <w:rsid w:val="004D1E73"/>
    <w:rsid w:val="004D202F"/>
    <w:rsid w:val="004D2190"/>
    <w:rsid w:val="004D2495"/>
    <w:rsid w:val="004D2804"/>
    <w:rsid w:val="004D302F"/>
    <w:rsid w:val="004D309F"/>
    <w:rsid w:val="004D351B"/>
    <w:rsid w:val="004D361A"/>
    <w:rsid w:val="004D37A6"/>
    <w:rsid w:val="004D387C"/>
    <w:rsid w:val="004D3A8C"/>
    <w:rsid w:val="004D3E1D"/>
    <w:rsid w:val="004D3FAB"/>
    <w:rsid w:val="004D5828"/>
    <w:rsid w:val="004D66F8"/>
    <w:rsid w:val="004D69DF"/>
    <w:rsid w:val="004D6CC9"/>
    <w:rsid w:val="004D6CEC"/>
    <w:rsid w:val="004D6E7C"/>
    <w:rsid w:val="004D6FCA"/>
    <w:rsid w:val="004D7042"/>
    <w:rsid w:val="004D707F"/>
    <w:rsid w:val="004D7960"/>
    <w:rsid w:val="004D7AD4"/>
    <w:rsid w:val="004E0E82"/>
    <w:rsid w:val="004E163B"/>
    <w:rsid w:val="004E166F"/>
    <w:rsid w:val="004E20AE"/>
    <w:rsid w:val="004E2AE2"/>
    <w:rsid w:val="004E3463"/>
    <w:rsid w:val="004E3673"/>
    <w:rsid w:val="004E3953"/>
    <w:rsid w:val="004E3C55"/>
    <w:rsid w:val="004E3DC7"/>
    <w:rsid w:val="004E3F0F"/>
    <w:rsid w:val="004E3FF2"/>
    <w:rsid w:val="004E4206"/>
    <w:rsid w:val="004E43F8"/>
    <w:rsid w:val="004E4985"/>
    <w:rsid w:val="004E4E84"/>
    <w:rsid w:val="004E50F2"/>
    <w:rsid w:val="004E51B2"/>
    <w:rsid w:val="004E51CB"/>
    <w:rsid w:val="004E5347"/>
    <w:rsid w:val="004E5414"/>
    <w:rsid w:val="004E5465"/>
    <w:rsid w:val="004E580E"/>
    <w:rsid w:val="004E592B"/>
    <w:rsid w:val="004E5C17"/>
    <w:rsid w:val="004E5E21"/>
    <w:rsid w:val="004E625B"/>
    <w:rsid w:val="004E633C"/>
    <w:rsid w:val="004E6410"/>
    <w:rsid w:val="004E6758"/>
    <w:rsid w:val="004E6772"/>
    <w:rsid w:val="004E6B35"/>
    <w:rsid w:val="004E6FE1"/>
    <w:rsid w:val="004E70F2"/>
    <w:rsid w:val="004E7157"/>
    <w:rsid w:val="004E729B"/>
    <w:rsid w:val="004E7514"/>
    <w:rsid w:val="004E75B0"/>
    <w:rsid w:val="004E7BB4"/>
    <w:rsid w:val="004E7E78"/>
    <w:rsid w:val="004F0059"/>
    <w:rsid w:val="004F0637"/>
    <w:rsid w:val="004F06CB"/>
    <w:rsid w:val="004F08E0"/>
    <w:rsid w:val="004F0B20"/>
    <w:rsid w:val="004F0D3E"/>
    <w:rsid w:val="004F0E77"/>
    <w:rsid w:val="004F0FCF"/>
    <w:rsid w:val="004F14D8"/>
    <w:rsid w:val="004F1913"/>
    <w:rsid w:val="004F1ED7"/>
    <w:rsid w:val="004F1FFA"/>
    <w:rsid w:val="004F208C"/>
    <w:rsid w:val="004F2146"/>
    <w:rsid w:val="004F2168"/>
    <w:rsid w:val="004F249B"/>
    <w:rsid w:val="004F25D1"/>
    <w:rsid w:val="004F2AE3"/>
    <w:rsid w:val="004F2D30"/>
    <w:rsid w:val="004F2F8D"/>
    <w:rsid w:val="004F2FCF"/>
    <w:rsid w:val="004F32B1"/>
    <w:rsid w:val="004F3365"/>
    <w:rsid w:val="004F3CA3"/>
    <w:rsid w:val="004F42BA"/>
    <w:rsid w:val="004F4E27"/>
    <w:rsid w:val="004F519F"/>
    <w:rsid w:val="004F5DF7"/>
    <w:rsid w:val="004F616A"/>
    <w:rsid w:val="004F6257"/>
    <w:rsid w:val="004F6333"/>
    <w:rsid w:val="004F63FF"/>
    <w:rsid w:val="004F64AA"/>
    <w:rsid w:val="004F675D"/>
    <w:rsid w:val="004F6AC8"/>
    <w:rsid w:val="004F6B2F"/>
    <w:rsid w:val="004F6C27"/>
    <w:rsid w:val="004F6C64"/>
    <w:rsid w:val="004F6ECE"/>
    <w:rsid w:val="004F71ED"/>
    <w:rsid w:val="004F757D"/>
    <w:rsid w:val="004F7963"/>
    <w:rsid w:val="004F79CB"/>
    <w:rsid w:val="004F7E4C"/>
    <w:rsid w:val="005000F6"/>
    <w:rsid w:val="0050013E"/>
    <w:rsid w:val="00500147"/>
    <w:rsid w:val="00500507"/>
    <w:rsid w:val="0050084A"/>
    <w:rsid w:val="00500B48"/>
    <w:rsid w:val="00500C7B"/>
    <w:rsid w:val="00500ECF"/>
    <w:rsid w:val="00501384"/>
    <w:rsid w:val="00501543"/>
    <w:rsid w:val="00501776"/>
    <w:rsid w:val="00501941"/>
    <w:rsid w:val="005019C7"/>
    <w:rsid w:val="00501C06"/>
    <w:rsid w:val="00501E19"/>
    <w:rsid w:val="0050205C"/>
    <w:rsid w:val="00502090"/>
    <w:rsid w:val="00502175"/>
    <w:rsid w:val="005027A8"/>
    <w:rsid w:val="0050289C"/>
    <w:rsid w:val="00502D31"/>
    <w:rsid w:val="00503571"/>
    <w:rsid w:val="0050379F"/>
    <w:rsid w:val="00503F3F"/>
    <w:rsid w:val="005042EA"/>
    <w:rsid w:val="00504ABA"/>
    <w:rsid w:val="00504BED"/>
    <w:rsid w:val="00504D85"/>
    <w:rsid w:val="0050504B"/>
    <w:rsid w:val="005050CE"/>
    <w:rsid w:val="0050519F"/>
    <w:rsid w:val="0050570F"/>
    <w:rsid w:val="005063C2"/>
    <w:rsid w:val="00506602"/>
    <w:rsid w:val="005068C9"/>
    <w:rsid w:val="00506ABA"/>
    <w:rsid w:val="00506B1E"/>
    <w:rsid w:val="00506D2F"/>
    <w:rsid w:val="00507056"/>
    <w:rsid w:val="005072B9"/>
    <w:rsid w:val="0050740E"/>
    <w:rsid w:val="00507AAB"/>
    <w:rsid w:val="00507D87"/>
    <w:rsid w:val="005101A7"/>
    <w:rsid w:val="005103B6"/>
    <w:rsid w:val="005105BA"/>
    <w:rsid w:val="00510783"/>
    <w:rsid w:val="005108F8"/>
    <w:rsid w:val="00511826"/>
    <w:rsid w:val="00511B2D"/>
    <w:rsid w:val="00511D0D"/>
    <w:rsid w:val="005122A8"/>
    <w:rsid w:val="0051258A"/>
    <w:rsid w:val="00512B63"/>
    <w:rsid w:val="00512D12"/>
    <w:rsid w:val="005134FD"/>
    <w:rsid w:val="005136DD"/>
    <w:rsid w:val="00513744"/>
    <w:rsid w:val="005137EE"/>
    <w:rsid w:val="00513891"/>
    <w:rsid w:val="00513917"/>
    <w:rsid w:val="00513BFB"/>
    <w:rsid w:val="00513FF1"/>
    <w:rsid w:val="0051429E"/>
    <w:rsid w:val="005146FA"/>
    <w:rsid w:val="00514D05"/>
    <w:rsid w:val="005150BF"/>
    <w:rsid w:val="0051563A"/>
    <w:rsid w:val="00515746"/>
    <w:rsid w:val="0051684E"/>
    <w:rsid w:val="00516921"/>
    <w:rsid w:val="00516A95"/>
    <w:rsid w:val="00516C61"/>
    <w:rsid w:val="00516E2B"/>
    <w:rsid w:val="005171DE"/>
    <w:rsid w:val="00517302"/>
    <w:rsid w:val="0051730B"/>
    <w:rsid w:val="0051732F"/>
    <w:rsid w:val="0051754B"/>
    <w:rsid w:val="005178A7"/>
    <w:rsid w:val="00517B39"/>
    <w:rsid w:val="00517BB7"/>
    <w:rsid w:val="00517CF1"/>
    <w:rsid w:val="00517DCB"/>
    <w:rsid w:val="005201A7"/>
    <w:rsid w:val="005203AF"/>
    <w:rsid w:val="0052072B"/>
    <w:rsid w:val="00520732"/>
    <w:rsid w:val="00520A76"/>
    <w:rsid w:val="00520C03"/>
    <w:rsid w:val="005213E3"/>
    <w:rsid w:val="00521641"/>
    <w:rsid w:val="00521B68"/>
    <w:rsid w:val="005222A7"/>
    <w:rsid w:val="005224D6"/>
    <w:rsid w:val="00522814"/>
    <w:rsid w:val="00522B50"/>
    <w:rsid w:val="0052328A"/>
    <w:rsid w:val="0052344F"/>
    <w:rsid w:val="0052373D"/>
    <w:rsid w:val="00523770"/>
    <w:rsid w:val="0052389F"/>
    <w:rsid w:val="005238BE"/>
    <w:rsid w:val="00523FCC"/>
    <w:rsid w:val="00524881"/>
    <w:rsid w:val="00524A04"/>
    <w:rsid w:val="0052510F"/>
    <w:rsid w:val="00525204"/>
    <w:rsid w:val="00525690"/>
    <w:rsid w:val="00525979"/>
    <w:rsid w:val="00525D9A"/>
    <w:rsid w:val="00525DEA"/>
    <w:rsid w:val="00525ED7"/>
    <w:rsid w:val="005264CA"/>
    <w:rsid w:val="0052671E"/>
    <w:rsid w:val="00526825"/>
    <w:rsid w:val="0052697A"/>
    <w:rsid w:val="00526AC7"/>
    <w:rsid w:val="00526B9F"/>
    <w:rsid w:val="00526CC8"/>
    <w:rsid w:val="00527125"/>
    <w:rsid w:val="005271BC"/>
    <w:rsid w:val="00527393"/>
    <w:rsid w:val="005278C1"/>
    <w:rsid w:val="00527B98"/>
    <w:rsid w:val="00527C3D"/>
    <w:rsid w:val="00527E3C"/>
    <w:rsid w:val="0053015D"/>
    <w:rsid w:val="005307FF"/>
    <w:rsid w:val="00530E81"/>
    <w:rsid w:val="00530F23"/>
    <w:rsid w:val="00532748"/>
    <w:rsid w:val="005328A3"/>
    <w:rsid w:val="00532D6A"/>
    <w:rsid w:val="00532E31"/>
    <w:rsid w:val="00532EEF"/>
    <w:rsid w:val="0053354D"/>
    <w:rsid w:val="00533952"/>
    <w:rsid w:val="00533AD3"/>
    <w:rsid w:val="00533AE5"/>
    <w:rsid w:val="00533B7A"/>
    <w:rsid w:val="00533E97"/>
    <w:rsid w:val="00534ACE"/>
    <w:rsid w:val="00534CBA"/>
    <w:rsid w:val="00535F2E"/>
    <w:rsid w:val="00536429"/>
    <w:rsid w:val="005367DF"/>
    <w:rsid w:val="005369C9"/>
    <w:rsid w:val="00536BE2"/>
    <w:rsid w:val="00536E25"/>
    <w:rsid w:val="0053705F"/>
    <w:rsid w:val="00537206"/>
    <w:rsid w:val="00537354"/>
    <w:rsid w:val="00537376"/>
    <w:rsid w:val="0053745E"/>
    <w:rsid w:val="0053749F"/>
    <w:rsid w:val="0053771E"/>
    <w:rsid w:val="00537BE5"/>
    <w:rsid w:val="00537D37"/>
    <w:rsid w:val="00540161"/>
    <w:rsid w:val="005401FE"/>
    <w:rsid w:val="005403D9"/>
    <w:rsid w:val="00540D61"/>
    <w:rsid w:val="0054113A"/>
    <w:rsid w:val="005412FE"/>
    <w:rsid w:val="00541497"/>
    <w:rsid w:val="00541932"/>
    <w:rsid w:val="00541A7B"/>
    <w:rsid w:val="00541D11"/>
    <w:rsid w:val="00541D43"/>
    <w:rsid w:val="00541FB2"/>
    <w:rsid w:val="00542434"/>
    <w:rsid w:val="00542820"/>
    <w:rsid w:val="00542F34"/>
    <w:rsid w:val="00543017"/>
    <w:rsid w:val="00543EF2"/>
    <w:rsid w:val="00543F13"/>
    <w:rsid w:val="00544079"/>
    <w:rsid w:val="00544303"/>
    <w:rsid w:val="005444C3"/>
    <w:rsid w:val="00544A8B"/>
    <w:rsid w:val="00545347"/>
    <w:rsid w:val="0054556D"/>
    <w:rsid w:val="005456D9"/>
    <w:rsid w:val="00545ED3"/>
    <w:rsid w:val="00546047"/>
    <w:rsid w:val="00546116"/>
    <w:rsid w:val="0054615D"/>
    <w:rsid w:val="00546612"/>
    <w:rsid w:val="00546702"/>
    <w:rsid w:val="00546A1A"/>
    <w:rsid w:val="0054742D"/>
    <w:rsid w:val="00547658"/>
    <w:rsid w:val="005479A3"/>
    <w:rsid w:val="00550089"/>
    <w:rsid w:val="00550293"/>
    <w:rsid w:val="00550605"/>
    <w:rsid w:val="00550854"/>
    <w:rsid w:val="00550BEE"/>
    <w:rsid w:val="00550D48"/>
    <w:rsid w:val="00550E6D"/>
    <w:rsid w:val="00551429"/>
    <w:rsid w:val="00551590"/>
    <w:rsid w:val="005516B9"/>
    <w:rsid w:val="00551C8F"/>
    <w:rsid w:val="005521E1"/>
    <w:rsid w:val="00552542"/>
    <w:rsid w:val="0055264F"/>
    <w:rsid w:val="00552886"/>
    <w:rsid w:val="005529E7"/>
    <w:rsid w:val="00552A48"/>
    <w:rsid w:val="00552AD4"/>
    <w:rsid w:val="0055322E"/>
    <w:rsid w:val="005536B5"/>
    <w:rsid w:val="005537FE"/>
    <w:rsid w:val="00553AB2"/>
    <w:rsid w:val="00553BF3"/>
    <w:rsid w:val="005540BF"/>
    <w:rsid w:val="0055447B"/>
    <w:rsid w:val="0055478C"/>
    <w:rsid w:val="00554898"/>
    <w:rsid w:val="00554D48"/>
    <w:rsid w:val="00555136"/>
    <w:rsid w:val="00555438"/>
    <w:rsid w:val="00555443"/>
    <w:rsid w:val="00555772"/>
    <w:rsid w:val="0055579F"/>
    <w:rsid w:val="005558FC"/>
    <w:rsid w:val="00555D59"/>
    <w:rsid w:val="00556515"/>
    <w:rsid w:val="00556574"/>
    <w:rsid w:val="00556587"/>
    <w:rsid w:val="00556693"/>
    <w:rsid w:val="0055717F"/>
    <w:rsid w:val="005572A5"/>
    <w:rsid w:val="005575AA"/>
    <w:rsid w:val="00557792"/>
    <w:rsid w:val="005578C7"/>
    <w:rsid w:val="00557AD2"/>
    <w:rsid w:val="00557B2C"/>
    <w:rsid w:val="00557BCD"/>
    <w:rsid w:val="00557DEE"/>
    <w:rsid w:val="00557EBE"/>
    <w:rsid w:val="00557EC1"/>
    <w:rsid w:val="00560029"/>
    <w:rsid w:val="00560263"/>
    <w:rsid w:val="00560393"/>
    <w:rsid w:val="005607E3"/>
    <w:rsid w:val="00560DB9"/>
    <w:rsid w:val="00561A1B"/>
    <w:rsid w:val="0056218F"/>
    <w:rsid w:val="00562239"/>
    <w:rsid w:val="0056227A"/>
    <w:rsid w:val="0056353A"/>
    <w:rsid w:val="00563808"/>
    <w:rsid w:val="005645DD"/>
    <w:rsid w:val="005647E6"/>
    <w:rsid w:val="00564875"/>
    <w:rsid w:val="00564B02"/>
    <w:rsid w:val="00564E03"/>
    <w:rsid w:val="0056553D"/>
    <w:rsid w:val="005657C2"/>
    <w:rsid w:val="005657DA"/>
    <w:rsid w:val="00565DE1"/>
    <w:rsid w:val="00565F5D"/>
    <w:rsid w:val="0056612B"/>
    <w:rsid w:val="0056667E"/>
    <w:rsid w:val="00566989"/>
    <w:rsid w:val="00566C1C"/>
    <w:rsid w:val="00566DE2"/>
    <w:rsid w:val="00566F2E"/>
    <w:rsid w:val="00567040"/>
    <w:rsid w:val="00567137"/>
    <w:rsid w:val="005674A5"/>
    <w:rsid w:val="005677C7"/>
    <w:rsid w:val="00567D51"/>
    <w:rsid w:val="005701D2"/>
    <w:rsid w:val="005703D2"/>
    <w:rsid w:val="00570718"/>
    <w:rsid w:val="00570982"/>
    <w:rsid w:val="00571024"/>
    <w:rsid w:val="00571323"/>
    <w:rsid w:val="005714CF"/>
    <w:rsid w:val="005717CD"/>
    <w:rsid w:val="005719D4"/>
    <w:rsid w:val="0057210C"/>
    <w:rsid w:val="0057217E"/>
    <w:rsid w:val="00572BB4"/>
    <w:rsid w:val="00572DFF"/>
    <w:rsid w:val="00572EA1"/>
    <w:rsid w:val="00573045"/>
    <w:rsid w:val="0057344C"/>
    <w:rsid w:val="005736AC"/>
    <w:rsid w:val="00573830"/>
    <w:rsid w:val="005739E6"/>
    <w:rsid w:val="00573C90"/>
    <w:rsid w:val="00573E33"/>
    <w:rsid w:val="00573EEE"/>
    <w:rsid w:val="00573F3C"/>
    <w:rsid w:val="0057419B"/>
    <w:rsid w:val="0057426D"/>
    <w:rsid w:val="005745CE"/>
    <w:rsid w:val="00574C7F"/>
    <w:rsid w:val="00574D45"/>
    <w:rsid w:val="00574E98"/>
    <w:rsid w:val="00574F8F"/>
    <w:rsid w:val="00575357"/>
    <w:rsid w:val="005756AA"/>
    <w:rsid w:val="005756BF"/>
    <w:rsid w:val="00575826"/>
    <w:rsid w:val="00575ADC"/>
    <w:rsid w:val="00575CA6"/>
    <w:rsid w:val="00576149"/>
    <w:rsid w:val="005765BA"/>
    <w:rsid w:val="00576786"/>
    <w:rsid w:val="00576F0F"/>
    <w:rsid w:val="00577359"/>
    <w:rsid w:val="0057781A"/>
    <w:rsid w:val="00577863"/>
    <w:rsid w:val="0057786B"/>
    <w:rsid w:val="00577984"/>
    <w:rsid w:val="00577AD0"/>
    <w:rsid w:val="00577D80"/>
    <w:rsid w:val="005800D3"/>
    <w:rsid w:val="0058056F"/>
    <w:rsid w:val="005806F3"/>
    <w:rsid w:val="00580F3C"/>
    <w:rsid w:val="00580F6F"/>
    <w:rsid w:val="005810D2"/>
    <w:rsid w:val="005813CA"/>
    <w:rsid w:val="00581616"/>
    <w:rsid w:val="00581C0D"/>
    <w:rsid w:val="00581FE3"/>
    <w:rsid w:val="00582451"/>
    <w:rsid w:val="00582562"/>
    <w:rsid w:val="005826A3"/>
    <w:rsid w:val="00582800"/>
    <w:rsid w:val="005828A1"/>
    <w:rsid w:val="005828E7"/>
    <w:rsid w:val="00582AE7"/>
    <w:rsid w:val="00583114"/>
    <w:rsid w:val="00583BB7"/>
    <w:rsid w:val="00584242"/>
    <w:rsid w:val="005844FB"/>
    <w:rsid w:val="00584732"/>
    <w:rsid w:val="00585126"/>
    <w:rsid w:val="00585144"/>
    <w:rsid w:val="00585660"/>
    <w:rsid w:val="00585795"/>
    <w:rsid w:val="005858FE"/>
    <w:rsid w:val="00585969"/>
    <w:rsid w:val="00585B32"/>
    <w:rsid w:val="00585E10"/>
    <w:rsid w:val="00586019"/>
    <w:rsid w:val="00586646"/>
    <w:rsid w:val="00586914"/>
    <w:rsid w:val="0058695C"/>
    <w:rsid w:val="00586DC8"/>
    <w:rsid w:val="00586DE4"/>
    <w:rsid w:val="00586EEC"/>
    <w:rsid w:val="00587422"/>
    <w:rsid w:val="005874ED"/>
    <w:rsid w:val="0058760D"/>
    <w:rsid w:val="005878B1"/>
    <w:rsid w:val="00587DFC"/>
    <w:rsid w:val="00587EC3"/>
    <w:rsid w:val="0059009B"/>
    <w:rsid w:val="00590185"/>
    <w:rsid w:val="005901E1"/>
    <w:rsid w:val="0059070D"/>
    <w:rsid w:val="0059080B"/>
    <w:rsid w:val="00590C97"/>
    <w:rsid w:val="00590D09"/>
    <w:rsid w:val="005910D9"/>
    <w:rsid w:val="00591203"/>
    <w:rsid w:val="00591291"/>
    <w:rsid w:val="0059134F"/>
    <w:rsid w:val="00591474"/>
    <w:rsid w:val="0059160F"/>
    <w:rsid w:val="00591778"/>
    <w:rsid w:val="00591796"/>
    <w:rsid w:val="00591B34"/>
    <w:rsid w:val="00591D7E"/>
    <w:rsid w:val="005926DD"/>
    <w:rsid w:val="00592F60"/>
    <w:rsid w:val="00593211"/>
    <w:rsid w:val="0059335D"/>
    <w:rsid w:val="005937BE"/>
    <w:rsid w:val="005938D5"/>
    <w:rsid w:val="00593B43"/>
    <w:rsid w:val="0059414F"/>
    <w:rsid w:val="005945D9"/>
    <w:rsid w:val="005946EF"/>
    <w:rsid w:val="0059474B"/>
    <w:rsid w:val="00594C3D"/>
    <w:rsid w:val="005959DE"/>
    <w:rsid w:val="00595DA7"/>
    <w:rsid w:val="00595FA5"/>
    <w:rsid w:val="00595FFE"/>
    <w:rsid w:val="00596254"/>
    <w:rsid w:val="00596282"/>
    <w:rsid w:val="0059685F"/>
    <w:rsid w:val="00596950"/>
    <w:rsid w:val="00596DC5"/>
    <w:rsid w:val="00596EE9"/>
    <w:rsid w:val="00597090"/>
    <w:rsid w:val="00597788"/>
    <w:rsid w:val="0059784C"/>
    <w:rsid w:val="005A03FA"/>
    <w:rsid w:val="005A0AAB"/>
    <w:rsid w:val="005A1319"/>
    <w:rsid w:val="005A1996"/>
    <w:rsid w:val="005A1F7C"/>
    <w:rsid w:val="005A21B2"/>
    <w:rsid w:val="005A2731"/>
    <w:rsid w:val="005A2787"/>
    <w:rsid w:val="005A28D4"/>
    <w:rsid w:val="005A2FE1"/>
    <w:rsid w:val="005A3113"/>
    <w:rsid w:val="005A3475"/>
    <w:rsid w:val="005A3AC3"/>
    <w:rsid w:val="005A3E31"/>
    <w:rsid w:val="005A415A"/>
    <w:rsid w:val="005A4578"/>
    <w:rsid w:val="005A4597"/>
    <w:rsid w:val="005A4AED"/>
    <w:rsid w:val="005A4B63"/>
    <w:rsid w:val="005A4FBF"/>
    <w:rsid w:val="005A50DD"/>
    <w:rsid w:val="005A5B85"/>
    <w:rsid w:val="005A639C"/>
    <w:rsid w:val="005A657C"/>
    <w:rsid w:val="005A6A70"/>
    <w:rsid w:val="005A70C4"/>
    <w:rsid w:val="005A759C"/>
    <w:rsid w:val="005A762F"/>
    <w:rsid w:val="005A767C"/>
    <w:rsid w:val="005A7C94"/>
    <w:rsid w:val="005A7CD3"/>
    <w:rsid w:val="005A7D56"/>
    <w:rsid w:val="005B003E"/>
    <w:rsid w:val="005B03FA"/>
    <w:rsid w:val="005B05B5"/>
    <w:rsid w:val="005B0988"/>
    <w:rsid w:val="005B0E3B"/>
    <w:rsid w:val="005B1298"/>
    <w:rsid w:val="005B162C"/>
    <w:rsid w:val="005B1633"/>
    <w:rsid w:val="005B1669"/>
    <w:rsid w:val="005B1A86"/>
    <w:rsid w:val="005B1B13"/>
    <w:rsid w:val="005B1C45"/>
    <w:rsid w:val="005B1D25"/>
    <w:rsid w:val="005B2040"/>
    <w:rsid w:val="005B229D"/>
    <w:rsid w:val="005B2439"/>
    <w:rsid w:val="005B24B2"/>
    <w:rsid w:val="005B2A88"/>
    <w:rsid w:val="005B3722"/>
    <w:rsid w:val="005B38AF"/>
    <w:rsid w:val="005B3FAA"/>
    <w:rsid w:val="005B4147"/>
    <w:rsid w:val="005B41D4"/>
    <w:rsid w:val="005B41D7"/>
    <w:rsid w:val="005B444F"/>
    <w:rsid w:val="005B4A32"/>
    <w:rsid w:val="005B4E73"/>
    <w:rsid w:val="005B5010"/>
    <w:rsid w:val="005B544B"/>
    <w:rsid w:val="005B59F5"/>
    <w:rsid w:val="005B5C1F"/>
    <w:rsid w:val="005B5FAF"/>
    <w:rsid w:val="005B60A2"/>
    <w:rsid w:val="005B60EE"/>
    <w:rsid w:val="005B65DB"/>
    <w:rsid w:val="005B66BE"/>
    <w:rsid w:val="005B6A8A"/>
    <w:rsid w:val="005B7025"/>
    <w:rsid w:val="005B7217"/>
    <w:rsid w:val="005B722E"/>
    <w:rsid w:val="005B7DA0"/>
    <w:rsid w:val="005C0236"/>
    <w:rsid w:val="005C0268"/>
    <w:rsid w:val="005C03D3"/>
    <w:rsid w:val="005C04BD"/>
    <w:rsid w:val="005C058B"/>
    <w:rsid w:val="005C064E"/>
    <w:rsid w:val="005C159F"/>
    <w:rsid w:val="005C19FC"/>
    <w:rsid w:val="005C1B79"/>
    <w:rsid w:val="005C1CB7"/>
    <w:rsid w:val="005C1E37"/>
    <w:rsid w:val="005C1EED"/>
    <w:rsid w:val="005C209B"/>
    <w:rsid w:val="005C20FB"/>
    <w:rsid w:val="005C21CB"/>
    <w:rsid w:val="005C28AB"/>
    <w:rsid w:val="005C29A8"/>
    <w:rsid w:val="005C2BF4"/>
    <w:rsid w:val="005C2C81"/>
    <w:rsid w:val="005C2CC0"/>
    <w:rsid w:val="005C2D65"/>
    <w:rsid w:val="005C33EF"/>
    <w:rsid w:val="005C34EC"/>
    <w:rsid w:val="005C378E"/>
    <w:rsid w:val="005C428E"/>
    <w:rsid w:val="005C45A4"/>
    <w:rsid w:val="005C4AE9"/>
    <w:rsid w:val="005C56FE"/>
    <w:rsid w:val="005C5E42"/>
    <w:rsid w:val="005C5E5A"/>
    <w:rsid w:val="005C5EA2"/>
    <w:rsid w:val="005C5F97"/>
    <w:rsid w:val="005C641A"/>
    <w:rsid w:val="005C66D1"/>
    <w:rsid w:val="005C6933"/>
    <w:rsid w:val="005C6BB5"/>
    <w:rsid w:val="005C73D5"/>
    <w:rsid w:val="005C73DA"/>
    <w:rsid w:val="005C769C"/>
    <w:rsid w:val="005C7D7F"/>
    <w:rsid w:val="005C7F0B"/>
    <w:rsid w:val="005C7F53"/>
    <w:rsid w:val="005C7F7C"/>
    <w:rsid w:val="005D01DC"/>
    <w:rsid w:val="005D0248"/>
    <w:rsid w:val="005D04A0"/>
    <w:rsid w:val="005D0A22"/>
    <w:rsid w:val="005D0C46"/>
    <w:rsid w:val="005D160B"/>
    <w:rsid w:val="005D16FA"/>
    <w:rsid w:val="005D21A4"/>
    <w:rsid w:val="005D220F"/>
    <w:rsid w:val="005D2534"/>
    <w:rsid w:val="005D27B5"/>
    <w:rsid w:val="005D2A0C"/>
    <w:rsid w:val="005D2DB1"/>
    <w:rsid w:val="005D30E4"/>
    <w:rsid w:val="005D30E9"/>
    <w:rsid w:val="005D35FF"/>
    <w:rsid w:val="005D3737"/>
    <w:rsid w:val="005D3BA5"/>
    <w:rsid w:val="005D4086"/>
    <w:rsid w:val="005D45FA"/>
    <w:rsid w:val="005D47BE"/>
    <w:rsid w:val="005D4839"/>
    <w:rsid w:val="005D4954"/>
    <w:rsid w:val="005D50BD"/>
    <w:rsid w:val="005D515E"/>
    <w:rsid w:val="005D5264"/>
    <w:rsid w:val="005D61FD"/>
    <w:rsid w:val="005D624B"/>
    <w:rsid w:val="005D6307"/>
    <w:rsid w:val="005D6449"/>
    <w:rsid w:val="005D6C0D"/>
    <w:rsid w:val="005D7018"/>
    <w:rsid w:val="005D70D6"/>
    <w:rsid w:val="005D7115"/>
    <w:rsid w:val="005D722A"/>
    <w:rsid w:val="005D72CE"/>
    <w:rsid w:val="005D74C9"/>
    <w:rsid w:val="005D752F"/>
    <w:rsid w:val="005D7A1A"/>
    <w:rsid w:val="005D7D53"/>
    <w:rsid w:val="005E00E6"/>
    <w:rsid w:val="005E0510"/>
    <w:rsid w:val="005E077E"/>
    <w:rsid w:val="005E0CF0"/>
    <w:rsid w:val="005E0EA8"/>
    <w:rsid w:val="005E105C"/>
    <w:rsid w:val="005E1578"/>
    <w:rsid w:val="005E15E7"/>
    <w:rsid w:val="005E1828"/>
    <w:rsid w:val="005E194C"/>
    <w:rsid w:val="005E1A7D"/>
    <w:rsid w:val="005E1C14"/>
    <w:rsid w:val="005E2165"/>
    <w:rsid w:val="005E2D62"/>
    <w:rsid w:val="005E2FE0"/>
    <w:rsid w:val="005E3348"/>
    <w:rsid w:val="005E35AC"/>
    <w:rsid w:val="005E3942"/>
    <w:rsid w:val="005E3F8E"/>
    <w:rsid w:val="005E4500"/>
    <w:rsid w:val="005E46FD"/>
    <w:rsid w:val="005E47BC"/>
    <w:rsid w:val="005E48B9"/>
    <w:rsid w:val="005E4C54"/>
    <w:rsid w:val="005E4D65"/>
    <w:rsid w:val="005E54A0"/>
    <w:rsid w:val="005E54B8"/>
    <w:rsid w:val="005E55E3"/>
    <w:rsid w:val="005E570D"/>
    <w:rsid w:val="005E59C3"/>
    <w:rsid w:val="005E5BF2"/>
    <w:rsid w:val="005E5CAD"/>
    <w:rsid w:val="005E6087"/>
    <w:rsid w:val="005E60DA"/>
    <w:rsid w:val="005E6137"/>
    <w:rsid w:val="005E671F"/>
    <w:rsid w:val="005E691E"/>
    <w:rsid w:val="005E6B58"/>
    <w:rsid w:val="005E6E65"/>
    <w:rsid w:val="005E6FA7"/>
    <w:rsid w:val="005E71A6"/>
    <w:rsid w:val="005E738C"/>
    <w:rsid w:val="005E7786"/>
    <w:rsid w:val="005E7D24"/>
    <w:rsid w:val="005F00BF"/>
    <w:rsid w:val="005F047F"/>
    <w:rsid w:val="005F0A1C"/>
    <w:rsid w:val="005F0E91"/>
    <w:rsid w:val="005F1580"/>
    <w:rsid w:val="005F1B48"/>
    <w:rsid w:val="005F1D94"/>
    <w:rsid w:val="005F28DD"/>
    <w:rsid w:val="005F2AD5"/>
    <w:rsid w:val="005F2DF4"/>
    <w:rsid w:val="005F346B"/>
    <w:rsid w:val="005F3727"/>
    <w:rsid w:val="005F3BB3"/>
    <w:rsid w:val="005F3ED8"/>
    <w:rsid w:val="005F4150"/>
    <w:rsid w:val="005F4528"/>
    <w:rsid w:val="005F4638"/>
    <w:rsid w:val="005F49D3"/>
    <w:rsid w:val="005F4A50"/>
    <w:rsid w:val="005F50FB"/>
    <w:rsid w:val="005F518E"/>
    <w:rsid w:val="005F520F"/>
    <w:rsid w:val="005F5739"/>
    <w:rsid w:val="005F590F"/>
    <w:rsid w:val="005F597B"/>
    <w:rsid w:val="005F59EB"/>
    <w:rsid w:val="005F5C19"/>
    <w:rsid w:val="005F5CF4"/>
    <w:rsid w:val="005F5F37"/>
    <w:rsid w:val="005F5FEA"/>
    <w:rsid w:val="005F60D9"/>
    <w:rsid w:val="005F61C3"/>
    <w:rsid w:val="005F67F5"/>
    <w:rsid w:val="005F69C6"/>
    <w:rsid w:val="005F6B57"/>
    <w:rsid w:val="005F6B9D"/>
    <w:rsid w:val="005F6D71"/>
    <w:rsid w:val="005F70A7"/>
    <w:rsid w:val="005F731D"/>
    <w:rsid w:val="005F74A2"/>
    <w:rsid w:val="005F760F"/>
    <w:rsid w:val="005F77BC"/>
    <w:rsid w:val="005F798B"/>
    <w:rsid w:val="005F7A45"/>
    <w:rsid w:val="005F7A87"/>
    <w:rsid w:val="005F7B12"/>
    <w:rsid w:val="005F7B27"/>
    <w:rsid w:val="005F7EED"/>
    <w:rsid w:val="006001A4"/>
    <w:rsid w:val="006002DA"/>
    <w:rsid w:val="0060030F"/>
    <w:rsid w:val="006003D0"/>
    <w:rsid w:val="00600534"/>
    <w:rsid w:val="006006EE"/>
    <w:rsid w:val="006009DB"/>
    <w:rsid w:val="00600A31"/>
    <w:rsid w:val="00600C7E"/>
    <w:rsid w:val="00600E64"/>
    <w:rsid w:val="00601439"/>
    <w:rsid w:val="00601500"/>
    <w:rsid w:val="0060177B"/>
    <w:rsid w:val="00601CD4"/>
    <w:rsid w:val="006020F6"/>
    <w:rsid w:val="006037D4"/>
    <w:rsid w:val="006037D9"/>
    <w:rsid w:val="00603944"/>
    <w:rsid w:val="00603F3B"/>
    <w:rsid w:val="00604316"/>
    <w:rsid w:val="006043C7"/>
    <w:rsid w:val="00605262"/>
    <w:rsid w:val="00605359"/>
    <w:rsid w:val="006053C4"/>
    <w:rsid w:val="0060557D"/>
    <w:rsid w:val="0060577C"/>
    <w:rsid w:val="00605B13"/>
    <w:rsid w:val="00605C4E"/>
    <w:rsid w:val="00605D42"/>
    <w:rsid w:val="00605EE1"/>
    <w:rsid w:val="006061E4"/>
    <w:rsid w:val="006067BA"/>
    <w:rsid w:val="00606922"/>
    <w:rsid w:val="00606A17"/>
    <w:rsid w:val="00606F80"/>
    <w:rsid w:val="006074D0"/>
    <w:rsid w:val="00607524"/>
    <w:rsid w:val="0060785F"/>
    <w:rsid w:val="006078E7"/>
    <w:rsid w:val="0060790E"/>
    <w:rsid w:val="00607B08"/>
    <w:rsid w:val="00607E30"/>
    <w:rsid w:val="00607FC1"/>
    <w:rsid w:val="00610540"/>
    <w:rsid w:val="00610605"/>
    <w:rsid w:val="0061094C"/>
    <w:rsid w:val="00610A05"/>
    <w:rsid w:val="00610A09"/>
    <w:rsid w:val="00610CB7"/>
    <w:rsid w:val="00610CE3"/>
    <w:rsid w:val="00610F59"/>
    <w:rsid w:val="00610F74"/>
    <w:rsid w:val="0061114C"/>
    <w:rsid w:val="0061158A"/>
    <w:rsid w:val="0061174A"/>
    <w:rsid w:val="00612222"/>
    <w:rsid w:val="006123A4"/>
    <w:rsid w:val="00612997"/>
    <w:rsid w:val="00612A2D"/>
    <w:rsid w:val="00612E04"/>
    <w:rsid w:val="00613094"/>
    <w:rsid w:val="00614236"/>
    <w:rsid w:val="00614A76"/>
    <w:rsid w:val="00614D5E"/>
    <w:rsid w:val="006150D1"/>
    <w:rsid w:val="006151C4"/>
    <w:rsid w:val="0061527E"/>
    <w:rsid w:val="006157F0"/>
    <w:rsid w:val="00615D31"/>
    <w:rsid w:val="0061608A"/>
    <w:rsid w:val="006162C8"/>
    <w:rsid w:val="00616853"/>
    <w:rsid w:val="00616E1E"/>
    <w:rsid w:val="00616E4A"/>
    <w:rsid w:val="00616E60"/>
    <w:rsid w:val="006172EF"/>
    <w:rsid w:val="0062013F"/>
    <w:rsid w:val="0062019D"/>
    <w:rsid w:val="006203E3"/>
    <w:rsid w:val="0062046B"/>
    <w:rsid w:val="006205CA"/>
    <w:rsid w:val="00620E8E"/>
    <w:rsid w:val="0062159C"/>
    <w:rsid w:val="006219E2"/>
    <w:rsid w:val="00621D12"/>
    <w:rsid w:val="00621E40"/>
    <w:rsid w:val="00622584"/>
    <w:rsid w:val="00622B41"/>
    <w:rsid w:val="00622E46"/>
    <w:rsid w:val="0062341F"/>
    <w:rsid w:val="0062343B"/>
    <w:rsid w:val="006237BB"/>
    <w:rsid w:val="0062384A"/>
    <w:rsid w:val="00623C9E"/>
    <w:rsid w:val="00623D9E"/>
    <w:rsid w:val="00623DB4"/>
    <w:rsid w:val="00623E59"/>
    <w:rsid w:val="00623FE5"/>
    <w:rsid w:val="00624A6C"/>
    <w:rsid w:val="00624BD9"/>
    <w:rsid w:val="00624EB7"/>
    <w:rsid w:val="00625000"/>
    <w:rsid w:val="006250F5"/>
    <w:rsid w:val="0062510D"/>
    <w:rsid w:val="006253E3"/>
    <w:rsid w:val="0062545F"/>
    <w:rsid w:val="006254BA"/>
    <w:rsid w:val="00625C78"/>
    <w:rsid w:val="00626020"/>
    <w:rsid w:val="006263AC"/>
    <w:rsid w:val="00626565"/>
    <w:rsid w:val="00626988"/>
    <w:rsid w:val="00626A54"/>
    <w:rsid w:val="00626CF1"/>
    <w:rsid w:val="00626ED7"/>
    <w:rsid w:val="00627192"/>
    <w:rsid w:val="00627603"/>
    <w:rsid w:val="00627B00"/>
    <w:rsid w:val="00627D2F"/>
    <w:rsid w:val="00630136"/>
    <w:rsid w:val="00630175"/>
    <w:rsid w:val="006302F9"/>
    <w:rsid w:val="00630350"/>
    <w:rsid w:val="00630725"/>
    <w:rsid w:val="00630DEF"/>
    <w:rsid w:val="00630E7D"/>
    <w:rsid w:val="0063125F"/>
    <w:rsid w:val="00631663"/>
    <w:rsid w:val="006316C7"/>
    <w:rsid w:val="0063170D"/>
    <w:rsid w:val="00631934"/>
    <w:rsid w:val="00631A64"/>
    <w:rsid w:val="00631F00"/>
    <w:rsid w:val="00632744"/>
    <w:rsid w:val="006328D2"/>
    <w:rsid w:val="00632B0F"/>
    <w:rsid w:val="00632FE7"/>
    <w:rsid w:val="0063320B"/>
    <w:rsid w:val="006333F2"/>
    <w:rsid w:val="00633570"/>
    <w:rsid w:val="006335C6"/>
    <w:rsid w:val="0063381A"/>
    <w:rsid w:val="006338C0"/>
    <w:rsid w:val="00633E83"/>
    <w:rsid w:val="0063448A"/>
    <w:rsid w:val="00634671"/>
    <w:rsid w:val="006346B8"/>
    <w:rsid w:val="006351DE"/>
    <w:rsid w:val="00635339"/>
    <w:rsid w:val="006354B8"/>
    <w:rsid w:val="0063566B"/>
    <w:rsid w:val="0063583F"/>
    <w:rsid w:val="00636430"/>
    <w:rsid w:val="006372C7"/>
    <w:rsid w:val="0063751C"/>
    <w:rsid w:val="00637695"/>
    <w:rsid w:val="00637D21"/>
    <w:rsid w:val="00637F5D"/>
    <w:rsid w:val="006409C9"/>
    <w:rsid w:val="00640C31"/>
    <w:rsid w:val="00640E39"/>
    <w:rsid w:val="00641119"/>
    <w:rsid w:val="0064117D"/>
    <w:rsid w:val="006413D9"/>
    <w:rsid w:val="00641890"/>
    <w:rsid w:val="006418F1"/>
    <w:rsid w:val="00641B1A"/>
    <w:rsid w:val="00641BE9"/>
    <w:rsid w:val="00641DF4"/>
    <w:rsid w:val="00642704"/>
    <w:rsid w:val="006427D0"/>
    <w:rsid w:val="00642A69"/>
    <w:rsid w:val="006433CF"/>
    <w:rsid w:val="0064342E"/>
    <w:rsid w:val="006438F4"/>
    <w:rsid w:val="006439EF"/>
    <w:rsid w:val="00643C2B"/>
    <w:rsid w:val="00643D21"/>
    <w:rsid w:val="00643E30"/>
    <w:rsid w:val="00644379"/>
    <w:rsid w:val="0064457B"/>
    <w:rsid w:val="00644FB4"/>
    <w:rsid w:val="00645033"/>
    <w:rsid w:val="006453CE"/>
    <w:rsid w:val="006459CE"/>
    <w:rsid w:val="00646173"/>
    <w:rsid w:val="0064629E"/>
    <w:rsid w:val="006462E0"/>
    <w:rsid w:val="006465EF"/>
    <w:rsid w:val="00646D7E"/>
    <w:rsid w:val="00646EFC"/>
    <w:rsid w:val="00647169"/>
    <w:rsid w:val="00647378"/>
    <w:rsid w:val="00647383"/>
    <w:rsid w:val="006475CF"/>
    <w:rsid w:val="00647928"/>
    <w:rsid w:val="00647DCE"/>
    <w:rsid w:val="00647DFC"/>
    <w:rsid w:val="006502A1"/>
    <w:rsid w:val="00650574"/>
    <w:rsid w:val="006506BC"/>
    <w:rsid w:val="00650B72"/>
    <w:rsid w:val="00650E34"/>
    <w:rsid w:val="00651314"/>
    <w:rsid w:val="00651995"/>
    <w:rsid w:val="00652260"/>
    <w:rsid w:val="006523A2"/>
    <w:rsid w:val="006525CC"/>
    <w:rsid w:val="00652C84"/>
    <w:rsid w:val="00652DCC"/>
    <w:rsid w:val="0065385E"/>
    <w:rsid w:val="0065474A"/>
    <w:rsid w:val="00654865"/>
    <w:rsid w:val="006553A4"/>
    <w:rsid w:val="0065558F"/>
    <w:rsid w:val="00655B49"/>
    <w:rsid w:val="00655BB4"/>
    <w:rsid w:val="00655BC2"/>
    <w:rsid w:val="00655D5D"/>
    <w:rsid w:val="00655E0F"/>
    <w:rsid w:val="0065623C"/>
    <w:rsid w:val="00656722"/>
    <w:rsid w:val="00656A94"/>
    <w:rsid w:val="00657070"/>
    <w:rsid w:val="00657203"/>
    <w:rsid w:val="00660418"/>
    <w:rsid w:val="006604E0"/>
    <w:rsid w:val="006606F3"/>
    <w:rsid w:val="00660B80"/>
    <w:rsid w:val="0066123C"/>
    <w:rsid w:val="006612C9"/>
    <w:rsid w:val="0066176E"/>
    <w:rsid w:val="006619AB"/>
    <w:rsid w:val="0066254E"/>
    <w:rsid w:val="006628FF"/>
    <w:rsid w:val="00662C43"/>
    <w:rsid w:val="00662C90"/>
    <w:rsid w:val="00662E93"/>
    <w:rsid w:val="00662FB5"/>
    <w:rsid w:val="00663149"/>
    <w:rsid w:val="006631BC"/>
    <w:rsid w:val="006631C4"/>
    <w:rsid w:val="0066338D"/>
    <w:rsid w:val="0066344C"/>
    <w:rsid w:val="006637CA"/>
    <w:rsid w:val="00663DA2"/>
    <w:rsid w:val="00663F5C"/>
    <w:rsid w:val="00664001"/>
    <w:rsid w:val="006641D0"/>
    <w:rsid w:val="006643C4"/>
    <w:rsid w:val="00664488"/>
    <w:rsid w:val="0066464B"/>
    <w:rsid w:val="00664907"/>
    <w:rsid w:val="00664FAE"/>
    <w:rsid w:val="00665247"/>
    <w:rsid w:val="0066529C"/>
    <w:rsid w:val="0066542D"/>
    <w:rsid w:val="006657D6"/>
    <w:rsid w:val="00665CA7"/>
    <w:rsid w:val="00665FCC"/>
    <w:rsid w:val="006666BC"/>
    <w:rsid w:val="00666937"/>
    <w:rsid w:val="006669E1"/>
    <w:rsid w:val="00666EEF"/>
    <w:rsid w:val="00667370"/>
    <w:rsid w:val="00667439"/>
    <w:rsid w:val="00667546"/>
    <w:rsid w:val="0066756E"/>
    <w:rsid w:val="006676AA"/>
    <w:rsid w:val="006703D9"/>
    <w:rsid w:val="00670443"/>
    <w:rsid w:val="00670858"/>
    <w:rsid w:val="00670B72"/>
    <w:rsid w:val="006712C0"/>
    <w:rsid w:val="00671427"/>
    <w:rsid w:val="006719C6"/>
    <w:rsid w:val="00672314"/>
    <w:rsid w:val="00672705"/>
    <w:rsid w:val="006729A4"/>
    <w:rsid w:val="00672D87"/>
    <w:rsid w:val="00672DD0"/>
    <w:rsid w:val="00672E69"/>
    <w:rsid w:val="00673038"/>
    <w:rsid w:val="006731E2"/>
    <w:rsid w:val="0067344B"/>
    <w:rsid w:val="0067376E"/>
    <w:rsid w:val="00673D55"/>
    <w:rsid w:val="006741F9"/>
    <w:rsid w:val="00674851"/>
    <w:rsid w:val="006748A2"/>
    <w:rsid w:val="00674B29"/>
    <w:rsid w:val="00674E2E"/>
    <w:rsid w:val="00675940"/>
    <w:rsid w:val="00675D67"/>
    <w:rsid w:val="00675E1C"/>
    <w:rsid w:val="00675E95"/>
    <w:rsid w:val="006761BC"/>
    <w:rsid w:val="00676F05"/>
    <w:rsid w:val="00676F63"/>
    <w:rsid w:val="00676F93"/>
    <w:rsid w:val="00677D85"/>
    <w:rsid w:val="00677FB3"/>
    <w:rsid w:val="00680414"/>
    <w:rsid w:val="006804DE"/>
    <w:rsid w:val="00680765"/>
    <w:rsid w:val="00680885"/>
    <w:rsid w:val="006808AD"/>
    <w:rsid w:val="00680D75"/>
    <w:rsid w:val="006811D6"/>
    <w:rsid w:val="0068127A"/>
    <w:rsid w:val="00681433"/>
    <w:rsid w:val="00681535"/>
    <w:rsid w:val="0068157E"/>
    <w:rsid w:val="006818A5"/>
    <w:rsid w:val="00681B86"/>
    <w:rsid w:val="00681D83"/>
    <w:rsid w:val="00681D96"/>
    <w:rsid w:val="00681DC9"/>
    <w:rsid w:val="00682408"/>
    <w:rsid w:val="0068297E"/>
    <w:rsid w:val="00682CB6"/>
    <w:rsid w:val="00682F9B"/>
    <w:rsid w:val="00683271"/>
    <w:rsid w:val="006834C7"/>
    <w:rsid w:val="006835F3"/>
    <w:rsid w:val="00683861"/>
    <w:rsid w:val="00684091"/>
    <w:rsid w:val="0068551C"/>
    <w:rsid w:val="006858BA"/>
    <w:rsid w:val="00685C8F"/>
    <w:rsid w:val="006865A4"/>
    <w:rsid w:val="006869BC"/>
    <w:rsid w:val="00686EE4"/>
    <w:rsid w:val="006877A7"/>
    <w:rsid w:val="0068792F"/>
    <w:rsid w:val="006879B5"/>
    <w:rsid w:val="00687AF8"/>
    <w:rsid w:val="00687DC6"/>
    <w:rsid w:val="00687F78"/>
    <w:rsid w:val="006900C2"/>
    <w:rsid w:val="00690440"/>
    <w:rsid w:val="00690729"/>
    <w:rsid w:val="006910E5"/>
    <w:rsid w:val="006911BC"/>
    <w:rsid w:val="00691318"/>
    <w:rsid w:val="006914F0"/>
    <w:rsid w:val="006915F9"/>
    <w:rsid w:val="00691789"/>
    <w:rsid w:val="00691800"/>
    <w:rsid w:val="00691FB8"/>
    <w:rsid w:val="00692116"/>
    <w:rsid w:val="006926E6"/>
    <w:rsid w:val="00692CD6"/>
    <w:rsid w:val="00692EAD"/>
    <w:rsid w:val="006935EC"/>
    <w:rsid w:val="00693B63"/>
    <w:rsid w:val="00693D3B"/>
    <w:rsid w:val="00693E2F"/>
    <w:rsid w:val="00694293"/>
    <w:rsid w:val="006948B9"/>
    <w:rsid w:val="00694DAD"/>
    <w:rsid w:val="0069526E"/>
    <w:rsid w:val="00695609"/>
    <w:rsid w:val="0069598B"/>
    <w:rsid w:val="006959BD"/>
    <w:rsid w:val="00695C5E"/>
    <w:rsid w:val="00695CDA"/>
    <w:rsid w:val="00695DE8"/>
    <w:rsid w:val="00696841"/>
    <w:rsid w:val="00696A66"/>
    <w:rsid w:val="00696C2D"/>
    <w:rsid w:val="006972DA"/>
    <w:rsid w:val="00697EB1"/>
    <w:rsid w:val="006A0230"/>
    <w:rsid w:val="006A035A"/>
    <w:rsid w:val="006A07AB"/>
    <w:rsid w:val="006A07C1"/>
    <w:rsid w:val="006A0D67"/>
    <w:rsid w:val="006A173F"/>
    <w:rsid w:val="006A175C"/>
    <w:rsid w:val="006A1760"/>
    <w:rsid w:val="006A1C33"/>
    <w:rsid w:val="006A1E5F"/>
    <w:rsid w:val="006A1F65"/>
    <w:rsid w:val="006A1F80"/>
    <w:rsid w:val="006A207A"/>
    <w:rsid w:val="006A2719"/>
    <w:rsid w:val="006A2C5E"/>
    <w:rsid w:val="006A3414"/>
    <w:rsid w:val="006A3AE3"/>
    <w:rsid w:val="006A4500"/>
    <w:rsid w:val="006A486A"/>
    <w:rsid w:val="006A50D2"/>
    <w:rsid w:val="006A53E5"/>
    <w:rsid w:val="006A5455"/>
    <w:rsid w:val="006A585B"/>
    <w:rsid w:val="006A594A"/>
    <w:rsid w:val="006A5CDB"/>
    <w:rsid w:val="006A610B"/>
    <w:rsid w:val="006A6858"/>
    <w:rsid w:val="006A69B2"/>
    <w:rsid w:val="006A6E0E"/>
    <w:rsid w:val="006A7090"/>
    <w:rsid w:val="006A71D7"/>
    <w:rsid w:val="006A777D"/>
    <w:rsid w:val="006A7A68"/>
    <w:rsid w:val="006A7B0F"/>
    <w:rsid w:val="006A7C53"/>
    <w:rsid w:val="006A7E77"/>
    <w:rsid w:val="006B0316"/>
    <w:rsid w:val="006B06F4"/>
    <w:rsid w:val="006B0BB4"/>
    <w:rsid w:val="006B1084"/>
    <w:rsid w:val="006B10C9"/>
    <w:rsid w:val="006B129D"/>
    <w:rsid w:val="006B1E1C"/>
    <w:rsid w:val="006B1FEC"/>
    <w:rsid w:val="006B235B"/>
    <w:rsid w:val="006B23D2"/>
    <w:rsid w:val="006B2BB4"/>
    <w:rsid w:val="006B2DA2"/>
    <w:rsid w:val="006B306B"/>
    <w:rsid w:val="006B30A9"/>
    <w:rsid w:val="006B31D9"/>
    <w:rsid w:val="006B328E"/>
    <w:rsid w:val="006B3C47"/>
    <w:rsid w:val="006B3EA5"/>
    <w:rsid w:val="006B3EB2"/>
    <w:rsid w:val="006B406B"/>
    <w:rsid w:val="006B45A5"/>
    <w:rsid w:val="006B4EE6"/>
    <w:rsid w:val="006B4F0A"/>
    <w:rsid w:val="006B508E"/>
    <w:rsid w:val="006B52DD"/>
    <w:rsid w:val="006B58CE"/>
    <w:rsid w:val="006B59ED"/>
    <w:rsid w:val="006B5A0B"/>
    <w:rsid w:val="006B5C9E"/>
    <w:rsid w:val="006B5FB0"/>
    <w:rsid w:val="006B639F"/>
    <w:rsid w:val="006B67D8"/>
    <w:rsid w:val="006B6D89"/>
    <w:rsid w:val="006B7401"/>
    <w:rsid w:val="006B789E"/>
    <w:rsid w:val="006B7972"/>
    <w:rsid w:val="006B7988"/>
    <w:rsid w:val="006B7D28"/>
    <w:rsid w:val="006B7E89"/>
    <w:rsid w:val="006B7F0B"/>
    <w:rsid w:val="006C02D4"/>
    <w:rsid w:val="006C0381"/>
    <w:rsid w:val="006C0456"/>
    <w:rsid w:val="006C06A7"/>
    <w:rsid w:val="006C0763"/>
    <w:rsid w:val="006C0A4C"/>
    <w:rsid w:val="006C0D8F"/>
    <w:rsid w:val="006C10B9"/>
    <w:rsid w:val="006C127A"/>
    <w:rsid w:val="006C14E8"/>
    <w:rsid w:val="006C1607"/>
    <w:rsid w:val="006C1B17"/>
    <w:rsid w:val="006C1B67"/>
    <w:rsid w:val="006C1B79"/>
    <w:rsid w:val="006C2C9A"/>
    <w:rsid w:val="006C30D6"/>
    <w:rsid w:val="006C3251"/>
    <w:rsid w:val="006C34F9"/>
    <w:rsid w:val="006C3538"/>
    <w:rsid w:val="006C3621"/>
    <w:rsid w:val="006C3865"/>
    <w:rsid w:val="006C39A1"/>
    <w:rsid w:val="006C412B"/>
    <w:rsid w:val="006C4157"/>
    <w:rsid w:val="006C44CD"/>
    <w:rsid w:val="006C46A2"/>
    <w:rsid w:val="006C4A01"/>
    <w:rsid w:val="006C4D44"/>
    <w:rsid w:val="006C4D8C"/>
    <w:rsid w:val="006C5062"/>
    <w:rsid w:val="006C52AB"/>
    <w:rsid w:val="006C565D"/>
    <w:rsid w:val="006C5682"/>
    <w:rsid w:val="006C5892"/>
    <w:rsid w:val="006C6505"/>
    <w:rsid w:val="006C67F7"/>
    <w:rsid w:val="006C6900"/>
    <w:rsid w:val="006C69D2"/>
    <w:rsid w:val="006C6CED"/>
    <w:rsid w:val="006C72F0"/>
    <w:rsid w:val="006C73FF"/>
    <w:rsid w:val="006C741F"/>
    <w:rsid w:val="006C7846"/>
    <w:rsid w:val="006C79D7"/>
    <w:rsid w:val="006D0B36"/>
    <w:rsid w:val="006D0CBB"/>
    <w:rsid w:val="006D0DA0"/>
    <w:rsid w:val="006D0E21"/>
    <w:rsid w:val="006D0FBB"/>
    <w:rsid w:val="006D198F"/>
    <w:rsid w:val="006D209D"/>
    <w:rsid w:val="006D22D3"/>
    <w:rsid w:val="006D2A4E"/>
    <w:rsid w:val="006D2B47"/>
    <w:rsid w:val="006D2B8A"/>
    <w:rsid w:val="006D3027"/>
    <w:rsid w:val="006D37C3"/>
    <w:rsid w:val="006D3CA9"/>
    <w:rsid w:val="006D49E9"/>
    <w:rsid w:val="006D4A8E"/>
    <w:rsid w:val="006D503A"/>
    <w:rsid w:val="006D5A1A"/>
    <w:rsid w:val="006D67F4"/>
    <w:rsid w:val="006D6A7D"/>
    <w:rsid w:val="006D6F34"/>
    <w:rsid w:val="006D7353"/>
    <w:rsid w:val="006D78D1"/>
    <w:rsid w:val="006D7F58"/>
    <w:rsid w:val="006E01E9"/>
    <w:rsid w:val="006E020F"/>
    <w:rsid w:val="006E0AB1"/>
    <w:rsid w:val="006E0DE2"/>
    <w:rsid w:val="006E0FC3"/>
    <w:rsid w:val="006E10DE"/>
    <w:rsid w:val="006E115C"/>
    <w:rsid w:val="006E11B8"/>
    <w:rsid w:val="006E181B"/>
    <w:rsid w:val="006E1889"/>
    <w:rsid w:val="006E1CC0"/>
    <w:rsid w:val="006E1CEB"/>
    <w:rsid w:val="006E1D49"/>
    <w:rsid w:val="006E1E69"/>
    <w:rsid w:val="006E24D5"/>
    <w:rsid w:val="006E270A"/>
    <w:rsid w:val="006E2928"/>
    <w:rsid w:val="006E2BDC"/>
    <w:rsid w:val="006E3295"/>
    <w:rsid w:val="006E32D6"/>
    <w:rsid w:val="006E3618"/>
    <w:rsid w:val="006E389D"/>
    <w:rsid w:val="006E3A39"/>
    <w:rsid w:val="006E3D08"/>
    <w:rsid w:val="006E3F53"/>
    <w:rsid w:val="006E4035"/>
    <w:rsid w:val="006E40E8"/>
    <w:rsid w:val="006E471A"/>
    <w:rsid w:val="006E4C15"/>
    <w:rsid w:val="006E4CA6"/>
    <w:rsid w:val="006E4D87"/>
    <w:rsid w:val="006E4F68"/>
    <w:rsid w:val="006E5827"/>
    <w:rsid w:val="006E5B3F"/>
    <w:rsid w:val="006E5BF6"/>
    <w:rsid w:val="006E5D87"/>
    <w:rsid w:val="006E5F15"/>
    <w:rsid w:val="006E5F3D"/>
    <w:rsid w:val="006E60B5"/>
    <w:rsid w:val="006E6208"/>
    <w:rsid w:val="006E67DC"/>
    <w:rsid w:val="006E75C6"/>
    <w:rsid w:val="006E786A"/>
    <w:rsid w:val="006E7B3D"/>
    <w:rsid w:val="006F04B1"/>
    <w:rsid w:val="006F05A1"/>
    <w:rsid w:val="006F0638"/>
    <w:rsid w:val="006F0C0D"/>
    <w:rsid w:val="006F0F71"/>
    <w:rsid w:val="006F1094"/>
    <w:rsid w:val="006F1595"/>
    <w:rsid w:val="006F1777"/>
    <w:rsid w:val="006F1807"/>
    <w:rsid w:val="006F19A2"/>
    <w:rsid w:val="006F1B61"/>
    <w:rsid w:val="006F2454"/>
    <w:rsid w:val="006F251B"/>
    <w:rsid w:val="006F27F0"/>
    <w:rsid w:val="006F29E4"/>
    <w:rsid w:val="006F2DBD"/>
    <w:rsid w:val="006F394C"/>
    <w:rsid w:val="006F3CBC"/>
    <w:rsid w:val="006F3DEB"/>
    <w:rsid w:val="006F4100"/>
    <w:rsid w:val="006F410E"/>
    <w:rsid w:val="006F45D4"/>
    <w:rsid w:val="006F4EEC"/>
    <w:rsid w:val="006F4F3F"/>
    <w:rsid w:val="006F50FF"/>
    <w:rsid w:val="006F5284"/>
    <w:rsid w:val="006F54D2"/>
    <w:rsid w:val="006F5765"/>
    <w:rsid w:val="006F5804"/>
    <w:rsid w:val="006F5C82"/>
    <w:rsid w:val="006F61CD"/>
    <w:rsid w:val="006F61DF"/>
    <w:rsid w:val="006F637D"/>
    <w:rsid w:val="006F63C3"/>
    <w:rsid w:val="006F663C"/>
    <w:rsid w:val="006F67C5"/>
    <w:rsid w:val="006F689F"/>
    <w:rsid w:val="006F6CD3"/>
    <w:rsid w:val="006F7098"/>
    <w:rsid w:val="006F7586"/>
    <w:rsid w:val="006F7AEF"/>
    <w:rsid w:val="006F7CAE"/>
    <w:rsid w:val="007004DB"/>
    <w:rsid w:val="0070057B"/>
    <w:rsid w:val="007005D9"/>
    <w:rsid w:val="007008EE"/>
    <w:rsid w:val="00700B79"/>
    <w:rsid w:val="00700F68"/>
    <w:rsid w:val="00701235"/>
    <w:rsid w:val="0070194D"/>
    <w:rsid w:val="00701B30"/>
    <w:rsid w:val="00701BFD"/>
    <w:rsid w:val="0070228E"/>
    <w:rsid w:val="00702523"/>
    <w:rsid w:val="0070267E"/>
    <w:rsid w:val="00702762"/>
    <w:rsid w:val="007027A3"/>
    <w:rsid w:val="00702A1A"/>
    <w:rsid w:val="00703231"/>
    <w:rsid w:val="007033CE"/>
    <w:rsid w:val="007035B5"/>
    <w:rsid w:val="007039C9"/>
    <w:rsid w:val="00703E27"/>
    <w:rsid w:val="0070439A"/>
    <w:rsid w:val="00704475"/>
    <w:rsid w:val="00704679"/>
    <w:rsid w:val="00704A2E"/>
    <w:rsid w:val="00704DB8"/>
    <w:rsid w:val="00704DC6"/>
    <w:rsid w:val="00704F3C"/>
    <w:rsid w:val="007052C5"/>
    <w:rsid w:val="007052F8"/>
    <w:rsid w:val="0070553F"/>
    <w:rsid w:val="00705FFF"/>
    <w:rsid w:val="0070633D"/>
    <w:rsid w:val="00706774"/>
    <w:rsid w:val="0070678D"/>
    <w:rsid w:val="007068AD"/>
    <w:rsid w:val="00706A3A"/>
    <w:rsid w:val="00706E32"/>
    <w:rsid w:val="00706F36"/>
    <w:rsid w:val="0070705A"/>
    <w:rsid w:val="007077F4"/>
    <w:rsid w:val="00707AE0"/>
    <w:rsid w:val="0071028D"/>
    <w:rsid w:val="007102AA"/>
    <w:rsid w:val="007103C8"/>
    <w:rsid w:val="0071041A"/>
    <w:rsid w:val="00710426"/>
    <w:rsid w:val="00710502"/>
    <w:rsid w:val="0071070C"/>
    <w:rsid w:val="007107FA"/>
    <w:rsid w:val="00710F64"/>
    <w:rsid w:val="00711174"/>
    <w:rsid w:val="007111D2"/>
    <w:rsid w:val="0071123D"/>
    <w:rsid w:val="00711545"/>
    <w:rsid w:val="007117CB"/>
    <w:rsid w:val="0071184D"/>
    <w:rsid w:val="00711885"/>
    <w:rsid w:val="007121C9"/>
    <w:rsid w:val="007121D7"/>
    <w:rsid w:val="00712480"/>
    <w:rsid w:val="00712D1D"/>
    <w:rsid w:val="00712EA5"/>
    <w:rsid w:val="00712FFA"/>
    <w:rsid w:val="007131E5"/>
    <w:rsid w:val="0071329A"/>
    <w:rsid w:val="0071329D"/>
    <w:rsid w:val="007133C7"/>
    <w:rsid w:val="00713BFB"/>
    <w:rsid w:val="00713DE4"/>
    <w:rsid w:val="00713F38"/>
    <w:rsid w:val="00714457"/>
    <w:rsid w:val="00714486"/>
    <w:rsid w:val="0071482A"/>
    <w:rsid w:val="0071483E"/>
    <w:rsid w:val="0071498A"/>
    <w:rsid w:val="00714B80"/>
    <w:rsid w:val="00714F7D"/>
    <w:rsid w:val="007150B2"/>
    <w:rsid w:val="0071532C"/>
    <w:rsid w:val="00715494"/>
    <w:rsid w:val="007157C4"/>
    <w:rsid w:val="00715A5B"/>
    <w:rsid w:val="00715BDD"/>
    <w:rsid w:val="00715E8E"/>
    <w:rsid w:val="0071629D"/>
    <w:rsid w:val="00716644"/>
    <w:rsid w:val="00716BAE"/>
    <w:rsid w:val="00717480"/>
    <w:rsid w:val="00717642"/>
    <w:rsid w:val="007177A1"/>
    <w:rsid w:val="007202F4"/>
    <w:rsid w:val="0072050A"/>
    <w:rsid w:val="00720894"/>
    <w:rsid w:val="007208FC"/>
    <w:rsid w:val="00720A53"/>
    <w:rsid w:val="00720D3F"/>
    <w:rsid w:val="00720D69"/>
    <w:rsid w:val="00720E7D"/>
    <w:rsid w:val="00720F36"/>
    <w:rsid w:val="007212A6"/>
    <w:rsid w:val="007212FE"/>
    <w:rsid w:val="007216AC"/>
    <w:rsid w:val="007217FE"/>
    <w:rsid w:val="007219BB"/>
    <w:rsid w:val="00721C5A"/>
    <w:rsid w:val="00721D36"/>
    <w:rsid w:val="00722914"/>
    <w:rsid w:val="00722949"/>
    <w:rsid w:val="00722E45"/>
    <w:rsid w:val="00722EB8"/>
    <w:rsid w:val="007234FA"/>
    <w:rsid w:val="00723534"/>
    <w:rsid w:val="0072362E"/>
    <w:rsid w:val="00723A4E"/>
    <w:rsid w:val="00723C29"/>
    <w:rsid w:val="00723CC6"/>
    <w:rsid w:val="007241C1"/>
    <w:rsid w:val="00724444"/>
    <w:rsid w:val="00724473"/>
    <w:rsid w:val="007246E6"/>
    <w:rsid w:val="00724894"/>
    <w:rsid w:val="00724D22"/>
    <w:rsid w:val="00724E7A"/>
    <w:rsid w:val="007252D2"/>
    <w:rsid w:val="007252DA"/>
    <w:rsid w:val="007252E0"/>
    <w:rsid w:val="0072534E"/>
    <w:rsid w:val="0072540F"/>
    <w:rsid w:val="007256DF"/>
    <w:rsid w:val="00725701"/>
    <w:rsid w:val="007257E3"/>
    <w:rsid w:val="00725859"/>
    <w:rsid w:val="00725AA3"/>
    <w:rsid w:val="00725FDF"/>
    <w:rsid w:val="00726061"/>
    <w:rsid w:val="00726167"/>
    <w:rsid w:val="00726950"/>
    <w:rsid w:val="0072765C"/>
    <w:rsid w:val="007276B2"/>
    <w:rsid w:val="00727BE7"/>
    <w:rsid w:val="0073002F"/>
    <w:rsid w:val="0073014B"/>
    <w:rsid w:val="007302E6"/>
    <w:rsid w:val="0073065D"/>
    <w:rsid w:val="007307FA"/>
    <w:rsid w:val="00730C6F"/>
    <w:rsid w:val="00730C89"/>
    <w:rsid w:val="00730CD2"/>
    <w:rsid w:val="00730DDD"/>
    <w:rsid w:val="00730E53"/>
    <w:rsid w:val="00730ED7"/>
    <w:rsid w:val="00731006"/>
    <w:rsid w:val="00731085"/>
    <w:rsid w:val="00731305"/>
    <w:rsid w:val="00731325"/>
    <w:rsid w:val="007317E4"/>
    <w:rsid w:val="00732A87"/>
    <w:rsid w:val="00732BD3"/>
    <w:rsid w:val="0073306C"/>
    <w:rsid w:val="00733B12"/>
    <w:rsid w:val="00733B23"/>
    <w:rsid w:val="00733C94"/>
    <w:rsid w:val="00733CD7"/>
    <w:rsid w:val="00733FF4"/>
    <w:rsid w:val="00734A3A"/>
    <w:rsid w:val="00734F6A"/>
    <w:rsid w:val="007353C3"/>
    <w:rsid w:val="0073589A"/>
    <w:rsid w:val="0073599C"/>
    <w:rsid w:val="00735A22"/>
    <w:rsid w:val="00735A5F"/>
    <w:rsid w:val="00735E73"/>
    <w:rsid w:val="00736049"/>
    <w:rsid w:val="00736A5B"/>
    <w:rsid w:val="00736AFE"/>
    <w:rsid w:val="00736C1F"/>
    <w:rsid w:val="00736EEF"/>
    <w:rsid w:val="007375EB"/>
    <w:rsid w:val="00737641"/>
    <w:rsid w:val="007376D4"/>
    <w:rsid w:val="00737CD1"/>
    <w:rsid w:val="00737D0F"/>
    <w:rsid w:val="00740043"/>
    <w:rsid w:val="007401BB"/>
    <w:rsid w:val="0074034C"/>
    <w:rsid w:val="007404EF"/>
    <w:rsid w:val="007408EF"/>
    <w:rsid w:val="0074090C"/>
    <w:rsid w:val="00740FF5"/>
    <w:rsid w:val="00741229"/>
    <w:rsid w:val="00741452"/>
    <w:rsid w:val="00741735"/>
    <w:rsid w:val="00741FF4"/>
    <w:rsid w:val="00742255"/>
    <w:rsid w:val="00742785"/>
    <w:rsid w:val="007428DA"/>
    <w:rsid w:val="007430A5"/>
    <w:rsid w:val="0074313F"/>
    <w:rsid w:val="00743184"/>
    <w:rsid w:val="007434AF"/>
    <w:rsid w:val="00743525"/>
    <w:rsid w:val="00743583"/>
    <w:rsid w:val="007435BC"/>
    <w:rsid w:val="00743726"/>
    <w:rsid w:val="00743A50"/>
    <w:rsid w:val="00743AE3"/>
    <w:rsid w:val="00743B19"/>
    <w:rsid w:val="00743D30"/>
    <w:rsid w:val="0074426E"/>
    <w:rsid w:val="0074428D"/>
    <w:rsid w:val="00744529"/>
    <w:rsid w:val="00744576"/>
    <w:rsid w:val="00744FFB"/>
    <w:rsid w:val="0074526B"/>
    <w:rsid w:val="00745A46"/>
    <w:rsid w:val="00745AB4"/>
    <w:rsid w:val="00745B92"/>
    <w:rsid w:val="00745D58"/>
    <w:rsid w:val="00745D6A"/>
    <w:rsid w:val="00745F5A"/>
    <w:rsid w:val="0074605F"/>
    <w:rsid w:val="00746717"/>
    <w:rsid w:val="00746B33"/>
    <w:rsid w:val="00746C24"/>
    <w:rsid w:val="007473EF"/>
    <w:rsid w:val="007476BB"/>
    <w:rsid w:val="00747A36"/>
    <w:rsid w:val="00747D5C"/>
    <w:rsid w:val="00750398"/>
    <w:rsid w:val="00750B2F"/>
    <w:rsid w:val="007513A2"/>
    <w:rsid w:val="007521B3"/>
    <w:rsid w:val="00752741"/>
    <w:rsid w:val="00752B50"/>
    <w:rsid w:val="00752C3B"/>
    <w:rsid w:val="00752EC2"/>
    <w:rsid w:val="0075387B"/>
    <w:rsid w:val="00753ABF"/>
    <w:rsid w:val="00753C4C"/>
    <w:rsid w:val="00754023"/>
    <w:rsid w:val="0075402B"/>
    <w:rsid w:val="007541AE"/>
    <w:rsid w:val="00754306"/>
    <w:rsid w:val="0075453B"/>
    <w:rsid w:val="007546AF"/>
    <w:rsid w:val="007555AB"/>
    <w:rsid w:val="0075580C"/>
    <w:rsid w:val="00756094"/>
    <w:rsid w:val="0075634E"/>
    <w:rsid w:val="00756606"/>
    <w:rsid w:val="00756674"/>
    <w:rsid w:val="0075704D"/>
    <w:rsid w:val="00757140"/>
    <w:rsid w:val="00757B6A"/>
    <w:rsid w:val="0076000E"/>
    <w:rsid w:val="0076052D"/>
    <w:rsid w:val="0076067D"/>
    <w:rsid w:val="0076096F"/>
    <w:rsid w:val="00760C70"/>
    <w:rsid w:val="0076116D"/>
    <w:rsid w:val="00761255"/>
    <w:rsid w:val="00761569"/>
    <w:rsid w:val="007616FD"/>
    <w:rsid w:val="00762101"/>
    <w:rsid w:val="00762ABA"/>
    <w:rsid w:val="00763ECF"/>
    <w:rsid w:val="00763F77"/>
    <w:rsid w:val="00764944"/>
    <w:rsid w:val="00764C44"/>
    <w:rsid w:val="00764E43"/>
    <w:rsid w:val="007658B3"/>
    <w:rsid w:val="00765934"/>
    <w:rsid w:val="00765E38"/>
    <w:rsid w:val="00766753"/>
    <w:rsid w:val="007668B4"/>
    <w:rsid w:val="00766A63"/>
    <w:rsid w:val="00766C49"/>
    <w:rsid w:val="00766CB8"/>
    <w:rsid w:val="00767031"/>
    <w:rsid w:val="00767B97"/>
    <w:rsid w:val="007700C9"/>
    <w:rsid w:val="00770335"/>
    <w:rsid w:val="007704DA"/>
    <w:rsid w:val="00770D1D"/>
    <w:rsid w:val="00770EDD"/>
    <w:rsid w:val="007712A2"/>
    <w:rsid w:val="00771344"/>
    <w:rsid w:val="00771499"/>
    <w:rsid w:val="007716DE"/>
    <w:rsid w:val="0077187C"/>
    <w:rsid w:val="00771C2B"/>
    <w:rsid w:val="00771D5C"/>
    <w:rsid w:val="00771D68"/>
    <w:rsid w:val="007722B4"/>
    <w:rsid w:val="00772524"/>
    <w:rsid w:val="007726F6"/>
    <w:rsid w:val="0077279B"/>
    <w:rsid w:val="0077284E"/>
    <w:rsid w:val="00772B07"/>
    <w:rsid w:val="00772B2F"/>
    <w:rsid w:val="00772C11"/>
    <w:rsid w:val="00772CF4"/>
    <w:rsid w:val="00772CF9"/>
    <w:rsid w:val="00772D29"/>
    <w:rsid w:val="00773BEC"/>
    <w:rsid w:val="00773D43"/>
    <w:rsid w:val="0077451B"/>
    <w:rsid w:val="00774A05"/>
    <w:rsid w:val="00774A06"/>
    <w:rsid w:val="00774A8F"/>
    <w:rsid w:val="00774B68"/>
    <w:rsid w:val="00774C2C"/>
    <w:rsid w:val="00774D31"/>
    <w:rsid w:val="00775392"/>
    <w:rsid w:val="007755A7"/>
    <w:rsid w:val="00775896"/>
    <w:rsid w:val="00775BA2"/>
    <w:rsid w:val="00775D6F"/>
    <w:rsid w:val="007763F9"/>
    <w:rsid w:val="007765C6"/>
    <w:rsid w:val="00777063"/>
    <w:rsid w:val="00777180"/>
    <w:rsid w:val="0077723E"/>
    <w:rsid w:val="007772AB"/>
    <w:rsid w:val="00777317"/>
    <w:rsid w:val="00777788"/>
    <w:rsid w:val="00777F35"/>
    <w:rsid w:val="00780262"/>
    <w:rsid w:val="00780502"/>
    <w:rsid w:val="0078072B"/>
    <w:rsid w:val="00780821"/>
    <w:rsid w:val="00780B6B"/>
    <w:rsid w:val="0078102D"/>
    <w:rsid w:val="007810AF"/>
    <w:rsid w:val="007814B7"/>
    <w:rsid w:val="007815B6"/>
    <w:rsid w:val="0078177B"/>
    <w:rsid w:val="00781970"/>
    <w:rsid w:val="0078197C"/>
    <w:rsid w:val="00782193"/>
    <w:rsid w:val="007821EA"/>
    <w:rsid w:val="00782495"/>
    <w:rsid w:val="007824E2"/>
    <w:rsid w:val="00782809"/>
    <w:rsid w:val="00782F28"/>
    <w:rsid w:val="007830AC"/>
    <w:rsid w:val="00783197"/>
    <w:rsid w:val="0078389B"/>
    <w:rsid w:val="00783BEE"/>
    <w:rsid w:val="00783CB3"/>
    <w:rsid w:val="00783F5A"/>
    <w:rsid w:val="00784137"/>
    <w:rsid w:val="007848E9"/>
    <w:rsid w:val="007849B2"/>
    <w:rsid w:val="00784D1E"/>
    <w:rsid w:val="0078543B"/>
    <w:rsid w:val="00785654"/>
    <w:rsid w:val="0078574E"/>
    <w:rsid w:val="00785B2F"/>
    <w:rsid w:val="00785CD5"/>
    <w:rsid w:val="00786042"/>
    <w:rsid w:val="00786098"/>
    <w:rsid w:val="007866AA"/>
    <w:rsid w:val="007870A9"/>
    <w:rsid w:val="0078721C"/>
    <w:rsid w:val="007873C5"/>
    <w:rsid w:val="007874E1"/>
    <w:rsid w:val="00787547"/>
    <w:rsid w:val="00787A4D"/>
    <w:rsid w:val="00787A5B"/>
    <w:rsid w:val="00787A9D"/>
    <w:rsid w:val="00787EFE"/>
    <w:rsid w:val="0079033A"/>
    <w:rsid w:val="007905A3"/>
    <w:rsid w:val="00790654"/>
    <w:rsid w:val="00790863"/>
    <w:rsid w:val="00790F7E"/>
    <w:rsid w:val="007912D5"/>
    <w:rsid w:val="007912E8"/>
    <w:rsid w:val="007913B3"/>
    <w:rsid w:val="007913E1"/>
    <w:rsid w:val="0079140D"/>
    <w:rsid w:val="007919E6"/>
    <w:rsid w:val="00791B34"/>
    <w:rsid w:val="007923E2"/>
    <w:rsid w:val="0079281A"/>
    <w:rsid w:val="00792950"/>
    <w:rsid w:val="00793109"/>
    <w:rsid w:val="007935CD"/>
    <w:rsid w:val="00793C57"/>
    <w:rsid w:val="00793C6B"/>
    <w:rsid w:val="00794675"/>
    <w:rsid w:val="00794691"/>
    <w:rsid w:val="00794AF2"/>
    <w:rsid w:val="007950F8"/>
    <w:rsid w:val="007951A6"/>
    <w:rsid w:val="0079536D"/>
    <w:rsid w:val="0079547C"/>
    <w:rsid w:val="007956C8"/>
    <w:rsid w:val="00795960"/>
    <w:rsid w:val="007959A2"/>
    <w:rsid w:val="00795AF4"/>
    <w:rsid w:val="00795C13"/>
    <w:rsid w:val="00795CF4"/>
    <w:rsid w:val="00795DB7"/>
    <w:rsid w:val="00795F4F"/>
    <w:rsid w:val="007961B3"/>
    <w:rsid w:val="007969EF"/>
    <w:rsid w:val="00796E99"/>
    <w:rsid w:val="0079732E"/>
    <w:rsid w:val="00797E30"/>
    <w:rsid w:val="007A0324"/>
    <w:rsid w:val="007A0337"/>
    <w:rsid w:val="007A07FE"/>
    <w:rsid w:val="007A0971"/>
    <w:rsid w:val="007A1265"/>
    <w:rsid w:val="007A18CE"/>
    <w:rsid w:val="007A1C7E"/>
    <w:rsid w:val="007A1D1D"/>
    <w:rsid w:val="007A1E99"/>
    <w:rsid w:val="007A22BF"/>
    <w:rsid w:val="007A2398"/>
    <w:rsid w:val="007A23FE"/>
    <w:rsid w:val="007A24A6"/>
    <w:rsid w:val="007A2659"/>
    <w:rsid w:val="007A271A"/>
    <w:rsid w:val="007A2CAF"/>
    <w:rsid w:val="007A31D5"/>
    <w:rsid w:val="007A35B4"/>
    <w:rsid w:val="007A3653"/>
    <w:rsid w:val="007A46EA"/>
    <w:rsid w:val="007A4A03"/>
    <w:rsid w:val="007A4EF1"/>
    <w:rsid w:val="007A4FC4"/>
    <w:rsid w:val="007A5612"/>
    <w:rsid w:val="007A584D"/>
    <w:rsid w:val="007A5B0B"/>
    <w:rsid w:val="007A5B6C"/>
    <w:rsid w:val="007A5C80"/>
    <w:rsid w:val="007A5E56"/>
    <w:rsid w:val="007A5E74"/>
    <w:rsid w:val="007A601C"/>
    <w:rsid w:val="007A62E0"/>
    <w:rsid w:val="007A648C"/>
    <w:rsid w:val="007A6B28"/>
    <w:rsid w:val="007A7437"/>
    <w:rsid w:val="007A7637"/>
    <w:rsid w:val="007A764B"/>
    <w:rsid w:val="007A76F8"/>
    <w:rsid w:val="007A7B96"/>
    <w:rsid w:val="007A7C87"/>
    <w:rsid w:val="007A7F7D"/>
    <w:rsid w:val="007B059D"/>
    <w:rsid w:val="007B09E1"/>
    <w:rsid w:val="007B0CE1"/>
    <w:rsid w:val="007B110F"/>
    <w:rsid w:val="007B13A8"/>
    <w:rsid w:val="007B14C4"/>
    <w:rsid w:val="007B1732"/>
    <w:rsid w:val="007B1AC5"/>
    <w:rsid w:val="007B1E3B"/>
    <w:rsid w:val="007B1F6A"/>
    <w:rsid w:val="007B208E"/>
    <w:rsid w:val="007B224C"/>
    <w:rsid w:val="007B29FA"/>
    <w:rsid w:val="007B2A96"/>
    <w:rsid w:val="007B312C"/>
    <w:rsid w:val="007B3160"/>
    <w:rsid w:val="007B31D6"/>
    <w:rsid w:val="007B334F"/>
    <w:rsid w:val="007B3403"/>
    <w:rsid w:val="007B3519"/>
    <w:rsid w:val="007B382A"/>
    <w:rsid w:val="007B3B39"/>
    <w:rsid w:val="007B3CBC"/>
    <w:rsid w:val="007B3D4D"/>
    <w:rsid w:val="007B3DCD"/>
    <w:rsid w:val="007B3E92"/>
    <w:rsid w:val="007B4FCC"/>
    <w:rsid w:val="007B519C"/>
    <w:rsid w:val="007B528D"/>
    <w:rsid w:val="007B550A"/>
    <w:rsid w:val="007B574B"/>
    <w:rsid w:val="007B576D"/>
    <w:rsid w:val="007B612C"/>
    <w:rsid w:val="007B6213"/>
    <w:rsid w:val="007B656F"/>
    <w:rsid w:val="007B6729"/>
    <w:rsid w:val="007B676A"/>
    <w:rsid w:val="007B678F"/>
    <w:rsid w:val="007B6A62"/>
    <w:rsid w:val="007B6F56"/>
    <w:rsid w:val="007B7004"/>
    <w:rsid w:val="007B7032"/>
    <w:rsid w:val="007B7756"/>
    <w:rsid w:val="007B799B"/>
    <w:rsid w:val="007B7DA5"/>
    <w:rsid w:val="007C0F89"/>
    <w:rsid w:val="007C149C"/>
    <w:rsid w:val="007C1566"/>
    <w:rsid w:val="007C1857"/>
    <w:rsid w:val="007C18EC"/>
    <w:rsid w:val="007C1B8A"/>
    <w:rsid w:val="007C1D62"/>
    <w:rsid w:val="007C1E8F"/>
    <w:rsid w:val="007C21F7"/>
    <w:rsid w:val="007C22C7"/>
    <w:rsid w:val="007C26D0"/>
    <w:rsid w:val="007C2952"/>
    <w:rsid w:val="007C2B82"/>
    <w:rsid w:val="007C2D15"/>
    <w:rsid w:val="007C3246"/>
    <w:rsid w:val="007C43E7"/>
    <w:rsid w:val="007C45B3"/>
    <w:rsid w:val="007C5457"/>
    <w:rsid w:val="007C553C"/>
    <w:rsid w:val="007C58BB"/>
    <w:rsid w:val="007C5A90"/>
    <w:rsid w:val="007C5E7B"/>
    <w:rsid w:val="007C616F"/>
    <w:rsid w:val="007C61DC"/>
    <w:rsid w:val="007C6567"/>
    <w:rsid w:val="007C7951"/>
    <w:rsid w:val="007C7A64"/>
    <w:rsid w:val="007C7E26"/>
    <w:rsid w:val="007C7E48"/>
    <w:rsid w:val="007C7EBF"/>
    <w:rsid w:val="007D000F"/>
    <w:rsid w:val="007D00B8"/>
    <w:rsid w:val="007D0C2F"/>
    <w:rsid w:val="007D0DFA"/>
    <w:rsid w:val="007D0F26"/>
    <w:rsid w:val="007D10FB"/>
    <w:rsid w:val="007D14D0"/>
    <w:rsid w:val="007D1675"/>
    <w:rsid w:val="007D16E3"/>
    <w:rsid w:val="007D1DBE"/>
    <w:rsid w:val="007D21EF"/>
    <w:rsid w:val="007D22E9"/>
    <w:rsid w:val="007D276F"/>
    <w:rsid w:val="007D279F"/>
    <w:rsid w:val="007D28EA"/>
    <w:rsid w:val="007D2EA6"/>
    <w:rsid w:val="007D302A"/>
    <w:rsid w:val="007D30B2"/>
    <w:rsid w:val="007D332D"/>
    <w:rsid w:val="007D3684"/>
    <w:rsid w:val="007D3948"/>
    <w:rsid w:val="007D398A"/>
    <w:rsid w:val="007D3B70"/>
    <w:rsid w:val="007D4365"/>
    <w:rsid w:val="007D4798"/>
    <w:rsid w:val="007D4BA9"/>
    <w:rsid w:val="007D4D93"/>
    <w:rsid w:val="007D4F32"/>
    <w:rsid w:val="007D50EF"/>
    <w:rsid w:val="007D5452"/>
    <w:rsid w:val="007D5605"/>
    <w:rsid w:val="007D586E"/>
    <w:rsid w:val="007D5B64"/>
    <w:rsid w:val="007D5E9C"/>
    <w:rsid w:val="007D5FB0"/>
    <w:rsid w:val="007D62A4"/>
    <w:rsid w:val="007D7130"/>
    <w:rsid w:val="007D765B"/>
    <w:rsid w:val="007D7BA8"/>
    <w:rsid w:val="007D7C09"/>
    <w:rsid w:val="007D7E57"/>
    <w:rsid w:val="007E01B1"/>
    <w:rsid w:val="007E03CA"/>
    <w:rsid w:val="007E046F"/>
    <w:rsid w:val="007E05ED"/>
    <w:rsid w:val="007E05F8"/>
    <w:rsid w:val="007E06FE"/>
    <w:rsid w:val="007E0A06"/>
    <w:rsid w:val="007E0C86"/>
    <w:rsid w:val="007E0D68"/>
    <w:rsid w:val="007E0F56"/>
    <w:rsid w:val="007E106A"/>
    <w:rsid w:val="007E13A2"/>
    <w:rsid w:val="007E1476"/>
    <w:rsid w:val="007E160A"/>
    <w:rsid w:val="007E1A2A"/>
    <w:rsid w:val="007E1ED2"/>
    <w:rsid w:val="007E1F32"/>
    <w:rsid w:val="007E2074"/>
    <w:rsid w:val="007E2618"/>
    <w:rsid w:val="007E26A3"/>
    <w:rsid w:val="007E2816"/>
    <w:rsid w:val="007E2DF1"/>
    <w:rsid w:val="007E3108"/>
    <w:rsid w:val="007E373C"/>
    <w:rsid w:val="007E384E"/>
    <w:rsid w:val="007E3CBD"/>
    <w:rsid w:val="007E40D7"/>
    <w:rsid w:val="007E414A"/>
    <w:rsid w:val="007E4309"/>
    <w:rsid w:val="007E4CFC"/>
    <w:rsid w:val="007E52D8"/>
    <w:rsid w:val="007E5314"/>
    <w:rsid w:val="007E599A"/>
    <w:rsid w:val="007E59A8"/>
    <w:rsid w:val="007E5A26"/>
    <w:rsid w:val="007E5F57"/>
    <w:rsid w:val="007E653A"/>
    <w:rsid w:val="007E7017"/>
    <w:rsid w:val="007E7A1F"/>
    <w:rsid w:val="007E7EEF"/>
    <w:rsid w:val="007F01CB"/>
    <w:rsid w:val="007F03B6"/>
    <w:rsid w:val="007F04E9"/>
    <w:rsid w:val="007F06BA"/>
    <w:rsid w:val="007F07E7"/>
    <w:rsid w:val="007F0852"/>
    <w:rsid w:val="007F0A9B"/>
    <w:rsid w:val="007F0E7C"/>
    <w:rsid w:val="007F1551"/>
    <w:rsid w:val="007F157C"/>
    <w:rsid w:val="007F18DD"/>
    <w:rsid w:val="007F1908"/>
    <w:rsid w:val="007F1F8F"/>
    <w:rsid w:val="007F20FF"/>
    <w:rsid w:val="007F2418"/>
    <w:rsid w:val="007F26E2"/>
    <w:rsid w:val="007F2750"/>
    <w:rsid w:val="007F28CD"/>
    <w:rsid w:val="007F2B05"/>
    <w:rsid w:val="007F2CFF"/>
    <w:rsid w:val="007F2D3D"/>
    <w:rsid w:val="007F2EAF"/>
    <w:rsid w:val="007F2F73"/>
    <w:rsid w:val="007F354A"/>
    <w:rsid w:val="007F3774"/>
    <w:rsid w:val="007F380E"/>
    <w:rsid w:val="007F3AB8"/>
    <w:rsid w:val="007F3B64"/>
    <w:rsid w:val="007F40D8"/>
    <w:rsid w:val="007F42CE"/>
    <w:rsid w:val="007F42EB"/>
    <w:rsid w:val="007F466F"/>
    <w:rsid w:val="007F484F"/>
    <w:rsid w:val="007F4E60"/>
    <w:rsid w:val="007F4EE0"/>
    <w:rsid w:val="007F51FC"/>
    <w:rsid w:val="007F5229"/>
    <w:rsid w:val="007F55F7"/>
    <w:rsid w:val="007F5A32"/>
    <w:rsid w:val="007F5D9B"/>
    <w:rsid w:val="007F6B15"/>
    <w:rsid w:val="007F6BD6"/>
    <w:rsid w:val="008002CE"/>
    <w:rsid w:val="008006F3"/>
    <w:rsid w:val="00800A57"/>
    <w:rsid w:val="00800B8A"/>
    <w:rsid w:val="00800C04"/>
    <w:rsid w:val="00800E22"/>
    <w:rsid w:val="00800F9A"/>
    <w:rsid w:val="00801B42"/>
    <w:rsid w:val="00801C0A"/>
    <w:rsid w:val="00801E3F"/>
    <w:rsid w:val="0080224B"/>
    <w:rsid w:val="00802307"/>
    <w:rsid w:val="0080245D"/>
    <w:rsid w:val="008029ED"/>
    <w:rsid w:val="00802A54"/>
    <w:rsid w:val="00802A8C"/>
    <w:rsid w:val="00802CAD"/>
    <w:rsid w:val="00803126"/>
    <w:rsid w:val="008033E8"/>
    <w:rsid w:val="008037C1"/>
    <w:rsid w:val="008037D3"/>
    <w:rsid w:val="0080380F"/>
    <w:rsid w:val="00803B43"/>
    <w:rsid w:val="0080402D"/>
    <w:rsid w:val="008040CA"/>
    <w:rsid w:val="008042F4"/>
    <w:rsid w:val="00804398"/>
    <w:rsid w:val="00804724"/>
    <w:rsid w:val="00804886"/>
    <w:rsid w:val="008048DB"/>
    <w:rsid w:val="00804BF4"/>
    <w:rsid w:val="00804D43"/>
    <w:rsid w:val="00804E0D"/>
    <w:rsid w:val="00804E93"/>
    <w:rsid w:val="00804EC0"/>
    <w:rsid w:val="00805076"/>
    <w:rsid w:val="008054F0"/>
    <w:rsid w:val="00805575"/>
    <w:rsid w:val="008060C5"/>
    <w:rsid w:val="008060F3"/>
    <w:rsid w:val="008064E1"/>
    <w:rsid w:val="008067C2"/>
    <w:rsid w:val="0080693B"/>
    <w:rsid w:val="00806B73"/>
    <w:rsid w:val="00806E36"/>
    <w:rsid w:val="008071F2"/>
    <w:rsid w:val="0080747C"/>
    <w:rsid w:val="008074C1"/>
    <w:rsid w:val="00807504"/>
    <w:rsid w:val="0080767C"/>
    <w:rsid w:val="008078D6"/>
    <w:rsid w:val="00807A9B"/>
    <w:rsid w:val="00807D39"/>
    <w:rsid w:val="00807D4E"/>
    <w:rsid w:val="0081007E"/>
    <w:rsid w:val="008100DC"/>
    <w:rsid w:val="0081065B"/>
    <w:rsid w:val="008107C9"/>
    <w:rsid w:val="00810896"/>
    <w:rsid w:val="00810D6D"/>
    <w:rsid w:val="008114A7"/>
    <w:rsid w:val="008114B7"/>
    <w:rsid w:val="0081173D"/>
    <w:rsid w:val="008117C4"/>
    <w:rsid w:val="008117D6"/>
    <w:rsid w:val="00811FA8"/>
    <w:rsid w:val="008120A4"/>
    <w:rsid w:val="00812167"/>
    <w:rsid w:val="00812448"/>
    <w:rsid w:val="0081268C"/>
    <w:rsid w:val="00812920"/>
    <w:rsid w:val="008129A9"/>
    <w:rsid w:val="008129B8"/>
    <w:rsid w:val="00812DA3"/>
    <w:rsid w:val="00813463"/>
    <w:rsid w:val="00813558"/>
    <w:rsid w:val="00813962"/>
    <w:rsid w:val="00813A16"/>
    <w:rsid w:val="00814220"/>
    <w:rsid w:val="0081441E"/>
    <w:rsid w:val="008146C7"/>
    <w:rsid w:val="0081474B"/>
    <w:rsid w:val="00814897"/>
    <w:rsid w:val="008148F9"/>
    <w:rsid w:val="008150D5"/>
    <w:rsid w:val="0081536F"/>
    <w:rsid w:val="008159D7"/>
    <w:rsid w:val="00815EAE"/>
    <w:rsid w:val="00815F06"/>
    <w:rsid w:val="008162E0"/>
    <w:rsid w:val="0081687C"/>
    <w:rsid w:val="00816891"/>
    <w:rsid w:val="00817013"/>
    <w:rsid w:val="008170D5"/>
    <w:rsid w:val="00817503"/>
    <w:rsid w:val="0081775F"/>
    <w:rsid w:val="00817CA0"/>
    <w:rsid w:val="00817D65"/>
    <w:rsid w:val="008202CB"/>
    <w:rsid w:val="00820459"/>
    <w:rsid w:val="00820639"/>
    <w:rsid w:val="008207AA"/>
    <w:rsid w:val="00820819"/>
    <w:rsid w:val="00820AA3"/>
    <w:rsid w:val="00820B43"/>
    <w:rsid w:val="00820F55"/>
    <w:rsid w:val="0082106F"/>
    <w:rsid w:val="008213A8"/>
    <w:rsid w:val="00821459"/>
    <w:rsid w:val="008214B1"/>
    <w:rsid w:val="008216F9"/>
    <w:rsid w:val="008223DE"/>
    <w:rsid w:val="00822458"/>
    <w:rsid w:val="00822741"/>
    <w:rsid w:val="00822CA9"/>
    <w:rsid w:val="00822F60"/>
    <w:rsid w:val="00823022"/>
    <w:rsid w:val="008233E7"/>
    <w:rsid w:val="0082350F"/>
    <w:rsid w:val="0082440A"/>
    <w:rsid w:val="00825204"/>
    <w:rsid w:val="0082523E"/>
    <w:rsid w:val="00825393"/>
    <w:rsid w:val="00825487"/>
    <w:rsid w:val="00825A34"/>
    <w:rsid w:val="00825E4F"/>
    <w:rsid w:val="00825F93"/>
    <w:rsid w:val="0082606D"/>
    <w:rsid w:val="00826223"/>
    <w:rsid w:val="008262D5"/>
    <w:rsid w:val="00826356"/>
    <w:rsid w:val="00826E26"/>
    <w:rsid w:val="00826EBB"/>
    <w:rsid w:val="00826F0B"/>
    <w:rsid w:val="00827999"/>
    <w:rsid w:val="00827EA6"/>
    <w:rsid w:val="00827F90"/>
    <w:rsid w:val="008304FD"/>
    <w:rsid w:val="008307B0"/>
    <w:rsid w:val="008309D8"/>
    <w:rsid w:val="00830A37"/>
    <w:rsid w:val="0083102E"/>
    <w:rsid w:val="00831164"/>
    <w:rsid w:val="0083119D"/>
    <w:rsid w:val="008315A4"/>
    <w:rsid w:val="008315BA"/>
    <w:rsid w:val="0083172B"/>
    <w:rsid w:val="00831849"/>
    <w:rsid w:val="00831988"/>
    <w:rsid w:val="00831C17"/>
    <w:rsid w:val="00831F20"/>
    <w:rsid w:val="0083241B"/>
    <w:rsid w:val="008325FB"/>
    <w:rsid w:val="008327C8"/>
    <w:rsid w:val="00833177"/>
    <w:rsid w:val="008338CE"/>
    <w:rsid w:val="00833C0D"/>
    <w:rsid w:val="00833EC2"/>
    <w:rsid w:val="00833FC3"/>
    <w:rsid w:val="00834204"/>
    <w:rsid w:val="008342F9"/>
    <w:rsid w:val="008349B4"/>
    <w:rsid w:val="00835C83"/>
    <w:rsid w:val="00836161"/>
    <w:rsid w:val="00836342"/>
    <w:rsid w:val="0083644C"/>
    <w:rsid w:val="0083668D"/>
    <w:rsid w:val="008366C8"/>
    <w:rsid w:val="0083670C"/>
    <w:rsid w:val="00836CCC"/>
    <w:rsid w:val="00836D9A"/>
    <w:rsid w:val="00836E65"/>
    <w:rsid w:val="00837000"/>
    <w:rsid w:val="008372CB"/>
    <w:rsid w:val="0083777D"/>
    <w:rsid w:val="008377B3"/>
    <w:rsid w:val="00837847"/>
    <w:rsid w:val="00837B2A"/>
    <w:rsid w:val="00840014"/>
    <w:rsid w:val="0084017C"/>
    <w:rsid w:val="008403DA"/>
    <w:rsid w:val="00840936"/>
    <w:rsid w:val="0084093C"/>
    <w:rsid w:val="00840A17"/>
    <w:rsid w:val="00840CBE"/>
    <w:rsid w:val="0084103B"/>
    <w:rsid w:val="0084180D"/>
    <w:rsid w:val="00841D08"/>
    <w:rsid w:val="00841EE2"/>
    <w:rsid w:val="00842099"/>
    <w:rsid w:val="008429C3"/>
    <w:rsid w:val="00842CF2"/>
    <w:rsid w:val="00842D75"/>
    <w:rsid w:val="00842E73"/>
    <w:rsid w:val="00843316"/>
    <w:rsid w:val="00843321"/>
    <w:rsid w:val="00843745"/>
    <w:rsid w:val="00843EA4"/>
    <w:rsid w:val="00843F38"/>
    <w:rsid w:val="00843F77"/>
    <w:rsid w:val="00843F9C"/>
    <w:rsid w:val="008441FB"/>
    <w:rsid w:val="0084431D"/>
    <w:rsid w:val="008444D6"/>
    <w:rsid w:val="008447BB"/>
    <w:rsid w:val="008458B4"/>
    <w:rsid w:val="00845BCE"/>
    <w:rsid w:val="00845DD7"/>
    <w:rsid w:val="00846035"/>
    <w:rsid w:val="008464E7"/>
    <w:rsid w:val="00846AD2"/>
    <w:rsid w:val="0084713B"/>
    <w:rsid w:val="00847417"/>
    <w:rsid w:val="00847654"/>
    <w:rsid w:val="008477B2"/>
    <w:rsid w:val="00847956"/>
    <w:rsid w:val="00847E3D"/>
    <w:rsid w:val="008500A7"/>
    <w:rsid w:val="00850127"/>
    <w:rsid w:val="00850135"/>
    <w:rsid w:val="00850284"/>
    <w:rsid w:val="008504D0"/>
    <w:rsid w:val="00850816"/>
    <w:rsid w:val="00850C57"/>
    <w:rsid w:val="00850E93"/>
    <w:rsid w:val="00851225"/>
    <w:rsid w:val="00851668"/>
    <w:rsid w:val="00851A18"/>
    <w:rsid w:val="00851C71"/>
    <w:rsid w:val="008520EB"/>
    <w:rsid w:val="00852538"/>
    <w:rsid w:val="00852890"/>
    <w:rsid w:val="00852C14"/>
    <w:rsid w:val="0085323F"/>
    <w:rsid w:val="00853687"/>
    <w:rsid w:val="00853BFC"/>
    <w:rsid w:val="00853C26"/>
    <w:rsid w:val="0085438A"/>
    <w:rsid w:val="00854572"/>
    <w:rsid w:val="00854745"/>
    <w:rsid w:val="008551FD"/>
    <w:rsid w:val="008556F7"/>
    <w:rsid w:val="00855733"/>
    <w:rsid w:val="00855F24"/>
    <w:rsid w:val="008562E2"/>
    <w:rsid w:val="00856A69"/>
    <w:rsid w:val="00856C30"/>
    <w:rsid w:val="008575C0"/>
    <w:rsid w:val="00857782"/>
    <w:rsid w:val="00860061"/>
    <w:rsid w:val="008605A7"/>
    <w:rsid w:val="00860702"/>
    <w:rsid w:val="00860B52"/>
    <w:rsid w:val="00861520"/>
    <w:rsid w:val="00861564"/>
    <w:rsid w:val="00861A83"/>
    <w:rsid w:val="00861BC9"/>
    <w:rsid w:val="0086265D"/>
    <w:rsid w:val="008626E9"/>
    <w:rsid w:val="00862843"/>
    <w:rsid w:val="008629E3"/>
    <w:rsid w:val="00862FC7"/>
    <w:rsid w:val="00863281"/>
    <w:rsid w:val="008637B5"/>
    <w:rsid w:val="0086389C"/>
    <w:rsid w:val="00863BD4"/>
    <w:rsid w:val="00863FCC"/>
    <w:rsid w:val="00864157"/>
    <w:rsid w:val="00864174"/>
    <w:rsid w:val="008643CF"/>
    <w:rsid w:val="00864809"/>
    <w:rsid w:val="0086486B"/>
    <w:rsid w:val="00864D5D"/>
    <w:rsid w:val="00866317"/>
    <w:rsid w:val="00866A4C"/>
    <w:rsid w:val="00867039"/>
    <w:rsid w:val="008672CD"/>
    <w:rsid w:val="00867308"/>
    <w:rsid w:val="0086767A"/>
    <w:rsid w:val="00867708"/>
    <w:rsid w:val="00867C31"/>
    <w:rsid w:val="008701CA"/>
    <w:rsid w:val="008702AA"/>
    <w:rsid w:val="00870419"/>
    <w:rsid w:val="00870978"/>
    <w:rsid w:val="00870A86"/>
    <w:rsid w:val="00870C26"/>
    <w:rsid w:val="00870DC5"/>
    <w:rsid w:val="008710B8"/>
    <w:rsid w:val="00871214"/>
    <w:rsid w:val="008714B6"/>
    <w:rsid w:val="00871E26"/>
    <w:rsid w:val="00871EBD"/>
    <w:rsid w:val="00871ED7"/>
    <w:rsid w:val="00871FE7"/>
    <w:rsid w:val="00872742"/>
    <w:rsid w:val="00872771"/>
    <w:rsid w:val="0087279A"/>
    <w:rsid w:val="00872852"/>
    <w:rsid w:val="00872CA7"/>
    <w:rsid w:val="00872E98"/>
    <w:rsid w:val="00872FD7"/>
    <w:rsid w:val="00872FD8"/>
    <w:rsid w:val="008730A7"/>
    <w:rsid w:val="008730FB"/>
    <w:rsid w:val="0087319D"/>
    <w:rsid w:val="00873304"/>
    <w:rsid w:val="00873698"/>
    <w:rsid w:val="00873867"/>
    <w:rsid w:val="00873935"/>
    <w:rsid w:val="00873999"/>
    <w:rsid w:val="00873F55"/>
    <w:rsid w:val="008741FF"/>
    <w:rsid w:val="00874547"/>
    <w:rsid w:val="0087471E"/>
    <w:rsid w:val="00874AEE"/>
    <w:rsid w:val="00875522"/>
    <w:rsid w:val="00875C1B"/>
    <w:rsid w:val="00875C6A"/>
    <w:rsid w:val="00875F08"/>
    <w:rsid w:val="00875F58"/>
    <w:rsid w:val="00876044"/>
    <w:rsid w:val="00876803"/>
    <w:rsid w:val="008769CB"/>
    <w:rsid w:val="00876A06"/>
    <w:rsid w:val="00876FD6"/>
    <w:rsid w:val="008771C3"/>
    <w:rsid w:val="008774E7"/>
    <w:rsid w:val="008777A5"/>
    <w:rsid w:val="00877875"/>
    <w:rsid w:val="00877F6D"/>
    <w:rsid w:val="00880470"/>
    <w:rsid w:val="0088062E"/>
    <w:rsid w:val="00880AF8"/>
    <w:rsid w:val="00881751"/>
    <w:rsid w:val="0088179C"/>
    <w:rsid w:val="008818BC"/>
    <w:rsid w:val="00881BED"/>
    <w:rsid w:val="00881D45"/>
    <w:rsid w:val="0088223B"/>
    <w:rsid w:val="00882A74"/>
    <w:rsid w:val="00882AA5"/>
    <w:rsid w:val="00882C47"/>
    <w:rsid w:val="00882D5D"/>
    <w:rsid w:val="00882EA0"/>
    <w:rsid w:val="008833CC"/>
    <w:rsid w:val="00883963"/>
    <w:rsid w:val="00883AD5"/>
    <w:rsid w:val="00883D4B"/>
    <w:rsid w:val="00883E94"/>
    <w:rsid w:val="00883EF0"/>
    <w:rsid w:val="00883EF2"/>
    <w:rsid w:val="008841C7"/>
    <w:rsid w:val="00884235"/>
    <w:rsid w:val="00884BCB"/>
    <w:rsid w:val="00884E41"/>
    <w:rsid w:val="008852FA"/>
    <w:rsid w:val="008855C9"/>
    <w:rsid w:val="00885652"/>
    <w:rsid w:val="00885999"/>
    <w:rsid w:val="00885A86"/>
    <w:rsid w:val="00885B3D"/>
    <w:rsid w:val="00885FE3"/>
    <w:rsid w:val="0088653A"/>
    <w:rsid w:val="0088677D"/>
    <w:rsid w:val="00886873"/>
    <w:rsid w:val="00886B18"/>
    <w:rsid w:val="00887723"/>
    <w:rsid w:val="008878C6"/>
    <w:rsid w:val="00887CB7"/>
    <w:rsid w:val="00887D35"/>
    <w:rsid w:val="00890213"/>
    <w:rsid w:val="008903E2"/>
    <w:rsid w:val="008904D6"/>
    <w:rsid w:val="00890875"/>
    <w:rsid w:val="008909FB"/>
    <w:rsid w:val="00891344"/>
    <w:rsid w:val="00891368"/>
    <w:rsid w:val="00891742"/>
    <w:rsid w:val="00891A08"/>
    <w:rsid w:val="00891F30"/>
    <w:rsid w:val="008922CD"/>
    <w:rsid w:val="00892A11"/>
    <w:rsid w:val="00892C55"/>
    <w:rsid w:val="00892D08"/>
    <w:rsid w:val="0089306F"/>
    <w:rsid w:val="00893139"/>
    <w:rsid w:val="00893208"/>
    <w:rsid w:val="0089330F"/>
    <w:rsid w:val="008933B4"/>
    <w:rsid w:val="00893791"/>
    <w:rsid w:val="00893E7E"/>
    <w:rsid w:val="008942CD"/>
    <w:rsid w:val="0089453C"/>
    <w:rsid w:val="008949D0"/>
    <w:rsid w:val="00894C99"/>
    <w:rsid w:val="008955AF"/>
    <w:rsid w:val="0089568E"/>
    <w:rsid w:val="008959E0"/>
    <w:rsid w:val="00895A9D"/>
    <w:rsid w:val="00895D48"/>
    <w:rsid w:val="00895E06"/>
    <w:rsid w:val="00896247"/>
    <w:rsid w:val="00897295"/>
    <w:rsid w:val="0089738A"/>
    <w:rsid w:val="00897F3C"/>
    <w:rsid w:val="008A0076"/>
    <w:rsid w:val="008A042C"/>
    <w:rsid w:val="008A0810"/>
    <w:rsid w:val="008A08CF"/>
    <w:rsid w:val="008A0A04"/>
    <w:rsid w:val="008A0ABB"/>
    <w:rsid w:val="008A0B37"/>
    <w:rsid w:val="008A0E61"/>
    <w:rsid w:val="008A1060"/>
    <w:rsid w:val="008A1067"/>
    <w:rsid w:val="008A1B34"/>
    <w:rsid w:val="008A1E18"/>
    <w:rsid w:val="008A220C"/>
    <w:rsid w:val="008A2358"/>
    <w:rsid w:val="008A239C"/>
    <w:rsid w:val="008A2748"/>
    <w:rsid w:val="008A27CA"/>
    <w:rsid w:val="008A32E7"/>
    <w:rsid w:val="008A32FE"/>
    <w:rsid w:val="008A33E2"/>
    <w:rsid w:val="008A34B1"/>
    <w:rsid w:val="008A380A"/>
    <w:rsid w:val="008A383F"/>
    <w:rsid w:val="008A3C9C"/>
    <w:rsid w:val="008A44BB"/>
    <w:rsid w:val="008A457B"/>
    <w:rsid w:val="008A4617"/>
    <w:rsid w:val="008A48CD"/>
    <w:rsid w:val="008A4DB5"/>
    <w:rsid w:val="008A52D3"/>
    <w:rsid w:val="008A5341"/>
    <w:rsid w:val="008A5585"/>
    <w:rsid w:val="008A6086"/>
    <w:rsid w:val="008A61AA"/>
    <w:rsid w:val="008A631B"/>
    <w:rsid w:val="008A648C"/>
    <w:rsid w:val="008A6ACC"/>
    <w:rsid w:val="008A6B7B"/>
    <w:rsid w:val="008A6B88"/>
    <w:rsid w:val="008A71FE"/>
    <w:rsid w:val="008A7210"/>
    <w:rsid w:val="008A7902"/>
    <w:rsid w:val="008A7A7D"/>
    <w:rsid w:val="008B0007"/>
    <w:rsid w:val="008B03B8"/>
    <w:rsid w:val="008B042A"/>
    <w:rsid w:val="008B0D04"/>
    <w:rsid w:val="008B0DF5"/>
    <w:rsid w:val="008B0F73"/>
    <w:rsid w:val="008B137C"/>
    <w:rsid w:val="008B1589"/>
    <w:rsid w:val="008B160D"/>
    <w:rsid w:val="008B16D4"/>
    <w:rsid w:val="008B18E9"/>
    <w:rsid w:val="008B1B8D"/>
    <w:rsid w:val="008B25D7"/>
    <w:rsid w:val="008B2880"/>
    <w:rsid w:val="008B29FD"/>
    <w:rsid w:val="008B2BAC"/>
    <w:rsid w:val="008B2CD2"/>
    <w:rsid w:val="008B31D6"/>
    <w:rsid w:val="008B3C31"/>
    <w:rsid w:val="008B3EB5"/>
    <w:rsid w:val="008B401B"/>
    <w:rsid w:val="008B4087"/>
    <w:rsid w:val="008B449E"/>
    <w:rsid w:val="008B47CF"/>
    <w:rsid w:val="008B4931"/>
    <w:rsid w:val="008B4EB9"/>
    <w:rsid w:val="008B4F4C"/>
    <w:rsid w:val="008B4F59"/>
    <w:rsid w:val="008B542F"/>
    <w:rsid w:val="008B5B68"/>
    <w:rsid w:val="008B5D69"/>
    <w:rsid w:val="008B60F6"/>
    <w:rsid w:val="008B6311"/>
    <w:rsid w:val="008B635F"/>
    <w:rsid w:val="008B6619"/>
    <w:rsid w:val="008B66D8"/>
    <w:rsid w:val="008B6849"/>
    <w:rsid w:val="008B69DD"/>
    <w:rsid w:val="008B6D0D"/>
    <w:rsid w:val="008B6FEC"/>
    <w:rsid w:val="008B71E5"/>
    <w:rsid w:val="008B725C"/>
    <w:rsid w:val="008B727B"/>
    <w:rsid w:val="008B74E2"/>
    <w:rsid w:val="008B75BF"/>
    <w:rsid w:val="008B75FF"/>
    <w:rsid w:val="008B7AD7"/>
    <w:rsid w:val="008B7D75"/>
    <w:rsid w:val="008B7E18"/>
    <w:rsid w:val="008C0241"/>
    <w:rsid w:val="008C0302"/>
    <w:rsid w:val="008C03AD"/>
    <w:rsid w:val="008C04AD"/>
    <w:rsid w:val="008C085D"/>
    <w:rsid w:val="008C0BB0"/>
    <w:rsid w:val="008C0BE2"/>
    <w:rsid w:val="008C0E39"/>
    <w:rsid w:val="008C0F48"/>
    <w:rsid w:val="008C0FAB"/>
    <w:rsid w:val="008C10A9"/>
    <w:rsid w:val="008C10E4"/>
    <w:rsid w:val="008C11C6"/>
    <w:rsid w:val="008C169E"/>
    <w:rsid w:val="008C18E2"/>
    <w:rsid w:val="008C19DB"/>
    <w:rsid w:val="008C1F45"/>
    <w:rsid w:val="008C24E2"/>
    <w:rsid w:val="008C2535"/>
    <w:rsid w:val="008C2A71"/>
    <w:rsid w:val="008C2BCC"/>
    <w:rsid w:val="008C2BEF"/>
    <w:rsid w:val="008C2CC6"/>
    <w:rsid w:val="008C3295"/>
    <w:rsid w:val="008C34FD"/>
    <w:rsid w:val="008C35E5"/>
    <w:rsid w:val="008C3ADE"/>
    <w:rsid w:val="008C447A"/>
    <w:rsid w:val="008C477A"/>
    <w:rsid w:val="008C47E5"/>
    <w:rsid w:val="008C483D"/>
    <w:rsid w:val="008C4CB6"/>
    <w:rsid w:val="008C4CBA"/>
    <w:rsid w:val="008C5BE2"/>
    <w:rsid w:val="008C5C8D"/>
    <w:rsid w:val="008C5DAC"/>
    <w:rsid w:val="008C5E3F"/>
    <w:rsid w:val="008C6700"/>
    <w:rsid w:val="008C6774"/>
    <w:rsid w:val="008C6BC3"/>
    <w:rsid w:val="008C6BFD"/>
    <w:rsid w:val="008C71E5"/>
    <w:rsid w:val="008C7218"/>
    <w:rsid w:val="008C7307"/>
    <w:rsid w:val="008C7322"/>
    <w:rsid w:val="008C7F75"/>
    <w:rsid w:val="008C7FD5"/>
    <w:rsid w:val="008D0021"/>
    <w:rsid w:val="008D06F0"/>
    <w:rsid w:val="008D079D"/>
    <w:rsid w:val="008D0984"/>
    <w:rsid w:val="008D0CA0"/>
    <w:rsid w:val="008D0DFE"/>
    <w:rsid w:val="008D0F3B"/>
    <w:rsid w:val="008D165A"/>
    <w:rsid w:val="008D1893"/>
    <w:rsid w:val="008D1EE3"/>
    <w:rsid w:val="008D1EE9"/>
    <w:rsid w:val="008D2013"/>
    <w:rsid w:val="008D224A"/>
    <w:rsid w:val="008D22CA"/>
    <w:rsid w:val="008D2425"/>
    <w:rsid w:val="008D2A70"/>
    <w:rsid w:val="008D2FBD"/>
    <w:rsid w:val="008D2FF7"/>
    <w:rsid w:val="008D3258"/>
    <w:rsid w:val="008D32D7"/>
    <w:rsid w:val="008D32DD"/>
    <w:rsid w:val="008D3338"/>
    <w:rsid w:val="008D3404"/>
    <w:rsid w:val="008D35F3"/>
    <w:rsid w:val="008D3F2B"/>
    <w:rsid w:val="008D41CC"/>
    <w:rsid w:val="008D4356"/>
    <w:rsid w:val="008D478D"/>
    <w:rsid w:val="008D527F"/>
    <w:rsid w:val="008D534C"/>
    <w:rsid w:val="008D53A1"/>
    <w:rsid w:val="008D53EC"/>
    <w:rsid w:val="008D5484"/>
    <w:rsid w:val="008D5896"/>
    <w:rsid w:val="008D593C"/>
    <w:rsid w:val="008D593D"/>
    <w:rsid w:val="008D5BE9"/>
    <w:rsid w:val="008D601F"/>
    <w:rsid w:val="008D6304"/>
    <w:rsid w:val="008D631A"/>
    <w:rsid w:val="008D66DF"/>
    <w:rsid w:val="008D6742"/>
    <w:rsid w:val="008D6922"/>
    <w:rsid w:val="008D70FE"/>
    <w:rsid w:val="008D71B3"/>
    <w:rsid w:val="008D74B0"/>
    <w:rsid w:val="008D78B1"/>
    <w:rsid w:val="008E0528"/>
    <w:rsid w:val="008E063D"/>
    <w:rsid w:val="008E0691"/>
    <w:rsid w:val="008E0961"/>
    <w:rsid w:val="008E0C2F"/>
    <w:rsid w:val="008E0D76"/>
    <w:rsid w:val="008E2465"/>
    <w:rsid w:val="008E26E5"/>
    <w:rsid w:val="008E2994"/>
    <w:rsid w:val="008E2A7E"/>
    <w:rsid w:val="008E2A87"/>
    <w:rsid w:val="008E2CC0"/>
    <w:rsid w:val="008E3157"/>
    <w:rsid w:val="008E32EF"/>
    <w:rsid w:val="008E4140"/>
    <w:rsid w:val="008E422F"/>
    <w:rsid w:val="008E4C87"/>
    <w:rsid w:val="008E4CAC"/>
    <w:rsid w:val="008E5A6D"/>
    <w:rsid w:val="008E66AF"/>
    <w:rsid w:val="008E6B15"/>
    <w:rsid w:val="008E6FD0"/>
    <w:rsid w:val="008E7190"/>
    <w:rsid w:val="008E7477"/>
    <w:rsid w:val="008E763F"/>
    <w:rsid w:val="008E7731"/>
    <w:rsid w:val="008E7A64"/>
    <w:rsid w:val="008E7E2E"/>
    <w:rsid w:val="008F05EB"/>
    <w:rsid w:val="008F0703"/>
    <w:rsid w:val="008F2050"/>
    <w:rsid w:val="008F20D3"/>
    <w:rsid w:val="008F21D8"/>
    <w:rsid w:val="008F2613"/>
    <w:rsid w:val="008F285C"/>
    <w:rsid w:val="008F2C12"/>
    <w:rsid w:val="008F32DF"/>
    <w:rsid w:val="008F330D"/>
    <w:rsid w:val="008F3522"/>
    <w:rsid w:val="008F3640"/>
    <w:rsid w:val="008F36BB"/>
    <w:rsid w:val="008F37DF"/>
    <w:rsid w:val="008F435D"/>
    <w:rsid w:val="008F4432"/>
    <w:rsid w:val="008F457F"/>
    <w:rsid w:val="008F4800"/>
    <w:rsid w:val="008F480C"/>
    <w:rsid w:val="008F4D20"/>
    <w:rsid w:val="008F4F84"/>
    <w:rsid w:val="008F5498"/>
    <w:rsid w:val="008F5622"/>
    <w:rsid w:val="008F57FF"/>
    <w:rsid w:val="008F5C4E"/>
    <w:rsid w:val="008F640E"/>
    <w:rsid w:val="008F6438"/>
    <w:rsid w:val="008F692F"/>
    <w:rsid w:val="008F6D80"/>
    <w:rsid w:val="008F7365"/>
    <w:rsid w:val="008F7561"/>
    <w:rsid w:val="008F766D"/>
    <w:rsid w:val="008F7F0F"/>
    <w:rsid w:val="00900367"/>
    <w:rsid w:val="00900616"/>
    <w:rsid w:val="009006A3"/>
    <w:rsid w:val="00901034"/>
    <w:rsid w:val="00901311"/>
    <w:rsid w:val="00901481"/>
    <w:rsid w:val="00901D12"/>
    <w:rsid w:val="00901D6A"/>
    <w:rsid w:val="00902575"/>
    <w:rsid w:val="0090277B"/>
    <w:rsid w:val="00902C2E"/>
    <w:rsid w:val="00902F7D"/>
    <w:rsid w:val="00903798"/>
    <w:rsid w:val="00903D73"/>
    <w:rsid w:val="00903ED3"/>
    <w:rsid w:val="00903F09"/>
    <w:rsid w:val="00903FCD"/>
    <w:rsid w:val="00904190"/>
    <w:rsid w:val="009048C3"/>
    <w:rsid w:val="00904D8D"/>
    <w:rsid w:val="00905092"/>
    <w:rsid w:val="009054F5"/>
    <w:rsid w:val="0090560E"/>
    <w:rsid w:val="00905A12"/>
    <w:rsid w:val="00906AC4"/>
    <w:rsid w:val="00906C0A"/>
    <w:rsid w:val="0090719B"/>
    <w:rsid w:val="00907266"/>
    <w:rsid w:val="0091038A"/>
    <w:rsid w:val="00910776"/>
    <w:rsid w:val="0091144C"/>
    <w:rsid w:val="009115D2"/>
    <w:rsid w:val="009115E0"/>
    <w:rsid w:val="00911669"/>
    <w:rsid w:val="00911867"/>
    <w:rsid w:val="00911987"/>
    <w:rsid w:val="00911AF7"/>
    <w:rsid w:val="00911E87"/>
    <w:rsid w:val="00911EE5"/>
    <w:rsid w:val="00911FA2"/>
    <w:rsid w:val="009125C3"/>
    <w:rsid w:val="009128BD"/>
    <w:rsid w:val="00913536"/>
    <w:rsid w:val="0091367B"/>
    <w:rsid w:val="00914795"/>
    <w:rsid w:val="00914AE5"/>
    <w:rsid w:val="009157E9"/>
    <w:rsid w:val="00915B64"/>
    <w:rsid w:val="00916775"/>
    <w:rsid w:val="009167D5"/>
    <w:rsid w:val="00916AA8"/>
    <w:rsid w:val="00916EA0"/>
    <w:rsid w:val="00917104"/>
    <w:rsid w:val="0091728D"/>
    <w:rsid w:val="00917F85"/>
    <w:rsid w:val="0092014C"/>
    <w:rsid w:val="009201BC"/>
    <w:rsid w:val="00920454"/>
    <w:rsid w:val="0092068A"/>
    <w:rsid w:val="00920C5C"/>
    <w:rsid w:val="00920D86"/>
    <w:rsid w:val="00920DD8"/>
    <w:rsid w:val="00920F01"/>
    <w:rsid w:val="009213CC"/>
    <w:rsid w:val="0092140F"/>
    <w:rsid w:val="00922149"/>
    <w:rsid w:val="009228A2"/>
    <w:rsid w:val="00923409"/>
    <w:rsid w:val="00923B0D"/>
    <w:rsid w:val="00923BED"/>
    <w:rsid w:val="00923C0E"/>
    <w:rsid w:val="00923FD1"/>
    <w:rsid w:val="009241D0"/>
    <w:rsid w:val="0092427B"/>
    <w:rsid w:val="009242B7"/>
    <w:rsid w:val="00924841"/>
    <w:rsid w:val="0092522E"/>
    <w:rsid w:val="009255E5"/>
    <w:rsid w:val="009256AC"/>
    <w:rsid w:val="0092580F"/>
    <w:rsid w:val="00925AFB"/>
    <w:rsid w:val="00925C4B"/>
    <w:rsid w:val="00925F89"/>
    <w:rsid w:val="00926064"/>
    <w:rsid w:val="009265CF"/>
    <w:rsid w:val="00926FB2"/>
    <w:rsid w:val="009271EB"/>
    <w:rsid w:val="00927434"/>
    <w:rsid w:val="00927782"/>
    <w:rsid w:val="00927DA8"/>
    <w:rsid w:val="00930306"/>
    <w:rsid w:val="0093068D"/>
    <w:rsid w:val="009308EE"/>
    <w:rsid w:val="00930D80"/>
    <w:rsid w:val="009312DC"/>
    <w:rsid w:val="00931808"/>
    <w:rsid w:val="00931A7E"/>
    <w:rsid w:val="00931D23"/>
    <w:rsid w:val="00932520"/>
    <w:rsid w:val="009329F8"/>
    <w:rsid w:val="00932F0F"/>
    <w:rsid w:val="009334FF"/>
    <w:rsid w:val="00933568"/>
    <w:rsid w:val="009336C3"/>
    <w:rsid w:val="0093454D"/>
    <w:rsid w:val="00934754"/>
    <w:rsid w:val="00934761"/>
    <w:rsid w:val="00934FDE"/>
    <w:rsid w:val="00935696"/>
    <w:rsid w:val="00935717"/>
    <w:rsid w:val="009359E2"/>
    <w:rsid w:val="00936B38"/>
    <w:rsid w:val="00936BEE"/>
    <w:rsid w:val="00936C0B"/>
    <w:rsid w:val="00936E27"/>
    <w:rsid w:val="00936F7D"/>
    <w:rsid w:val="009374F2"/>
    <w:rsid w:val="009375E3"/>
    <w:rsid w:val="00937A3F"/>
    <w:rsid w:val="00937F02"/>
    <w:rsid w:val="00940378"/>
    <w:rsid w:val="0094065A"/>
    <w:rsid w:val="00940A77"/>
    <w:rsid w:val="00940D07"/>
    <w:rsid w:val="00940FC7"/>
    <w:rsid w:val="00941118"/>
    <w:rsid w:val="00941516"/>
    <w:rsid w:val="00941673"/>
    <w:rsid w:val="009419F8"/>
    <w:rsid w:val="00941AA2"/>
    <w:rsid w:val="00941B87"/>
    <w:rsid w:val="00941C0B"/>
    <w:rsid w:val="0094209A"/>
    <w:rsid w:val="0094219F"/>
    <w:rsid w:val="009424A0"/>
    <w:rsid w:val="0094260B"/>
    <w:rsid w:val="00942A30"/>
    <w:rsid w:val="00942A60"/>
    <w:rsid w:val="00942CA1"/>
    <w:rsid w:val="009430C7"/>
    <w:rsid w:val="00943132"/>
    <w:rsid w:val="0094389F"/>
    <w:rsid w:val="00943A3A"/>
    <w:rsid w:val="009441D8"/>
    <w:rsid w:val="0094437A"/>
    <w:rsid w:val="00944467"/>
    <w:rsid w:val="0094477A"/>
    <w:rsid w:val="00944911"/>
    <w:rsid w:val="00944941"/>
    <w:rsid w:val="009449A4"/>
    <w:rsid w:val="00944A1C"/>
    <w:rsid w:val="00944D14"/>
    <w:rsid w:val="00944E80"/>
    <w:rsid w:val="00944FD2"/>
    <w:rsid w:val="00945106"/>
    <w:rsid w:val="009451E1"/>
    <w:rsid w:val="00946298"/>
    <w:rsid w:val="0094658F"/>
    <w:rsid w:val="00946674"/>
    <w:rsid w:val="00946A35"/>
    <w:rsid w:val="00946C26"/>
    <w:rsid w:val="00946CEE"/>
    <w:rsid w:val="00946F1A"/>
    <w:rsid w:val="00946F47"/>
    <w:rsid w:val="00946F57"/>
    <w:rsid w:val="009473E7"/>
    <w:rsid w:val="0094757D"/>
    <w:rsid w:val="00947FA4"/>
    <w:rsid w:val="00950210"/>
    <w:rsid w:val="0095077B"/>
    <w:rsid w:val="0095083A"/>
    <w:rsid w:val="0095088F"/>
    <w:rsid w:val="00950C18"/>
    <w:rsid w:val="00950C8B"/>
    <w:rsid w:val="00950E2F"/>
    <w:rsid w:val="0095106E"/>
    <w:rsid w:val="00951301"/>
    <w:rsid w:val="0095140A"/>
    <w:rsid w:val="0095195A"/>
    <w:rsid w:val="00951B25"/>
    <w:rsid w:val="00951E53"/>
    <w:rsid w:val="00951F5A"/>
    <w:rsid w:val="00951F85"/>
    <w:rsid w:val="00952E91"/>
    <w:rsid w:val="00952F70"/>
    <w:rsid w:val="00953204"/>
    <w:rsid w:val="00953AC4"/>
    <w:rsid w:val="00953B4A"/>
    <w:rsid w:val="00953F9C"/>
    <w:rsid w:val="00954223"/>
    <w:rsid w:val="00954633"/>
    <w:rsid w:val="00954A53"/>
    <w:rsid w:val="00954F26"/>
    <w:rsid w:val="00954FC2"/>
    <w:rsid w:val="00955095"/>
    <w:rsid w:val="00955440"/>
    <w:rsid w:val="00955547"/>
    <w:rsid w:val="00955565"/>
    <w:rsid w:val="0095582F"/>
    <w:rsid w:val="00955BF5"/>
    <w:rsid w:val="00955C29"/>
    <w:rsid w:val="0095608F"/>
    <w:rsid w:val="00956196"/>
    <w:rsid w:val="0095661B"/>
    <w:rsid w:val="00956665"/>
    <w:rsid w:val="009568CD"/>
    <w:rsid w:val="00956E6B"/>
    <w:rsid w:val="009570F6"/>
    <w:rsid w:val="009571D2"/>
    <w:rsid w:val="00957646"/>
    <w:rsid w:val="00957CA6"/>
    <w:rsid w:val="00957CA7"/>
    <w:rsid w:val="00957D15"/>
    <w:rsid w:val="00957D88"/>
    <w:rsid w:val="009604C9"/>
    <w:rsid w:val="00960F9D"/>
    <w:rsid w:val="0096142B"/>
    <w:rsid w:val="0096210E"/>
    <w:rsid w:val="009623F8"/>
    <w:rsid w:val="009625C9"/>
    <w:rsid w:val="00962765"/>
    <w:rsid w:val="009629BF"/>
    <w:rsid w:val="00962D74"/>
    <w:rsid w:val="00962EEA"/>
    <w:rsid w:val="0096300F"/>
    <w:rsid w:val="0096331F"/>
    <w:rsid w:val="00963813"/>
    <w:rsid w:val="00963ED5"/>
    <w:rsid w:val="0096460C"/>
    <w:rsid w:val="00964831"/>
    <w:rsid w:val="00964FDD"/>
    <w:rsid w:val="009650FA"/>
    <w:rsid w:val="009652BF"/>
    <w:rsid w:val="00965DBA"/>
    <w:rsid w:val="009662A6"/>
    <w:rsid w:val="0096644A"/>
    <w:rsid w:val="0096647B"/>
    <w:rsid w:val="009668AC"/>
    <w:rsid w:val="00966B90"/>
    <w:rsid w:val="0096774D"/>
    <w:rsid w:val="009679D6"/>
    <w:rsid w:val="00967A3D"/>
    <w:rsid w:val="00967E01"/>
    <w:rsid w:val="0097000E"/>
    <w:rsid w:val="009704E2"/>
    <w:rsid w:val="00971084"/>
    <w:rsid w:val="00971142"/>
    <w:rsid w:val="009714F6"/>
    <w:rsid w:val="00971750"/>
    <w:rsid w:val="0097199E"/>
    <w:rsid w:val="00972186"/>
    <w:rsid w:val="009723BD"/>
    <w:rsid w:val="0097268C"/>
    <w:rsid w:val="00972A8C"/>
    <w:rsid w:val="00972E0A"/>
    <w:rsid w:val="009731EA"/>
    <w:rsid w:val="009734E6"/>
    <w:rsid w:val="009737E4"/>
    <w:rsid w:val="00973846"/>
    <w:rsid w:val="00973C52"/>
    <w:rsid w:val="00973CCB"/>
    <w:rsid w:val="00973EDF"/>
    <w:rsid w:val="00974216"/>
    <w:rsid w:val="00974ABD"/>
    <w:rsid w:val="0097522F"/>
    <w:rsid w:val="009755C8"/>
    <w:rsid w:val="00975946"/>
    <w:rsid w:val="00975AE5"/>
    <w:rsid w:val="00975B32"/>
    <w:rsid w:val="009760D8"/>
    <w:rsid w:val="009765BE"/>
    <w:rsid w:val="00976951"/>
    <w:rsid w:val="009769AF"/>
    <w:rsid w:val="00976C45"/>
    <w:rsid w:val="009770BA"/>
    <w:rsid w:val="00977166"/>
    <w:rsid w:val="00977BD0"/>
    <w:rsid w:val="00977CF2"/>
    <w:rsid w:val="00980566"/>
    <w:rsid w:val="00981220"/>
    <w:rsid w:val="009813AF"/>
    <w:rsid w:val="0098145B"/>
    <w:rsid w:val="00981A4F"/>
    <w:rsid w:val="00981AE4"/>
    <w:rsid w:val="00981C0C"/>
    <w:rsid w:val="00981C3A"/>
    <w:rsid w:val="00981EB9"/>
    <w:rsid w:val="0098200F"/>
    <w:rsid w:val="00982394"/>
    <w:rsid w:val="009824C3"/>
    <w:rsid w:val="00982634"/>
    <w:rsid w:val="009829A9"/>
    <w:rsid w:val="00982CFA"/>
    <w:rsid w:val="00982EC3"/>
    <w:rsid w:val="009831F7"/>
    <w:rsid w:val="00983286"/>
    <w:rsid w:val="009833C3"/>
    <w:rsid w:val="009837BD"/>
    <w:rsid w:val="00983838"/>
    <w:rsid w:val="00983A42"/>
    <w:rsid w:val="00983A58"/>
    <w:rsid w:val="00983B54"/>
    <w:rsid w:val="00983B74"/>
    <w:rsid w:val="00983C24"/>
    <w:rsid w:val="009847B6"/>
    <w:rsid w:val="00984BCE"/>
    <w:rsid w:val="00985591"/>
    <w:rsid w:val="0098568F"/>
    <w:rsid w:val="009856E9"/>
    <w:rsid w:val="00985F0C"/>
    <w:rsid w:val="0098691A"/>
    <w:rsid w:val="00986A48"/>
    <w:rsid w:val="00986C8A"/>
    <w:rsid w:val="00986E1F"/>
    <w:rsid w:val="009871BD"/>
    <w:rsid w:val="009878B2"/>
    <w:rsid w:val="00987D39"/>
    <w:rsid w:val="00987D83"/>
    <w:rsid w:val="00990263"/>
    <w:rsid w:val="0099066F"/>
    <w:rsid w:val="00990718"/>
    <w:rsid w:val="00990734"/>
    <w:rsid w:val="009907A9"/>
    <w:rsid w:val="0099094E"/>
    <w:rsid w:val="00990A43"/>
    <w:rsid w:val="00990BD9"/>
    <w:rsid w:val="00990E7A"/>
    <w:rsid w:val="00990F10"/>
    <w:rsid w:val="00990FAB"/>
    <w:rsid w:val="009914D2"/>
    <w:rsid w:val="009918B6"/>
    <w:rsid w:val="00991FED"/>
    <w:rsid w:val="00992135"/>
    <w:rsid w:val="0099252C"/>
    <w:rsid w:val="00992540"/>
    <w:rsid w:val="009925B3"/>
    <w:rsid w:val="00992BCE"/>
    <w:rsid w:val="00992C35"/>
    <w:rsid w:val="00992C3C"/>
    <w:rsid w:val="00992F2C"/>
    <w:rsid w:val="00992FFF"/>
    <w:rsid w:val="00993219"/>
    <w:rsid w:val="00993408"/>
    <w:rsid w:val="00993669"/>
    <w:rsid w:val="009936A3"/>
    <w:rsid w:val="00993726"/>
    <w:rsid w:val="00993978"/>
    <w:rsid w:val="00993F01"/>
    <w:rsid w:val="00993F0E"/>
    <w:rsid w:val="0099465B"/>
    <w:rsid w:val="00994CA5"/>
    <w:rsid w:val="00995059"/>
    <w:rsid w:val="009951DC"/>
    <w:rsid w:val="00995298"/>
    <w:rsid w:val="0099540B"/>
    <w:rsid w:val="00995AB4"/>
    <w:rsid w:val="00995DA9"/>
    <w:rsid w:val="00996028"/>
    <w:rsid w:val="009961C6"/>
    <w:rsid w:val="0099649F"/>
    <w:rsid w:val="009964D1"/>
    <w:rsid w:val="00996601"/>
    <w:rsid w:val="0099680F"/>
    <w:rsid w:val="00996873"/>
    <w:rsid w:val="00996BCD"/>
    <w:rsid w:val="00996CB6"/>
    <w:rsid w:val="00997261"/>
    <w:rsid w:val="0099739D"/>
    <w:rsid w:val="009976A9"/>
    <w:rsid w:val="0099776D"/>
    <w:rsid w:val="009A0100"/>
    <w:rsid w:val="009A0317"/>
    <w:rsid w:val="009A04BA"/>
    <w:rsid w:val="009A0666"/>
    <w:rsid w:val="009A0A59"/>
    <w:rsid w:val="009A0BEC"/>
    <w:rsid w:val="009A0EFE"/>
    <w:rsid w:val="009A157F"/>
    <w:rsid w:val="009A17E1"/>
    <w:rsid w:val="009A1858"/>
    <w:rsid w:val="009A1A29"/>
    <w:rsid w:val="009A1BAE"/>
    <w:rsid w:val="009A1F3D"/>
    <w:rsid w:val="009A2557"/>
    <w:rsid w:val="009A3143"/>
    <w:rsid w:val="009A314E"/>
    <w:rsid w:val="009A3357"/>
    <w:rsid w:val="009A38D5"/>
    <w:rsid w:val="009A3960"/>
    <w:rsid w:val="009A3971"/>
    <w:rsid w:val="009A3AB1"/>
    <w:rsid w:val="009A3C85"/>
    <w:rsid w:val="009A4683"/>
    <w:rsid w:val="009A4BF9"/>
    <w:rsid w:val="009A4CCC"/>
    <w:rsid w:val="009A4E01"/>
    <w:rsid w:val="009A55CB"/>
    <w:rsid w:val="009A566A"/>
    <w:rsid w:val="009A57F1"/>
    <w:rsid w:val="009A5D5C"/>
    <w:rsid w:val="009A601C"/>
    <w:rsid w:val="009A6CB7"/>
    <w:rsid w:val="009A6FB6"/>
    <w:rsid w:val="009A73C2"/>
    <w:rsid w:val="009A7AE9"/>
    <w:rsid w:val="009B01D7"/>
    <w:rsid w:val="009B046C"/>
    <w:rsid w:val="009B0697"/>
    <w:rsid w:val="009B075A"/>
    <w:rsid w:val="009B0FCA"/>
    <w:rsid w:val="009B1299"/>
    <w:rsid w:val="009B151C"/>
    <w:rsid w:val="009B1E6D"/>
    <w:rsid w:val="009B1EFE"/>
    <w:rsid w:val="009B1FD9"/>
    <w:rsid w:val="009B24CF"/>
    <w:rsid w:val="009B25BA"/>
    <w:rsid w:val="009B2938"/>
    <w:rsid w:val="009B2DD7"/>
    <w:rsid w:val="009B301F"/>
    <w:rsid w:val="009B31E4"/>
    <w:rsid w:val="009B3462"/>
    <w:rsid w:val="009B351B"/>
    <w:rsid w:val="009B38BA"/>
    <w:rsid w:val="009B38FD"/>
    <w:rsid w:val="009B3A91"/>
    <w:rsid w:val="009B3AD9"/>
    <w:rsid w:val="009B3EB2"/>
    <w:rsid w:val="009B3EB8"/>
    <w:rsid w:val="009B3F30"/>
    <w:rsid w:val="009B412D"/>
    <w:rsid w:val="009B42A6"/>
    <w:rsid w:val="009B4323"/>
    <w:rsid w:val="009B45E5"/>
    <w:rsid w:val="009B4713"/>
    <w:rsid w:val="009B48F5"/>
    <w:rsid w:val="009B49F0"/>
    <w:rsid w:val="009B49F9"/>
    <w:rsid w:val="009B4CAE"/>
    <w:rsid w:val="009B4E04"/>
    <w:rsid w:val="009B4E62"/>
    <w:rsid w:val="009B5337"/>
    <w:rsid w:val="009B575B"/>
    <w:rsid w:val="009B58EC"/>
    <w:rsid w:val="009B5940"/>
    <w:rsid w:val="009B5956"/>
    <w:rsid w:val="009B5E28"/>
    <w:rsid w:val="009B5EFD"/>
    <w:rsid w:val="009B6398"/>
    <w:rsid w:val="009B653B"/>
    <w:rsid w:val="009B65A0"/>
    <w:rsid w:val="009B6699"/>
    <w:rsid w:val="009B6B86"/>
    <w:rsid w:val="009B71E2"/>
    <w:rsid w:val="009B789D"/>
    <w:rsid w:val="009B7A8D"/>
    <w:rsid w:val="009B7AA9"/>
    <w:rsid w:val="009B7D80"/>
    <w:rsid w:val="009B7EFA"/>
    <w:rsid w:val="009C00DD"/>
    <w:rsid w:val="009C0F0D"/>
    <w:rsid w:val="009C0FDA"/>
    <w:rsid w:val="009C1186"/>
    <w:rsid w:val="009C1622"/>
    <w:rsid w:val="009C17BF"/>
    <w:rsid w:val="009C1AB5"/>
    <w:rsid w:val="009C1CC8"/>
    <w:rsid w:val="009C283C"/>
    <w:rsid w:val="009C28E9"/>
    <w:rsid w:val="009C3244"/>
    <w:rsid w:val="009C35D6"/>
    <w:rsid w:val="009C37F8"/>
    <w:rsid w:val="009C3ABD"/>
    <w:rsid w:val="009C3C74"/>
    <w:rsid w:val="009C3D7C"/>
    <w:rsid w:val="009C3F88"/>
    <w:rsid w:val="009C409B"/>
    <w:rsid w:val="009C422A"/>
    <w:rsid w:val="009C5418"/>
    <w:rsid w:val="009C5647"/>
    <w:rsid w:val="009C57FE"/>
    <w:rsid w:val="009C5C84"/>
    <w:rsid w:val="009C5DE5"/>
    <w:rsid w:val="009C6027"/>
    <w:rsid w:val="009C62F8"/>
    <w:rsid w:val="009C6CB0"/>
    <w:rsid w:val="009C6EBB"/>
    <w:rsid w:val="009C7335"/>
    <w:rsid w:val="009C7679"/>
    <w:rsid w:val="009C7872"/>
    <w:rsid w:val="009C796C"/>
    <w:rsid w:val="009C7E8A"/>
    <w:rsid w:val="009D00EA"/>
    <w:rsid w:val="009D04A1"/>
    <w:rsid w:val="009D0550"/>
    <w:rsid w:val="009D0DD6"/>
    <w:rsid w:val="009D0F53"/>
    <w:rsid w:val="009D120A"/>
    <w:rsid w:val="009D1A3B"/>
    <w:rsid w:val="009D1D37"/>
    <w:rsid w:val="009D1E80"/>
    <w:rsid w:val="009D2073"/>
    <w:rsid w:val="009D20DD"/>
    <w:rsid w:val="009D2482"/>
    <w:rsid w:val="009D25EC"/>
    <w:rsid w:val="009D29AE"/>
    <w:rsid w:val="009D2A04"/>
    <w:rsid w:val="009D3500"/>
    <w:rsid w:val="009D4714"/>
    <w:rsid w:val="009D4C13"/>
    <w:rsid w:val="009D4E18"/>
    <w:rsid w:val="009D4E42"/>
    <w:rsid w:val="009D501D"/>
    <w:rsid w:val="009D5358"/>
    <w:rsid w:val="009D562B"/>
    <w:rsid w:val="009D573C"/>
    <w:rsid w:val="009D590D"/>
    <w:rsid w:val="009D5B1C"/>
    <w:rsid w:val="009D5E54"/>
    <w:rsid w:val="009D6656"/>
    <w:rsid w:val="009D6740"/>
    <w:rsid w:val="009D6B48"/>
    <w:rsid w:val="009D7232"/>
    <w:rsid w:val="009D7329"/>
    <w:rsid w:val="009D74B6"/>
    <w:rsid w:val="009D77FA"/>
    <w:rsid w:val="009D7A8B"/>
    <w:rsid w:val="009E0554"/>
    <w:rsid w:val="009E0BB2"/>
    <w:rsid w:val="009E0E59"/>
    <w:rsid w:val="009E0F95"/>
    <w:rsid w:val="009E12AA"/>
    <w:rsid w:val="009E14AD"/>
    <w:rsid w:val="009E15C9"/>
    <w:rsid w:val="009E1653"/>
    <w:rsid w:val="009E1AE6"/>
    <w:rsid w:val="009E1B76"/>
    <w:rsid w:val="009E21E4"/>
    <w:rsid w:val="009E25D8"/>
    <w:rsid w:val="009E28D6"/>
    <w:rsid w:val="009E2A16"/>
    <w:rsid w:val="009E35BE"/>
    <w:rsid w:val="009E36C5"/>
    <w:rsid w:val="009E3844"/>
    <w:rsid w:val="009E38A6"/>
    <w:rsid w:val="009E39AA"/>
    <w:rsid w:val="009E3B55"/>
    <w:rsid w:val="009E3CD1"/>
    <w:rsid w:val="009E3DFC"/>
    <w:rsid w:val="009E4148"/>
    <w:rsid w:val="009E43E4"/>
    <w:rsid w:val="009E46C1"/>
    <w:rsid w:val="009E4958"/>
    <w:rsid w:val="009E4B94"/>
    <w:rsid w:val="009E570F"/>
    <w:rsid w:val="009E58DD"/>
    <w:rsid w:val="009E5E9E"/>
    <w:rsid w:val="009E5EEE"/>
    <w:rsid w:val="009E63F0"/>
    <w:rsid w:val="009E67DF"/>
    <w:rsid w:val="009E6AA9"/>
    <w:rsid w:val="009E6B89"/>
    <w:rsid w:val="009E6D56"/>
    <w:rsid w:val="009E6E96"/>
    <w:rsid w:val="009E7576"/>
    <w:rsid w:val="009E7877"/>
    <w:rsid w:val="009E7E63"/>
    <w:rsid w:val="009F0018"/>
    <w:rsid w:val="009F0B26"/>
    <w:rsid w:val="009F0C78"/>
    <w:rsid w:val="009F1147"/>
    <w:rsid w:val="009F12D8"/>
    <w:rsid w:val="009F1526"/>
    <w:rsid w:val="009F17F2"/>
    <w:rsid w:val="009F1815"/>
    <w:rsid w:val="009F19EA"/>
    <w:rsid w:val="009F1CF0"/>
    <w:rsid w:val="009F1E00"/>
    <w:rsid w:val="009F23CE"/>
    <w:rsid w:val="009F263C"/>
    <w:rsid w:val="009F2AB7"/>
    <w:rsid w:val="009F32BA"/>
    <w:rsid w:val="009F335F"/>
    <w:rsid w:val="009F339C"/>
    <w:rsid w:val="009F3A5C"/>
    <w:rsid w:val="009F3F16"/>
    <w:rsid w:val="009F414B"/>
    <w:rsid w:val="009F424C"/>
    <w:rsid w:val="009F4286"/>
    <w:rsid w:val="009F49A8"/>
    <w:rsid w:val="009F4A5C"/>
    <w:rsid w:val="009F4AC8"/>
    <w:rsid w:val="009F4AD7"/>
    <w:rsid w:val="009F4B98"/>
    <w:rsid w:val="009F4E2B"/>
    <w:rsid w:val="009F4ED0"/>
    <w:rsid w:val="009F514A"/>
    <w:rsid w:val="009F52B5"/>
    <w:rsid w:val="009F5313"/>
    <w:rsid w:val="009F5566"/>
    <w:rsid w:val="009F5968"/>
    <w:rsid w:val="009F59CF"/>
    <w:rsid w:val="009F5D19"/>
    <w:rsid w:val="009F6357"/>
    <w:rsid w:val="009F6685"/>
    <w:rsid w:val="009F6C39"/>
    <w:rsid w:val="009F7515"/>
    <w:rsid w:val="009F754B"/>
    <w:rsid w:val="009F7A7D"/>
    <w:rsid w:val="009F7B6F"/>
    <w:rsid w:val="009F7BB6"/>
    <w:rsid w:val="009F7D09"/>
    <w:rsid w:val="00A00386"/>
    <w:rsid w:val="00A005FE"/>
    <w:rsid w:val="00A009E8"/>
    <w:rsid w:val="00A00B38"/>
    <w:rsid w:val="00A00C7E"/>
    <w:rsid w:val="00A01155"/>
    <w:rsid w:val="00A01225"/>
    <w:rsid w:val="00A0122B"/>
    <w:rsid w:val="00A01520"/>
    <w:rsid w:val="00A0161C"/>
    <w:rsid w:val="00A01A16"/>
    <w:rsid w:val="00A01A37"/>
    <w:rsid w:val="00A01C18"/>
    <w:rsid w:val="00A01CA9"/>
    <w:rsid w:val="00A01D9E"/>
    <w:rsid w:val="00A01E20"/>
    <w:rsid w:val="00A01FCA"/>
    <w:rsid w:val="00A02736"/>
    <w:rsid w:val="00A02753"/>
    <w:rsid w:val="00A02786"/>
    <w:rsid w:val="00A02B03"/>
    <w:rsid w:val="00A02F08"/>
    <w:rsid w:val="00A0353E"/>
    <w:rsid w:val="00A03739"/>
    <w:rsid w:val="00A03ABF"/>
    <w:rsid w:val="00A04224"/>
    <w:rsid w:val="00A0432F"/>
    <w:rsid w:val="00A0457A"/>
    <w:rsid w:val="00A04EA7"/>
    <w:rsid w:val="00A04EE7"/>
    <w:rsid w:val="00A04F10"/>
    <w:rsid w:val="00A051A7"/>
    <w:rsid w:val="00A053E0"/>
    <w:rsid w:val="00A06686"/>
    <w:rsid w:val="00A06A30"/>
    <w:rsid w:val="00A07351"/>
    <w:rsid w:val="00A079EB"/>
    <w:rsid w:val="00A07C37"/>
    <w:rsid w:val="00A10440"/>
    <w:rsid w:val="00A105D1"/>
    <w:rsid w:val="00A1093D"/>
    <w:rsid w:val="00A10CC9"/>
    <w:rsid w:val="00A11576"/>
    <w:rsid w:val="00A11648"/>
    <w:rsid w:val="00A11AEA"/>
    <w:rsid w:val="00A11BE8"/>
    <w:rsid w:val="00A11E28"/>
    <w:rsid w:val="00A1210F"/>
    <w:rsid w:val="00A1219A"/>
    <w:rsid w:val="00A122CA"/>
    <w:rsid w:val="00A122EB"/>
    <w:rsid w:val="00A12608"/>
    <w:rsid w:val="00A126A4"/>
    <w:rsid w:val="00A1289A"/>
    <w:rsid w:val="00A12C05"/>
    <w:rsid w:val="00A1300A"/>
    <w:rsid w:val="00A13175"/>
    <w:rsid w:val="00A14ACE"/>
    <w:rsid w:val="00A14C0E"/>
    <w:rsid w:val="00A14D12"/>
    <w:rsid w:val="00A14DBF"/>
    <w:rsid w:val="00A14E65"/>
    <w:rsid w:val="00A151CB"/>
    <w:rsid w:val="00A15BB9"/>
    <w:rsid w:val="00A15C87"/>
    <w:rsid w:val="00A15E98"/>
    <w:rsid w:val="00A16646"/>
    <w:rsid w:val="00A16C57"/>
    <w:rsid w:val="00A17300"/>
    <w:rsid w:val="00A173D9"/>
    <w:rsid w:val="00A17700"/>
    <w:rsid w:val="00A1773F"/>
    <w:rsid w:val="00A17E2C"/>
    <w:rsid w:val="00A17F8B"/>
    <w:rsid w:val="00A2009A"/>
    <w:rsid w:val="00A20235"/>
    <w:rsid w:val="00A202D6"/>
    <w:rsid w:val="00A20342"/>
    <w:rsid w:val="00A2053B"/>
    <w:rsid w:val="00A206BA"/>
    <w:rsid w:val="00A20A34"/>
    <w:rsid w:val="00A2104C"/>
    <w:rsid w:val="00A21163"/>
    <w:rsid w:val="00A21169"/>
    <w:rsid w:val="00A21202"/>
    <w:rsid w:val="00A21245"/>
    <w:rsid w:val="00A225C0"/>
    <w:rsid w:val="00A22ECD"/>
    <w:rsid w:val="00A23136"/>
    <w:rsid w:val="00A234B0"/>
    <w:rsid w:val="00A238FA"/>
    <w:rsid w:val="00A23A8B"/>
    <w:rsid w:val="00A23BED"/>
    <w:rsid w:val="00A23C42"/>
    <w:rsid w:val="00A23D5A"/>
    <w:rsid w:val="00A241F2"/>
    <w:rsid w:val="00A242DC"/>
    <w:rsid w:val="00A2434A"/>
    <w:rsid w:val="00A243E4"/>
    <w:rsid w:val="00A2479F"/>
    <w:rsid w:val="00A24A1B"/>
    <w:rsid w:val="00A24BCB"/>
    <w:rsid w:val="00A24DAA"/>
    <w:rsid w:val="00A24DB2"/>
    <w:rsid w:val="00A24E54"/>
    <w:rsid w:val="00A2501C"/>
    <w:rsid w:val="00A251DF"/>
    <w:rsid w:val="00A258A6"/>
    <w:rsid w:val="00A25E94"/>
    <w:rsid w:val="00A2621D"/>
    <w:rsid w:val="00A26467"/>
    <w:rsid w:val="00A2677F"/>
    <w:rsid w:val="00A26F67"/>
    <w:rsid w:val="00A27805"/>
    <w:rsid w:val="00A279C9"/>
    <w:rsid w:val="00A27A90"/>
    <w:rsid w:val="00A27DE7"/>
    <w:rsid w:val="00A27F46"/>
    <w:rsid w:val="00A30055"/>
    <w:rsid w:val="00A30942"/>
    <w:rsid w:val="00A30CE0"/>
    <w:rsid w:val="00A30DC5"/>
    <w:rsid w:val="00A31399"/>
    <w:rsid w:val="00A31927"/>
    <w:rsid w:val="00A32232"/>
    <w:rsid w:val="00A3239B"/>
    <w:rsid w:val="00A3258A"/>
    <w:rsid w:val="00A32951"/>
    <w:rsid w:val="00A32A50"/>
    <w:rsid w:val="00A32C41"/>
    <w:rsid w:val="00A333DE"/>
    <w:rsid w:val="00A33598"/>
    <w:rsid w:val="00A3395C"/>
    <w:rsid w:val="00A33A5D"/>
    <w:rsid w:val="00A33FF3"/>
    <w:rsid w:val="00A3419D"/>
    <w:rsid w:val="00A3427D"/>
    <w:rsid w:val="00A342FE"/>
    <w:rsid w:val="00A34475"/>
    <w:rsid w:val="00A345F8"/>
    <w:rsid w:val="00A34820"/>
    <w:rsid w:val="00A34D30"/>
    <w:rsid w:val="00A34F85"/>
    <w:rsid w:val="00A352B7"/>
    <w:rsid w:val="00A3566F"/>
    <w:rsid w:val="00A35F15"/>
    <w:rsid w:val="00A3614B"/>
    <w:rsid w:val="00A36BD2"/>
    <w:rsid w:val="00A36D44"/>
    <w:rsid w:val="00A374D4"/>
    <w:rsid w:val="00A37855"/>
    <w:rsid w:val="00A378FE"/>
    <w:rsid w:val="00A379C9"/>
    <w:rsid w:val="00A37B65"/>
    <w:rsid w:val="00A37C17"/>
    <w:rsid w:val="00A37C7A"/>
    <w:rsid w:val="00A37D44"/>
    <w:rsid w:val="00A37E03"/>
    <w:rsid w:val="00A409C4"/>
    <w:rsid w:val="00A409EE"/>
    <w:rsid w:val="00A40EE3"/>
    <w:rsid w:val="00A414C9"/>
    <w:rsid w:val="00A414ED"/>
    <w:rsid w:val="00A41676"/>
    <w:rsid w:val="00A41D13"/>
    <w:rsid w:val="00A41D67"/>
    <w:rsid w:val="00A41EC0"/>
    <w:rsid w:val="00A42BFE"/>
    <w:rsid w:val="00A42EA5"/>
    <w:rsid w:val="00A43017"/>
    <w:rsid w:val="00A432D5"/>
    <w:rsid w:val="00A43368"/>
    <w:rsid w:val="00A43595"/>
    <w:rsid w:val="00A43C06"/>
    <w:rsid w:val="00A4498D"/>
    <w:rsid w:val="00A456AC"/>
    <w:rsid w:val="00A45712"/>
    <w:rsid w:val="00A45C1F"/>
    <w:rsid w:val="00A460EE"/>
    <w:rsid w:val="00A464F0"/>
    <w:rsid w:val="00A46A19"/>
    <w:rsid w:val="00A47435"/>
    <w:rsid w:val="00A47785"/>
    <w:rsid w:val="00A477FE"/>
    <w:rsid w:val="00A479EB"/>
    <w:rsid w:val="00A47BD7"/>
    <w:rsid w:val="00A47D26"/>
    <w:rsid w:val="00A504B2"/>
    <w:rsid w:val="00A505CB"/>
    <w:rsid w:val="00A508C8"/>
    <w:rsid w:val="00A50B64"/>
    <w:rsid w:val="00A50D74"/>
    <w:rsid w:val="00A50DE3"/>
    <w:rsid w:val="00A50F8B"/>
    <w:rsid w:val="00A5152D"/>
    <w:rsid w:val="00A5178F"/>
    <w:rsid w:val="00A51BB1"/>
    <w:rsid w:val="00A51F00"/>
    <w:rsid w:val="00A51FBA"/>
    <w:rsid w:val="00A5200C"/>
    <w:rsid w:val="00A52097"/>
    <w:rsid w:val="00A52319"/>
    <w:rsid w:val="00A52525"/>
    <w:rsid w:val="00A527EB"/>
    <w:rsid w:val="00A527FE"/>
    <w:rsid w:val="00A52922"/>
    <w:rsid w:val="00A52D2D"/>
    <w:rsid w:val="00A52E7D"/>
    <w:rsid w:val="00A531F2"/>
    <w:rsid w:val="00A535D6"/>
    <w:rsid w:val="00A539A2"/>
    <w:rsid w:val="00A53C0D"/>
    <w:rsid w:val="00A54062"/>
    <w:rsid w:val="00A550D0"/>
    <w:rsid w:val="00A5513C"/>
    <w:rsid w:val="00A55390"/>
    <w:rsid w:val="00A5539A"/>
    <w:rsid w:val="00A5539C"/>
    <w:rsid w:val="00A55829"/>
    <w:rsid w:val="00A55C20"/>
    <w:rsid w:val="00A55CF9"/>
    <w:rsid w:val="00A56051"/>
    <w:rsid w:val="00A560CC"/>
    <w:rsid w:val="00A5634E"/>
    <w:rsid w:val="00A566A2"/>
    <w:rsid w:val="00A56A0A"/>
    <w:rsid w:val="00A575C6"/>
    <w:rsid w:val="00A57B14"/>
    <w:rsid w:val="00A57BF9"/>
    <w:rsid w:val="00A57D87"/>
    <w:rsid w:val="00A60052"/>
    <w:rsid w:val="00A605CD"/>
    <w:rsid w:val="00A6086C"/>
    <w:rsid w:val="00A60A12"/>
    <w:rsid w:val="00A60C52"/>
    <w:rsid w:val="00A611AF"/>
    <w:rsid w:val="00A6120A"/>
    <w:rsid w:val="00A614E6"/>
    <w:rsid w:val="00A61636"/>
    <w:rsid w:val="00A61A21"/>
    <w:rsid w:val="00A61C25"/>
    <w:rsid w:val="00A61C84"/>
    <w:rsid w:val="00A62002"/>
    <w:rsid w:val="00A62AA2"/>
    <w:rsid w:val="00A62ECE"/>
    <w:rsid w:val="00A63E79"/>
    <w:rsid w:val="00A6425B"/>
    <w:rsid w:val="00A64818"/>
    <w:rsid w:val="00A64A9B"/>
    <w:rsid w:val="00A64F64"/>
    <w:rsid w:val="00A658DF"/>
    <w:rsid w:val="00A65A5F"/>
    <w:rsid w:val="00A65AB7"/>
    <w:rsid w:val="00A665C1"/>
    <w:rsid w:val="00A6684F"/>
    <w:rsid w:val="00A66C29"/>
    <w:rsid w:val="00A66D9C"/>
    <w:rsid w:val="00A66E5C"/>
    <w:rsid w:val="00A6709C"/>
    <w:rsid w:val="00A670BE"/>
    <w:rsid w:val="00A672E9"/>
    <w:rsid w:val="00A673D4"/>
    <w:rsid w:val="00A67534"/>
    <w:rsid w:val="00A67591"/>
    <w:rsid w:val="00A6769E"/>
    <w:rsid w:val="00A677CD"/>
    <w:rsid w:val="00A67F89"/>
    <w:rsid w:val="00A70A29"/>
    <w:rsid w:val="00A70D5A"/>
    <w:rsid w:val="00A71415"/>
    <w:rsid w:val="00A714CE"/>
    <w:rsid w:val="00A7185A"/>
    <w:rsid w:val="00A71975"/>
    <w:rsid w:val="00A71A5E"/>
    <w:rsid w:val="00A71BB7"/>
    <w:rsid w:val="00A71C46"/>
    <w:rsid w:val="00A71D83"/>
    <w:rsid w:val="00A71E4B"/>
    <w:rsid w:val="00A71E71"/>
    <w:rsid w:val="00A71EC5"/>
    <w:rsid w:val="00A722A6"/>
    <w:rsid w:val="00A724F8"/>
    <w:rsid w:val="00A7275C"/>
    <w:rsid w:val="00A727FD"/>
    <w:rsid w:val="00A72867"/>
    <w:rsid w:val="00A72877"/>
    <w:rsid w:val="00A7325F"/>
    <w:rsid w:val="00A732A7"/>
    <w:rsid w:val="00A735F0"/>
    <w:rsid w:val="00A73B00"/>
    <w:rsid w:val="00A74310"/>
    <w:rsid w:val="00A745B0"/>
    <w:rsid w:val="00A746B0"/>
    <w:rsid w:val="00A7497A"/>
    <w:rsid w:val="00A74CCF"/>
    <w:rsid w:val="00A74FCF"/>
    <w:rsid w:val="00A75084"/>
    <w:rsid w:val="00A752E1"/>
    <w:rsid w:val="00A755E1"/>
    <w:rsid w:val="00A76107"/>
    <w:rsid w:val="00A769A9"/>
    <w:rsid w:val="00A76C13"/>
    <w:rsid w:val="00A774E7"/>
    <w:rsid w:val="00A77716"/>
    <w:rsid w:val="00A77748"/>
    <w:rsid w:val="00A77750"/>
    <w:rsid w:val="00A7793A"/>
    <w:rsid w:val="00A77A06"/>
    <w:rsid w:val="00A77AFA"/>
    <w:rsid w:val="00A77DE2"/>
    <w:rsid w:val="00A803E6"/>
    <w:rsid w:val="00A80418"/>
    <w:rsid w:val="00A8087C"/>
    <w:rsid w:val="00A8095E"/>
    <w:rsid w:val="00A80C09"/>
    <w:rsid w:val="00A80CD6"/>
    <w:rsid w:val="00A80E05"/>
    <w:rsid w:val="00A81149"/>
    <w:rsid w:val="00A815AB"/>
    <w:rsid w:val="00A81869"/>
    <w:rsid w:val="00A81B35"/>
    <w:rsid w:val="00A81F73"/>
    <w:rsid w:val="00A8248C"/>
    <w:rsid w:val="00A826E2"/>
    <w:rsid w:val="00A82DB9"/>
    <w:rsid w:val="00A82FFC"/>
    <w:rsid w:val="00A831E1"/>
    <w:rsid w:val="00A83506"/>
    <w:rsid w:val="00A83875"/>
    <w:rsid w:val="00A83AD5"/>
    <w:rsid w:val="00A83B70"/>
    <w:rsid w:val="00A83E02"/>
    <w:rsid w:val="00A84964"/>
    <w:rsid w:val="00A84C3A"/>
    <w:rsid w:val="00A84D4D"/>
    <w:rsid w:val="00A84F08"/>
    <w:rsid w:val="00A85150"/>
    <w:rsid w:val="00A852A9"/>
    <w:rsid w:val="00A854DB"/>
    <w:rsid w:val="00A8570E"/>
    <w:rsid w:val="00A858F0"/>
    <w:rsid w:val="00A85B87"/>
    <w:rsid w:val="00A85DA7"/>
    <w:rsid w:val="00A860BE"/>
    <w:rsid w:val="00A86112"/>
    <w:rsid w:val="00A862BB"/>
    <w:rsid w:val="00A862F3"/>
    <w:rsid w:val="00A8649A"/>
    <w:rsid w:val="00A865E4"/>
    <w:rsid w:val="00A867C4"/>
    <w:rsid w:val="00A873E3"/>
    <w:rsid w:val="00A87609"/>
    <w:rsid w:val="00A8765F"/>
    <w:rsid w:val="00A87CF2"/>
    <w:rsid w:val="00A87DB4"/>
    <w:rsid w:val="00A90161"/>
    <w:rsid w:val="00A901DD"/>
    <w:rsid w:val="00A902F9"/>
    <w:rsid w:val="00A90331"/>
    <w:rsid w:val="00A9061D"/>
    <w:rsid w:val="00A90638"/>
    <w:rsid w:val="00A9098D"/>
    <w:rsid w:val="00A90999"/>
    <w:rsid w:val="00A90E03"/>
    <w:rsid w:val="00A9134A"/>
    <w:rsid w:val="00A91A07"/>
    <w:rsid w:val="00A91A0F"/>
    <w:rsid w:val="00A91ACD"/>
    <w:rsid w:val="00A91C3C"/>
    <w:rsid w:val="00A91DA5"/>
    <w:rsid w:val="00A91E76"/>
    <w:rsid w:val="00A92296"/>
    <w:rsid w:val="00A92B1F"/>
    <w:rsid w:val="00A92BE8"/>
    <w:rsid w:val="00A9313E"/>
    <w:rsid w:val="00A9332C"/>
    <w:rsid w:val="00A93353"/>
    <w:rsid w:val="00A93762"/>
    <w:rsid w:val="00A9422A"/>
    <w:rsid w:val="00A94433"/>
    <w:rsid w:val="00A94C79"/>
    <w:rsid w:val="00A94CEA"/>
    <w:rsid w:val="00A94E44"/>
    <w:rsid w:val="00A957D7"/>
    <w:rsid w:val="00A95D83"/>
    <w:rsid w:val="00A9601E"/>
    <w:rsid w:val="00A96ECD"/>
    <w:rsid w:val="00A97472"/>
    <w:rsid w:val="00A97EF5"/>
    <w:rsid w:val="00A97F6B"/>
    <w:rsid w:val="00A97FBA"/>
    <w:rsid w:val="00AA0016"/>
    <w:rsid w:val="00AA0241"/>
    <w:rsid w:val="00AA02C5"/>
    <w:rsid w:val="00AA061F"/>
    <w:rsid w:val="00AA0633"/>
    <w:rsid w:val="00AA0CE3"/>
    <w:rsid w:val="00AA167E"/>
    <w:rsid w:val="00AA23E4"/>
    <w:rsid w:val="00AA2F3B"/>
    <w:rsid w:val="00AA3660"/>
    <w:rsid w:val="00AA3988"/>
    <w:rsid w:val="00AA3A81"/>
    <w:rsid w:val="00AA40E2"/>
    <w:rsid w:val="00AA41FF"/>
    <w:rsid w:val="00AA4516"/>
    <w:rsid w:val="00AA47BE"/>
    <w:rsid w:val="00AA4831"/>
    <w:rsid w:val="00AA48D0"/>
    <w:rsid w:val="00AA4CD1"/>
    <w:rsid w:val="00AA53B2"/>
    <w:rsid w:val="00AA57D5"/>
    <w:rsid w:val="00AA5A35"/>
    <w:rsid w:val="00AA5BCA"/>
    <w:rsid w:val="00AA5CD4"/>
    <w:rsid w:val="00AA5DE9"/>
    <w:rsid w:val="00AA5E9E"/>
    <w:rsid w:val="00AA5F75"/>
    <w:rsid w:val="00AA6216"/>
    <w:rsid w:val="00AA6C50"/>
    <w:rsid w:val="00AA6CEE"/>
    <w:rsid w:val="00AA71E7"/>
    <w:rsid w:val="00AA74EB"/>
    <w:rsid w:val="00AA75F9"/>
    <w:rsid w:val="00AA7BE5"/>
    <w:rsid w:val="00AA7C9D"/>
    <w:rsid w:val="00AA7D59"/>
    <w:rsid w:val="00AA7DF2"/>
    <w:rsid w:val="00AA7DF8"/>
    <w:rsid w:val="00AA7F8D"/>
    <w:rsid w:val="00AB05C6"/>
    <w:rsid w:val="00AB0ABC"/>
    <w:rsid w:val="00AB0D8D"/>
    <w:rsid w:val="00AB0F82"/>
    <w:rsid w:val="00AB0F88"/>
    <w:rsid w:val="00AB115D"/>
    <w:rsid w:val="00AB11D9"/>
    <w:rsid w:val="00AB122B"/>
    <w:rsid w:val="00AB17A5"/>
    <w:rsid w:val="00AB1E45"/>
    <w:rsid w:val="00AB2293"/>
    <w:rsid w:val="00AB2913"/>
    <w:rsid w:val="00AB2C3A"/>
    <w:rsid w:val="00AB2DAC"/>
    <w:rsid w:val="00AB2E36"/>
    <w:rsid w:val="00AB2E8C"/>
    <w:rsid w:val="00AB3133"/>
    <w:rsid w:val="00AB32AF"/>
    <w:rsid w:val="00AB368F"/>
    <w:rsid w:val="00AB39D9"/>
    <w:rsid w:val="00AB3AAC"/>
    <w:rsid w:val="00AB407C"/>
    <w:rsid w:val="00AB4159"/>
    <w:rsid w:val="00AB4555"/>
    <w:rsid w:val="00AB4582"/>
    <w:rsid w:val="00AB473A"/>
    <w:rsid w:val="00AB4ACB"/>
    <w:rsid w:val="00AB4CCD"/>
    <w:rsid w:val="00AB4CE1"/>
    <w:rsid w:val="00AB4EE2"/>
    <w:rsid w:val="00AB52E7"/>
    <w:rsid w:val="00AB561E"/>
    <w:rsid w:val="00AB57B8"/>
    <w:rsid w:val="00AB580D"/>
    <w:rsid w:val="00AB598F"/>
    <w:rsid w:val="00AB6588"/>
    <w:rsid w:val="00AB66DB"/>
    <w:rsid w:val="00AB6C80"/>
    <w:rsid w:val="00AB723F"/>
    <w:rsid w:val="00AB74B0"/>
    <w:rsid w:val="00AB7556"/>
    <w:rsid w:val="00AB77BB"/>
    <w:rsid w:val="00AB784C"/>
    <w:rsid w:val="00AB7EDA"/>
    <w:rsid w:val="00AC0045"/>
    <w:rsid w:val="00AC00A3"/>
    <w:rsid w:val="00AC01B5"/>
    <w:rsid w:val="00AC0277"/>
    <w:rsid w:val="00AC0322"/>
    <w:rsid w:val="00AC04D3"/>
    <w:rsid w:val="00AC065F"/>
    <w:rsid w:val="00AC089C"/>
    <w:rsid w:val="00AC0A91"/>
    <w:rsid w:val="00AC1318"/>
    <w:rsid w:val="00AC19EA"/>
    <w:rsid w:val="00AC2956"/>
    <w:rsid w:val="00AC2B1B"/>
    <w:rsid w:val="00AC3338"/>
    <w:rsid w:val="00AC366B"/>
    <w:rsid w:val="00AC3707"/>
    <w:rsid w:val="00AC3862"/>
    <w:rsid w:val="00AC4316"/>
    <w:rsid w:val="00AC4402"/>
    <w:rsid w:val="00AC5290"/>
    <w:rsid w:val="00AC52D9"/>
    <w:rsid w:val="00AC5470"/>
    <w:rsid w:val="00AC57ED"/>
    <w:rsid w:val="00AC5E35"/>
    <w:rsid w:val="00AC5E3E"/>
    <w:rsid w:val="00AC5F87"/>
    <w:rsid w:val="00AC6338"/>
    <w:rsid w:val="00AC6A8C"/>
    <w:rsid w:val="00AC6C1C"/>
    <w:rsid w:val="00AC7510"/>
    <w:rsid w:val="00AC758F"/>
    <w:rsid w:val="00AC7DB3"/>
    <w:rsid w:val="00AD0150"/>
    <w:rsid w:val="00AD02DD"/>
    <w:rsid w:val="00AD0AA8"/>
    <w:rsid w:val="00AD1015"/>
    <w:rsid w:val="00AD14ED"/>
    <w:rsid w:val="00AD1981"/>
    <w:rsid w:val="00AD1CD9"/>
    <w:rsid w:val="00AD1DF3"/>
    <w:rsid w:val="00AD20C9"/>
    <w:rsid w:val="00AD223F"/>
    <w:rsid w:val="00AD235A"/>
    <w:rsid w:val="00AD2539"/>
    <w:rsid w:val="00AD264A"/>
    <w:rsid w:val="00AD264D"/>
    <w:rsid w:val="00AD2B17"/>
    <w:rsid w:val="00AD2CE5"/>
    <w:rsid w:val="00AD3A0F"/>
    <w:rsid w:val="00AD3F6A"/>
    <w:rsid w:val="00AD4565"/>
    <w:rsid w:val="00AD467D"/>
    <w:rsid w:val="00AD4B07"/>
    <w:rsid w:val="00AD4B8D"/>
    <w:rsid w:val="00AD4D42"/>
    <w:rsid w:val="00AD4F2E"/>
    <w:rsid w:val="00AD4F5C"/>
    <w:rsid w:val="00AD5179"/>
    <w:rsid w:val="00AD54D8"/>
    <w:rsid w:val="00AD5578"/>
    <w:rsid w:val="00AD57B4"/>
    <w:rsid w:val="00AD5F89"/>
    <w:rsid w:val="00AD61DA"/>
    <w:rsid w:val="00AD634B"/>
    <w:rsid w:val="00AD6A3A"/>
    <w:rsid w:val="00AD72AF"/>
    <w:rsid w:val="00AD756B"/>
    <w:rsid w:val="00AD77FA"/>
    <w:rsid w:val="00AD7820"/>
    <w:rsid w:val="00AD79B6"/>
    <w:rsid w:val="00AD7BCA"/>
    <w:rsid w:val="00AD7C66"/>
    <w:rsid w:val="00AD7E0E"/>
    <w:rsid w:val="00AE015E"/>
    <w:rsid w:val="00AE065C"/>
    <w:rsid w:val="00AE0A59"/>
    <w:rsid w:val="00AE0C1C"/>
    <w:rsid w:val="00AE0F8B"/>
    <w:rsid w:val="00AE13C4"/>
    <w:rsid w:val="00AE15FB"/>
    <w:rsid w:val="00AE19BE"/>
    <w:rsid w:val="00AE1E37"/>
    <w:rsid w:val="00AE1E51"/>
    <w:rsid w:val="00AE1FA3"/>
    <w:rsid w:val="00AE206B"/>
    <w:rsid w:val="00AE2087"/>
    <w:rsid w:val="00AE2153"/>
    <w:rsid w:val="00AE2377"/>
    <w:rsid w:val="00AE23FE"/>
    <w:rsid w:val="00AE2B6A"/>
    <w:rsid w:val="00AE2CCD"/>
    <w:rsid w:val="00AE3347"/>
    <w:rsid w:val="00AE35AE"/>
    <w:rsid w:val="00AE35D4"/>
    <w:rsid w:val="00AE36D6"/>
    <w:rsid w:val="00AE3B21"/>
    <w:rsid w:val="00AE3DDE"/>
    <w:rsid w:val="00AE410F"/>
    <w:rsid w:val="00AE4A6B"/>
    <w:rsid w:val="00AE4D35"/>
    <w:rsid w:val="00AE4E94"/>
    <w:rsid w:val="00AE4FD5"/>
    <w:rsid w:val="00AE5410"/>
    <w:rsid w:val="00AE555A"/>
    <w:rsid w:val="00AE5D00"/>
    <w:rsid w:val="00AE67AE"/>
    <w:rsid w:val="00AE6A30"/>
    <w:rsid w:val="00AE729A"/>
    <w:rsid w:val="00AE7839"/>
    <w:rsid w:val="00AE7AF9"/>
    <w:rsid w:val="00AE7CBF"/>
    <w:rsid w:val="00AE7F5D"/>
    <w:rsid w:val="00AF0075"/>
    <w:rsid w:val="00AF020A"/>
    <w:rsid w:val="00AF03D7"/>
    <w:rsid w:val="00AF047F"/>
    <w:rsid w:val="00AF094C"/>
    <w:rsid w:val="00AF0A3A"/>
    <w:rsid w:val="00AF0BB2"/>
    <w:rsid w:val="00AF0DD4"/>
    <w:rsid w:val="00AF0E10"/>
    <w:rsid w:val="00AF184D"/>
    <w:rsid w:val="00AF1B9A"/>
    <w:rsid w:val="00AF1D02"/>
    <w:rsid w:val="00AF1FD8"/>
    <w:rsid w:val="00AF2622"/>
    <w:rsid w:val="00AF2E7D"/>
    <w:rsid w:val="00AF3075"/>
    <w:rsid w:val="00AF3116"/>
    <w:rsid w:val="00AF32C1"/>
    <w:rsid w:val="00AF3750"/>
    <w:rsid w:val="00AF377A"/>
    <w:rsid w:val="00AF390D"/>
    <w:rsid w:val="00AF3FBD"/>
    <w:rsid w:val="00AF427A"/>
    <w:rsid w:val="00AF428E"/>
    <w:rsid w:val="00AF42A3"/>
    <w:rsid w:val="00AF44AB"/>
    <w:rsid w:val="00AF4547"/>
    <w:rsid w:val="00AF45B2"/>
    <w:rsid w:val="00AF486C"/>
    <w:rsid w:val="00AF4C8E"/>
    <w:rsid w:val="00AF4D9A"/>
    <w:rsid w:val="00AF519B"/>
    <w:rsid w:val="00AF528D"/>
    <w:rsid w:val="00AF53FB"/>
    <w:rsid w:val="00AF54C4"/>
    <w:rsid w:val="00AF5595"/>
    <w:rsid w:val="00AF5704"/>
    <w:rsid w:val="00AF58BF"/>
    <w:rsid w:val="00AF5A3F"/>
    <w:rsid w:val="00AF5C9B"/>
    <w:rsid w:val="00AF5FA2"/>
    <w:rsid w:val="00AF6A01"/>
    <w:rsid w:val="00AF6A0B"/>
    <w:rsid w:val="00AF6A99"/>
    <w:rsid w:val="00AF6AED"/>
    <w:rsid w:val="00AF6C97"/>
    <w:rsid w:val="00AF735E"/>
    <w:rsid w:val="00AF7382"/>
    <w:rsid w:val="00AF76E3"/>
    <w:rsid w:val="00AF797B"/>
    <w:rsid w:val="00AF7D93"/>
    <w:rsid w:val="00AF7F7B"/>
    <w:rsid w:val="00B0032E"/>
    <w:rsid w:val="00B004BE"/>
    <w:rsid w:val="00B00B6A"/>
    <w:rsid w:val="00B00D92"/>
    <w:rsid w:val="00B00DFD"/>
    <w:rsid w:val="00B00E7F"/>
    <w:rsid w:val="00B00F2A"/>
    <w:rsid w:val="00B00F2B"/>
    <w:rsid w:val="00B00FDF"/>
    <w:rsid w:val="00B0101C"/>
    <w:rsid w:val="00B01195"/>
    <w:rsid w:val="00B01655"/>
    <w:rsid w:val="00B016B9"/>
    <w:rsid w:val="00B01711"/>
    <w:rsid w:val="00B01724"/>
    <w:rsid w:val="00B01E42"/>
    <w:rsid w:val="00B01FD6"/>
    <w:rsid w:val="00B0222C"/>
    <w:rsid w:val="00B0225A"/>
    <w:rsid w:val="00B022AA"/>
    <w:rsid w:val="00B025FB"/>
    <w:rsid w:val="00B02928"/>
    <w:rsid w:val="00B029D2"/>
    <w:rsid w:val="00B02C18"/>
    <w:rsid w:val="00B02F06"/>
    <w:rsid w:val="00B0327D"/>
    <w:rsid w:val="00B0334D"/>
    <w:rsid w:val="00B033D2"/>
    <w:rsid w:val="00B035D5"/>
    <w:rsid w:val="00B03973"/>
    <w:rsid w:val="00B03C3C"/>
    <w:rsid w:val="00B03E6B"/>
    <w:rsid w:val="00B03F75"/>
    <w:rsid w:val="00B0419A"/>
    <w:rsid w:val="00B0422A"/>
    <w:rsid w:val="00B049E0"/>
    <w:rsid w:val="00B04CE4"/>
    <w:rsid w:val="00B05040"/>
    <w:rsid w:val="00B052D7"/>
    <w:rsid w:val="00B05A7F"/>
    <w:rsid w:val="00B06003"/>
    <w:rsid w:val="00B06053"/>
    <w:rsid w:val="00B0655D"/>
    <w:rsid w:val="00B06AF4"/>
    <w:rsid w:val="00B06DBF"/>
    <w:rsid w:val="00B071F3"/>
    <w:rsid w:val="00B079B8"/>
    <w:rsid w:val="00B07C86"/>
    <w:rsid w:val="00B07E70"/>
    <w:rsid w:val="00B10C99"/>
    <w:rsid w:val="00B10DB7"/>
    <w:rsid w:val="00B113C2"/>
    <w:rsid w:val="00B11BF1"/>
    <w:rsid w:val="00B11CC8"/>
    <w:rsid w:val="00B11F30"/>
    <w:rsid w:val="00B1245B"/>
    <w:rsid w:val="00B1246D"/>
    <w:rsid w:val="00B125C3"/>
    <w:rsid w:val="00B125E2"/>
    <w:rsid w:val="00B125F0"/>
    <w:rsid w:val="00B132AC"/>
    <w:rsid w:val="00B1331B"/>
    <w:rsid w:val="00B13479"/>
    <w:rsid w:val="00B138F6"/>
    <w:rsid w:val="00B13BBF"/>
    <w:rsid w:val="00B13F3D"/>
    <w:rsid w:val="00B14192"/>
    <w:rsid w:val="00B14248"/>
    <w:rsid w:val="00B143B6"/>
    <w:rsid w:val="00B1446A"/>
    <w:rsid w:val="00B14756"/>
    <w:rsid w:val="00B15914"/>
    <w:rsid w:val="00B15976"/>
    <w:rsid w:val="00B159EF"/>
    <w:rsid w:val="00B1697C"/>
    <w:rsid w:val="00B16C5C"/>
    <w:rsid w:val="00B171A2"/>
    <w:rsid w:val="00B171AB"/>
    <w:rsid w:val="00B17814"/>
    <w:rsid w:val="00B17ED3"/>
    <w:rsid w:val="00B17FB8"/>
    <w:rsid w:val="00B211B4"/>
    <w:rsid w:val="00B211FC"/>
    <w:rsid w:val="00B21459"/>
    <w:rsid w:val="00B217E5"/>
    <w:rsid w:val="00B21C57"/>
    <w:rsid w:val="00B221EA"/>
    <w:rsid w:val="00B228C0"/>
    <w:rsid w:val="00B22DE1"/>
    <w:rsid w:val="00B230C6"/>
    <w:rsid w:val="00B23951"/>
    <w:rsid w:val="00B23D9E"/>
    <w:rsid w:val="00B23EA1"/>
    <w:rsid w:val="00B23EE1"/>
    <w:rsid w:val="00B245DC"/>
    <w:rsid w:val="00B246B8"/>
    <w:rsid w:val="00B24C02"/>
    <w:rsid w:val="00B24CB6"/>
    <w:rsid w:val="00B24D5B"/>
    <w:rsid w:val="00B24E27"/>
    <w:rsid w:val="00B24E70"/>
    <w:rsid w:val="00B24F01"/>
    <w:rsid w:val="00B258A8"/>
    <w:rsid w:val="00B25D09"/>
    <w:rsid w:val="00B25FB6"/>
    <w:rsid w:val="00B27517"/>
    <w:rsid w:val="00B27959"/>
    <w:rsid w:val="00B27F10"/>
    <w:rsid w:val="00B303F1"/>
    <w:rsid w:val="00B30557"/>
    <w:rsid w:val="00B30810"/>
    <w:rsid w:val="00B309B0"/>
    <w:rsid w:val="00B30E30"/>
    <w:rsid w:val="00B32176"/>
    <w:rsid w:val="00B32296"/>
    <w:rsid w:val="00B32AAC"/>
    <w:rsid w:val="00B3318A"/>
    <w:rsid w:val="00B332D6"/>
    <w:rsid w:val="00B33434"/>
    <w:rsid w:val="00B334C9"/>
    <w:rsid w:val="00B334DF"/>
    <w:rsid w:val="00B33592"/>
    <w:rsid w:val="00B34131"/>
    <w:rsid w:val="00B3428C"/>
    <w:rsid w:val="00B342AA"/>
    <w:rsid w:val="00B343E9"/>
    <w:rsid w:val="00B347A6"/>
    <w:rsid w:val="00B348EA"/>
    <w:rsid w:val="00B34A2A"/>
    <w:rsid w:val="00B34B60"/>
    <w:rsid w:val="00B34CB1"/>
    <w:rsid w:val="00B34D48"/>
    <w:rsid w:val="00B34DE3"/>
    <w:rsid w:val="00B35006"/>
    <w:rsid w:val="00B3522A"/>
    <w:rsid w:val="00B35365"/>
    <w:rsid w:val="00B35431"/>
    <w:rsid w:val="00B3554F"/>
    <w:rsid w:val="00B358B9"/>
    <w:rsid w:val="00B35AF4"/>
    <w:rsid w:val="00B35C0D"/>
    <w:rsid w:val="00B35E21"/>
    <w:rsid w:val="00B35E4A"/>
    <w:rsid w:val="00B35FDF"/>
    <w:rsid w:val="00B3672E"/>
    <w:rsid w:val="00B36CF8"/>
    <w:rsid w:val="00B36D73"/>
    <w:rsid w:val="00B37258"/>
    <w:rsid w:val="00B372AC"/>
    <w:rsid w:val="00B375A5"/>
    <w:rsid w:val="00B37D1E"/>
    <w:rsid w:val="00B406EA"/>
    <w:rsid w:val="00B409CD"/>
    <w:rsid w:val="00B40E33"/>
    <w:rsid w:val="00B40FFA"/>
    <w:rsid w:val="00B411FE"/>
    <w:rsid w:val="00B41C50"/>
    <w:rsid w:val="00B41D46"/>
    <w:rsid w:val="00B41DA5"/>
    <w:rsid w:val="00B421D9"/>
    <w:rsid w:val="00B42274"/>
    <w:rsid w:val="00B42296"/>
    <w:rsid w:val="00B42470"/>
    <w:rsid w:val="00B42615"/>
    <w:rsid w:val="00B42AB4"/>
    <w:rsid w:val="00B42BEC"/>
    <w:rsid w:val="00B42FE2"/>
    <w:rsid w:val="00B43328"/>
    <w:rsid w:val="00B43606"/>
    <w:rsid w:val="00B436BE"/>
    <w:rsid w:val="00B4384D"/>
    <w:rsid w:val="00B44429"/>
    <w:rsid w:val="00B444A2"/>
    <w:rsid w:val="00B4456C"/>
    <w:rsid w:val="00B44609"/>
    <w:rsid w:val="00B4479D"/>
    <w:rsid w:val="00B447B4"/>
    <w:rsid w:val="00B44B9D"/>
    <w:rsid w:val="00B44DE0"/>
    <w:rsid w:val="00B45367"/>
    <w:rsid w:val="00B456CD"/>
    <w:rsid w:val="00B45901"/>
    <w:rsid w:val="00B4626E"/>
    <w:rsid w:val="00B4634C"/>
    <w:rsid w:val="00B46445"/>
    <w:rsid w:val="00B46923"/>
    <w:rsid w:val="00B46925"/>
    <w:rsid w:val="00B46A91"/>
    <w:rsid w:val="00B46AEB"/>
    <w:rsid w:val="00B47019"/>
    <w:rsid w:val="00B47622"/>
    <w:rsid w:val="00B476C4"/>
    <w:rsid w:val="00B47C2A"/>
    <w:rsid w:val="00B504D2"/>
    <w:rsid w:val="00B5076E"/>
    <w:rsid w:val="00B50AC2"/>
    <w:rsid w:val="00B50BFB"/>
    <w:rsid w:val="00B50F1E"/>
    <w:rsid w:val="00B51255"/>
    <w:rsid w:val="00B514D7"/>
    <w:rsid w:val="00B51B72"/>
    <w:rsid w:val="00B51CDF"/>
    <w:rsid w:val="00B521E7"/>
    <w:rsid w:val="00B524F3"/>
    <w:rsid w:val="00B5274A"/>
    <w:rsid w:val="00B52997"/>
    <w:rsid w:val="00B52AA6"/>
    <w:rsid w:val="00B52E7C"/>
    <w:rsid w:val="00B5345D"/>
    <w:rsid w:val="00B542A5"/>
    <w:rsid w:val="00B542B9"/>
    <w:rsid w:val="00B545C5"/>
    <w:rsid w:val="00B5489E"/>
    <w:rsid w:val="00B54B25"/>
    <w:rsid w:val="00B54C2D"/>
    <w:rsid w:val="00B553DD"/>
    <w:rsid w:val="00B55BE8"/>
    <w:rsid w:val="00B55E07"/>
    <w:rsid w:val="00B56BEA"/>
    <w:rsid w:val="00B57037"/>
    <w:rsid w:val="00B57396"/>
    <w:rsid w:val="00B57558"/>
    <w:rsid w:val="00B57622"/>
    <w:rsid w:val="00B57648"/>
    <w:rsid w:val="00B57E00"/>
    <w:rsid w:val="00B60129"/>
    <w:rsid w:val="00B604EC"/>
    <w:rsid w:val="00B6055E"/>
    <w:rsid w:val="00B611A4"/>
    <w:rsid w:val="00B613EF"/>
    <w:rsid w:val="00B61B69"/>
    <w:rsid w:val="00B61BD9"/>
    <w:rsid w:val="00B61C18"/>
    <w:rsid w:val="00B61FEE"/>
    <w:rsid w:val="00B62218"/>
    <w:rsid w:val="00B622ED"/>
    <w:rsid w:val="00B62421"/>
    <w:rsid w:val="00B62838"/>
    <w:rsid w:val="00B62FB3"/>
    <w:rsid w:val="00B63296"/>
    <w:rsid w:val="00B6331E"/>
    <w:rsid w:val="00B6356B"/>
    <w:rsid w:val="00B6395F"/>
    <w:rsid w:val="00B639D2"/>
    <w:rsid w:val="00B63A8C"/>
    <w:rsid w:val="00B63E1C"/>
    <w:rsid w:val="00B63F6D"/>
    <w:rsid w:val="00B64197"/>
    <w:rsid w:val="00B644CE"/>
    <w:rsid w:val="00B64920"/>
    <w:rsid w:val="00B64BD0"/>
    <w:rsid w:val="00B64EBE"/>
    <w:rsid w:val="00B652B9"/>
    <w:rsid w:val="00B65B42"/>
    <w:rsid w:val="00B65DBC"/>
    <w:rsid w:val="00B66A00"/>
    <w:rsid w:val="00B66AFD"/>
    <w:rsid w:val="00B66CB1"/>
    <w:rsid w:val="00B6708F"/>
    <w:rsid w:val="00B675A1"/>
    <w:rsid w:val="00B67BBB"/>
    <w:rsid w:val="00B67BC7"/>
    <w:rsid w:val="00B67C33"/>
    <w:rsid w:val="00B67D45"/>
    <w:rsid w:val="00B67DD1"/>
    <w:rsid w:val="00B7024B"/>
    <w:rsid w:val="00B7030C"/>
    <w:rsid w:val="00B70722"/>
    <w:rsid w:val="00B70784"/>
    <w:rsid w:val="00B708BF"/>
    <w:rsid w:val="00B70CAF"/>
    <w:rsid w:val="00B70E37"/>
    <w:rsid w:val="00B70FDE"/>
    <w:rsid w:val="00B7111A"/>
    <w:rsid w:val="00B71751"/>
    <w:rsid w:val="00B71C62"/>
    <w:rsid w:val="00B71CF9"/>
    <w:rsid w:val="00B71DF8"/>
    <w:rsid w:val="00B7233F"/>
    <w:rsid w:val="00B724CD"/>
    <w:rsid w:val="00B72760"/>
    <w:rsid w:val="00B72F2C"/>
    <w:rsid w:val="00B73913"/>
    <w:rsid w:val="00B73B49"/>
    <w:rsid w:val="00B74048"/>
    <w:rsid w:val="00B74BA3"/>
    <w:rsid w:val="00B74CD2"/>
    <w:rsid w:val="00B75250"/>
    <w:rsid w:val="00B754CA"/>
    <w:rsid w:val="00B75EB7"/>
    <w:rsid w:val="00B75F32"/>
    <w:rsid w:val="00B75FC0"/>
    <w:rsid w:val="00B76562"/>
    <w:rsid w:val="00B76575"/>
    <w:rsid w:val="00B76852"/>
    <w:rsid w:val="00B768D9"/>
    <w:rsid w:val="00B76D9F"/>
    <w:rsid w:val="00B77168"/>
    <w:rsid w:val="00B7729F"/>
    <w:rsid w:val="00B776BA"/>
    <w:rsid w:val="00B77AFA"/>
    <w:rsid w:val="00B77C71"/>
    <w:rsid w:val="00B77F80"/>
    <w:rsid w:val="00B8014A"/>
    <w:rsid w:val="00B80379"/>
    <w:rsid w:val="00B803F9"/>
    <w:rsid w:val="00B8095E"/>
    <w:rsid w:val="00B80A16"/>
    <w:rsid w:val="00B80A7F"/>
    <w:rsid w:val="00B80BB8"/>
    <w:rsid w:val="00B81A96"/>
    <w:rsid w:val="00B81DD9"/>
    <w:rsid w:val="00B81F1F"/>
    <w:rsid w:val="00B820B3"/>
    <w:rsid w:val="00B82536"/>
    <w:rsid w:val="00B82AFF"/>
    <w:rsid w:val="00B82B98"/>
    <w:rsid w:val="00B82D16"/>
    <w:rsid w:val="00B82D37"/>
    <w:rsid w:val="00B83071"/>
    <w:rsid w:val="00B83450"/>
    <w:rsid w:val="00B8374D"/>
    <w:rsid w:val="00B838B2"/>
    <w:rsid w:val="00B83EE3"/>
    <w:rsid w:val="00B84074"/>
    <w:rsid w:val="00B848ED"/>
    <w:rsid w:val="00B84A94"/>
    <w:rsid w:val="00B8505F"/>
    <w:rsid w:val="00B852DB"/>
    <w:rsid w:val="00B85393"/>
    <w:rsid w:val="00B85579"/>
    <w:rsid w:val="00B85BD5"/>
    <w:rsid w:val="00B85E5A"/>
    <w:rsid w:val="00B86189"/>
    <w:rsid w:val="00B861E0"/>
    <w:rsid w:val="00B865D9"/>
    <w:rsid w:val="00B86ABE"/>
    <w:rsid w:val="00B86B85"/>
    <w:rsid w:val="00B86BEB"/>
    <w:rsid w:val="00B86E67"/>
    <w:rsid w:val="00B872F5"/>
    <w:rsid w:val="00B87AE7"/>
    <w:rsid w:val="00B87BE6"/>
    <w:rsid w:val="00B9009E"/>
    <w:rsid w:val="00B90267"/>
    <w:rsid w:val="00B90E79"/>
    <w:rsid w:val="00B90E86"/>
    <w:rsid w:val="00B9122E"/>
    <w:rsid w:val="00B91303"/>
    <w:rsid w:val="00B91427"/>
    <w:rsid w:val="00B9158E"/>
    <w:rsid w:val="00B9167E"/>
    <w:rsid w:val="00B91ADF"/>
    <w:rsid w:val="00B91B91"/>
    <w:rsid w:val="00B92265"/>
    <w:rsid w:val="00B9230C"/>
    <w:rsid w:val="00B92701"/>
    <w:rsid w:val="00B92CCD"/>
    <w:rsid w:val="00B92D46"/>
    <w:rsid w:val="00B92F33"/>
    <w:rsid w:val="00B92F80"/>
    <w:rsid w:val="00B93189"/>
    <w:rsid w:val="00B93383"/>
    <w:rsid w:val="00B9342E"/>
    <w:rsid w:val="00B93507"/>
    <w:rsid w:val="00B937C7"/>
    <w:rsid w:val="00B943CF"/>
    <w:rsid w:val="00B962BA"/>
    <w:rsid w:val="00B9630B"/>
    <w:rsid w:val="00B964E1"/>
    <w:rsid w:val="00B96DC1"/>
    <w:rsid w:val="00B97898"/>
    <w:rsid w:val="00B978FA"/>
    <w:rsid w:val="00B97B24"/>
    <w:rsid w:val="00B97F92"/>
    <w:rsid w:val="00BA004A"/>
    <w:rsid w:val="00BA0602"/>
    <w:rsid w:val="00BA0823"/>
    <w:rsid w:val="00BA0D94"/>
    <w:rsid w:val="00BA0F7F"/>
    <w:rsid w:val="00BA0FA7"/>
    <w:rsid w:val="00BA167A"/>
    <w:rsid w:val="00BA1AB0"/>
    <w:rsid w:val="00BA1CE1"/>
    <w:rsid w:val="00BA2459"/>
    <w:rsid w:val="00BA2515"/>
    <w:rsid w:val="00BA2544"/>
    <w:rsid w:val="00BA27C7"/>
    <w:rsid w:val="00BA29DB"/>
    <w:rsid w:val="00BA2D12"/>
    <w:rsid w:val="00BA36A9"/>
    <w:rsid w:val="00BA39FF"/>
    <w:rsid w:val="00BA3A4D"/>
    <w:rsid w:val="00BA3F96"/>
    <w:rsid w:val="00BA4099"/>
    <w:rsid w:val="00BA4196"/>
    <w:rsid w:val="00BA4409"/>
    <w:rsid w:val="00BA4411"/>
    <w:rsid w:val="00BA44B3"/>
    <w:rsid w:val="00BA4938"/>
    <w:rsid w:val="00BA4CEC"/>
    <w:rsid w:val="00BA5406"/>
    <w:rsid w:val="00BA5B20"/>
    <w:rsid w:val="00BA5D82"/>
    <w:rsid w:val="00BA60F1"/>
    <w:rsid w:val="00BA633E"/>
    <w:rsid w:val="00BA6A8F"/>
    <w:rsid w:val="00BA6C11"/>
    <w:rsid w:val="00BA6CB0"/>
    <w:rsid w:val="00BA6D39"/>
    <w:rsid w:val="00BA7071"/>
    <w:rsid w:val="00BA7353"/>
    <w:rsid w:val="00BA7E38"/>
    <w:rsid w:val="00BA7FD1"/>
    <w:rsid w:val="00BB0580"/>
    <w:rsid w:val="00BB0637"/>
    <w:rsid w:val="00BB0A22"/>
    <w:rsid w:val="00BB0D2A"/>
    <w:rsid w:val="00BB0FD4"/>
    <w:rsid w:val="00BB115A"/>
    <w:rsid w:val="00BB1461"/>
    <w:rsid w:val="00BB1557"/>
    <w:rsid w:val="00BB1BB1"/>
    <w:rsid w:val="00BB2095"/>
    <w:rsid w:val="00BB230D"/>
    <w:rsid w:val="00BB2341"/>
    <w:rsid w:val="00BB2769"/>
    <w:rsid w:val="00BB2D57"/>
    <w:rsid w:val="00BB3123"/>
    <w:rsid w:val="00BB35D5"/>
    <w:rsid w:val="00BB3765"/>
    <w:rsid w:val="00BB3A42"/>
    <w:rsid w:val="00BB3DA8"/>
    <w:rsid w:val="00BB3EE9"/>
    <w:rsid w:val="00BB4255"/>
    <w:rsid w:val="00BB4408"/>
    <w:rsid w:val="00BB4C17"/>
    <w:rsid w:val="00BB4F42"/>
    <w:rsid w:val="00BB4FE8"/>
    <w:rsid w:val="00BB5016"/>
    <w:rsid w:val="00BB5F5B"/>
    <w:rsid w:val="00BB6F6E"/>
    <w:rsid w:val="00BB717E"/>
    <w:rsid w:val="00BB7186"/>
    <w:rsid w:val="00BB71A9"/>
    <w:rsid w:val="00BB71CB"/>
    <w:rsid w:val="00BB741E"/>
    <w:rsid w:val="00BB764C"/>
    <w:rsid w:val="00BB7AD9"/>
    <w:rsid w:val="00BB7D32"/>
    <w:rsid w:val="00BC03AE"/>
    <w:rsid w:val="00BC0BC8"/>
    <w:rsid w:val="00BC0C0C"/>
    <w:rsid w:val="00BC14B9"/>
    <w:rsid w:val="00BC1C74"/>
    <w:rsid w:val="00BC1CCD"/>
    <w:rsid w:val="00BC2300"/>
    <w:rsid w:val="00BC27D0"/>
    <w:rsid w:val="00BC2854"/>
    <w:rsid w:val="00BC2DB7"/>
    <w:rsid w:val="00BC2F5A"/>
    <w:rsid w:val="00BC31DD"/>
    <w:rsid w:val="00BC36AB"/>
    <w:rsid w:val="00BC414A"/>
    <w:rsid w:val="00BC42D1"/>
    <w:rsid w:val="00BC4B0E"/>
    <w:rsid w:val="00BC515D"/>
    <w:rsid w:val="00BC5239"/>
    <w:rsid w:val="00BC5340"/>
    <w:rsid w:val="00BC5455"/>
    <w:rsid w:val="00BC55E3"/>
    <w:rsid w:val="00BC57BA"/>
    <w:rsid w:val="00BC5AA4"/>
    <w:rsid w:val="00BC5DB3"/>
    <w:rsid w:val="00BC5F69"/>
    <w:rsid w:val="00BC6464"/>
    <w:rsid w:val="00BC65FF"/>
    <w:rsid w:val="00BC72D5"/>
    <w:rsid w:val="00BC7A72"/>
    <w:rsid w:val="00BD062E"/>
    <w:rsid w:val="00BD0AB2"/>
    <w:rsid w:val="00BD0C1D"/>
    <w:rsid w:val="00BD0C1E"/>
    <w:rsid w:val="00BD0F35"/>
    <w:rsid w:val="00BD109F"/>
    <w:rsid w:val="00BD1756"/>
    <w:rsid w:val="00BD1F11"/>
    <w:rsid w:val="00BD2073"/>
    <w:rsid w:val="00BD350F"/>
    <w:rsid w:val="00BD35FA"/>
    <w:rsid w:val="00BD37D8"/>
    <w:rsid w:val="00BD38F3"/>
    <w:rsid w:val="00BD3A62"/>
    <w:rsid w:val="00BD3D1E"/>
    <w:rsid w:val="00BD3DFC"/>
    <w:rsid w:val="00BD45B5"/>
    <w:rsid w:val="00BD4849"/>
    <w:rsid w:val="00BD4B8F"/>
    <w:rsid w:val="00BD4C5D"/>
    <w:rsid w:val="00BD4D57"/>
    <w:rsid w:val="00BD4F7B"/>
    <w:rsid w:val="00BD53C7"/>
    <w:rsid w:val="00BD558F"/>
    <w:rsid w:val="00BD561B"/>
    <w:rsid w:val="00BD60B0"/>
    <w:rsid w:val="00BD6620"/>
    <w:rsid w:val="00BD6656"/>
    <w:rsid w:val="00BD665C"/>
    <w:rsid w:val="00BD7126"/>
    <w:rsid w:val="00BD75F4"/>
    <w:rsid w:val="00BE00EF"/>
    <w:rsid w:val="00BE083C"/>
    <w:rsid w:val="00BE0995"/>
    <w:rsid w:val="00BE163B"/>
    <w:rsid w:val="00BE18B4"/>
    <w:rsid w:val="00BE1EFA"/>
    <w:rsid w:val="00BE22BC"/>
    <w:rsid w:val="00BE2327"/>
    <w:rsid w:val="00BE23DB"/>
    <w:rsid w:val="00BE240C"/>
    <w:rsid w:val="00BE2630"/>
    <w:rsid w:val="00BE2777"/>
    <w:rsid w:val="00BE30EE"/>
    <w:rsid w:val="00BE3417"/>
    <w:rsid w:val="00BE41BD"/>
    <w:rsid w:val="00BE426D"/>
    <w:rsid w:val="00BE42D3"/>
    <w:rsid w:val="00BE44F3"/>
    <w:rsid w:val="00BE47AC"/>
    <w:rsid w:val="00BE48EE"/>
    <w:rsid w:val="00BE4A84"/>
    <w:rsid w:val="00BE4C86"/>
    <w:rsid w:val="00BE5293"/>
    <w:rsid w:val="00BE54AE"/>
    <w:rsid w:val="00BE5985"/>
    <w:rsid w:val="00BE5AFC"/>
    <w:rsid w:val="00BE5D1F"/>
    <w:rsid w:val="00BE606A"/>
    <w:rsid w:val="00BE616A"/>
    <w:rsid w:val="00BE6453"/>
    <w:rsid w:val="00BE6564"/>
    <w:rsid w:val="00BE676D"/>
    <w:rsid w:val="00BE6795"/>
    <w:rsid w:val="00BE69C0"/>
    <w:rsid w:val="00BE6A1B"/>
    <w:rsid w:val="00BE6B53"/>
    <w:rsid w:val="00BE7D33"/>
    <w:rsid w:val="00BE7E93"/>
    <w:rsid w:val="00BF0043"/>
    <w:rsid w:val="00BF0147"/>
    <w:rsid w:val="00BF092B"/>
    <w:rsid w:val="00BF0CB4"/>
    <w:rsid w:val="00BF15C2"/>
    <w:rsid w:val="00BF178B"/>
    <w:rsid w:val="00BF1A85"/>
    <w:rsid w:val="00BF217C"/>
    <w:rsid w:val="00BF243F"/>
    <w:rsid w:val="00BF27F9"/>
    <w:rsid w:val="00BF2AF0"/>
    <w:rsid w:val="00BF2E6C"/>
    <w:rsid w:val="00BF317F"/>
    <w:rsid w:val="00BF3540"/>
    <w:rsid w:val="00BF37C2"/>
    <w:rsid w:val="00BF37EF"/>
    <w:rsid w:val="00BF3900"/>
    <w:rsid w:val="00BF390D"/>
    <w:rsid w:val="00BF3BAA"/>
    <w:rsid w:val="00BF3C49"/>
    <w:rsid w:val="00BF3D34"/>
    <w:rsid w:val="00BF3D3E"/>
    <w:rsid w:val="00BF4283"/>
    <w:rsid w:val="00BF42FA"/>
    <w:rsid w:val="00BF4890"/>
    <w:rsid w:val="00BF4952"/>
    <w:rsid w:val="00BF4E26"/>
    <w:rsid w:val="00BF529D"/>
    <w:rsid w:val="00BF52E3"/>
    <w:rsid w:val="00BF535F"/>
    <w:rsid w:val="00BF53D6"/>
    <w:rsid w:val="00BF5759"/>
    <w:rsid w:val="00BF576B"/>
    <w:rsid w:val="00BF5FA8"/>
    <w:rsid w:val="00BF6582"/>
    <w:rsid w:val="00BF6698"/>
    <w:rsid w:val="00BF68FE"/>
    <w:rsid w:val="00BF6B7B"/>
    <w:rsid w:val="00BF7459"/>
    <w:rsid w:val="00BF74C3"/>
    <w:rsid w:val="00BF78EC"/>
    <w:rsid w:val="00BF79F4"/>
    <w:rsid w:val="00C000E0"/>
    <w:rsid w:val="00C0023B"/>
    <w:rsid w:val="00C0055B"/>
    <w:rsid w:val="00C005D0"/>
    <w:rsid w:val="00C006B6"/>
    <w:rsid w:val="00C00BAD"/>
    <w:rsid w:val="00C00E02"/>
    <w:rsid w:val="00C01144"/>
    <w:rsid w:val="00C0216D"/>
    <w:rsid w:val="00C022DE"/>
    <w:rsid w:val="00C025D3"/>
    <w:rsid w:val="00C0291B"/>
    <w:rsid w:val="00C02A2A"/>
    <w:rsid w:val="00C02AB3"/>
    <w:rsid w:val="00C02CE0"/>
    <w:rsid w:val="00C034E3"/>
    <w:rsid w:val="00C03684"/>
    <w:rsid w:val="00C03DF3"/>
    <w:rsid w:val="00C03E3E"/>
    <w:rsid w:val="00C03FFA"/>
    <w:rsid w:val="00C0412E"/>
    <w:rsid w:val="00C0434E"/>
    <w:rsid w:val="00C043DB"/>
    <w:rsid w:val="00C045D2"/>
    <w:rsid w:val="00C04699"/>
    <w:rsid w:val="00C047F9"/>
    <w:rsid w:val="00C049FA"/>
    <w:rsid w:val="00C04EFB"/>
    <w:rsid w:val="00C05388"/>
    <w:rsid w:val="00C054B0"/>
    <w:rsid w:val="00C0574D"/>
    <w:rsid w:val="00C058AC"/>
    <w:rsid w:val="00C05A99"/>
    <w:rsid w:val="00C05C6B"/>
    <w:rsid w:val="00C06516"/>
    <w:rsid w:val="00C069C5"/>
    <w:rsid w:val="00C06A11"/>
    <w:rsid w:val="00C06E66"/>
    <w:rsid w:val="00C072CA"/>
    <w:rsid w:val="00C0773A"/>
    <w:rsid w:val="00C07C91"/>
    <w:rsid w:val="00C07F98"/>
    <w:rsid w:val="00C10398"/>
    <w:rsid w:val="00C10ABC"/>
    <w:rsid w:val="00C10BB4"/>
    <w:rsid w:val="00C10BFF"/>
    <w:rsid w:val="00C10C3E"/>
    <w:rsid w:val="00C10DDF"/>
    <w:rsid w:val="00C10E3F"/>
    <w:rsid w:val="00C10FB4"/>
    <w:rsid w:val="00C11183"/>
    <w:rsid w:val="00C11266"/>
    <w:rsid w:val="00C1195D"/>
    <w:rsid w:val="00C11DC0"/>
    <w:rsid w:val="00C11F32"/>
    <w:rsid w:val="00C11F85"/>
    <w:rsid w:val="00C124B7"/>
    <w:rsid w:val="00C124C8"/>
    <w:rsid w:val="00C137A8"/>
    <w:rsid w:val="00C138E9"/>
    <w:rsid w:val="00C13A18"/>
    <w:rsid w:val="00C1421E"/>
    <w:rsid w:val="00C1469E"/>
    <w:rsid w:val="00C1499D"/>
    <w:rsid w:val="00C14B45"/>
    <w:rsid w:val="00C14F69"/>
    <w:rsid w:val="00C14FB1"/>
    <w:rsid w:val="00C152EF"/>
    <w:rsid w:val="00C15403"/>
    <w:rsid w:val="00C155F8"/>
    <w:rsid w:val="00C15F3D"/>
    <w:rsid w:val="00C1696B"/>
    <w:rsid w:val="00C16C3A"/>
    <w:rsid w:val="00C172A6"/>
    <w:rsid w:val="00C173D9"/>
    <w:rsid w:val="00C17546"/>
    <w:rsid w:val="00C17A43"/>
    <w:rsid w:val="00C17C09"/>
    <w:rsid w:val="00C17E1D"/>
    <w:rsid w:val="00C17E65"/>
    <w:rsid w:val="00C2018C"/>
    <w:rsid w:val="00C2034A"/>
    <w:rsid w:val="00C20513"/>
    <w:rsid w:val="00C2065E"/>
    <w:rsid w:val="00C20A51"/>
    <w:rsid w:val="00C20AF3"/>
    <w:rsid w:val="00C20CAD"/>
    <w:rsid w:val="00C2159E"/>
    <w:rsid w:val="00C21920"/>
    <w:rsid w:val="00C21A4B"/>
    <w:rsid w:val="00C21F1A"/>
    <w:rsid w:val="00C22665"/>
    <w:rsid w:val="00C229B0"/>
    <w:rsid w:val="00C22B8A"/>
    <w:rsid w:val="00C22F63"/>
    <w:rsid w:val="00C23189"/>
    <w:rsid w:val="00C23C98"/>
    <w:rsid w:val="00C23F27"/>
    <w:rsid w:val="00C2427E"/>
    <w:rsid w:val="00C242E3"/>
    <w:rsid w:val="00C24388"/>
    <w:rsid w:val="00C243C4"/>
    <w:rsid w:val="00C246BE"/>
    <w:rsid w:val="00C24766"/>
    <w:rsid w:val="00C24EDF"/>
    <w:rsid w:val="00C25680"/>
    <w:rsid w:val="00C25844"/>
    <w:rsid w:val="00C25C1E"/>
    <w:rsid w:val="00C25C74"/>
    <w:rsid w:val="00C26252"/>
    <w:rsid w:val="00C26323"/>
    <w:rsid w:val="00C267F6"/>
    <w:rsid w:val="00C26B63"/>
    <w:rsid w:val="00C2744E"/>
    <w:rsid w:val="00C27732"/>
    <w:rsid w:val="00C27AB2"/>
    <w:rsid w:val="00C30562"/>
    <w:rsid w:val="00C30761"/>
    <w:rsid w:val="00C30787"/>
    <w:rsid w:val="00C307D3"/>
    <w:rsid w:val="00C30A4A"/>
    <w:rsid w:val="00C30E0D"/>
    <w:rsid w:val="00C30E4D"/>
    <w:rsid w:val="00C30F18"/>
    <w:rsid w:val="00C31010"/>
    <w:rsid w:val="00C3176F"/>
    <w:rsid w:val="00C31A9A"/>
    <w:rsid w:val="00C32038"/>
    <w:rsid w:val="00C32943"/>
    <w:rsid w:val="00C33829"/>
    <w:rsid w:val="00C33C37"/>
    <w:rsid w:val="00C33C51"/>
    <w:rsid w:val="00C34416"/>
    <w:rsid w:val="00C3463B"/>
    <w:rsid w:val="00C3475B"/>
    <w:rsid w:val="00C34B4B"/>
    <w:rsid w:val="00C3543E"/>
    <w:rsid w:val="00C3547C"/>
    <w:rsid w:val="00C3575F"/>
    <w:rsid w:val="00C357EF"/>
    <w:rsid w:val="00C36206"/>
    <w:rsid w:val="00C362AF"/>
    <w:rsid w:val="00C364B5"/>
    <w:rsid w:val="00C36BB2"/>
    <w:rsid w:val="00C36D55"/>
    <w:rsid w:val="00C36DC7"/>
    <w:rsid w:val="00C36EC6"/>
    <w:rsid w:val="00C37037"/>
    <w:rsid w:val="00C37235"/>
    <w:rsid w:val="00C379C7"/>
    <w:rsid w:val="00C37AE2"/>
    <w:rsid w:val="00C40F72"/>
    <w:rsid w:val="00C41204"/>
    <w:rsid w:val="00C4145E"/>
    <w:rsid w:val="00C414F6"/>
    <w:rsid w:val="00C41564"/>
    <w:rsid w:val="00C41877"/>
    <w:rsid w:val="00C4189B"/>
    <w:rsid w:val="00C419E4"/>
    <w:rsid w:val="00C422FE"/>
    <w:rsid w:val="00C424B8"/>
    <w:rsid w:val="00C428EE"/>
    <w:rsid w:val="00C42DCD"/>
    <w:rsid w:val="00C42ECE"/>
    <w:rsid w:val="00C43221"/>
    <w:rsid w:val="00C434E6"/>
    <w:rsid w:val="00C4361F"/>
    <w:rsid w:val="00C4367B"/>
    <w:rsid w:val="00C43AAA"/>
    <w:rsid w:val="00C43FF2"/>
    <w:rsid w:val="00C44288"/>
    <w:rsid w:val="00C44554"/>
    <w:rsid w:val="00C448AE"/>
    <w:rsid w:val="00C44A03"/>
    <w:rsid w:val="00C45006"/>
    <w:rsid w:val="00C45032"/>
    <w:rsid w:val="00C451A6"/>
    <w:rsid w:val="00C45242"/>
    <w:rsid w:val="00C45783"/>
    <w:rsid w:val="00C45A60"/>
    <w:rsid w:val="00C45AC8"/>
    <w:rsid w:val="00C46387"/>
    <w:rsid w:val="00C463B7"/>
    <w:rsid w:val="00C4647A"/>
    <w:rsid w:val="00C4680F"/>
    <w:rsid w:val="00C46849"/>
    <w:rsid w:val="00C46941"/>
    <w:rsid w:val="00C46AC8"/>
    <w:rsid w:val="00C46BF7"/>
    <w:rsid w:val="00C46D46"/>
    <w:rsid w:val="00C46DA2"/>
    <w:rsid w:val="00C46E7E"/>
    <w:rsid w:val="00C46FFF"/>
    <w:rsid w:val="00C47351"/>
    <w:rsid w:val="00C47460"/>
    <w:rsid w:val="00C4791C"/>
    <w:rsid w:val="00C47AA4"/>
    <w:rsid w:val="00C500D4"/>
    <w:rsid w:val="00C50454"/>
    <w:rsid w:val="00C50684"/>
    <w:rsid w:val="00C50F56"/>
    <w:rsid w:val="00C51B76"/>
    <w:rsid w:val="00C51BF7"/>
    <w:rsid w:val="00C525FE"/>
    <w:rsid w:val="00C52C87"/>
    <w:rsid w:val="00C53031"/>
    <w:rsid w:val="00C530EF"/>
    <w:rsid w:val="00C53299"/>
    <w:rsid w:val="00C536D6"/>
    <w:rsid w:val="00C536DB"/>
    <w:rsid w:val="00C53774"/>
    <w:rsid w:val="00C541F6"/>
    <w:rsid w:val="00C54375"/>
    <w:rsid w:val="00C54882"/>
    <w:rsid w:val="00C54978"/>
    <w:rsid w:val="00C54D7B"/>
    <w:rsid w:val="00C54EF2"/>
    <w:rsid w:val="00C54F80"/>
    <w:rsid w:val="00C55297"/>
    <w:rsid w:val="00C556B3"/>
    <w:rsid w:val="00C55720"/>
    <w:rsid w:val="00C55902"/>
    <w:rsid w:val="00C55B5F"/>
    <w:rsid w:val="00C55D9B"/>
    <w:rsid w:val="00C55FD2"/>
    <w:rsid w:val="00C560DA"/>
    <w:rsid w:val="00C561D8"/>
    <w:rsid w:val="00C563F0"/>
    <w:rsid w:val="00C564EE"/>
    <w:rsid w:val="00C56895"/>
    <w:rsid w:val="00C56BC3"/>
    <w:rsid w:val="00C56C43"/>
    <w:rsid w:val="00C56FA8"/>
    <w:rsid w:val="00C56FC9"/>
    <w:rsid w:val="00C5710F"/>
    <w:rsid w:val="00C572DF"/>
    <w:rsid w:val="00C5759A"/>
    <w:rsid w:val="00C57714"/>
    <w:rsid w:val="00C578C9"/>
    <w:rsid w:val="00C579AD"/>
    <w:rsid w:val="00C57A08"/>
    <w:rsid w:val="00C601DC"/>
    <w:rsid w:val="00C60271"/>
    <w:rsid w:val="00C60425"/>
    <w:rsid w:val="00C60519"/>
    <w:rsid w:val="00C60557"/>
    <w:rsid w:val="00C6069C"/>
    <w:rsid w:val="00C60CD1"/>
    <w:rsid w:val="00C60F91"/>
    <w:rsid w:val="00C610F1"/>
    <w:rsid w:val="00C6120D"/>
    <w:rsid w:val="00C61580"/>
    <w:rsid w:val="00C61675"/>
    <w:rsid w:val="00C616C7"/>
    <w:rsid w:val="00C61D04"/>
    <w:rsid w:val="00C61D95"/>
    <w:rsid w:val="00C61E8C"/>
    <w:rsid w:val="00C6230D"/>
    <w:rsid w:val="00C6248B"/>
    <w:rsid w:val="00C626C9"/>
    <w:rsid w:val="00C6299B"/>
    <w:rsid w:val="00C62D22"/>
    <w:rsid w:val="00C6317A"/>
    <w:rsid w:val="00C632EF"/>
    <w:rsid w:val="00C634FB"/>
    <w:rsid w:val="00C6353E"/>
    <w:rsid w:val="00C63595"/>
    <w:rsid w:val="00C63720"/>
    <w:rsid w:val="00C63901"/>
    <w:rsid w:val="00C6399B"/>
    <w:rsid w:val="00C639AA"/>
    <w:rsid w:val="00C639F5"/>
    <w:rsid w:val="00C63FF8"/>
    <w:rsid w:val="00C6452D"/>
    <w:rsid w:val="00C647B3"/>
    <w:rsid w:val="00C651E5"/>
    <w:rsid w:val="00C65243"/>
    <w:rsid w:val="00C6537B"/>
    <w:rsid w:val="00C65EEA"/>
    <w:rsid w:val="00C65F01"/>
    <w:rsid w:val="00C6615D"/>
    <w:rsid w:val="00C6668E"/>
    <w:rsid w:val="00C66788"/>
    <w:rsid w:val="00C66A35"/>
    <w:rsid w:val="00C67036"/>
    <w:rsid w:val="00C671CB"/>
    <w:rsid w:val="00C6758F"/>
    <w:rsid w:val="00C67722"/>
    <w:rsid w:val="00C6787D"/>
    <w:rsid w:val="00C678D9"/>
    <w:rsid w:val="00C67CED"/>
    <w:rsid w:val="00C70007"/>
    <w:rsid w:val="00C703C0"/>
    <w:rsid w:val="00C70996"/>
    <w:rsid w:val="00C70B78"/>
    <w:rsid w:val="00C713F4"/>
    <w:rsid w:val="00C71C56"/>
    <w:rsid w:val="00C71D23"/>
    <w:rsid w:val="00C72572"/>
    <w:rsid w:val="00C72610"/>
    <w:rsid w:val="00C728FD"/>
    <w:rsid w:val="00C72B84"/>
    <w:rsid w:val="00C72F8F"/>
    <w:rsid w:val="00C73955"/>
    <w:rsid w:val="00C73C7C"/>
    <w:rsid w:val="00C73D48"/>
    <w:rsid w:val="00C73EE3"/>
    <w:rsid w:val="00C7406A"/>
    <w:rsid w:val="00C740E5"/>
    <w:rsid w:val="00C74B3B"/>
    <w:rsid w:val="00C751EA"/>
    <w:rsid w:val="00C75403"/>
    <w:rsid w:val="00C75D5F"/>
    <w:rsid w:val="00C76027"/>
    <w:rsid w:val="00C76B94"/>
    <w:rsid w:val="00C76D34"/>
    <w:rsid w:val="00C76E25"/>
    <w:rsid w:val="00C76E2F"/>
    <w:rsid w:val="00C77477"/>
    <w:rsid w:val="00C77713"/>
    <w:rsid w:val="00C77952"/>
    <w:rsid w:val="00C77A4F"/>
    <w:rsid w:val="00C77B0E"/>
    <w:rsid w:val="00C806B7"/>
    <w:rsid w:val="00C80898"/>
    <w:rsid w:val="00C80A4F"/>
    <w:rsid w:val="00C80B0B"/>
    <w:rsid w:val="00C80DD3"/>
    <w:rsid w:val="00C80E0E"/>
    <w:rsid w:val="00C80E91"/>
    <w:rsid w:val="00C80F24"/>
    <w:rsid w:val="00C819AF"/>
    <w:rsid w:val="00C81A40"/>
    <w:rsid w:val="00C81A7A"/>
    <w:rsid w:val="00C81FC8"/>
    <w:rsid w:val="00C8225C"/>
    <w:rsid w:val="00C8243D"/>
    <w:rsid w:val="00C82C35"/>
    <w:rsid w:val="00C83445"/>
    <w:rsid w:val="00C838C4"/>
    <w:rsid w:val="00C84214"/>
    <w:rsid w:val="00C84504"/>
    <w:rsid w:val="00C846A7"/>
    <w:rsid w:val="00C84AB3"/>
    <w:rsid w:val="00C84BFA"/>
    <w:rsid w:val="00C84D7B"/>
    <w:rsid w:val="00C84FF4"/>
    <w:rsid w:val="00C850B5"/>
    <w:rsid w:val="00C8554A"/>
    <w:rsid w:val="00C85789"/>
    <w:rsid w:val="00C858A6"/>
    <w:rsid w:val="00C85953"/>
    <w:rsid w:val="00C86061"/>
    <w:rsid w:val="00C860F4"/>
    <w:rsid w:val="00C865CD"/>
    <w:rsid w:val="00C8675B"/>
    <w:rsid w:val="00C86772"/>
    <w:rsid w:val="00C86795"/>
    <w:rsid w:val="00C86B53"/>
    <w:rsid w:val="00C86DFE"/>
    <w:rsid w:val="00C87A22"/>
    <w:rsid w:val="00C90029"/>
    <w:rsid w:val="00C901CB"/>
    <w:rsid w:val="00C90553"/>
    <w:rsid w:val="00C90E14"/>
    <w:rsid w:val="00C9141E"/>
    <w:rsid w:val="00C914F9"/>
    <w:rsid w:val="00C91685"/>
    <w:rsid w:val="00C91948"/>
    <w:rsid w:val="00C919FB"/>
    <w:rsid w:val="00C91EEB"/>
    <w:rsid w:val="00C91FB5"/>
    <w:rsid w:val="00C9263B"/>
    <w:rsid w:val="00C926FF"/>
    <w:rsid w:val="00C9274A"/>
    <w:rsid w:val="00C929D6"/>
    <w:rsid w:val="00C92A43"/>
    <w:rsid w:val="00C92A83"/>
    <w:rsid w:val="00C92B8D"/>
    <w:rsid w:val="00C92BEB"/>
    <w:rsid w:val="00C92D48"/>
    <w:rsid w:val="00C93260"/>
    <w:rsid w:val="00C934E1"/>
    <w:rsid w:val="00C934FD"/>
    <w:rsid w:val="00C93537"/>
    <w:rsid w:val="00C938E7"/>
    <w:rsid w:val="00C9393E"/>
    <w:rsid w:val="00C94151"/>
    <w:rsid w:val="00C947B5"/>
    <w:rsid w:val="00C94C0F"/>
    <w:rsid w:val="00C94E42"/>
    <w:rsid w:val="00C956FF"/>
    <w:rsid w:val="00C958C3"/>
    <w:rsid w:val="00C95D89"/>
    <w:rsid w:val="00C9636C"/>
    <w:rsid w:val="00C9673A"/>
    <w:rsid w:val="00C96809"/>
    <w:rsid w:val="00C96A1B"/>
    <w:rsid w:val="00C96A71"/>
    <w:rsid w:val="00C96DF9"/>
    <w:rsid w:val="00C97036"/>
    <w:rsid w:val="00C9706C"/>
    <w:rsid w:val="00C9708E"/>
    <w:rsid w:val="00C97818"/>
    <w:rsid w:val="00C9795F"/>
    <w:rsid w:val="00C97A8E"/>
    <w:rsid w:val="00C97D5C"/>
    <w:rsid w:val="00CA0A7D"/>
    <w:rsid w:val="00CA0DA8"/>
    <w:rsid w:val="00CA0EDC"/>
    <w:rsid w:val="00CA1279"/>
    <w:rsid w:val="00CA1332"/>
    <w:rsid w:val="00CA18CD"/>
    <w:rsid w:val="00CA1B57"/>
    <w:rsid w:val="00CA2007"/>
    <w:rsid w:val="00CA32B7"/>
    <w:rsid w:val="00CA3C31"/>
    <w:rsid w:val="00CA3C3F"/>
    <w:rsid w:val="00CA3E46"/>
    <w:rsid w:val="00CA4188"/>
    <w:rsid w:val="00CA4348"/>
    <w:rsid w:val="00CA483B"/>
    <w:rsid w:val="00CA4E05"/>
    <w:rsid w:val="00CA4E6B"/>
    <w:rsid w:val="00CA50D1"/>
    <w:rsid w:val="00CA51FE"/>
    <w:rsid w:val="00CA52FA"/>
    <w:rsid w:val="00CA53F4"/>
    <w:rsid w:val="00CA57C1"/>
    <w:rsid w:val="00CA5993"/>
    <w:rsid w:val="00CA59E8"/>
    <w:rsid w:val="00CA60F6"/>
    <w:rsid w:val="00CA63A4"/>
    <w:rsid w:val="00CA6471"/>
    <w:rsid w:val="00CA647A"/>
    <w:rsid w:val="00CA6725"/>
    <w:rsid w:val="00CA67FE"/>
    <w:rsid w:val="00CA6E32"/>
    <w:rsid w:val="00CA6E55"/>
    <w:rsid w:val="00CA70C1"/>
    <w:rsid w:val="00CA752E"/>
    <w:rsid w:val="00CA756B"/>
    <w:rsid w:val="00CA7B7A"/>
    <w:rsid w:val="00CB00BB"/>
    <w:rsid w:val="00CB01BE"/>
    <w:rsid w:val="00CB0365"/>
    <w:rsid w:val="00CB038F"/>
    <w:rsid w:val="00CB0711"/>
    <w:rsid w:val="00CB0844"/>
    <w:rsid w:val="00CB08AD"/>
    <w:rsid w:val="00CB0ACD"/>
    <w:rsid w:val="00CB0B2C"/>
    <w:rsid w:val="00CB0D91"/>
    <w:rsid w:val="00CB131C"/>
    <w:rsid w:val="00CB15D7"/>
    <w:rsid w:val="00CB1651"/>
    <w:rsid w:val="00CB17B8"/>
    <w:rsid w:val="00CB17C0"/>
    <w:rsid w:val="00CB1C74"/>
    <w:rsid w:val="00CB1D9E"/>
    <w:rsid w:val="00CB21B6"/>
    <w:rsid w:val="00CB233C"/>
    <w:rsid w:val="00CB2FEB"/>
    <w:rsid w:val="00CB3085"/>
    <w:rsid w:val="00CB3561"/>
    <w:rsid w:val="00CB38F8"/>
    <w:rsid w:val="00CB42B6"/>
    <w:rsid w:val="00CB45A0"/>
    <w:rsid w:val="00CB4B71"/>
    <w:rsid w:val="00CB5003"/>
    <w:rsid w:val="00CB502A"/>
    <w:rsid w:val="00CB5273"/>
    <w:rsid w:val="00CB5BA3"/>
    <w:rsid w:val="00CB5C74"/>
    <w:rsid w:val="00CB5CB7"/>
    <w:rsid w:val="00CB5CBA"/>
    <w:rsid w:val="00CB6097"/>
    <w:rsid w:val="00CB61BE"/>
    <w:rsid w:val="00CB63EF"/>
    <w:rsid w:val="00CB6EA7"/>
    <w:rsid w:val="00CB744B"/>
    <w:rsid w:val="00CB7E03"/>
    <w:rsid w:val="00CB7ECE"/>
    <w:rsid w:val="00CB7EE3"/>
    <w:rsid w:val="00CC00FC"/>
    <w:rsid w:val="00CC0166"/>
    <w:rsid w:val="00CC025F"/>
    <w:rsid w:val="00CC0C76"/>
    <w:rsid w:val="00CC0D26"/>
    <w:rsid w:val="00CC117B"/>
    <w:rsid w:val="00CC1665"/>
    <w:rsid w:val="00CC1AC6"/>
    <w:rsid w:val="00CC1E80"/>
    <w:rsid w:val="00CC209A"/>
    <w:rsid w:val="00CC2315"/>
    <w:rsid w:val="00CC234A"/>
    <w:rsid w:val="00CC2CF4"/>
    <w:rsid w:val="00CC2E1C"/>
    <w:rsid w:val="00CC2F74"/>
    <w:rsid w:val="00CC2FD0"/>
    <w:rsid w:val="00CC3451"/>
    <w:rsid w:val="00CC370F"/>
    <w:rsid w:val="00CC3AB2"/>
    <w:rsid w:val="00CC3BB2"/>
    <w:rsid w:val="00CC3D7C"/>
    <w:rsid w:val="00CC3F51"/>
    <w:rsid w:val="00CC4013"/>
    <w:rsid w:val="00CC42A1"/>
    <w:rsid w:val="00CC4527"/>
    <w:rsid w:val="00CC47C8"/>
    <w:rsid w:val="00CC49CB"/>
    <w:rsid w:val="00CC50E7"/>
    <w:rsid w:val="00CC5197"/>
    <w:rsid w:val="00CC5578"/>
    <w:rsid w:val="00CC573A"/>
    <w:rsid w:val="00CC57CC"/>
    <w:rsid w:val="00CC58C7"/>
    <w:rsid w:val="00CC5D1C"/>
    <w:rsid w:val="00CC60A1"/>
    <w:rsid w:val="00CC6322"/>
    <w:rsid w:val="00CC6378"/>
    <w:rsid w:val="00CC6419"/>
    <w:rsid w:val="00CC64FA"/>
    <w:rsid w:val="00CC6A40"/>
    <w:rsid w:val="00CC7054"/>
    <w:rsid w:val="00CC7480"/>
    <w:rsid w:val="00CC7CE1"/>
    <w:rsid w:val="00CC7D61"/>
    <w:rsid w:val="00CC7E71"/>
    <w:rsid w:val="00CD026E"/>
    <w:rsid w:val="00CD04E5"/>
    <w:rsid w:val="00CD0664"/>
    <w:rsid w:val="00CD07EA"/>
    <w:rsid w:val="00CD0852"/>
    <w:rsid w:val="00CD08BA"/>
    <w:rsid w:val="00CD0A12"/>
    <w:rsid w:val="00CD0D5C"/>
    <w:rsid w:val="00CD0DA7"/>
    <w:rsid w:val="00CD131F"/>
    <w:rsid w:val="00CD1413"/>
    <w:rsid w:val="00CD16C5"/>
    <w:rsid w:val="00CD16CA"/>
    <w:rsid w:val="00CD1D28"/>
    <w:rsid w:val="00CD219A"/>
    <w:rsid w:val="00CD21E1"/>
    <w:rsid w:val="00CD245E"/>
    <w:rsid w:val="00CD2910"/>
    <w:rsid w:val="00CD2AAA"/>
    <w:rsid w:val="00CD3252"/>
    <w:rsid w:val="00CD3463"/>
    <w:rsid w:val="00CD37C8"/>
    <w:rsid w:val="00CD39B5"/>
    <w:rsid w:val="00CD3AD7"/>
    <w:rsid w:val="00CD3AEA"/>
    <w:rsid w:val="00CD3DC0"/>
    <w:rsid w:val="00CD3E53"/>
    <w:rsid w:val="00CD420A"/>
    <w:rsid w:val="00CD439E"/>
    <w:rsid w:val="00CD44A7"/>
    <w:rsid w:val="00CD4519"/>
    <w:rsid w:val="00CD4CC5"/>
    <w:rsid w:val="00CD4DB4"/>
    <w:rsid w:val="00CD4DF4"/>
    <w:rsid w:val="00CD4E41"/>
    <w:rsid w:val="00CD505B"/>
    <w:rsid w:val="00CD5404"/>
    <w:rsid w:val="00CD5544"/>
    <w:rsid w:val="00CD555F"/>
    <w:rsid w:val="00CD56DD"/>
    <w:rsid w:val="00CD5C35"/>
    <w:rsid w:val="00CD616B"/>
    <w:rsid w:val="00CD6B0E"/>
    <w:rsid w:val="00CD7515"/>
    <w:rsid w:val="00CD7563"/>
    <w:rsid w:val="00CD78B5"/>
    <w:rsid w:val="00CD7CB9"/>
    <w:rsid w:val="00CD7CE5"/>
    <w:rsid w:val="00CE076A"/>
    <w:rsid w:val="00CE0A6D"/>
    <w:rsid w:val="00CE0AD3"/>
    <w:rsid w:val="00CE0FBE"/>
    <w:rsid w:val="00CE1387"/>
    <w:rsid w:val="00CE142D"/>
    <w:rsid w:val="00CE147C"/>
    <w:rsid w:val="00CE16B4"/>
    <w:rsid w:val="00CE1A2A"/>
    <w:rsid w:val="00CE1EE0"/>
    <w:rsid w:val="00CE2492"/>
    <w:rsid w:val="00CE303A"/>
    <w:rsid w:val="00CE351E"/>
    <w:rsid w:val="00CE3BAE"/>
    <w:rsid w:val="00CE3F10"/>
    <w:rsid w:val="00CE4098"/>
    <w:rsid w:val="00CE4C12"/>
    <w:rsid w:val="00CE5168"/>
    <w:rsid w:val="00CE531B"/>
    <w:rsid w:val="00CE5BB4"/>
    <w:rsid w:val="00CE63C5"/>
    <w:rsid w:val="00CE71F7"/>
    <w:rsid w:val="00CE76EA"/>
    <w:rsid w:val="00CE77A1"/>
    <w:rsid w:val="00CE7C0B"/>
    <w:rsid w:val="00CE7FD4"/>
    <w:rsid w:val="00CF0525"/>
    <w:rsid w:val="00CF0576"/>
    <w:rsid w:val="00CF067D"/>
    <w:rsid w:val="00CF06F4"/>
    <w:rsid w:val="00CF09B3"/>
    <w:rsid w:val="00CF0A15"/>
    <w:rsid w:val="00CF1509"/>
    <w:rsid w:val="00CF17E5"/>
    <w:rsid w:val="00CF2277"/>
    <w:rsid w:val="00CF2333"/>
    <w:rsid w:val="00CF2374"/>
    <w:rsid w:val="00CF23DF"/>
    <w:rsid w:val="00CF267E"/>
    <w:rsid w:val="00CF2CC4"/>
    <w:rsid w:val="00CF2F7F"/>
    <w:rsid w:val="00CF3146"/>
    <w:rsid w:val="00CF33AB"/>
    <w:rsid w:val="00CF344B"/>
    <w:rsid w:val="00CF3607"/>
    <w:rsid w:val="00CF3775"/>
    <w:rsid w:val="00CF3893"/>
    <w:rsid w:val="00CF3898"/>
    <w:rsid w:val="00CF3A81"/>
    <w:rsid w:val="00CF41B0"/>
    <w:rsid w:val="00CF43DC"/>
    <w:rsid w:val="00CF4988"/>
    <w:rsid w:val="00CF4A42"/>
    <w:rsid w:val="00CF4A50"/>
    <w:rsid w:val="00CF522F"/>
    <w:rsid w:val="00CF54D9"/>
    <w:rsid w:val="00CF5C2F"/>
    <w:rsid w:val="00CF61C2"/>
    <w:rsid w:val="00CF63E5"/>
    <w:rsid w:val="00CF6A16"/>
    <w:rsid w:val="00CF6AB3"/>
    <w:rsid w:val="00CF6F84"/>
    <w:rsid w:val="00CF702E"/>
    <w:rsid w:val="00CF714E"/>
    <w:rsid w:val="00CF7CB3"/>
    <w:rsid w:val="00CF7E2C"/>
    <w:rsid w:val="00D005A3"/>
    <w:rsid w:val="00D00C9A"/>
    <w:rsid w:val="00D0233F"/>
    <w:rsid w:val="00D02859"/>
    <w:rsid w:val="00D02B45"/>
    <w:rsid w:val="00D02BD5"/>
    <w:rsid w:val="00D02CEA"/>
    <w:rsid w:val="00D02DF5"/>
    <w:rsid w:val="00D030A1"/>
    <w:rsid w:val="00D0337E"/>
    <w:rsid w:val="00D0359D"/>
    <w:rsid w:val="00D03638"/>
    <w:rsid w:val="00D036C7"/>
    <w:rsid w:val="00D03AF9"/>
    <w:rsid w:val="00D03C28"/>
    <w:rsid w:val="00D03D0D"/>
    <w:rsid w:val="00D03F86"/>
    <w:rsid w:val="00D0417D"/>
    <w:rsid w:val="00D04396"/>
    <w:rsid w:val="00D0440B"/>
    <w:rsid w:val="00D0462B"/>
    <w:rsid w:val="00D0467E"/>
    <w:rsid w:val="00D04927"/>
    <w:rsid w:val="00D04AA4"/>
    <w:rsid w:val="00D050FD"/>
    <w:rsid w:val="00D0532F"/>
    <w:rsid w:val="00D055F5"/>
    <w:rsid w:val="00D05C00"/>
    <w:rsid w:val="00D05C6A"/>
    <w:rsid w:val="00D05E04"/>
    <w:rsid w:val="00D060A7"/>
    <w:rsid w:val="00D060D9"/>
    <w:rsid w:val="00D0621A"/>
    <w:rsid w:val="00D06642"/>
    <w:rsid w:val="00D066FE"/>
    <w:rsid w:val="00D067AB"/>
    <w:rsid w:val="00D06DD3"/>
    <w:rsid w:val="00D06F38"/>
    <w:rsid w:val="00D07A74"/>
    <w:rsid w:val="00D07C69"/>
    <w:rsid w:val="00D07D8B"/>
    <w:rsid w:val="00D1036F"/>
    <w:rsid w:val="00D108B5"/>
    <w:rsid w:val="00D10B02"/>
    <w:rsid w:val="00D10D5B"/>
    <w:rsid w:val="00D11039"/>
    <w:rsid w:val="00D11172"/>
    <w:rsid w:val="00D11234"/>
    <w:rsid w:val="00D119ED"/>
    <w:rsid w:val="00D11BD4"/>
    <w:rsid w:val="00D12557"/>
    <w:rsid w:val="00D13DAF"/>
    <w:rsid w:val="00D140B0"/>
    <w:rsid w:val="00D14139"/>
    <w:rsid w:val="00D1421B"/>
    <w:rsid w:val="00D1453D"/>
    <w:rsid w:val="00D148E4"/>
    <w:rsid w:val="00D148EE"/>
    <w:rsid w:val="00D149A5"/>
    <w:rsid w:val="00D14EFC"/>
    <w:rsid w:val="00D155FC"/>
    <w:rsid w:val="00D15623"/>
    <w:rsid w:val="00D15980"/>
    <w:rsid w:val="00D15C38"/>
    <w:rsid w:val="00D15D27"/>
    <w:rsid w:val="00D15EF1"/>
    <w:rsid w:val="00D160E0"/>
    <w:rsid w:val="00D16551"/>
    <w:rsid w:val="00D1661E"/>
    <w:rsid w:val="00D16EC7"/>
    <w:rsid w:val="00D179AF"/>
    <w:rsid w:val="00D17D72"/>
    <w:rsid w:val="00D17EF8"/>
    <w:rsid w:val="00D200D3"/>
    <w:rsid w:val="00D206EA"/>
    <w:rsid w:val="00D20807"/>
    <w:rsid w:val="00D208C7"/>
    <w:rsid w:val="00D21148"/>
    <w:rsid w:val="00D2178B"/>
    <w:rsid w:val="00D218A1"/>
    <w:rsid w:val="00D21A39"/>
    <w:rsid w:val="00D21A7E"/>
    <w:rsid w:val="00D21EDE"/>
    <w:rsid w:val="00D22A22"/>
    <w:rsid w:val="00D23680"/>
    <w:rsid w:val="00D23C8F"/>
    <w:rsid w:val="00D23CD8"/>
    <w:rsid w:val="00D24466"/>
    <w:rsid w:val="00D247EB"/>
    <w:rsid w:val="00D248EC"/>
    <w:rsid w:val="00D24E81"/>
    <w:rsid w:val="00D25363"/>
    <w:rsid w:val="00D2536A"/>
    <w:rsid w:val="00D257C3"/>
    <w:rsid w:val="00D259C0"/>
    <w:rsid w:val="00D25C59"/>
    <w:rsid w:val="00D26704"/>
    <w:rsid w:val="00D2675D"/>
    <w:rsid w:val="00D2707D"/>
    <w:rsid w:val="00D2713B"/>
    <w:rsid w:val="00D274CE"/>
    <w:rsid w:val="00D27A8C"/>
    <w:rsid w:val="00D27A98"/>
    <w:rsid w:val="00D27CE2"/>
    <w:rsid w:val="00D27D0E"/>
    <w:rsid w:val="00D27D70"/>
    <w:rsid w:val="00D3046F"/>
    <w:rsid w:val="00D30678"/>
    <w:rsid w:val="00D30AAC"/>
    <w:rsid w:val="00D31130"/>
    <w:rsid w:val="00D311DE"/>
    <w:rsid w:val="00D315A1"/>
    <w:rsid w:val="00D315D6"/>
    <w:rsid w:val="00D31745"/>
    <w:rsid w:val="00D31A6D"/>
    <w:rsid w:val="00D31F35"/>
    <w:rsid w:val="00D32661"/>
    <w:rsid w:val="00D326CF"/>
    <w:rsid w:val="00D337A3"/>
    <w:rsid w:val="00D3392C"/>
    <w:rsid w:val="00D34193"/>
    <w:rsid w:val="00D343FD"/>
    <w:rsid w:val="00D34708"/>
    <w:rsid w:val="00D34928"/>
    <w:rsid w:val="00D34C24"/>
    <w:rsid w:val="00D34FE2"/>
    <w:rsid w:val="00D3501E"/>
    <w:rsid w:val="00D35123"/>
    <w:rsid w:val="00D354E8"/>
    <w:rsid w:val="00D357F6"/>
    <w:rsid w:val="00D35B56"/>
    <w:rsid w:val="00D35C1E"/>
    <w:rsid w:val="00D35FB9"/>
    <w:rsid w:val="00D3744E"/>
    <w:rsid w:val="00D3752F"/>
    <w:rsid w:val="00D3768B"/>
    <w:rsid w:val="00D3797A"/>
    <w:rsid w:val="00D37BE5"/>
    <w:rsid w:val="00D37F05"/>
    <w:rsid w:val="00D37FEC"/>
    <w:rsid w:val="00D4034C"/>
    <w:rsid w:val="00D40683"/>
    <w:rsid w:val="00D41439"/>
    <w:rsid w:val="00D414A9"/>
    <w:rsid w:val="00D4192A"/>
    <w:rsid w:val="00D41A61"/>
    <w:rsid w:val="00D41D72"/>
    <w:rsid w:val="00D42015"/>
    <w:rsid w:val="00D422E5"/>
    <w:rsid w:val="00D4234B"/>
    <w:rsid w:val="00D4253A"/>
    <w:rsid w:val="00D42779"/>
    <w:rsid w:val="00D428B7"/>
    <w:rsid w:val="00D42A61"/>
    <w:rsid w:val="00D42BB6"/>
    <w:rsid w:val="00D42FBA"/>
    <w:rsid w:val="00D4317B"/>
    <w:rsid w:val="00D435B1"/>
    <w:rsid w:val="00D43B79"/>
    <w:rsid w:val="00D43F87"/>
    <w:rsid w:val="00D43FE8"/>
    <w:rsid w:val="00D441F1"/>
    <w:rsid w:val="00D44AC7"/>
    <w:rsid w:val="00D44C59"/>
    <w:rsid w:val="00D44DBA"/>
    <w:rsid w:val="00D44EB5"/>
    <w:rsid w:val="00D45640"/>
    <w:rsid w:val="00D456D2"/>
    <w:rsid w:val="00D45794"/>
    <w:rsid w:val="00D45ACE"/>
    <w:rsid w:val="00D45D34"/>
    <w:rsid w:val="00D45E63"/>
    <w:rsid w:val="00D46095"/>
    <w:rsid w:val="00D462AB"/>
    <w:rsid w:val="00D46B0E"/>
    <w:rsid w:val="00D47C17"/>
    <w:rsid w:val="00D47F0B"/>
    <w:rsid w:val="00D507C9"/>
    <w:rsid w:val="00D50B32"/>
    <w:rsid w:val="00D50C61"/>
    <w:rsid w:val="00D50C6C"/>
    <w:rsid w:val="00D510B2"/>
    <w:rsid w:val="00D51473"/>
    <w:rsid w:val="00D51B1F"/>
    <w:rsid w:val="00D51C3E"/>
    <w:rsid w:val="00D523D8"/>
    <w:rsid w:val="00D52479"/>
    <w:rsid w:val="00D5248B"/>
    <w:rsid w:val="00D5321D"/>
    <w:rsid w:val="00D5330C"/>
    <w:rsid w:val="00D53670"/>
    <w:rsid w:val="00D537B2"/>
    <w:rsid w:val="00D53CE7"/>
    <w:rsid w:val="00D53D36"/>
    <w:rsid w:val="00D541C4"/>
    <w:rsid w:val="00D547B2"/>
    <w:rsid w:val="00D548E8"/>
    <w:rsid w:val="00D54B37"/>
    <w:rsid w:val="00D55724"/>
    <w:rsid w:val="00D55A50"/>
    <w:rsid w:val="00D55B54"/>
    <w:rsid w:val="00D56000"/>
    <w:rsid w:val="00D5616B"/>
    <w:rsid w:val="00D5697E"/>
    <w:rsid w:val="00D56DA8"/>
    <w:rsid w:val="00D570EB"/>
    <w:rsid w:val="00D57193"/>
    <w:rsid w:val="00D57419"/>
    <w:rsid w:val="00D57498"/>
    <w:rsid w:val="00D574E4"/>
    <w:rsid w:val="00D57621"/>
    <w:rsid w:val="00D57884"/>
    <w:rsid w:val="00D57D92"/>
    <w:rsid w:val="00D60013"/>
    <w:rsid w:val="00D606B8"/>
    <w:rsid w:val="00D607E0"/>
    <w:rsid w:val="00D60A13"/>
    <w:rsid w:val="00D60AA7"/>
    <w:rsid w:val="00D61018"/>
    <w:rsid w:val="00D61765"/>
    <w:rsid w:val="00D6196C"/>
    <w:rsid w:val="00D61A7A"/>
    <w:rsid w:val="00D62510"/>
    <w:rsid w:val="00D625D7"/>
    <w:rsid w:val="00D62752"/>
    <w:rsid w:val="00D62D5F"/>
    <w:rsid w:val="00D636A3"/>
    <w:rsid w:val="00D63BA4"/>
    <w:rsid w:val="00D64371"/>
    <w:rsid w:val="00D647F8"/>
    <w:rsid w:val="00D648C6"/>
    <w:rsid w:val="00D6493F"/>
    <w:rsid w:val="00D649E5"/>
    <w:rsid w:val="00D64AB2"/>
    <w:rsid w:val="00D6515E"/>
    <w:rsid w:val="00D654DB"/>
    <w:rsid w:val="00D658D1"/>
    <w:rsid w:val="00D65AEB"/>
    <w:rsid w:val="00D66901"/>
    <w:rsid w:val="00D66B43"/>
    <w:rsid w:val="00D66E58"/>
    <w:rsid w:val="00D66E60"/>
    <w:rsid w:val="00D6728C"/>
    <w:rsid w:val="00D672BE"/>
    <w:rsid w:val="00D67529"/>
    <w:rsid w:val="00D6764C"/>
    <w:rsid w:val="00D6766F"/>
    <w:rsid w:val="00D6795C"/>
    <w:rsid w:val="00D67A1E"/>
    <w:rsid w:val="00D67BD6"/>
    <w:rsid w:val="00D67EEF"/>
    <w:rsid w:val="00D67EF8"/>
    <w:rsid w:val="00D7016A"/>
    <w:rsid w:val="00D7032C"/>
    <w:rsid w:val="00D70667"/>
    <w:rsid w:val="00D70BF8"/>
    <w:rsid w:val="00D711E3"/>
    <w:rsid w:val="00D715BC"/>
    <w:rsid w:val="00D71971"/>
    <w:rsid w:val="00D71AEA"/>
    <w:rsid w:val="00D71FC3"/>
    <w:rsid w:val="00D721C7"/>
    <w:rsid w:val="00D722AD"/>
    <w:rsid w:val="00D72716"/>
    <w:rsid w:val="00D7272E"/>
    <w:rsid w:val="00D73396"/>
    <w:rsid w:val="00D733F9"/>
    <w:rsid w:val="00D73437"/>
    <w:rsid w:val="00D73740"/>
    <w:rsid w:val="00D7378B"/>
    <w:rsid w:val="00D73965"/>
    <w:rsid w:val="00D73A23"/>
    <w:rsid w:val="00D73D25"/>
    <w:rsid w:val="00D73DEA"/>
    <w:rsid w:val="00D73E38"/>
    <w:rsid w:val="00D74350"/>
    <w:rsid w:val="00D7491B"/>
    <w:rsid w:val="00D74932"/>
    <w:rsid w:val="00D751D6"/>
    <w:rsid w:val="00D753B3"/>
    <w:rsid w:val="00D75582"/>
    <w:rsid w:val="00D7564F"/>
    <w:rsid w:val="00D75C4E"/>
    <w:rsid w:val="00D75EBD"/>
    <w:rsid w:val="00D763E8"/>
    <w:rsid w:val="00D7644E"/>
    <w:rsid w:val="00D76765"/>
    <w:rsid w:val="00D76A1C"/>
    <w:rsid w:val="00D76A46"/>
    <w:rsid w:val="00D76C86"/>
    <w:rsid w:val="00D76E9E"/>
    <w:rsid w:val="00D77FB7"/>
    <w:rsid w:val="00D80DEC"/>
    <w:rsid w:val="00D80EC1"/>
    <w:rsid w:val="00D810B3"/>
    <w:rsid w:val="00D81425"/>
    <w:rsid w:val="00D81A45"/>
    <w:rsid w:val="00D81A95"/>
    <w:rsid w:val="00D81DF4"/>
    <w:rsid w:val="00D81E9E"/>
    <w:rsid w:val="00D81EF5"/>
    <w:rsid w:val="00D81F50"/>
    <w:rsid w:val="00D82080"/>
    <w:rsid w:val="00D8219C"/>
    <w:rsid w:val="00D82AB8"/>
    <w:rsid w:val="00D82EC3"/>
    <w:rsid w:val="00D833E0"/>
    <w:rsid w:val="00D8350A"/>
    <w:rsid w:val="00D83B96"/>
    <w:rsid w:val="00D84175"/>
    <w:rsid w:val="00D844F9"/>
    <w:rsid w:val="00D84513"/>
    <w:rsid w:val="00D84C00"/>
    <w:rsid w:val="00D85806"/>
    <w:rsid w:val="00D85C70"/>
    <w:rsid w:val="00D86008"/>
    <w:rsid w:val="00D8608A"/>
    <w:rsid w:val="00D860D9"/>
    <w:rsid w:val="00D8660C"/>
    <w:rsid w:val="00D86664"/>
    <w:rsid w:val="00D866E0"/>
    <w:rsid w:val="00D86C03"/>
    <w:rsid w:val="00D86D82"/>
    <w:rsid w:val="00D86DF9"/>
    <w:rsid w:val="00D878E1"/>
    <w:rsid w:val="00D87B27"/>
    <w:rsid w:val="00D87C89"/>
    <w:rsid w:val="00D87CEF"/>
    <w:rsid w:val="00D87D1F"/>
    <w:rsid w:val="00D90533"/>
    <w:rsid w:val="00D9088B"/>
    <w:rsid w:val="00D90B2A"/>
    <w:rsid w:val="00D90B8D"/>
    <w:rsid w:val="00D90C96"/>
    <w:rsid w:val="00D91768"/>
    <w:rsid w:val="00D91B0E"/>
    <w:rsid w:val="00D91E65"/>
    <w:rsid w:val="00D921C5"/>
    <w:rsid w:val="00D92A1C"/>
    <w:rsid w:val="00D92BD8"/>
    <w:rsid w:val="00D92CF7"/>
    <w:rsid w:val="00D934EF"/>
    <w:rsid w:val="00D935EB"/>
    <w:rsid w:val="00D93604"/>
    <w:rsid w:val="00D93C60"/>
    <w:rsid w:val="00D93DE0"/>
    <w:rsid w:val="00D93E4B"/>
    <w:rsid w:val="00D941DD"/>
    <w:rsid w:val="00D942E7"/>
    <w:rsid w:val="00D94513"/>
    <w:rsid w:val="00D9480C"/>
    <w:rsid w:val="00D948D9"/>
    <w:rsid w:val="00D94C2B"/>
    <w:rsid w:val="00D94EB1"/>
    <w:rsid w:val="00D95C1F"/>
    <w:rsid w:val="00D95C59"/>
    <w:rsid w:val="00D95F70"/>
    <w:rsid w:val="00D9609C"/>
    <w:rsid w:val="00D96141"/>
    <w:rsid w:val="00D96297"/>
    <w:rsid w:val="00D965E3"/>
    <w:rsid w:val="00D96896"/>
    <w:rsid w:val="00D96999"/>
    <w:rsid w:val="00D96B7B"/>
    <w:rsid w:val="00D97000"/>
    <w:rsid w:val="00D97104"/>
    <w:rsid w:val="00D97178"/>
    <w:rsid w:val="00D972AC"/>
    <w:rsid w:val="00D97836"/>
    <w:rsid w:val="00DA000B"/>
    <w:rsid w:val="00DA026C"/>
    <w:rsid w:val="00DA0386"/>
    <w:rsid w:val="00DA0598"/>
    <w:rsid w:val="00DA05D9"/>
    <w:rsid w:val="00DA0748"/>
    <w:rsid w:val="00DA08A9"/>
    <w:rsid w:val="00DA12F5"/>
    <w:rsid w:val="00DA1849"/>
    <w:rsid w:val="00DA1C9F"/>
    <w:rsid w:val="00DA1F60"/>
    <w:rsid w:val="00DA202D"/>
    <w:rsid w:val="00DA2527"/>
    <w:rsid w:val="00DA263C"/>
    <w:rsid w:val="00DA26A0"/>
    <w:rsid w:val="00DA29AD"/>
    <w:rsid w:val="00DA2A86"/>
    <w:rsid w:val="00DA2E16"/>
    <w:rsid w:val="00DA3497"/>
    <w:rsid w:val="00DA38E2"/>
    <w:rsid w:val="00DA3C0A"/>
    <w:rsid w:val="00DA3E87"/>
    <w:rsid w:val="00DA47C9"/>
    <w:rsid w:val="00DA495C"/>
    <w:rsid w:val="00DA49D0"/>
    <w:rsid w:val="00DA4BCC"/>
    <w:rsid w:val="00DA5287"/>
    <w:rsid w:val="00DA5311"/>
    <w:rsid w:val="00DA5399"/>
    <w:rsid w:val="00DA5C5D"/>
    <w:rsid w:val="00DA6225"/>
    <w:rsid w:val="00DA68B0"/>
    <w:rsid w:val="00DA70EE"/>
    <w:rsid w:val="00DA718C"/>
    <w:rsid w:val="00DA71FB"/>
    <w:rsid w:val="00DA732A"/>
    <w:rsid w:val="00DA7464"/>
    <w:rsid w:val="00DA769C"/>
    <w:rsid w:val="00DA779B"/>
    <w:rsid w:val="00DA77FF"/>
    <w:rsid w:val="00DA7A7A"/>
    <w:rsid w:val="00DA7A8A"/>
    <w:rsid w:val="00DB0251"/>
    <w:rsid w:val="00DB0284"/>
    <w:rsid w:val="00DB03A9"/>
    <w:rsid w:val="00DB08AD"/>
    <w:rsid w:val="00DB0C51"/>
    <w:rsid w:val="00DB12A8"/>
    <w:rsid w:val="00DB1394"/>
    <w:rsid w:val="00DB15F4"/>
    <w:rsid w:val="00DB1A0E"/>
    <w:rsid w:val="00DB1BBB"/>
    <w:rsid w:val="00DB1DAE"/>
    <w:rsid w:val="00DB2497"/>
    <w:rsid w:val="00DB2DA2"/>
    <w:rsid w:val="00DB2FCD"/>
    <w:rsid w:val="00DB31AF"/>
    <w:rsid w:val="00DB39C7"/>
    <w:rsid w:val="00DB3B02"/>
    <w:rsid w:val="00DB3C5C"/>
    <w:rsid w:val="00DB3DC0"/>
    <w:rsid w:val="00DB3E83"/>
    <w:rsid w:val="00DB413F"/>
    <w:rsid w:val="00DB41F9"/>
    <w:rsid w:val="00DB42D8"/>
    <w:rsid w:val="00DB4ABB"/>
    <w:rsid w:val="00DB4B54"/>
    <w:rsid w:val="00DB4F68"/>
    <w:rsid w:val="00DB53DE"/>
    <w:rsid w:val="00DB5741"/>
    <w:rsid w:val="00DB5BCB"/>
    <w:rsid w:val="00DB62AD"/>
    <w:rsid w:val="00DB6478"/>
    <w:rsid w:val="00DB69C7"/>
    <w:rsid w:val="00DB6A45"/>
    <w:rsid w:val="00DB766C"/>
    <w:rsid w:val="00DB77F2"/>
    <w:rsid w:val="00DB7871"/>
    <w:rsid w:val="00DB7AA8"/>
    <w:rsid w:val="00DB7C78"/>
    <w:rsid w:val="00DB7DA2"/>
    <w:rsid w:val="00DC0435"/>
    <w:rsid w:val="00DC0ADC"/>
    <w:rsid w:val="00DC1078"/>
    <w:rsid w:val="00DC121D"/>
    <w:rsid w:val="00DC19C3"/>
    <w:rsid w:val="00DC1A91"/>
    <w:rsid w:val="00DC1E4F"/>
    <w:rsid w:val="00DC2226"/>
    <w:rsid w:val="00DC246F"/>
    <w:rsid w:val="00DC2A4D"/>
    <w:rsid w:val="00DC2C0E"/>
    <w:rsid w:val="00DC2C5B"/>
    <w:rsid w:val="00DC2E7B"/>
    <w:rsid w:val="00DC2FB9"/>
    <w:rsid w:val="00DC346A"/>
    <w:rsid w:val="00DC36EB"/>
    <w:rsid w:val="00DC38A4"/>
    <w:rsid w:val="00DC3CD5"/>
    <w:rsid w:val="00DC3F3E"/>
    <w:rsid w:val="00DC405C"/>
    <w:rsid w:val="00DC40A5"/>
    <w:rsid w:val="00DC44AE"/>
    <w:rsid w:val="00DC45E6"/>
    <w:rsid w:val="00DC464B"/>
    <w:rsid w:val="00DC4949"/>
    <w:rsid w:val="00DC49F7"/>
    <w:rsid w:val="00DC4A9B"/>
    <w:rsid w:val="00DC4C87"/>
    <w:rsid w:val="00DC4E3D"/>
    <w:rsid w:val="00DC5108"/>
    <w:rsid w:val="00DC5176"/>
    <w:rsid w:val="00DC5304"/>
    <w:rsid w:val="00DC5755"/>
    <w:rsid w:val="00DC5EDC"/>
    <w:rsid w:val="00DC5F39"/>
    <w:rsid w:val="00DC5FA4"/>
    <w:rsid w:val="00DC60EF"/>
    <w:rsid w:val="00DC61BD"/>
    <w:rsid w:val="00DC626E"/>
    <w:rsid w:val="00DC67E3"/>
    <w:rsid w:val="00DC6D8C"/>
    <w:rsid w:val="00DC6DF0"/>
    <w:rsid w:val="00DC6FF5"/>
    <w:rsid w:val="00DC723E"/>
    <w:rsid w:val="00DC7E28"/>
    <w:rsid w:val="00DD05CD"/>
    <w:rsid w:val="00DD08D0"/>
    <w:rsid w:val="00DD09A5"/>
    <w:rsid w:val="00DD0A7A"/>
    <w:rsid w:val="00DD0E49"/>
    <w:rsid w:val="00DD11C7"/>
    <w:rsid w:val="00DD1936"/>
    <w:rsid w:val="00DD1F4F"/>
    <w:rsid w:val="00DD235C"/>
    <w:rsid w:val="00DD2475"/>
    <w:rsid w:val="00DD2643"/>
    <w:rsid w:val="00DD2847"/>
    <w:rsid w:val="00DD284B"/>
    <w:rsid w:val="00DD34A8"/>
    <w:rsid w:val="00DD41A0"/>
    <w:rsid w:val="00DD41DA"/>
    <w:rsid w:val="00DD42FF"/>
    <w:rsid w:val="00DD46C6"/>
    <w:rsid w:val="00DD4974"/>
    <w:rsid w:val="00DD536F"/>
    <w:rsid w:val="00DD5600"/>
    <w:rsid w:val="00DD5719"/>
    <w:rsid w:val="00DD5767"/>
    <w:rsid w:val="00DD5B19"/>
    <w:rsid w:val="00DD5E05"/>
    <w:rsid w:val="00DD5E4B"/>
    <w:rsid w:val="00DD63ED"/>
    <w:rsid w:val="00DD658E"/>
    <w:rsid w:val="00DD667D"/>
    <w:rsid w:val="00DD687F"/>
    <w:rsid w:val="00DD6C65"/>
    <w:rsid w:val="00DD6F1A"/>
    <w:rsid w:val="00DD7088"/>
    <w:rsid w:val="00DD7404"/>
    <w:rsid w:val="00DD74A5"/>
    <w:rsid w:val="00DD78B5"/>
    <w:rsid w:val="00DD7B08"/>
    <w:rsid w:val="00DD7BAD"/>
    <w:rsid w:val="00DD7F95"/>
    <w:rsid w:val="00DE0BBD"/>
    <w:rsid w:val="00DE105F"/>
    <w:rsid w:val="00DE137F"/>
    <w:rsid w:val="00DE1441"/>
    <w:rsid w:val="00DE1B66"/>
    <w:rsid w:val="00DE1EB9"/>
    <w:rsid w:val="00DE2434"/>
    <w:rsid w:val="00DE2691"/>
    <w:rsid w:val="00DE29CA"/>
    <w:rsid w:val="00DE2B28"/>
    <w:rsid w:val="00DE2F05"/>
    <w:rsid w:val="00DE3328"/>
    <w:rsid w:val="00DE3370"/>
    <w:rsid w:val="00DE33D8"/>
    <w:rsid w:val="00DE3529"/>
    <w:rsid w:val="00DE35AC"/>
    <w:rsid w:val="00DE4036"/>
    <w:rsid w:val="00DE43B2"/>
    <w:rsid w:val="00DE4565"/>
    <w:rsid w:val="00DE486D"/>
    <w:rsid w:val="00DE4A1A"/>
    <w:rsid w:val="00DE4CCA"/>
    <w:rsid w:val="00DE52E8"/>
    <w:rsid w:val="00DE546E"/>
    <w:rsid w:val="00DE5795"/>
    <w:rsid w:val="00DE60E7"/>
    <w:rsid w:val="00DE6A2F"/>
    <w:rsid w:val="00DE6EA9"/>
    <w:rsid w:val="00DE702F"/>
    <w:rsid w:val="00DE74E0"/>
    <w:rsid w:val="00DE7A67"/>
    <w:rsid w:val="00DE7C43"/>
    <w:rsid w:val="00DE7DA8"/>
    <w:rsid w:val="00DE7EBD"/>
    <w:rsid w:val="00DF068A"/>
    <w:rsid w:val="00DF0842"/>
    <w:rsid w:val="00DF0A28"/>
    <w:rsid w:val="00DF0F90"/>
    <w:rsid w:val="00DF178B"/>
    <w:rsid w:val="00DF17CF"/>
    <w:rsid w:val="00DF1CB4"/>
    <w:rsid w:val="00DF1DAA"/>
    <w:rsid w:val="00DF1E41"/>
    <w:rsid w:val="00DF1E9A"/>
    <w:rsid w:val="00DF2258"/>
    <w:rsid w:val="00DF2627"/>
    <w:rsid w:val="00DF27B5"/>
    <w:rsid w:val="00DF2860"/>
    <w:rsid w:val="00DF3440"/>
    <w:rsid w:val="00DF34C9"/>
    <w:rsid w:val="00DF36EF"/>
    <w:rsid w:val="00DF37B6"/>
    <w:rsid w:val="00DF3CB2"/>
    <w:rsid w:val="00DF3D5B"/>
    <w:rsid w:val="00DF3F5A"/>
    <w:rsid w:val="00DF420E"/>
    <w:rsid w:val="00DF4607"/>
    <w:rsid w:val="00DF47BA"/>
    <w:rsid w:val="00DF50DF"/>
    <w:rsid w:val="00DF510B"/>
    <w:rsid w:val="00DF51FD"/>
    <w:rsid w:val="00DF5212"/>
    <w:rsid w:val="00DF581A"/>
    <w:rsid w:val="00DF5B79"/>
    <w:rsid w:val="00DF5D25"/>
    <w:rsid w:val="00DF6210"/>
    <w:rsid w:val="00DF63CB"/>
    <w:rsid w:val="00DF6814"/>
    <w:rsid w:val="00DF6935"/>
    <w:rsid w:val="00DF69A6"/>
    <w:rsid w:val="00DF6CF7"/>
    <w:rsid w:val="00DF7281"/>
    <w:rsid w:val="00DF7368"/>
    <w:rsid w:val="00DF79B3"/>
    <w:rsid w:val="00DF7B12"/>
    <w:rsid w:val="00DF7C2A"/>
    <w:rsid w:val="00E001FC"/>
    <w:rsid w:val="00E00352"/>
    <w:rsid w:val="00E005AD"/>
    <w:rsid w:val="00E007F2"/>
    <w:rsid w:val="00E00B1C"/>
    <w:rsid w:val="00E00F90"/>
    <w:rsid w:val="00E00FE3"/>
    <w:rsid w:val="00E01249"/>
    <w:rsid w:val="00E01303"/>
    <w:rsid w:val="00E01317"/>
    <w:rsid w:val="00E01371"/>
    <w:rsid w:val="00E013F0"/>
    <w:rsid w:val="00E0141A"/>
    <w:rsid w:val="00E01422"/>
    <w:rsid w:val="00E01E33"/>
    <w:rsid w:val="00E020BE"/>
    <w:rsid w:val="00E021FF"/>
    <w:rsid w:val="00E027B9"/>
    <w:rsid w:val="00E02CE8"/>
    <w:rsid w:val="00E03028"/>
    <w:rsid w:val="00E032DA"/>
    <w:rsid w:val="00E033FE"/>
    <w:rsid w:val="00E03455"/>
    <w:rsid w:val="00E0386A"/>
    <w:rsid w:val="00E03C16"/>
    <w:rsid w:val="00E03CE4"/>
    <w:rsid w:val="00E03CFD"/>
    <w:rsid w:val="00E03E91"/>
    <w:rsid w:val="00E0435A"/>
    <w:rsid w:val="00E043A3"/>
    <w:rsid w:val="00E045BD"/>
    <w:rsid w:val="00E0479F"/>
    <w:rsid w:val="00E0491B"/>
    <w:rsid w:val="00E04F34"/>
    <w:rsid w:val="00E051A0"/>
    <w:rsid w:val="00E0570A"/>
    <w:rsid w:val="00E058A2"/>
    <w:rsid w:val="00E05976"/>
    <w:rsid w:val="00E05EED"/>
    <w:rsid w:val="00E06048"/>
    <w:rsid w:val="00E060A2"/>
    <w:rsid w:val="00E063F8"/>
    <w:rsid w:val="00E06B67"/>
    <w:rsid w:val="00E076EA"/>
    <w:rsid w:val="00E078AC"/>
    <w:rsid w:val="00E07FFE"/>
    <w:rsid w:val="00E105D0"/>
    <w:rsid w:val="00E10993"/>
    <w:rsid w:val="00E10C5E"/>
    <w:rsid w:val="00E110C4"/>
    <w:rsid w:val="00E11133"/>
    <w:rsid w:val="00E11272"/>
    <w:rsid w:val="00E112A0"/>
    <w:rsid w:val="00E116B0"/>
    <w:rsid w:val="00E116CE"/>
    <w:rsid w:val="00E11B9F"/>
    <w:rsid w:val="00E1254B"/>
    <w:rsid w:val="00E13246"/>
    <w:rsid w:val="00E13334"/>
    <w:rsid w:val="00E13A07"/>
    <w:rsid w:val="00E13B4C"/>
    <w:rsid w:val="00E13F9C"/>
    <w:rsid w:val="00E146F8"/>
    <w:rsid w:val="00E147C1"/>
    <w:rsid w:val="00E14A4D"/>
    <w:rsid w:val="00E14AD9"/>
    <w:rsid w:val="00E151A7"/>
    <w:rsid w:val="00E156D2"/>
    <w:rsid w:val="00E15A1F"/>
    <w:rsid w:val="00E15EA7"/>
    <w:rsid w:val="00E162A8"/>
    <w:rsid w:val="00E162AC"/>
    <w:rsid w:val="00E16615"/>
    <w:rsid w:val="00E1680C"/>
    <w:rsid w:val="00E16AB6"/>
    <w:rsid w:val="00E16DEE"/>
    <w:rsid w:val="00E16EFB"/>
    <w:rsid w:val="00E1766B"/>
    <w:rsid w:val="00E20526"/>
    <w:rsid w:val="00E20688"/>
    <w:rsid w:val="00E20892"/>
    <w:rsid w:val="00E214EA"/>
    <w:rsid w:val="00E219E3"/>
    <w:rsid w:val="00E223AD"/>
    <w:rsid w:val="00E2250F"/>
    <w:rsid w:val="00E225F1"/>
    <w:rsid w:val="00E226A3"/>
    <w:rsid w:val="00E22AC6"/>
    <w:rsid w:val="00E22BBF"/>
    <w:rsid w:val="00E22C0D"/>
    <w:rsid w:val="00E22DD8"/>
    <w:rsid w:val="00E23067"/>
    <w:rsid w:val="00E235D3"/>
    <w:rsid w:val="00E23F5C"/>
    <w:rsid w:val="00E23F74"/>
    <w:rsid w:val="00E24500"/>
    <w:rsid w:val="00E24603"/>
    <w:rsid w:val="00E2498B"/>
    <w:rsid w:val="00E257D4"/>
    <w:rsid w:val="00E25815"/>
    <w:rsid w:val="00E25A3E"/>
    <w:rsid w:val="00E25C6F"/>
    <w:rsid w:val="00E264D1"/>
    <w:rsid w:val="00E2654C"/>
    <w:rsid w:val="00E27DFA"/>
    <w:rsid w:val="00E27F73"/>
    <w:rsid w:val="00E3014F"/>
    <w:rsid w:val="00E303CE"/>
    <w:rsid w:val="00E3077C"/>
    <w:rsid w:val="00E30BB4"/>
    <w:rsid w:val="00E30BCA"/>
    <w:rsid w:val="00E30BF6"/>
    <w:rsid w:val="00E30C4A"/>
    <w:rsid w:val="00E30F75"/>
    <w:rsid w:val="00E310FC"/>
    <w:rsid w:val="00E31173"/>
    <w:rsid w:val="00E31AF3"/>
    <w:rsid w:val="00E31E7E"/>
    <w:rsid w:val="00E31F68"/>
    <w:rsid w:val="00E3229D"/>
    <w:rsid w:val="00E322D7"/>
    <w:rsid w:val="00E327AE"/>
    <w:rsid w:val="00E32CA2"/>
    <w:rsid w:val="00E330CD"/>
    <w:rsid w:val="00E33108"/>
    <w:rsid w:val="00E331B6"/>
    <w:rsid w:val="00E331FA"/>
    <w:rsid w:val="00E333F0"/>
    <w:rsid w:val="00E335F0"/>
    <w:rsid w:val="00E336B8"/>
    <w:rsid w:val="00E33753"/>
    <w:rsid w:val="00E338BB"/>
    <w:rsid w:val="00E33974"/>
    <w:rsid w:val="00E3397C"/>
    <w:rsid w:val="00E33B28"/>
    <w:rsid w:val="00E33DD5"/>
    <w:rsid w:val="00E3409A"/>
    <w:rsid w:val="00E3467A"/>
    <w:rsid w:val="00E3503D"/>
    <w:rsid w:val="00E353F1"/>
    <w:rsid w:val="00E35418"/>
    <w:rsid w:val="00E35521"/>
    <w:rsid w:val="00E35C45"/>
    <w:rsid w:val="00E35DAE"/>
    <w:rsid w:val="00E3616C"/>
    <w:rsid w:val="00E3716B"/>
    <w:rsid w:val="00E37301"/>
    <w:rsid w:val="00E373EE"/>
    <w:rsid w:val="00E37562"/>
    <w:rsid w:val="00E37747"/>
    <w:rsid w:val="00E37769"/>
    <w:rsid w:val="00E37AEE"/>
    <w:rsid w:val="00E37AF7"/>
    <w:rsid w:val="00E37E64"/>
    <w:rsid w:val="00E40631"/>
    <w:rsid w:val="00E407CB"/>
    <w:rsid w:val="00E40884"/>
    <w:rsid w:val="00E40FD7"/>
    <w:rsid w:val="00E4106E"/>
    <w:rsid w:val="00E411EA"/>
    <w:rsid w:val="00E41497"/>
    <w:rsid w:val="00E416F2"/>
    <w:rsid w:val="00E41D5F"/>
    <w:rsid w:val="00E41FC3"/>
    <w:rsid w:val="00E4216F"/>
    <w:rsid w:val="00E42227"/>
    <w:rsid w:val="00E42707"/>
    <w:rsid w:val="00E42DA1"/>
    <w:rsid w:val="00E42F74"/>
    <w:rsid w:val="00E43059"/>
    <w:rsid w:val="00E430C1"/>
    <w:rsid w:val="00E43443"/>
    <w:rsid w:val="00E43480"/>
    <w:rsid w:val="00E4377F"/>
    <w:rsid w:val="00E43AB8"/>
    <w:rsid w:val="00E43AFA"/>
    <w:rsid w:val="00E4417A"/>
    <w:rsid w:val="00E445BC"/>
    <w:rsid w:val="00E44649"/>
    <w:rsid w:val="00E446AB"/>
    <w:rsid w:val="00E44BDC"/>
    <w:rsid w:val="00E44D59"/>
    <w:rsid w:val="00E456B9"/>
    <w:rsid w:val="00E46346"/>
    <w:rsid w:val="00E4638F"/>
    <w:rsid w:val="00E463A2"/>
    <w:rsid w:val="00E466E4"/>
    <w:rsid w:val="00E46888"/>
    <w:rsid w:val="00E46D68"/>
    <w:rsid w:val="00E47B07"/>
    <w:rsid w:val="00E47B5D"/>
    <w:rsid w:val="00E47D89"/>
    <w:rsid w:val="00E500E6"/>
    <w:rsid w:val="00E5048F"/>
    <w:rsid w:val="00E505A5"/>
    <w:rsid w:val="00E5079E"/>
    <w:rsid w:val="00E509EC"/>
    <w:rsid w:val="00E50B59"/>
    <w:rsid w:val="00E515D5"/>
    <w:rsid w:val="00E51BC0"/>
    <w:rsid w:val="00E51DB6"/>
    <w:rsid w:val="00E524AC"/>
    <w:rsid w:val="00E524FB"/>
    <w:rsid w:val="00E52788"/>
    <w:rsid w:val="00E5291D"/>
    <w:rsid w:val="00E52B1C"/>
    <w:rsid w:val="00E52C0B"/>
    <w:rsid w:val="00E52F06"/>
    <w:rsid w:val="00E53375"/>
    <w:rsid w:val="00E5346B"/>
    <w:rsid w:val="00E53644"/>
    <w:rsid w:val="00E538B3"/>
    <w:rsid w:val="00E53965"/>
    <w:rsid w:val="00E53A46"/>
    <w:rsid w:val="00E53EE9"/>
    <w:rsid w:val="00E54B89"/>
    <w:rsid w:val="00E54C2A"/>
    <w:rsid w:val="00E5518F"/>
    <w:rsid w:val="00E5529B"/>
    <w:rsid w:val="00E553E2"/>
    <w:rsid w:val="00E558C7"/>
    <w:rsid w:val="00E55AEF"/>
    <w:rsid w:val="00E563B3"/>
    <w:rsid w:val="00E56E45"/>
    <w:rsid w:val="00E570F6"/>
    <w:rsid w:val="00E57444"/>
    <w:rsid w:val="00E5756A"/>
    <w:rsid w:val="00E57932"/>
    <w:rsid w:val="00E57BB2"/>
    <w:rsid w:val="00E57C93"/>
    <w:rsid w:val="00E60378"/>
    <w:rsid w:val="00E60600"/>
    <w:rsid w:val="00E60695"/>
    <w:rsid w:val="00E60C1E"/>
    <w:rsid w:val="00E6115B"/>
    <w:rsid w:val="00E6117F"/>
    <w:rsid w:val="00E612C3"/>
    <w:rsid w:val="00E61666"/>
    <w:rsid w:val="00E616E2"/>
    <w:rsid w:val="00E621C8"/>
    <w:rsid w:val="00E628E7"/>
    <w:rsid w:val="00E62AE0"/>
    <w:rsid w:val="00E62D84"/>
    <w:rsid w:val="00E630B9"/>
    <w:rsid w:val="00E633B2"/>
    <w:rsid w:val="00E63C7F"/>
    <w:rsid w:val="00E64645"/>
    <w:rsid w:val="00E6473B"/>
    <w:rsid w:val="00E64B5D"/>
    <w:rsid w:val="00E64CB0"/>
    <w:rsid w:val="00E6538E"/>
    <w:rsid w:val="00E655CC"/>
    <w:rsid w:val="00E65C2E"/>
    <w:rsid w:val="00E65D89"/>
    <w:rsid w:val="00E65DD5"/>
    <w:rsid w:val="00E65E5B"/>
    <w:rsid w:val="00E66166"/>
    <w:rsid w:val="00E6628D"/>
    <w:rsid w:val="00E6638F"/>
    <w:rsid w:val="00E66524"/>
    <w:rsid w:val="00E66C7E"/>
    <w:rsid w:val="00E671A7"/>
    <w:rsid w:val="00E67271"/>
    <w:rsid w:val="00E67306"/>
    <w:rsid w:val="00E673DF"/>
    <w:rsid w:val="00E6741D"/>
    <w:rsid w:val="00E67ACC"/>
    <w:rsid w:val="00E67E6B"/>
    <w:rsid w:val="00E67EB5"/>
    <w:rsid w:val="00E70230"/>
    <w:rsid w:val="00E70236"/>
    <w:rsid w:val="00E70C06"/>
    <w:rsid w:val="00E70DD9"/>
    <w:rsid w:val="00E70FB9"/>
    <w:rsid w:val="00E710CF"/>
    <w:rsid w:val="00E71220"/>
    <w:rsid w:val="00E71428"/>
    <w:rsid w:val="00E7173E"/>
    <w:rsid w:val="00E71FE1"/>
    <w:rsid w:val="00E72257"/>
    <w:rsid w:val="00E7228F"/>
    <w:rsid w:val="00E72825"/>
    <w:rsid w:val="00E72C4D"/>
    <w:rsid w:val="00E72F20"/>
    <w:rsid w:val="00E73083"/>
    <w:rsid w:val="00E7329C"/>
    <w:rsid w:val="00E734A7"/>
    <w:rsid w:val="00E734CE"/>
    <w:rsid w:val="00E736A7"/>
    <w:rsid w:val="00E7414A"/>
    <w:rsid w:val="00E743FC"/>
    <w:rsid w:val="00E7466F"/>
    <w:rsid w:val="00E74ACF"/>
    <w:rsid w:val="00E750A1"/>
    <w:rsid w:val="00E75138"/>
    <w:rsid w:val="00E75320"/>
    <w:rsid w:val="00E76182"/>
    <w:rsid w:val="00E7641D"/>
    <w:rsid w:val="00E76BB6"/>
    <w:rsid w:val="00E76D1E"/>
    <w:rsid w:val="00E76D3F"/>
    <w:rsid w:val="00E76DFD"/>
    <w:rsid w:val="00E76EA3"/>
    <w:rsid w:val="00E76EB4"/>
    <w:rsid w:val="00E77257"/>
    <w:rsid w:val="00E77266"/>
    <w:rsid w:val="00E77561"/>
    <w:rsid w:val="00E7766D"/>
    <w:rsid w:val="00E77849"/>
    <w:rsid w:val="00E77A3F"/>
    <w:rsid w:val="00E77A61"/>
    <w:rsid w:val="00E77B4C"/>
    <w:rsid w:val="00E77F86"/>
    <w:rsid w:val="00E804B6"/>
    <w:rsid w:val="00E809A7"/>
    <w:rsid w:val="00E80D1D"/>
    <w:rsid w:val="00E80E33"/>
    <w:rsid w:val="00E80F7C"/>
    <w:rsid w:val="00E81007"/>
    <w:rsid w:val="00E810C1"/>
    <w:rsid w:val="00E815E4"/>
    <w:rsid w:val="00E8199A"/>
    <w:rsid w:val="00E81C1E"/>
    <w:rsid w:val="00E81CB1"/>
    <w:rsid w:val="00E81D18"/>
    <w:rsid w:val="00E81EA6"/>
    <w:rsid w:val="00E81FE2"/>
    <w:rsid w:val="00E828BE"/>
    <w:rsid w:val="00E829F1"/>
    <w:rsid w:val="00E82FE5"/>
    <w:rsid w:val="00E8304F"/>
    <w:rsid w:val="00E8325E"/>
    <w:rsid w:val="00E83336"/>
    <w:rsid w:val="00E83801"/>
    <w:rsid w:val="00E83837"/>
    <w:rsid w:val="00E8399E"/>
    <w:rsid w:val="00E83CFB"/>
    <w:rsid w:val="00E83F90"/>
    <w:rsid w:val="00E847F6"/>
    <w:rsid w:val="00E847FA"/>
    <w:rsid w:val="00E84A56"/>
    <w:rsid w:val="00E84DC5"/>
    <w:rsid w:val="00E85106"/>
    <w:rsid w:val="00E85264"/>
    <w:rsid w:val="00E852DC"/>
    <w:rsid w:val="00E8534A"/>
    <w:rsid w:val="00E853EF"/>
    <w:rsid w:val="00E857B0"/>
    <w:rsid w:val="00E85C65"/>
    <w:rsid w:val="00E85C98"/>
    <w:rsid w:val="00E8618A"/>
    <w:rsid w:val="00E8697E"/>
    <w:rsid w:val="00E8711A"/>
    <w:rsid w:val="00E8722C"/>
    <w:rsid w:val="00E87268"/>
    <w:rsid w:val="00E87314"/>
    <w:rsid w:val="00E87C47"/>
    <w:rsid w:val="00E90246"/>
    <w:rsid w:val="00E9028A"/>
    <w:rsid w:val="00E90BF5"/>
    <w:rsid w:val="00E90DAF"/>
    <w:rsid w:val="00E9101E"/>
    <w:rsid w:val="00E91041"/>
    <w:rsid w:val="00E911C1"/>
    <w:rsid w:val="00E911D0"/>
    <w:rsid w:val="00E9178A"/>
    <w:rsid w:val="00E9199E"/>
    <w:rsid w:val="00E91BE1"/>
    <w:rsid w:val="00E9206F"/>
    <w:rsid w:val="00E92162"/>
    <w:rsid w:val="00E92764"/>
    <w:rsid w:val="00E92919"/>
    <w:rsid w:val="00E9291A"/>
    <w:rsid w:val="00E92D50"/>
    <w:rsid w:val="00E92E1F"/>
    <w:rsid w:val="00E93220"/>
    <w:rsid w:val="00E935C9"/>
    <w:rsid w:val="00E93653"/>
    <w:rsid w:val="00E94286"/>
    <w:rsid w:val="00E94547"/>
    <w:rsid w:val="00E94B2A"/>
    <w:rsid w:val="00E95D38"/>
    <w:rsid w:val="00E9619D"/>
    <w:rsid w:val="00E965E1"/>
    <w:rsid w:val="00E966F6"/>
    <w:rsid w:val="00E96763"/>
    <w:rsid w:val="00E96ED7"/>
    <w:rsid w:val="00E974C4"/>
    <w:rsid w:val="00E97AC2"/>
    <w:rsid w:val="00E97C52"/>
    <w:rsid w:val="00E97F7A"/>
    <w:rsid w:val="00EA07BD"/>
    <w:rsid w:val="00EA0E12"/>
    <w:rsid w:val="00EA109B"/>
    <w:rsid w:val="00EA11A6"/>
    <w:rsid w:val="00EA1874"/>
    <w:rsid w:val="00EA1CF0"/>
    <w:rsid w:val="00EA1E93"/>
    <w:rsid w:val="00EA2021"/>
    <w:rsid w:val="00EA221C"/>
    <w:rsid w:val="00EA2537"/>
    <w:rsid w:val="00EA2642"/>
    <w:rsid w:val="00EA2A9E"/>
    <w:rsid w:val="00EA2E6C"/>
    <w:rsid w:val="00EA2F28"/>
    <w:rsid w:val="00EA2F84"/>
    <w:rsid w:val="00EA3258"/>
    <w:rsid w:val="00EA388D"/>
    <w:rsid w:val="00EA38AC"/>
    <w:rsid w:val="00EA3D4C"/>
    <w:rsid w:val="00EA42B0"/>
    <w:rsid w:val="00EA435F"/>
    <w:rsid w:val="00EA45B2"/>
    <w:rsid w:val="00EA4966"/>
    <w:rsid w:val="00EA4AF9"/>
    <w:rsid w:val="00EA4C02"/>
    <w:rsid w:val="00EA5250"/>
    <w:rsid w:val="00EA52C7"/>
    <w:rsid w:val="00EA562B"/>
    <w:rsid w:val="00EA5780"/>
    <w:rsid w:val="00EA57C6"/>
    <w:rsid w:val="00EA5868"/>
    <w:rsid w:val="00EA5A1C"/>
    <w:rsid w:val="00EA5E7B"/>
    <w:rsid w:val="00EA5F45"/>
    <w:rsid w:val="00EA6160"/>
    <w:rsid w:val="00EA64A6"/>
    <w:rsid w:val="00EA68B0"/>
    <w:rsid w:val="00EA6BD0"/>
    <w:rsid w:val="00EA76D6"/>
    <w:rsid w:val="00EA7880"/>
    <w:rsid w:val="00EB037B"/>
    <w:rsid w:val="00EB0402"/>
    <w:rsid w:val="00EB04BF"/>
    <w:rsid w:val="00EB05EF"/>
    <w:rsid w:val="00EB06AF"/>
    <w:rsid w:val="00EB0817"/>
    <w:rsid w:val="00EB0A42"/>
    <w:rsid w:val="00EB0B10"/>
    <w:rsid w:val="00EB0BEF"/>
    <w:rsid w:val="00EB101B"/>
    <w:rsid w:val="00EB1085"/>
    <w:rsid w:val="00EB10BF"/>
    <w:rsid w:val="00EB13A5"/>
    <w:rsid w:val="00EB1557"/>
    <w:rsid w:val="00EB1A60"/>
    <w:rsid w:val="00EB1B1D"/>
    <w:rsid w:val="00EB2224"/>
    <w:rsid w:val="00EB278C"/>
    <w:rsid w:val="00EB282F"/>
    <w:rsid w:val="00EB28C6"/>
    <w:rsid w:val="00EB3344"/>
    <w:rsid w:val="00EB3E44"/>
    <w:rsid w:val="00EB3EBA"/>
    <w:rsid w:val="00EB40B6"/>
    <w:rsid w:val="00EB4478"/>
    <w:rsid w:val="00EB46B5"/>
    <w:rsid w:val="00EB4959"/>
    <w:rsid w:val="00EB4ADB"/>
    <w:rsid w:val="00EB4D59"/>
    <w:rsid w:val="00EB4DBC"/>
    <w:rsid w:val="00EB559B"/>
    <w:rsid w:val="00EB56BF"/>
    <w:rsid w:val="00EB5D2F"/>
    <w:rsid w:val="00EB5E4F"/>
    <w:rsid w:val="00EB6034"/>
    <w:rsid w:val="00EB66F5"/>
    <w:rsid w:val="00EB6A55"/>
    <w:rsid w:val="00EB6AF9"/>
    <w:rsid w:val="00EB7234"/>
    <w:rsid w:val="00EB77BA"/>
    <w:rsid w:val="00EB7973"/>
    <w:rsid w:val="00EB7D8A"/>
    <w:rsid w:val="00EC00F0"/>
    <w:rsid w:val="00EC0266"/>
    <w:rsid w:val="00EC0762"/>
    <w:rsid w:val="00EC0A63"/>
    <w:rsid w:val="00EC0ECC"/>
    <w:rsid w:val="00EC131C"/>
    <w:rsid w:val="00EC14B6"/>
    <w:rsid w:val="00EC151E"/>
    <w:rsid w:val="00EC2292"/>
    <w:rsid w:val="00EC24CC"/>
    <w:rsid w:val="00EC26D9"/>
    <w:rsid w:val="00EC2B60"/>
    <w:rsid w:val="00EC2BE6"/>
    <w:rsid w:val="00EC2C42"/>
    <w:rsid w:val="00EC3D7C"/>
    <w:rsid w:val="00EC40A0"/>
    <w:rsid w:val="00EC4303"/>
    <w:rsid w:val="00EC4DDE"/>
    <w:rsid w:val="00EC4FA0"/>
    <w:rsid w:val="00EC562C"/>
    <w:rsid w:val="00EC5669"/>
    <w:rsid w:val="00EC5AA2"/>
    <w:rsid w:val="00EC5BA0"/>
    <w:rsid w:val="00EC5F8B"/>
    <w:rsid w:val="00EC616C"/>
    <w:rsid w:val="00EC618E"/>
    <w:rsid w:val="00EC716D"/>
    <w:rsid w:val="00EC71B8"/>
    <w:rsid w:val="00EC73EE"/>
    <w:rsid w:val="00EC7675"/>
    <w:rsid w:val="00EC7B85"/>
    <w:rsid w:val="00EC7CDB"/>
    <w:rsid w:val="00ED02F9"/>
    <w:rsid w:val="00ED055E"/>
    <w:rsid w:val="00ED06CF"/>
    <w:rsid w:val="00ED0C02"/>
    <w:rsid w:val="00ED0EBA"/>
    <w:rsid w:val="00ED1141"/>
    <w:rsid w:val="00ED1333"/>
    <w:rsid w:val="00ED1562"/>
    <w:rsid w:val="00ED16D6"/>
    <w:rsid w:val="00ED174A"/>
    <w:rsid w:val="00ED1809"/>
    <w:rsid w:val="00ED1B7A"/>
    <w:rsid w:val="00ED1CA4"/>
    <w:rsid w:val="00ED1D74"/>
    <w:rsid w:val="00ED1ECD"/>
    <w:rsid w:val="00ED1F4B"/>
    <w:rsid w:val="00ED2220"/>
    <w:rsid w:val="00ED29C6"/>
    <w:rsid w:val="00ED2B3D"/>
    <w:rsid w:val="00ED2C5C"/>
    <w:rsid w:val="00ED2FAD"/>
    <w:rsid w:val="00ED3079"/>
    <w:rsid w:val="00ED341E"/>
    <w:rsid w:val="00ED37B5"/>
    <w:rsid w:val="00ED3AD5"/>
    <w:rsid w:val="00ED3F4A"/>
    <w:rsid w:val="00ED4648"/>
    <w:rsid w:val="00ED4A92"/>
    <w:rsid w:val="00ED4B8A"/>
    <w:rsid w:val="00ED4BC2"/>
    <w:rsid w:val="00ED4DF4"/>
    <w:rsid w:val="00ED4E77"/>
    <w:rsid w:val="00ED4ECE"/>
    <w:rsid w:val="00ED5036"/>
    <w:rsid w:val="00ED53D8"/>
    <w:rsid w:val="00ED57AE"/>
    <w:rsid w:val="00ED5CE5"/>
    <w:rsid w:val="00ED6CDE"/>
    <w:rsid w:val="00ED6EC5"/>
    <w:rsid w:val="00ED6EFF"/>
    <w:rsid w:val="00ED7001"/>
    <w:rsid w:val="00ED7052"/>
    <w:rsid w:val="00ED7070"/>
    <w:rsid w:val="00ED70F2"/>
    <w:rsid w:val="00ED7398"/>
    <w:rsid w:val="00ED7504"/>
    <w:rsid w:val="00ED75E1"/>
    <w:rsid w:val="00ED769E"/>
    <w:rsid w:val="00ED7D3B"/>
    <w:rsid w:val="00ED7EE1"/>
    <w:rsid w:val="00EE00E1"/>
    <w:rsid w:val="00EE04B0"/>
    <w:rsid w:val="00EE07F3"/>
    <w:rsid w:val="00EE0C42"/>
    <w:rsid w:val="00EE0F7B"/>
    <w:rsid w:val="00EE150A"/>
    <w:rsid w:val="00EE1628"/>
    <w:rsid w:val="00EE1F90"/>
    <w:rsid w:val="00EE23C9"/>
    <w:rsid w:val="00EE26AB"/>
    <w:rsid w:val="00EE2D6D"/>
    <w:rsid w:val="00EE31F6"/>
    <w:rsid w:val="00EE3489"/>
    <w:rsid w:val="00EE3D00"/>
    <w:rsid w:val="00EE3FD6"/>
    <w:rsid w:val="00EE429E"/>
    <w:rsid w:val="00EE45B0"/>
    <w:rsid w:val="00EE4901"/>
    <w:rsid w:val="00EE492D"/>
    <w:rsid w:val="00EE4A8E"/>
    <w:rsid w:val="00EE4C16"/>
    <w:rsid w:val="00EE4FD2"/>
    <w:rsid w:val="00EE5020"/>
    <w:rsid w:val="00EE57C7"/>
    <w:rsid w:val="00EE5A4C"/>
    <w:rsid w:val="00EE5B98"/>
    <w:rsid w:val="00EE613F"/>
    <w:rsid w:val="00EE63CE"/>
    <w:rsid w:val="00EE69A5"/>
    <w:rsid w:val="00EE6B29"/>
    <w:rsid w:val="00EE6C0A"/>
    <w:rsid w:val="00EE6CF4"/>
    <w:rsid w:val="00EE6DCF"/>
    <w:rsid w:val="00EE7D98"/>
    <w:rsid w:val="00EF02D5"/>
    <w:rsid w:val="00EF031E"/>
    <w:rsid w:val="00EF0478"/>
    <w:rsid w:val="00EF0550"/>
    <w:rsid w:val="00EF060A"/>
    <w:rsid w:val="00EF06D4"/>
    <w:rsid w:val="00EF0A1C"/>
    <w:rsid w:val="00EF0DCA"/>
    <w:rsid w:val="00EF0F22"/>
    <w:rsid w:val="00EF11C1"/>
    <w:rsid w:val="00EF15B5"/>
    <w:rsid w:val="00EF1754"/>
    <w:rsid w:val="00EF1BC4"/>
    <w:rsid w:val="00EF1FDE"/>
    <w:rsid w:val="00EF2649"/>
    <w:rsid w:val="00EF2FFD"/>
    <w:rsid w:val="00EF36B2"/>
    <w:rsid w:val="00EF394B"/>
    <w:rsid w:val="00EF3D2C"/>
    <w:rsid w:val="00EF3FC9"/>
    <w:rsid w:val="00EF550C"/>
    <w:rsid w:val="00EF5959"/>
    <w:rsid w:val="00EF5A5A"/>
    <w:rsid w:val="00EF5A6F"/>
    <w:rsid w:val="00EF5ADE"/>
    <w:rsid w:val="00EF5AEA"/>
    <w:rsid w:val="00EF62C0"/>
    <w:rsid w:val="00EF64C6"/>
    <w:rsid w:val="00EF6637"/>
    <w:rsid w:val="00EF6744"/>
    <w:rsid w:val="00EF6A11"/>
    <w:rsid w:val="00EF6B7F"/>
    <w:rsid w:val="00EF6D40"/>
    <w:rsid w:val="00EF6E24"/>
    <w:rsid w:val="00EF7447"/>
    <w:rsid w:val="00EF7AA0"/>
    <w:rsid w:val="00EF7B57"/>
    <w:rsid w:val="00EF7BFE"/>
    <w:rsid w:val="00EF7CEC"/>
    <w:rsid w:val="00EF7DCC"/>
    <w:rsid w:val="00F00024"/>
    <w:rsid w:val="00F00321"/>
    <w:rsid w:val="00F0078B"/>
    <w:rsid w:val="00F00801"/>
    <w:rsid w:val="00F00C87"/>
    <w:rsid w:val="00F00F60"/>
    <w:rsid w:val="00F012E4"/>
    <w:rsid w:val="00F0131C"/>
    <w:rsid w:val="00F0145A"/>
    <w:rsid w:val="00F01C62"/>
    <w:rsid w:val="00F02222"/>
    <w:rsid w:val="00F0231B"/>
    <w:rsid w:val="00F02BAE"/>
    <w:rsid w:val="00F02CF3"/>
    <w:rsid w:val="00F02F1D"/>
    <w:rsid w:val="00F032EE"/>
    <w:rsid w:val="00F03737"/>
    <w:rsid w:val="00F03A8B"/>
    <w:rsid w:val="00F03B35"/>
    <w:rsid w:val="00F03BFD"/>
    <w:rsid w:val="00F03C07"/>
    <w:rsid w:val="00F0414D"/>
    <w:rsid w:val="00F0463D"/>
    <w:rsid w:val="00F04788"/>
    <w:rsid w:val="00F049E7"/>
    <w:rsid w:val="00F04B85"/>
    <w:rsid w:val="00F04BC3"/>
    <w:rsid w:val="00F0542C"/>
    <w:rsid w:val="00F054EA"/>
    <w:rsid w:val="00F055E7"/>
    <w:rsid w:val="00F058AF"/>
    <w:rsid w:val="00F05D1A"/>
    <w:rsid w:val="00F05F72"/>
    <w:rsid w:val="00F061DD"/>
    <w:rsid w:val="00F06244"/>
    <w:rsid w:val="00F0632B"/>
    <w:rsid w:val="00F06784"/>
    <w:rsid w:val="00F06939"/>
    <w:rsid w:val="00F06D1B"/>
    <w:rsid w:val="00F06D32"/>
    <w:rsid w:val="00F0783D"/>
    <w:rsid w:val="00F079A1"/>
    <w:rsid w:val="00F07C67"/>
    <w:rsid w:val="00F07C6C"/>
    <w:rsid w:val="00F10132"/>
    <w:rsid w:val="00F1041D"/>
    <w:rsid w:val="00F105DC"/>
    <w:rsid w:val="00F1060E"/>
    <w:rsid w:val="00F10990"/>
    <w:rsid w:val="00F10992"/>
    <w:rsid w:val="00F10DD1"/>
    <w:rsid w:val="00F11BD1"/>
    <w:rsid w:val="00F11C31"/>
    <w:rsid w:val="00F11EC3"/>
    <w:rsid w:val="00F11FF2"/>
    <w:rsid w:val="00F12062"/>
    <w:rsid w:val="00F12103"/>
    <w:rsid w:val="00F124FC"/>
    <w:rsid w:val="00F12903"/>
    <w:rsid w:val="00F12BF2"/>
    <w:rsid w:val="00F13217"/>
    <w:rsid w:val="00F13334"/>
    <w:rsid w:val="00F13351"/>
    <w:rsid w:val="00F13631"/>
    <w:rsid w:val="00F13841"/>
    <w:rsid w:val="00F13975"/>
    <w:rsid w:val="00F13E4F"/>
    <w:rsid w:val="00F13E85"/>
    <w:rsid w:val="00F1472E"/>
    <w:rsid w:val="00F147F3"/>
    <w:rsid w:val="00F14A85"/>
    <w:rsid w:val="00F14FFB"/>
    <w:rsid w:val="00F153C7"/>
    <w:rsid w:val="00F155EB"/>
    <w:rsid w:val="00F15E47"/>
    <w:rsid w:val="00F16872"/>
    <w:rsid w:val="00F16957"/>
    <w:rsid w:val="00F16C13"/>
    <w:rsid w:val="00F16C52"/>
    <w:rsid w:val="00F16E5C"/>
    <w:rsid w:val="00F16FD8"/>
    <w:rsid w:val="00F17122"/>
    <w:rsid w:val="00F176F6"/>
    <w:rsid w:val="00F17C6D"/>
    <w:rsid w:val="00F17DF8"/>
    <w:rsid w:val="00F202E2"/>
    <w:rsid w:val="00F2056C"/>
    <w:rsid w:val="00F209FB"/>
    <w:rsid w:val="00F20C00"/>
    <w:rsid w:val="00F20C61"/>
    <w:rsid w:val="00F21248"/>
    <w:rsid w:val="00F212C1"/>
    <w:rsid w:val="00F22026"/>
    <w:rsid w:val="00F2209D"/>
    <w:rsid w:val="00F229E5"/>
    <w:rsid w:val="00F233E7"/>
    <w:rsid w:val="00F23487"/>
    <w:rsid w:val="00F23505"/>
    <w:rsid w:val="00F2350C"/>
    <w:rsid w:val="00F2359F"/>
    <w:rsid w:val="00F235FD"/>
    <w:rsid w:val="00F238E3"/>
    <w:rsid w:val="00F23A66"/>
    <w:rsid w:val="00F23A9E"/>
    <w:rsid w:val="00F23CCE"/>
    <w:rsid w:val="00F23F3D"/>
    <w:rsid w:val="00F23FF6"/>
    <w:rsid w:val="00F24018"/>
    <w:rsid w:val="00F2412A"/>
    <w:rsid w:val="00F24137"/>
    <w:rsid w:val="00F24668"/>
    <w:rsid w:val="00F24AC3"/>
    <w:rsid w:val="00F24D57"/>
    <w:rsid w:val="00F24D82"/>
    <w:rsid w:val="00F25627"/>
    <w:rsid w:val="00F25A20"/>
    <w:rsid w:val="00F25BC4"/>
    <w:rsid w:val="00F25E24"/>
    <w:rsid w:val="00F25F06"/>
    <w:rsid w:val="00F263F6"/>
    <w:rsid w:val="00F2657E"/>
    <w:rsid w:val="00F26822"/>
    <w:rsid w:val="00F26A83"/>
    <w:rsid w:val="00F26D3D"/>
    <w:rsid w:val="00F26E1F"/>
    <w:rsid w:val="00F26EAE"/>
    <w:rsid w:val="00F276C3"/>
    <w:rsid w:val="00F27C29"/>
    <w:rsid w:val="00F301FD"/>
    <w:rsid w:val="00F3038C"/>
    <w:rsid w:val="00F3059E"/>
    <w:rsid w:val="00F306AB"/>
    <w:rsid w:val="00F30935"/>
    <w:rsid w:val="00F30FD1"/>
    <w:rsid w:val="00F310A8"/>
    <w:rsid w:val="00F312AC"/>
    <w:rsid w:val="00F31606"/>
    <w:rsid w:val="00F3182C"/>
    <w:rsid w:val="00F31943"/>
    <w:rsid w:val="00F31A40"/>
    <w:rsid w:val="00F32521"/>
    <w:rsid w:val="00F32C9C"/>
    <w:rsid w:val="00F3325E"/>
    <w:rsid w:val="00F33484"/>
    <w:rsid w:val="00F33499"/>
    <w:rsid w:val="00F33CA5"/>
    <w:rsid w:val="00F341BA"/>
    <w:rsid w:val="00F3477C"/>
    <w:rsid w:val="00F347CC"/>
    <w:rsid w:val="00F3493A"/>
    <w:rsid w:val="00F34DA3"/>
    <w:rsid w:val="00F35584"/>
    <w:rsid w:val="00F3569E"/>
    <w:rsid w:val="00F35737"/>
    <w:rsid w:val="00F359BB"/>
    <w:rsid w:val="00F35A21"/>
    <w:rsid w:val="00F35DE3"/>
    <w:rsid w:val="00F35F4F"/>
    <w:rsid w:val="00F36023"/>
    <w:rsid w:val="00F36428"/>
    <w:rsid w:val="00F36570"/>
    <w:rsid w:val="00F36663"/>
    <w:rsid w:val="00F369FB"/>
    <w:rsid w:val="00F36F51"/>
    <w:rsid w:val="00F3702C"/>
    <w:rsid w:val="00F3757F"/>
    <w:rsid w:val="00F3774E"/>
    <w:rsid w:val="00F37CE7"/>
    <w:rsid w:val="00F37E9B"/>
    <w:rsid w:val="00F400C2"/>
    <w:rsid w:val="00F40380"/>
    <w:rsid w:val="00F4043B"/>
    <w:rsid w:val="00F40686"/>
    <w:rsid w:val="00F40A51"/>
    <w:rsid w:val="00F40C2E"/>
    <w:rsid w:val="00F4133C"/>
    <w:rsid w:val="00F4153C"/>
    <w:rsid w:val="00F41661"/>
    <w:rsid w:val="00F41F81"/>
    <w:rsid w:val="00F42E6B"/>
    <w:rsid w:val="00F431F7"/>
    <w:rsid w:val="00F43FA8"/>
    <w:rsid w:val="00F444DA"/>
    <w:rsid w:val="00F445F1"/>
    <w:rsid w:val="00F44BC2"/>
    <w:rsid w:val="00F44CE6"/>
    <w:rsid w:val="00F44D6C"/>
    <w:rsid w:val="00F44F56"/>
    <w:rsid w:val="00F45019"/>
    <w:rsid w:val="00F4580B"/>
    <w:rsid w:val="00F458E2"/>
    <w:rsid w:val="00F466D3"/>
    <w:rsid w:val="00F467BD"/>
    <w:rsid w:val="00F467CB"/>
    <w:rsid w:val="00F46E59"/>
    <w:rsid w:val="00F472C0"/>
    <w:rsid w:val="00F476A0"/>
    <w:rsid w:val="00F477B1"/>
    <w:rsid w:val="00F47962"/>
    <w:rsid w:val="00F47BAA"/>
    <w:rsid w:val="00F47C13"/>
    <w:rsid w:val="00F501CE"/>
    <w:rsid w:val="00F50260"/>
    <w:rsid w:val="00F51189"/>
    <w:rsid w:val="00F51452"/>
    <w:rsid w:val="00F51463"/>
    <w:rsid w:val="00F5158B"/>
    <w:rsid w:val="00F515B1"/>
    <w:rsid w:val="00F51C09"/>
    <w:rsid w:val="00F520C6"/>
    <w:rsid w:val="00F521EF"/>
    <w:rsid w:val="00F527E4"/>
    <w:rsid w:val="00F52DA6"/>
    <w:rsid w:val="00F52DF9"/>
    <w:rsid w:val="00F52EEF"/>
    <w:rsid w:val="00F53057"/>
    <w:rsid w:val="00F53411"/>
    <w:rsid w:val="00F53438"/>
    <w:rsid w:val="00F53797"/>
    <w:rsid w:val="00F54013"/>
    <w:rsid w:val="00F5421D"/>
    <w:rsid w:val="00F54255"/>
    <w:rsid w:val="00F545DB"/>
    <w:rsid w:val="00F5483B"/>
    <w:rsid w:val="00F54898"/>
    <w:rsid w:val="00F54C33"/>
    <w:rsid w:val="00F54CD9"/>
    <w:rsid w:val="00F552AD"/>
    <w:rsid w:val="00F552EA"/>
    <w:rsid w:val="00F556BB"/>
    <w:rsid w:val="00F55C52"/>
    <w:rsid w:val="00F55E08"/>
    <w:rsid w:val="00F55ECE"/>
    <w:rsid w:val="00F56144"/>
    <w:rsid w:val="00F56456"/>
    <w:rsid w:val="00F5659F"/>
    <w:rsid w:val="00F56758"/>
    <w:rsid w:val="00F5677B"/>
    <w:rsid w:val="00F567EE"/>
    <w:rsid w:val="00F56A6F"/>
    <w:rsid w:val="00F56B3B"/>
    <w:rsid w:val="00F56B79"/>
    <w:rsid w:val="00F56BE8"/>
    <w:rsid w:val="00F56C02"/>
    <w:rsid w:val="00F56C2C"/>
    <w:rsid w:val="00F56CF5"/>
    <w:rsid w:val="00F57002"/>
    <w:rsid w:val="00F571B5"/>
    <w:rsid w:val="00F572B9"/>
    <w:rsid w:val="00F5761C"/>
    <w:rsid w:val="00F57B20"/>
    <w:rsid w:val="00F57F4A"/>
    <w:rsid w:val="00F6062F"/>
    <w:rsid w:val="00F60D09"/>
    <w:rsid w:val="00F610BC"/>
    <w:rsid w:val="00F610E2"/>
    <w:rsid w:val="00F611E8"/>
    <w:rsid w:val="00F61806"/>
    <w:rsid w:val="00F61D9D"/>
    <w:rsid w:val="00F61E8A"/>
    <w:rsid w:val="00F61F19"/>
    <w:rsid w:val="00F61F7F"/>
    <w:rsid w:val="00F62045"/>
    <w:rsid w:val="00F6224C"/>
    <w:rsid w:val="00F62411"/>
    <w:rsid w:val="00F62A03"/>
    <w:rsid w:val="00F62F6A"/>
    <w:rsid w:val="00F63143"/>
    <w:rsid w:val="00F63274"/>
    <w:rsid w:val="00F634DF"/>
    <w:rsid w:val="00F637AF"/>
    <w:rsid w:val="00F63978"/>
    <w:rsid w:val="00F63CD0"/>
    <w:rsid w:val="00F64CCF"/>
    <w:rsid w:val="00F64D34"/>
    <w:rsid w:val="00F65C10"/>
    <w:rsid w:val="00F65E84"/>
    <w:rsid w:val="00F663BA"/>
    <w:rsid w:val="00F66568"/>
    <w:rsid w:val="00F66604"/>
    <w:rsid w:val="00F6677B"/>
    <w:rsid w:val="00F66AF5"/>
    <w:rsid w:val="00F66DCC"/>
    <w:rsid w:val="00F67096"/>
    <w:rsid w:val="00F67516"/>
    <w:rsid w:val="00F67595"/>
    <w:rsid w:val="00F67C38"/>
    <w:rsid w:val="00F67E87"/>
    <w:rsid w:val="00F67FCF"/>
    <w:rsid w:val="00F701B0"/>
    <w:rsid w:val="00F70411"/>
    <w:rsid w:val="00F708BE"/>
    <w:rsid w:val="00F709C8"/>
    <w:rsid w:val="00F70F3F"/>
    <w:rsid w:val="00F70FDA"/>
    <w:rsid w:val="00F710A5"/>
    <w:rsid w:val="00F71549"/>
    <w:rsid w:val="00F72119"/>
    <w:rsid w:val="00F724AE"/>
    <w:rsid w:val="00F72DB6"/>
    <w:rsid w:val="00F730E0"/>
    <w:rsid w:val="00F73113"/>
    <w:rsid w:val="00F73354"/>
    <w:rsid w:val="00F7366E"/>
    <w:rsid w:val="00F738A8"/>
    <w:rsid w:val="00F73948"/>
    <w:rsid w:val="00F73973"/>
    <w:rsid w:val="00F739CA"/>
    <w:rsid w:val="00F73B5E"/>
    <w:rsid w:val="00F74427"/>
    <w:rsid w:val="00F74CB5"/>
    <w:rsid w:val="00F75175"/>
    <w:rsid w:val="00F75414"/>
    <w:rsid w:val="00F754D5"/>
    <w:rsid w:val="00F754E5"/>
    <w:rsid w:val="00F756B3"/>
    <w:rsid w:val="00F75A27"/>
    <w:rsid w:val="00F75E02"/>
    <w:rsid w:val="00F76851"/>
    <w:rsid w:val="00F76BCD"/>
    <w:rsid w:val="00F77730"/>
    <w:rsid w:val="00F77D11"/>
    <w:rsid w:val="00F77ECB"/>
    <w:rsid w:val="00F77FEA"/>
    <w:rsid w:val="00F80923"/>
    <w:rsid w:val="00F80E74"/>
    <w:rsid w:val="00F81510"/>
    <w:rsid w:val="00F8201C"/>
    <w:rsid w:val="00F82089"/>
    <w:rsid w:val="00F8218F"/>
    <w:rsid w:val="00F82281"/>
    <w:rsid w:val="00F82935"/>
    <w:rsid w:val="00F82A9F"/>
    <w:rsid w:val="00F82AB4"/>
    <w:rsid w:val="00F82B2C"/>
    <w:rsid w:val="00F8304B"/>
    <w:rsid w:val="00F831BB"/>
    <w:rsid w:val="00F833A4"/>
    <w:rsid w:val="00F8455C"/>
    <w:rsid w:val="00F85096"/>
    <w:rsid w:val="00F850C4"/>
    <w:rsid w:val="00F85289"/>
    <w:rsid w:val="00F854BA"/>
    <w:rsid w:val="00F85FB0"/>
    <w:rsid w:val="00F864E3"/>
    <w:rsid w:val="00F86663"/>
    <w:rsid w:val="00F86788"/>
    <w:rsid w:val="00F86B88"/>
    <w:rsid w:val="00F86B9D"/>
    <w:rsid w:val="00F86C33"/>
    <w:rsid w:val="00F86F81"/>
    <w:rsid w:val="00F871EE"/>
    <w:rsid w:val="00F87524"/>
    <w:rsid w:val="00F87ADF"/>
    <w:rsid w:val="00F87F1D"/>
    <w:rsid w:val="00F902D4"/>
    <w:rsid w:val="00F90350"/>
    <w:rsid w:val="00F90BC5"/>
    <w:rsid w:val="00F90F99"/>
    <w:rsid w:val="00F911C2"/>
    <w:rsid w:val="00F913AD"/>
    <w:rsid w:val="00F9152B"/>
    <w:rsid w:val="00F919A4"/>
    <w:rsid w:val="00F919D0"/>
    <w:rsid w:val="00F91AC8"/>
    <w:rsid w:val="00F91C97"/>
    <w:rsid w:val="00F91CDC"/>
    <w:rsid w:val="00F91FF3"/>
    <w:rsid w:val="00F922E5"/>
    <w:rsid w:val="00F9238E"/>
    <w:rsid w:val="00F925B7"/>
    <w:rsid w:val="00F92700"/>
    <w:rsid w:val="00F92833"/>
    <w:rsid w:val="00F93627"/>
    <w:rsid w:val="00F9362E"/>
    <w:rsid w:val="00F936A3"/>
    <w:rsid w:val="00F936C9"/>
    <w:rsid w:val="00F938C6"/>
    <w:rsid w:val="00F93A36"/>
    <w:rsid w:val="00F93B3E"/>
    <w:rsid w:val="00F93C57"/>
    <w:rsid w:val="00F93FF2"/>
    <w:rsid w:val="00F9400A"/>
    <w:rsid w:val="00F942B1"/>
    <w:rsid w:val="00F944FD"/>
    <w:rsid w:val="00F9465C"/>
    <w:rsid w:val="00F947D3"/>
    <w:rsid w:val="00F947DC"/>
    <w:rsid w:val="00F94EB8"/>
    <w:rsid w:val="00F94FF4"/>
    <w:rsid w:val="00F95122"/>
    <w:rsid w:val="00F9513A"/>
    <w:rsid w:val="00F95554"/>
    <w:rsid w:val="00F95A06"/>
    <w:rsid w:val="00F95D7C"/>
    <w:rsid w:val="00F96419"/>
    <w:rsid w:val="00F96570"/>
    <w:rsid w:val="00F965C8"/>
    <w:rsid w:val="00F9667F"/>
    <w:rsid w:val="00F97B15"/>
    <w:rsid w:val="00FA01C5"/>
    <w:rsid w:val="00FA050F"/>
    <w:rsid w:val="00FA05DA"/>
    <w:rsid w:val="00FA0F27"/>
    <w:rsid w:val="00FA0FDE"/>
    <w:rsid w:val="00FA172B"/>
    <w:rsid w:val="00FA1951"/>
    <w:rsid w:val="00FA1BB0"/>
    <w:rsid w:val="00FA1D6E"/>
    <w:rsid w:val="00FA2145"/>
    <w:rsid w:val="00FA2388"/>
    <w:rsid w:val="00FA2609"/>
    <w:rsid w:val="00FA2789"/>
    <w:rsid w:val="00FA28A1"/>
    <w:rsid w:val="00FA2B83"/>
    <w:rsid w:val="00FA2CE6"/>
    <w:rsid w:val="00FA3274"/>
    <w:rsid w:val="00FA33A8"/>
    <w:rsid w:val="00FA351D"/>
    <w:rsid w:val="00FA4B2B"/>
    <w:rsid w:val="00FA4D6C"/>
    <w:rsid w:val="00FA4E49"/>
    <w:rsid w:val="00FA51F8"/>
    <w:rsid w:val="00FA535A"/>
    <w:rsid w:val="00FA5661"/>
    <w:rsid w:val="00FA56CB"/>
    <w:rsid w:val="00FA5992"/>
    <w:rsid w:val="00FA59A8"/>
    <w:rsid w:val="00FA676E"/>
    <w:rsid w:val="00FA6B00"/>
    <w:rsid w:val="00FA6BCD"/>
    <w:rsid w:val="00FA6DB6"/>
    <w:rsid w:val="00FA72D6"/>
    <w:rsid w:val="00FA79B4"/>
    <w:rsid w:val="00FA7AEC"/>
    <w:rsid w:val="00FA7E05"/>
    <w:rsid w:val="00FB015E"/>
    <w:rsid w:val="00FB020A"/>
    <w:rsid w:val="00FB03A3"/>
    <w:rsid w:val="00FB06E7"/>
    <w:rsid w:val="00FB08E0"/>
    <w:rsid w:val="00FB10FD"/>
    <w:rsid w:val="00FB1178"/>
    <w:rsid w:val="00FB13CE"/>
    <w:rsid w:val="00FB19A3"/>
    <w:rsid w:val="00FB1BCA"/>
    <w:rsid w:val="00FB22BC"/>
    <w:rsid w:val="00FB33DC"/>
    <w:rsid w:val="00FB4127"/>
    <w:rsid w:val="00FB4173"/>
    <w:rsid w:val="00FB42A0"/>
    <w:rsid w:val="00FB474A"/>
    <w:rsid w:val="00FB4BDF"/>
    <w:rsid w:val="00FB4CC8"/>
    <w:rsid w:val="00FB4D99"/>
    <w:rsid w:val="00FB4DD3"/>
    <w:rsid w:val="00FB5149"/>
    <w:rsid w:val="00FB51C7"/>
    <w:rsid w:val="00FB555E"/>
    <w:rsid w:val="00FB559A"/>
    <w:rsid w:val="00FB5755"/>
    <w:rsid w:val="00FB5828"/>
    <w:rsid w:val="00FB5C42"/>
    <w:rsid w:val="00FB60EA"/>
    <w:rsid w:val="00FB6183"/>
    <w:rsid w:val="00FB65D7"/>
    <w:rsid w:val="00FB6B91"/>
    <w:rsid w:val="00FB6EA9"/>
    <w:rsid w:val="00FB6F69"/>
    <w:rsid w:val="00FB7041"/>
    <w:rsid w:val="00FB71FA"/>
    <w:rsid w:val="00FB734D"/>
    <w:rsid w:val="00FB7680"/>
    <w:rsid w:val="00FB7971"/>
    <w:rsid w:val="00FB7D27"/>
    <w:rsid w:val="00FB7EC5"/>
    <w:rsid w:val="00FC02B8"/>
    <w:rsid w:val="00FC0947"/>
    <w:rsid w:val="00FC0CDB"/>
    <w:rsid w:val="00FC0F9D"/>
    <w:rsid w:val="00FC0FF7"/>
    <w:rsid w:val="00FC12AE"/>
    <w:rsid w:val="00FC146F"/>
    <w:rsid w:val="00FC1569"/>
    <w:rsid w:val="00FC15C4"/>
    <w:rsid w:val="00FC1665"/>
    <w:rsid w:val="00FC1963"/>
    <w:rsid w:val="00FC1F68"/>
    <w:rsid w:val="00FC23E8"/>
    <w:rsid w:val="00FC2541"/>
    <w:rsid w:val="00FC27F3"/>
    <w:rsid w:val="00FC291C"/>
    <w:rsid w:val="00FC2A10"/>
    <w:rsid w:val="00FC2B5C"/>
    <w:rsid w:val="00FC2BA1"/>
    <w:rsid w:val="00FC30B0"/>
    <w:rsid w:val="00FC3614"/>
    <w:rsid w:val="00FC37A5"/>
    <w:rsid w:val="00FC3990"/>
    <w:rsid w:val="00FC39F9"/>
    <w:rsid w:val="00FC3B64"/>
    <w:rsid w:val="00FC444B"/>
    <w:rsid w:val="00FC476B"/>
    <w:rsid w:val="00FC4B9A"/>
    <w:rsid w:val="00FC4C5A"/>
    <w:rsid w:val="00FC4E21"/>
    <w:rsid w:val="00FC5595"/>
    <w:rsid w:val="00FC5F32"/>
    <w:rsid w:val="00FC604E"/>
    <w:rsid w:val="00FC6279"/>
    <w:rsid w:val="00FC62DE"/>
    <w:rsid w:val="00FC685C"/>
    <w:rsid w:val="00FC69B1"/>
    <w:rsid w:val="00FC69EA"/>
    <w:rsid w:val="00FC6B27"/>
    <w:rsid w:val="00FC6D5E"/>
    <w:rsid w:val="00FC748A"/>
    <w:rsid w:val="00FC763F"/>
    <w:rsid w:val="00FC7A6E"/>
    <w:rsid w:val="00FD03D5"/>
    <w:rsid w:val="00FD0400"/>
    <w:rsid w:val="00FD0457"/>
    <w:rsid w:val="00FD05ED"/>
    <w:rsid w:val="00FD15CF"/>
    <w:rsid w:val="00FD188C"/>
    <w:rsid w:val="00FD18C7"/>
    <w:rsid w:val="00FD1A4D"/>
    <w:rsid w:val="00FD1BEF"/>
    <w:rsid w:val="00FD20C7"/>
    <w:rsid w:val="00FD21AC"/>
    <w:rsid w:val="00FD414F"/>
    <w:rsid w:val="00FD4430"/>
    <w:rsid w:val="00FD44B1"/>
    <w:rsid w:val="00FD484F"/>
    <w:rsid w:val="00FD4D3F"/>
    <w:rsid w:val="00FD4F30"/>
    <w:rsid w:val="00FD5007"/>
    <w:rsid w:val="00FD5166"/>
    <w:rsid w:val="00FD51C4"/>
    <w:rsid w:val="00FD5224"/>
    <w:rsid w:val="00FD5250"/>
    <w:rsid w:val="00FD54AC"/>
    <w:rsid w:val="00FD54CE"/>
    <w:rsid w:val="00FD5724"/>
    <w:rsid w:val="00FD5738"/>
    <w:rsid w:val="00FD5867"/>
    <w:rsid w:val="00FD5DC1"/>
    <w:rsid w:val="00FD5E48"/>
    <w:rsid w:val="00FD5E89"/>
    <w:rsid w:val="00FD5FF4"/>
    <w:rsid w:val="00FD6D33"/>
    <w:rsid w:val="00FD7008"/>
    <w:rsid w:val="00FD75CA"/>
    <w:rsid w:val="00FD7D42"/>
    <w:rsid w:val="00FE0006"/>
    <w:rsid w:val="00FE0A2E"/>
    <w:rsid w:val="00FE14B5"/>
    <w:rsid w:val="00FE1880"/>
    <w:rsid w:val="00FE1AAC"/>
    <w:rsid w:val="00FE1C24"/>
    <w:rsid w:val="00FE1CFE"/>
    <w:rsid w:val="00FE1D2B"/>
    <w:rsid w:val="00FE1DA7"/>
    <w:rsid w:val="00FE1FFD"/>
    <w:rsid w:val="00FE22A3"/>
    <w:rsid w:val="00FE2351"/>
    <w:rsid w:val="00FE2923"/>
    <w:rsid w:val="00FE2B67"/>
    <w:rsid w:val="00FE2C9C"/>
    <w:rsid w:val="00FE2D4B"/>
    <w:rsid w:val="00FE3020"/>
    <w:rsid w:val="00FE32E7"/>
    <w:rsid w:val="00FE33B0"/>
    <w:rsid w:val="00FE34A9"/>
    <w:rsid w:val="00FE3756"/>
    <w:rsid w:val="00FE38BF"/>
    <w:rsid w:val="00FE4348"/>
    <w:rsid w:val="00FE4611"/>
    <w:rsid w:val="00FE4706"/>
    <w:rsid w:val="00FE478B"/>
    <w:rsid w:val="00FE4B30"/>
    <w:rsid w:val="00FE4F95"/>
    <w:rsid w:val="00FE516F"/>
    <w:rsid w:val="00FE54DE"/>
    <w:rsid w:val="00FE57FC"/>
    <w:rsid w:val="00FE5A9F"/>
    <w:rsid w:val="00FE5F45"/>
    <w:rsid w:val="00FE5FCC"/>
    <w:rsid w:val="00FE612E"/>
    <w:rsid w:val="00FE6366"/>
    <w:rsid w:val="00FE65D9"/>
    <w:rsid w:val="00FE6773"/>
    <w:rsid w:val="00FE6910"/>
    <w:rsid w:val="00FE6916"/>
    <w:rsid w:val="00FE6F2B"/>
    <w:rsid w:val="00FE76A5"/>
    <w:rsid w:val="00FE772B"/>
    <w:rsid w:val="00FE78A8"/>
    <w:rsid w:val="00FE7B19"/>
    <w:rsid w:val="00FE7DBF"/>
    <w:rsid w:val="00FE7F7B"/>
    <w:rsid w:val="00FF03C5"/>
    <w:rsid w:val="00FF0450"/>
    <w:rsid w:val="00FF05A1"/>
    <w:rsid w:val="00FF0738"/>
    <w:rsid w:val="00FF10BD"/>
    <w:rsid w:val="00FF19D3"/>
    <w:rsid w:val="00FF1CB9"/>
    <w:rsid w:val="00FF2213"/>
    <w:rsid w:val="00FF224D"/>
    <w:rsid w:val="00FF2262"/>
    <w:rsid w:val="00FF271B"/>
    <w:rsid w:val="00FF2768"/>
    <w:rsid w:val="00FF2829"/>
    <w:rsid w:val="00FF2A0B"/>
    <w:rsid w:val="00FF2B25"/>
    <w:rsid w:val="00FF4139"/>
    <w:rsid w:val="00FF4485"/>
    <w:rsid w:val="00FF449A"/>
    <w:rsid w:val="00FF45E0"/>
    <w:rsid w:val="00FF4683"/>
    <w:rsid w:val="00FF495F"/>
    <w:rsid w:val="00FF5529"/>
    <w:rsid w:val="00FF55C2"/>
    <w:rsid w:val="00FF5D67"/>
    <w:rsid w:val="00FF5E18"/>
    <w:rsid w:val="00FF6583"/>
    <w:rsid w:val="00FF68EB"/>
    <w:rsid w:val="00FF6B90"/>
    <w:rsid w:val="00FF74D1"/>
    <w:rsid w:val="00FF7ED1"/>
    <w:rsid w:val="05F61F23"/>
    <w:rsid w:val="14AA53E7"/>
    <w:rsid w:val="16FA4870"/>
    <w:rsid w:val="4075AF0C"/>
    <w:rsid w:val="4E626E87"/>
    <w:rsid w:val="66FDD2A6"/>
    <w:rsid w:val="6E0B99E8"/>
    <w:rsid w:val="7F168DF1"/>
  </w:rsids>
  <m:mathPr>
    <m:mathFont m:val="Cambria Math"/>
    <m:brkBin m:val="before"/>
    <m:brkBinSub m:val="--"/>
    <m:smallFrac m:val="0"/>
    <m:dispDef/>
    <m:lMargin m:val="0"/>
    <m:rMargin m:val="0"/>
    <m:defJc m:val="centerGroup"/>
    <m:wrapIndent m:val="1440"/>
    <m:intLim m:val="subSup"/>
    <m:naryLim m:val="undOvr"/>
  </m:mathPr>
  <w:themeFontLang w:val="da-D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white,#0cf"/>
    </o:shapedefaults>
    <o:shapelayout v:ext="edit">
      <o:idmap v:ext="edit" data="2"/>
    </o:shapelayout>
  </w:shapeDefaults>
  <w:decimalSymbol w:val="."/>
  <w:listSeparator w:val=","/>
  <w14:docId w14:val="672D0C50"/>
  <w15:docId w15:val="{4A239E32-BD6C-4DD8-8CDB-818657C46C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Verdana" w:eastAsiaTheme="minorHAnsi" w:hAnsi="Verdana" w:cstheme="minorBidi"/>
        <w:sz w:val="18"/>
        <w:szCs w:val="18"/>
        <w:lang w:val="da-DK" w:eastAsia="en-US" w:bidi="ar-SA"/>
      </w:rPr>
    </w:rPrDefault>
    <w:pPrDefault>
      <w:pPr>
        <w:spacing w:line="26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qFormat="1"/>
    <w:lsdException w:name="toc 5" w:semiHidden="1" w:unhideWhenUsed="1" w:qFormat="1"/>
    <w:lsdException w:name="toc 6" w:semiHidden="1" w:unhideWhenUsed="1" w:qFormat="1"/>
    <w:lsdException w:name="toc 7" w:semiHidden="1" w:uiPriority="39" w:unhideWhenUsed="1"/>
    <w:lsdException w:name="toc 8" w:semiHidden="1" w:uiPriority="39" w:unhideWhenUsed="1"/>
    <w:lsdException w:name="toc 9" w:semiHidden="1" w:unhideWhenUsed="1"/>
    <w:lsdException w:name="Normal Indent" w:semiHidden="1" w:unhideWhenUsed="1" w:qFormat="1"/>
    <w:lsdException w:name="footnote text" w:semiHidden="1" w:unhideWhenUsed="1" w:qFormat="1"/>
    <w:lsdException w:name="annotation text" w:semiHidden="1"/>
    <w:lsdException w:name="header" w:semiHidden="1" w:unhideWhenUsed="1" w:qFormat="1"/>
    <w:lsdException w:name="footer" w:semiHidden="1" w:unhideWhenUsed="1" w:qFormat="1"/>
    <w:lsdException w:name="index heading" w:semiHidden="1"/>
    <w:lsdException w:name="caption" w:semiHidden="1" w:uiPriority="35" w:unhideWhenUsed="1" w:qFormat="1"/>
    <w:lsdException w:name="table of figures" w:semiHidden="1" w:unhideWhenUsed="1" w:qFormat="1"/>
    <w:lsdException w:name="envelope address" w:semiHidden="1"/>
    <w:lsdException w:name="envelope return" w:semiHidden="1"/>
    <w:lsdException w:name="footnote reference" w:semiHidden="1" w:qFormat="1"/>
    <w:lsdException w:name="annotation reference" w:semiHidden="1"/>
    <w:lsdException w:name="line number" w:semiHidden="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lsdException w:name="toa heading" w:semiHidden="1" w:unhideWhenUsed="1"/>
    <w:lsdException w:name="List" w:semiHidden="1"/>
    <w:lsdException w:name="List Bullet" w:semiHidden="1" w:unhideWhenUsed="1" w:qFormat="1"/>
    <w:lsdException w:name="List Number" w:uiPriority="0" w:qFormat="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qFormat="1"/>
    <w:lsdException w:name="Closing" w:semiHidden="1"/>
    <w:lsdException w:name="Signature" w:semiHidden="1" w:unhideWhenUsed="1"/>
    <w:lsdException w:name="Default Paragraph Font" w:semiHidden="1" w:uiPriority="1" w:unhideWhenUsed="1"/>
    <w:lsdException w:name="Body Text" w:semiHidden="1" w:qFormat="1"/>
    <w:lsdException w:name="Body Text Indent" w:semiHidden="1" w:qFormat="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5"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unhideWhenUsed="1"/>
    <w:lsdException w:name="Hyperlink" w:semiHidden="1"/>
    <w:lsdException w:name="FollowedHyperlink" w:semiHidden="1"/>
    <w:lsdException w:name="Strong" w:uiPriority="22" w:qFormat="1"/>
    <w:lsdException w:name="Emphasis" w:semiHidden="1" w:uiPriority="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unhideWhenUsed="1"/>
    <w:lsdException w:name="HTML Sample" w:semiHidden="1"/>
    <w:lsdException w:name="HTML Typewriter" w:semiHidden="1"/>
    <w:lsdException w:name="HTML Variable" w:semiHidden="1" w:unhideWhenUsed="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iPriority="0"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iPriority="0" w:unhideWhenUsed="1"/>
    <w:lsdException w:name="Table Subtle 1" w:semiHidden="1" w:unhideWhenUsed="1"/>
    <w:lsdException w:name="Table Subtle 2" w:semiHidden="1"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2CF7"/>
    <w:rPr>
      <w:lang w:val="ro-RO"/>
    </w:rPr>
  </w:style>
  <w:style w:type="paragraph" w:styleId="Heading1">
    <w:name w:val="heading 1"/>
    <w:aliases w:val="H1,Main Heading,Chapitre,h1,H11,H12,H111,H13,H112,H14,H113,H15,H114,H16,H115,H17,H116,H18,H117,H19,H118,H110,H119,H120,H1110,Chap,Heading 1 Char Char,h11,h12,h13,BSL,BSL Char,Heading 1 Char2,Heading 1 Char1 Char,Chap Char Char,h1 Char Char,62"/>
    <w:basedOn w:val="Normal"/>
    <w:next w:val="Normal"/>
    <w:link w:val="Heading1Char"/>
    <w:uiPriority w:val="9"/>
    <w:qFormat/>
    <w:rsid w:val="00920D86"/>
    <w:pPr>
      <w:keepNext/>
      <w:keepLines/>
      <w:numPr>
        <w:numId w:val="2"/>
      </w:numPr>
      <w:suppressAutoHyphens/>
      <w:spacing w:before="280" w:after="280" w:line="360" w:lineRule="atLeast"/>
      <w:contextualSpacing/>
      <w:outlineLvl w:val="0"/>
    </w:pPr>
    <w:rPr>
      <w:rFonts w:eastAsiaTheme="majorEastAsia" w:cstheme="majorBidi"/>
      <w:bCs/>
      <w:color w:val="009DF0" w:themeColor="text2"/>
      <w:sz w:val="28"/>
      <w:szCs w:val="28"/>
    </w:rPr>
  </w:style>
  <w:style w:type="paragraph" w:styleId="Heading2">
    <w:name w:val="heading 2"/>
    <w:aliases w:val="Section Char,L2 Char,Section head Char,SH Char,Section,L2,Section head,SH,Titlu subcap,h2,SH Caracter,Zweite Ebene,T2,Nadpis_2,AB,Numbered - 2,Sub Heading,ignorer2,Fejléc 2,Zweite Ebene Caracter,heading 2"/>
    <w:basedOn w:val="Normal"/>
    <w:link w:val="Heading2Char"/>
    <w:uiPriority w:val="9"/>
    <w:qFormat/>
    <w:rsid w:val="00920D86"/>
    <w:pPr>
      <w:keepNext/>
      <w:keepLines/>
      <w:numPr>
        <w:ilvl w:val="1"/>
        <w:numId w:val="2"/>
      </w:numPr>
      <w:suppressAutoHyphens/>
      <w:spacing w:before="260"/>
      <w:contextualSpacing/>
      <w:outlineLvl w:val="1"/>
    </w:pPr>
    <w:rPr>
      <w:rFonts w:eastAsiaTheme="majorEastAsia" w:cstheme="majorBidi"/>
      <w:bCs/>
      <w:szCs w:val="26"/>
    </w:rPr>
  </w:style>
  <w:style w:type="paragraph" w:styleId="Heading3">
    <w:name w:val="heading 3"/>
    <w:aliases w:val="Section SubHeading Char,L3 Char,Section SubHeading,L3,Sous-titre (3),h3,PA Minor Section,Minor,3,numbered indent 3,ni3,Level 1 - 1,Level 1 - 11,Third Level Head,h3 sub heading,DNV-H3,Arial 12 Fett,ASAPHeading 3,hd3,R&amp;S - Titre 3,Titre 3 SQ,T3"/>
    <w:basedOn w:val="Normal"/>
    <w:next w:val="Normal"/>
    <w:link w:val="Heading3Char"/>
    <w:uiPriority w:val="9"/>
    <w:qFormat/>
    <w:rsid w:val="00920D86"/>
    <w:pPr>
      <w:keepNext/>
      <w:keepLines/>
      <w:numPr>
        <w:ilvl w:val="2"/>
        <w:numId w:val="2"/>
      </w:numPr>
      <w:spacing w:before="260"/>
      <w:contextualSpacing/>
      <w:outlineLvl w:val="2"/>
    </w:pPr>
    <w:rPr>
      <w:rFonts w:eastAsiaTheme="majorEastAsia" w:cstheme="majorBidi"/>
      <w:bCs/>
    </w:rPr>
  </w:style>
  <w:style w:type="paragraph" w:styleId="Heading4">
    <w:name w:val="heading 4"/>
    <w:aliases w:val="Heading 4 Char2,Heading 4 Char Char2,Heading 4 Char1 Char Char1,Heading 4 Char Char Char Char1,Heading 4 Char1 Char1,Heading 4 Char Char Char1,Heading 4 Char1 Char Char Char,Heading 4 Char Char Char Char Char,Heading 4 Char Char1 Char,Char2"/>
    <w:basedOn w:val="Normal"/>
    <w:next w:val="Normal"/>
    <w:link w:val="Heading4Char"/>
    <w:qFormat/>
    <w:rsid w:val="00920D86"/>
    <w:pPr>
      <w:keepNext/>
      <w:keepLines/>
      <w:numPr>
        <w:ilvl w:val="3"/>
        <w:numId w:val="2"/>
      </w:numPr>
      <w:spacing w:before="260"/>
      <w:contextualSpacing/>
      <w:outlineLvl w:val="3"/>
    </w:pPr>
    <w:rPr>
      <w:rFonts w:eastAsiaTheme="majorEastAsia" w:cstheme="majorBidi"/>
      <w:bCs/>
      <w:iCs/>
    </w:rPr>
  </w:style>
  <w:style w:type="paragraph" w:styleId="Heading5">
    <w:name w:val="heading 5"/>
    <w:aliases w:val="Kop 1A,1.1.1.1.1,PA Pico Section,h5,DNV-H5,Roman list,Lev 5,5 sub-bullet,sb,H5,Titre 1.1111,Aston T5,(Shift Ctrl 5),DO NOT USE_h5,Block Label,T5,Titre5,heading 5,a),NCS-H5,Level 3 - i,Chapitre 1.1.1.1.,niveau 5,Sous-chapitre (niveau 4),Titre51"/>
    <w:basedOn w:val="Normal"/>
    <w:next w:val="Normal"/>
    <w:link w:val="Heading5Char"/>
    <w:qFormat/>
    <w:rsid w:val="00920D86"/>
    <w:pPr>
      <w:keepNext/>
      <w:keepLines/>
      <w:numPr>
        <w:ilvl w:val="4"/>
        <w:numId w:val="2"/>
      </w:numPr>
      <w:spacing w:before="260"/>
      <w:contextualSpacing/>
      <w:outlineLvl w:val="4"/>
    </w:pPr>
    <w:rPr>
      <w:rFonts w:eastAsiaTheme="majorEastAsia" w:cstheme="majorBidi"/>
      <w:u w:val="single"/>
    </w:rPr>
  </w:style>
  <w:style w:type="paragraph" w:styleId="Heading6">
    <w:name w:val="heading 6"/>
    <w:aliases w:val="PA Appendix,Appendix,DNV-H6,Bullet list,Lev 6,sub-dash,sd,5,H6,Annexe1,Aston T6,(Shift Ctrl 6),DO NOT USE_h6,Niveau 6,Niveau6,Legal Level 1.,6,Annexe,h6,appendix flysheet,Renvoi Noir,Ref Heading 3,rh3,Ref Heading 31,rh31,H61,Third Subheading"/>
    <w:basedOn w:val="Normal"/>
    <w:next w:val="Normal"/>
    <w:link w:val="Heading6Char"/>
    <w:qFormat/>
    <w:rsid w:val="00920D86"/>
    <w:pPr>
      <w:keepNext/>
      <w:keepLines/>
      <w:numPr>
        <w:ilvl w:val="5"/>
        <w:numId w:val="2"/>
      </w:numPr>
      <w:spacing w:before="260"/>
      <w:contextualSpacing/>
      <w:outlineLvl w:val="5"/>
    </w:pPr>
    <w:rPr>
      <w:rFonts w:eastAsiaTheme="majorEastAsia" w:cstheme="majorBidi"/>
      <w:b/>
      <w:iCs/>
    </w:rPr>
  </w:style>
  <w:style w:type="paragraph" w:styleId="Heading7">
    <w:name w:val="heading 7"/>
    <w:aliases w:val="PA Appendix Major,DNV-H7,letter list,lettered list,Lev 7,H7,Annexe2,Aston T7,(Shift Ctrl 7),T7,1.2.3.4.5.6.7.,Legal Level 1.1.,L7,Annexe 1,figure caption,Renvoi Bleu,Edf Titre 7,Heading 7 CFMU,Chapitre niveau 7,nul,h7,heading 7,Do Not Use3,7"/>
    <w:basedOn w:val="Normal"/>
    <w:next w:val="Normal"/>
    <w:link w:val="Heading7Char"/>
    <w:qFormat/>
    <w:rsid w:val="00920D86"/>
    <w:pPr>
      <w:keepNext/>
      <w:keepLines/>
      <w:numPr>
        <w:ilvl w:val="6"/>
        <w:numId w:val="2"/>
      </w:numPr>
      <w:spacing w:before="260"/>
      <w:contextualSpacing/>
      <w:outlineLvl w:val="6"/>
    </w:pPr>
    <w:rPr>
      <w:rFonts w:eastAsiaTheme="majorEastAsia" w:cstheme="majorBidi"/>
      <w:b/>
      <w:iCs/>
    </w:rPr>
  </w:style>
  <w:style w:type="paragraph" w:styleId="Heading8">
    <w:name w:val="heading 8"/>
    <w:aliases w:val="=Heading 3 w/o number,PA Appendix Minor,DNV-H8,Lev 8,Center Bold,action,Annexe3,Aston Légende,t, action,T8,text,Legal Level 1.1.1.,Annexe 2,table caption,Renvoi Rouge,Edf Titre 8,Heading 8 CFMU,Chapitre niveau 8,h8,heading 8,Do Not Use2"/>
    <w:basedOn w:val="Normal"/>
    <w:next w:val="Normal"/>
    <w:link w:val="Heading8Char"/>
    <w:qFormat/>
    <w:rsid w:val="00920D86"/>
    <w:pPr>
      <w:keepNext/>
      <w:keepLines/>
      <w:numPr>
        <w:ilvl w:val="7"/>
        <w:numId w:val="2"/>
      </w:numPr>
      <w:spacing w:before="260"/>
      <w:contextualSpacing/>
      <w:outlineLvl w:val="7"/>
    </w:pPr>
    <w:rPr>
      <w:rFonts w:eastAsiaTheme="majorEastAsia" w:cstheme="majorBidi"/>
      <w:b/>
      <w:szCs w:val="20"/>
    </w:rPr>
  </w:style>
  <w:style w:type="paragraph" w:styleId="Heading9">
    <w:name w:val="heading 9"/>
    <w:aliases w:val="Reference Appendix,DNV-H9,Lev 9,progress,Annexe4, progress,App Heading,Legal Level 1.1.1.1.,Annexe 3,Renvoi Vert,Edf Titre 9,Heading 9 CFMU,Chapitre niveau 9,h9,RFP Reference,Do Not Use1,titre l1c1,titre l1c11,titre l1c12,titre l1c13,Tables"/>
    <w:basedOn w:val="Normal"/>
    <w:next w:val="Normal"/>
    <w:link w:val="Heading9Char"/>
    <w:qFormat/>
    <w:rsid w:val="00920D86"/>
    <w:pPr>
      <w:keepNext/>
      <w:keepLines/>
      <w:numPr>
        <w:ilvl w:val="8"/>
        <w:numId w:val="2"/>
      </w:numPr>
      <w:spacing w:before="260"/>
      <w:contextualSpacing/>
      <w:outlineLvl w:val="8"/>
    </w:pPr>
    <w:rPr>
      <w:rFonts w:eastAsiaTheme="majorEastAsia"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1,Header Title,Header 1,Encabezado 2,encabezado,Header Title Car Car,Header Title Car,En-tête client,Fejléc4,E.e,TussenBladHeader,Header1 Char Char Char Char Char Char,Header1 Char Char Char,Header Char Char Char,hd"/>
    <w:basedOn w:val="Normal"/>
    <w:link w:val="HeaderChar"/>
    <w:uiPriority w:val="99"/>
    <w:qFormat/>
    <w:rsid w:val="00920D86"/>
    <w:pPr>
      <w:spacing w:line="160" w:lineRule="atLeast"/>
    </w:pPr>
    <w:rPr>
      <w:color w:val="D0CFC2"/>
    </w:rPr>
  </w:style>
  <w:style w:type="character" w:customStyle="1" w:styleId="HeaderChar">
    <w:name w:val="Header Char"/>
    <w:aliases w:val="Header1 Char,Header Title Char,Header 1 Char,Encabezado 2 Char,encabezado Char,Header Title Car Car Char,Header Title Car Char,En-tête client Char,Fejléc4 Char,E.e Char,TussenBladHeader Char,Header1 Char Char Char Char Char Char Char,hd Char"/>
    <w:basedOn w:val="DefaultParagraphFont"/>
    <w:link w:val="Header"/>
    <w:uiPriority w:val="99"/>
    <w:rsid w:val="00920D86"/>
    <w:rPr>
      <w:color w:val="D0CFC2"/>
      <w:lang w:val="en-US"/>
    </w:rPr>
  </w:style>
  <w:style w:type="paragraph" w:styleId="Footer">
    <w:name w:val="footer"/>
    <w:aliases w:val="Fußzeile-2,Bas de page,eersteregel,EPZ_O_Footer,EPZ_U_Footer,EPZ_P_Footer,EPZ_R_Footer"/>
    <w:basedOn w:val="Normal"/>
    <w:link w:val="FooterChar"/>
    <w:uiPriority w:val="99"/>
    <w:qFormat/>
    <w:rsid w:val="00920D86"/>
    <w:pPr>
      <w:tabs>
        <w:tab w:val="center" w:pos="4819"/>
        <w:tab w:val="right" w:pos="9638"/>
      </w:tabs>
      <w:spacing w:line="200" w:lineRule="atLeast"/>
    </w:pPr>
    <w:rPr>
      <w:sz w:val="12"/>
    </w:rPr>
  </w:style>
  <w:style w:type="character" w:customStyle="1" w:styleId="FooterChar">
    <w:name w:val="Footer Char"/>
    <w:aliases w:val="Fußzeile-2 Char,Bas de page Char,eersteregel Char,EPZ_O_Footer Char,EPZ_U_Footer Char,EPZ_P_Footer Char,EPZ_R_Footer Char"/>
    <w:basedOn w:val="DefaultParagraphFont"/>
    <w:link w:val="Footer"/>
    <w:uiPriority w:val="99"/>
    <w:rsid w:val="00920D86"/>
    <w:rPr>
      <w:sz w:val="12"/>
      <w:lang w:val="en-US"/>
    </w:rPr>
  </w:style>
  <w:style w:type="character" w:customStyle="1" w:styleId="Heading1Char">
    <w:name w:val="Heading 1 Char"/>
    <w:aliases w:val="H1 Char,Main Heading Char,Chapitre Char,h1 Char,H11 Char,H12 Char,H111 Char,H13 Char,H112 Char,H14 Char,H113 Char,H15 Char,H114 Char,H16 Char,H115 Char,H17 Char,H116 Char,H18 Char,H117 Char,H19 Char,H118 Char,H110 Char,H119 Char,H120 Char"/>
    <w:basedOn w:val="DefaultParagraphFont"/>
    <w:link w:val="Heading1"/>
    <w:uiPriority w:val="9"/>
    <w:rsid w:val="00920D86"/>
    <w:rPr>
      <w:rFonts w:eastAsiaTheme="majorEastAsia" w:cstheme="majorBidi"/>
      <w:bCs/>
      <w:color w:val="009DF0" w:themeColor="text2"/>
      <w:sz w:val="28"/>
      <w:szCs w:val="28"/>
      <w:lang w:val="ro-RO"/>
    </w:rPr>
  </w:style>
  <w:style w:type="character" w:customStyle="1" w:styleId="Heading2Char">
    <w:name w:val="Heading 2 Char"/>
    <w:aliases w:val="Section Char Char1,L2 Char Char1,Section head Char Char1,SH Char Char2,Section Char2,L2 Char2,Section head Char2,SH Char1,Titlu subcap Char,h2 Char,SH Caracter Char,Zweite Ebene Char,T2 Char,Nadpis_2 Char,AB Char,Numbered - 2 Char"/>
    <w:basedOn w:val="DefaultParagraphFont"/>
    <w:link w:val="Heading2"/>
    <w:uiPriority w:val="9"/>
    <w:rsid w:val="00920D86"/>
    <w:rPr>
      <w:rFonts w:eastAsiaTheme="majorEastAsia" w:cstheme="majorBidi"/>
      <w:bCs/>
      <w:szCs w:val="26"/>
      <w:lang w:val="ro-RO"/>
    </w:rPr>
  </w:style>
  <w:style w:type="character" w:customStyle="1" w:styleId="Heading3Char">
    <w:name w:val="Heading 3 Char"/>
    <w:aliases w:val="Section SubHeading Char Char1,L3 Char Char2,Section SubHeading Char2,L3 Char1,Sous-titre (3) Char,h3 Char,PA Minor Section Char,Minor Char,3 Char,numbered indent 3 Char,ni3 Char,Level 1 - 1 Char,Level 1 - 11 Char,Third Level Head Char"/>
    <w:basedOn w:val="DefaultParagraphFont"/>
    <w:link w:val="Heading3"/>
    <w:uiPriority w:val="9"/>
    <w:rsid w:val="00920D86"/>
    <w:rPr>
      <w:rFonts w:eastAsiaTheme="majorEastAsia" w:cstheme="majorBidi"/>
      <w:bCs/>
      <w:lang w:val="ro-RO"/>
    </w:rPr>
  </w:style>
  <w:style w:type="character" w:customStyle="1" w:styleId="Heading4Char">
    <w:name w:val="Heading 4 Char"/>
    <w:aliases w:val="Heading 4 Char2 Char1,Heading 4 Char Char2 Char1,Heading 4 Char1 Char Char1 Char1,Heading 4 Char Char Char Char1 Char1,Heading 4 Char1 Char1 Char1,Heading 4 Char Char Char1 Char1,Heading 4 Char1 Char Char Char Char1,Char2 Char"/>
    <w:basedOn w:val="DefaultParagraphFont"/>
    <w:link w:val="Heading4"/>
    <w:rsid w:val="00920D86"/>
    <w:rPr>
      <w:rFonts w:eastAsiaTheme="majorEastAsia" w:cstheme="majorBidi"/>
      <w:bCs/>
      <w:iCs/>
      <w:lang w:val="ro-RO"/>
    </w:rPr>
  </w:style>
  <w:style w:type="character" w:customStyle="1" w:styleId="Heading5Char">
    <w:name w:val="Heading 5 Char"/>
    <w:aliases w:val="Kop 1A Char,1.1.1.1.1 Char,PA Pico Section Char,h5 Char,DNV-H5 Char,Roman list Char,Lev 5 Char,5 sub-bullet Char,sb Char,H5 Char,Titre 1.1111 Char,Aston T5 Char,(Shift Ctrl 5) Char,DO NOT USE_h5 Char,Block Label Char,T5 Char,Titre5 Char"/>
    <w:basedOn w:val="DefaultParagraphFont"/>
    <w:link w:val="Heading5"/>
    <w:rsid w:val="00920D86"/>
    <w:rPr>
      <w:rFonts w:eastAsiaTheme="majorEastAsia" w:cstheme="majorBidi"/>
      <w:u w:val="single"/>
      <w:lang w:val="ro-RO"/>
    </w:rPr>
  </w:style>
  <w:style w:type="character" w:customStyle="1" w:styleId="Heading6Char">
    <w:name w:val="Heading 6 Char"/>
    <w:aliases w:val="PA Appendix Char,Appendix Char,DNV-H6 Char,Bullet list Char,Lev 6 Char,sub-dash Char,sd Char,5 Char,H6 Char,Annexe1 Char,Aston T6 Char,(Shift Ctrl 6) Char,DO NOT USE_h6 Char,Niveau 6 Char,Niveau6 Char,Legal Level 1. Char,6 Char,h6 Char"/>
    <w:basedOn w:val="DefaultParagraphFont"/>
    <w:link w:val="Heading6"/>
    <w:rsid w:val="00920D86"/>
    <w:rPr>
      <w:rFonts w:eastAsiaTheme="majorEastAsia" w:cstheme="majorBidi"/>
      <w:b/>
      <w:iCs/>
      <w:lang w:val="ro-RO"/>
    </w:rPr>
  </w:style>
  <w:style w:type="character" w:customStyle="1" w:styleId="Heading7Char">
    <w:name w:val="Heading 7 Char"/>
    <w:aliases w:val="PA Appendix Major Char,DNV-H7 Char,letter list Char,lettered list Char,Lev 7 Char,H7 Char,Annexe2 Char,Aston T7 Char,(Shift Ctrl 7) Char,T7 Char,1.2.3.4.5.6.7. Char,Legal Level 1.1. Char,L7 Char,Annexe 1 Char,figure caption Char,nul Char"/>
    <w:basedOn w:val="DefaultParagraphFont"/>
    <w:link w:val="Heading7"/>
    <w:rsid w:val="00920D86"/>
    <w:rPr>
      <w:rFonts w:eastAsiaTheme="majorEastAsia" w:cstheme="majorBidi"/>
      <w:b/>
      <w:iCs/>
      <w:lang w:val="ro-RO"/>
    </w:rPr>
  </w:style>
  <w:style w:type="character" w:customStyle="1" w:styleId="Heading8Char">
    <w:name w:val="Heading 8 Char"/>
    <w:aliases w:val="=Heading 3 w/o number Char,PA Appendix Minor Char,DNV-H8 Char,Lev 8 Char,Center Bold Char,action Char,Annexe3 Char,Aston Légende Char,t Char, action Char,T8 Char,text Char,Legal Level 1.1.1. Char,Annexe 2 Char,table caption Char,h8 Char"/>
    <w:basedOn w:val="DefaultParagraphFont"/>
    <w:link w:val="Heading8"/>
    <w:rsid w:val="00920D86"/>
    <w:rPr>
      <w:rFonts w:eastAsiaTheme="majorEastAsia" w:cstheme="majorBidi"/>
      <w:b/>
      <w:szCs w:val="20"/>
      <w:lang w:val="ro-RO"/>
    </w:rPr>
  </w:style>
  <w:style w:type="character" w:customStyle="1" w:styleId="Heading9Char">
    <w:name w:val="Heading 9 Char"/>
    <w:aliases w:val="Reference Appendix Char,DNV-H9 Char,Lev 9 Char,progress Char,Annexe4 Char, progress Char,App Heading Char,Legal Level 1.1.1.1. Char,Annexe 3 Char,Renvoi Vert Char,Edf Titre 9 Char,Heading 9 CFMU Char,Chapitre niveau 9 Char,h9 Char"/>
    <w:basedOn w:val="DefaultParagraphFont"/>
    <w:link w:val="Heading9"/>
    <w:rsid w:val="00920D86"/>
    <w:rPr>
      <w:rFonts w:eastAsiaTheme="majorEastAsia" w:cstheme="majorBidi"/>
      <w:b/>
      <w:iCs/>
      <w:szCs w:val="20"/>
      <w:lang w:val="ro-RO"/>
    </w:rPr>
  </w:style>
  <w:style w:type="paragraph" w:styleId="Title">
    <w:name w:val="Title"/>
    <w:aliases w:val=" Char Char2"/>
    <w:basedOn w:val="Normal"/>
    <w:next w:val="Normal"/>
    <w:link w:val="TitleChar"/>
    <w:uiPriority w:val="10"/>
    <w:qFormat/>
    <w:rsid w:val="00920D86"/>
    <w:pPr>
      <w:spacing w:after="260" w:line="710" w:lineRule="exact"/>
      <w:contextualSpacing/>
    </w:pPr>
    <w:rPr>
      <w:rFonts w:eastAsiaTheme="majorEastAsia" w:cstheme="majorBidi"/>
      <w:b/>
      <w:caps/>
      <w:kern w:val="28"/>
      <w:sz w:val="64"/>
      <w:szCs w:val="52"/>
    </w:rPr>
  </w:style>
  <w:style w:type="character" w:customStyle="1" w:styleId="TitleChar">
    <w:name w:val="Title Char"/>
    <w:aliases w:val=" Char Char2 Char"/>
    <w:basedOn w:val="DefaultParagraphFont"/>
    <w:link w:val="Title"/>
    <w:uiPriority w:val="10"/>
    <w:rsid w:val="00920D86"/>
    <w:rPr>
      <w:rFonts w:eastAsiaTheme="majorEastAsia" w:cstheme="majorBidi"/>
      <w:b/>
      <w:caps/>
      <w:kern w:val="28"/>
      <w:sz w:val="64"/>
      <w:szCs w:val="52"/>
      <w:lang w:val="en-US"/>
    </w:rPr>
  </w:style>
  <w:style w:type="paragraph" w:styleId="Subtitle">
    <w:name w:val="Subtitle"/>
    <w:basedOn w:val="Normal"/>
    <w:next w:val="Normal"/>
    <w:link w:val="SubtitleChar"/>
    <w:uiPriority w:val="5"/>
    <w:qFormat/>
    <w:rsid w:val="00261211"/>
    <w:pPr>
      <w:numPr>
        <w:ilvl w:val="1"/>
      </w:numPr>
      <w:spacing w:line="288" w:lineRule="atLeast"/>
      <w:contextualSpacing/>
    </w:pPr>
    <w:rPr>
      <w:rFonts w:eastAsiaTheme="majorEastAsia" w:cstheme="majorBidi"/>
      <w:iCs/>
      <w:sz w:val="24"/>
      <w:szCs w:val="24"/>
    </w:rPr>
  </w:style>
  <w:style w:type="character" w:customStyle="1" w:styleId="SubtitleChar">
    <w:name w:val="Subtitle Char"/>
    <w:basedOn w:val="DefaultParagraphFont"/>
    <w:link w:val="Subtitle"/>
    <w:uiPriority w:val="5"/>
    <w:rsid w:val="00261211"/>
    <w:rPr>
      <w:rFonts w:eastAsiaTheme="majorEastAsia" w:cstheme="majorBidi"/>
      <w:iCs/>
      <w:sz w:val="24"/>
      <w:szCs w:val="24"/>
      <w:lang w:val="en-US"/>
    </w:rPr>
  </w:style>
  <w:style w:type="character" w:styleId="SubtleEmphasis">
    <w:name w:val="Subtle Emphasis"/>
    <w:basedOn w:val="DefaultParagraphFont"/>
    <w:uiPriority w:val="19"/>
    <w:qFormat/>
    <w:rsid w:val="00920D86"/>
    <w:rPr>
      <w:i/>
      <w:iCs/>
      <w:color w:val="808080" w:themeColor="text1" w:themeTint="7F"/>
      <w:lang w:val="en-US"/>
    </w:rPr>
  </w:style>
  <w:style w:type="character" w:styleId="IntenseEmphasis">
    <w:name w:val="Intense Emphasis"/>
    <w:basedOn w:val="DefaultParagraphFont"/>
    <w:uiPriority w:val="21"/>
    <w:qFormat/>
    <w:rsid w:val="00920D86"/>
    <w:rPr>
      <w:b/>
      <w:bCs/>
      <w:i/>
      <w:iCs/>
      <w:color w:val="auto"/>
      <w:lang w:val="en-US"/>
    </w:rPr>
  </w:style>
  <w:style w:type="character" w:styleId="Strong">
    <w:name w:val="Strong"/>
    <w:aliases w:val="de completat"/>
    <w:basedOn w:val="DefaultParagraphFont"/>
    <w:uiPriority w:val="22"/>
    <w:qFormat/>
    <w:rsid w:val="00920D86"/>
    <w:rPr>
      <w:b/>
      <w:bCs/>
      <w:lang w:val="en-US"/>
    </w:rPr>
  </w:style>
  <w:style w:type="paragraph" w:styleId="IntenseQuote">
    <w:name w:val="Intense Quote"/>
    <w:basedOn w:val="Normal"/>
    <w:next w:val="Normal"/>
    <w:link w:val="IntenseQuoteChar"/>
    <w:uiPriority w:val="30"/>
    <w:qFormat/>
    <w:rsid w:val="00920D86"/>
    <w:pPr>
      <w:spacing w:before="260" w:after="260"/>
      <w:ind w:left="851" w:right="851"/>
    </w:pPr>
    <w:rPr>
      <w:b/>
      <w:bCs/>
      <w:i/>
      <w:iCs/>
    </w:rPr>
  </w:style>
  <w:style w:type="character" w:customStyle="1" w:styleId="IntenseQuoteChar">
    <w:name w:val="Intense Quote Char"/>
    <w:basedOn w:val="DefaultParagraphFont"/>
    <w:link w:val="IntenseQuote"/>
    <w:uiPriority w:val="30"/>
    <w:rsid w:val="00920D86"/>
    <w:rPr>
      <w:b/>
      <w:bCs/>
      <w:i/>
      <w:iCs/>
      <w:lang w:val="en-US"/>
    </w:rPr>
  </w:style>
  <w:style w:type="character" w:styleId="SubtleReference">
    <w:name w:val="Subtle Reference"/>
    <w:basedOn w:val="DefaultParagraphFont"/>
    <w:uiPriority w:val="31"/>
    <w:qFormat/>
    <w:rsid w:val="00920D86"/>
    <w:rPr>
      <w:caps w:val="0"/>
      <w:smallCaps w:val="0"/>
      <w:color w:val="auto"/>
      <w:u w:val="single"/>
      <w:lang w:val="en-US"/>
    </w:rPr>
  </w:style>
  <w:style w:type="character" w:styleId="IntenseReference">
    <w:name w:val="Intense Reference"/>
    <w:basedOn w:val="DefaultParagraphFont"/>
    <w:uiPriority w:val="32"/>
    <w:qFormat/>
    <w:rsid w:val="00920D86"/>
    <w:rPr>
      <w:b/>
      <w:bCs/>
      <w:caps w:val="0"/>
      <w:smallCaps w:val="0"/>
      <w:color w:val="auto"/>
      <w:spacing w:val="5"/>
      <w:u w:val="single"/>
      <w:lang w:val="en-US"/>
    </w:rPr>
  </w:style>
  <w:style w:type="paragraph" w:styleId="Caption">
    <w:name w:val="caption"/>
    <w:aliases w:val="Caracter Caracter,Map Char,Map,Map Char Char Char Char Char,Caption Char Char Car Car,Caption Char Char Car Car Car,Map Char Char Char Car Car,Caption Char Char,Map Char Char,Map Char Char Char,Caption Char1,Titlu Tabel,Char1 Char,Figura_text,Ma"/>
    <w:basedOn w:val="Normal"/>
    <w:next w:val="Caption-Text"/>
    <w:link w:val="CaptionChar"/>
    <w:uiPriority w:val="35"/>
    <w:qFormat/>
    <w:rsid w:val="00920D86"/>
    <w:pPr>
      <w:spacing w:before="170" w:after="100" w:line="200" w:lineRule="atLeast"/>
    </w:pPr>
    <w:rPr>
      <w:b/>
      <w:bCs/>
      <w:color w:val="009DF0" w:themeColor="text2"/>
      <w:sz w:val="14"/>
    </w:rPr>
  </w:style>
  <w:style w:type="paragraph" w:styleId="TOC1">
    <w:name w:val="toc 1"/>
    <w:basedOn w:val="Normal"/>
    <w:next w:val="Normal"/>
    <w:link w:val="TOC1Char"/>
    <w:uiPriority w:val="39"/>
    <w:qFormat/>
    <w:rsid w:val="00920D86"/>
    <w:pPr>
      <w:spacing w:before="240" w:after="120"/>
    </w:pPr>
    <w:rPr>
      <w:rFonts w:asciiTheme="minorHAnsi" w:hAnsiTheme="minorHAnsi"/>
      <w:b/>
      <w:bCs/>
      <w:sz w:val="20"/>
      <w:szCs w:val="20"/>
    </w:rPr>
  </w:style>
  <w:style w:type="paragraph" w:styleId="TOC2">
    <w:name w:val="toc 2"/>
    <w:basedOn w:val="Normal"/>
    <w:next w:val="Normal"/>
    <w:uiPriority w:val="39"/>
    <w:qFormat/>
    <w:rsid w:val="00920D86"/>
    <w:pPr>
      <w:spacing w:before="120"/>
      <w:ind w:left="180"/>
    </w:pPr>
    <w:rPr>
      <w:rFonts w:asciiTheme="minorHAnsi" w:hAnsiTheme="minorHAnsi"/>
      <w:i/>
      <w:iCs/>
      <w:sz w:val="20"/>
      <w:szCs w:val="20"/>
    </w:rPr>
  </w:style>
  <w:style w:type="paragraph" w:styleId="TOC3">
    <w:name w:val="toc 3"/>
    <w:basedOn w:val="Normal"/>
    <w:next w:val="Normal"/>
    <w:uiPriority w:val="39"/>
    <w:qFormat/>
    <w:rsid w:val="00920D86"/>
    <w:pPr>
      <w:ind w:left="360"/>
    </w:pPr>
    <w:rPr>
      <w:rFonts w:asciiTheme="minorHAnsi" w:hAnsiTheme="minorHAnsi"/>
      <w:sz w:val="20"/>
      <w:szCs w:val="20"/>
    </w:rPr>
  </w:style>
  <w:style w:type="paragraph" w:styleId="TOC4">
    <w:name w:val="toc 4"/>
    <w:basedOn w:val="Normal"/>
    <w:next w:val="Normal"/>
    <w:link w:val="TOC4Char"/>
    <w:uiPriority w:val="39"/>
    <w:qFormat/>
    <w:rsid w:val="00920D86"/>
    <w:pPr>
      <w:ind w:left="540"/>
    </w:pPr>
    <w:rPr>
      <w:rFonts w:asciiTheme="minorHAnsi" w:hAnsiTheme="minorHAnsi"/>
      <w:sz w:val="20"/>
      <w:szCs w:val="20"/>
    </w:rPr>
  </w:style>
  <w:style w:type="paragraph" w:styleId="TOC5">
    <w:name w:val="toc 5"/>
    <w:basedOn w:val="Normal"/>
    <w:next w:val="Normal"/>
    <w:uiPriority w:val="39"/>
    <w:qFormat/>
    <w:rsid w:val="00920D86"/>
    <w:pPr>
      <w:ind w:left="720"/>
    </w:pPr>
    <w:rPr>
      <w:rFonts w:asciiTheme="minorHAnsi" w:hAnsiTheme="minorHAnsi"/>
      <w:sz w:val="20"/>
      <w:szCs w:val="20"/>
    </w:rPr>
  </w:style>
  <w:style w:type="paragraph" w:styleId="TOC6">
    <w:name w:val="toc 6"/>
    <w:basedOn w:val="Normal"/>
    <w:next w:val="Normal"/>
    <w:uiPriority w:val="39"/>
    <w:qFormat/>
    <w:rsid w:val="00920D86"/>
    <w:pPr>
      <w:ind w:left="900"/>
    </w:pPr>
    <w:rPr>
      <w:rFonts w:asciiTheme="minorHAnsi" w:hAnsiTheme="minorHAnsi"/>
      <w:sz w:val="20"/>
      <w:szCs w:val="20"/>
    </w:rPr>
  </w:style>
  <w:style w:type="paragraph" w:styleId="TOC7">
    <w:name w:val="toc 7"/>
    <w:basedOn w:val="Normal"/>
    <w:next w:val="Normal"/>
    <w:uiPriority w:val="39"/>
    <w:rsid w:val="00920D86"/>
    <w:pPr>
      <w:ind w:left="1080"/>
    </w:pPr>
    <w:rPr>
      <w:rFonts w:asciiTheme="minorHAnsi" w:hAnsiTheme="minorHAnsi"/>
      <w:sz w:val="20"/>
      <w:szCs w:val="20"/>
    </w:rPr>
  </w:style>
  <w:style w:type="paragraph" w:styleId="TOC8">
    <w:name w:val="toc 8"/>
    <w:basedOn w:val="Normal"/>
    <w:next w:val="Normal"/>
    <w:uiPriority w:val="39"/>
    <w:rsid w:val="00920D86"/>
    <w:pPr>
      <w:ind w:left="1260"/>
    </w:pPr>
    <w:rPr>
      <w:rFonts w:asciiTheme="minorHAnsi" w:hAnsiTheme="minorHAnsi"/>
      <w:sz w:val="20"/>
      <w:szCs w:val="20"/>
    </w:rPr>
  </w:style>
  <w:style w:type="paragraph" w:styleId="TOC9">
    <w:name w:val="toc 9"/>
    <w:basedOn w:val="Normal"/>
    <w:next w:val="Normal"/>
    <w:uiPriority w:val="39"/>
    <w:rsid w:val="00920D86"/>
    <w:pPr>
      <w:ind w:left="1440"/>
    </w:pPr>
    <w:rPr>
      <w:rFonts w:asciiTheme="minorHAnsi" w:hAnsiTheme="minorHAnsi"/>
      <w:sz w:val="20"/>
      <w:szCs w:val="20"/>
    </w:rPr>
  </w:style>
  <w:style w:type="paragraph" w:styleId="TOCHeading">
    <w:name w:val="TOC Heading"/>
    <w:basedOn w:val="Normal"/>
    <w:next w:val="Normal"/>
    <w:uiPriority w:val="39"/>
    <w:qFormat/>
    <w:rsid w:val="00920D86"/>
    <w:rPr>
      <w:color w:val="009DF0" w:themeColor="text2"/>
      <w:sz w:val="24"/>
    </w:rPr>
  </w:style>
  <w:style w:type="paragraph" w:styleId="BlockText">
    <w:name w:val="Block Text"/>
    <w:basedOn w:val="Normal"/>
    <w:uiPriority w:val="99"/>
    <w:rsid w:val="00920D86"/>
    <w:pPr>
      <w:pBdr>
        <w:top w:val="single" w:sz="2" w:space="10" w:color="7F7F7F" w:themeColor="text1" w:themeTint="80"/>
        <w:left w:val="single" w:sz="2" w:space="10" w:color="7F7F7F" w:themeColor="text1" w:themeTint="80"/>
        <w:bottom w:val="single" w:sz="2" w:space="10" w:color="7F7F7F" w:themeColor="text1" w:themeTint="80"/>
        <w:right w:val="single" w:sz="2" w:space="10" w:color="7F7F7F" w:themeColor="text1" w:themeTint="80"/>
      </w:pBdr>
      <w:ind w:left="1151" w:right="1151"/>
    </w:pPr>
    <w:rPr>
      <w:rFonts w:eastAsiaTheme="minorEastAsia"/>
      <w:i/>
      <w:iCs/>
    </w:rPr>
  </w:style>
  <w:style w:type="paragraph" w:styleId="EndnoteText">
    <w:name w:val="endnote text"/>
    <w:basedOn w:val="Normal"/>
    <w:link w:val="EndnoteTextChar"/>
    <w:uiPriority w:val="99"/>
    <w:rsid w:val="00920D86"/>
    <w:pPr>
      <w:spacing w:line="200" w:lineRule="atLeast"/>
      <w:ind w:left="85" w:hanging="85"/>
    </w:pPr>
    <w:rPr>
      <w:color w:val="273943" w:themeColor="background2"/>
      <w:sz w:val="12"/>
      <w:szCs w:val="20"/>
    </w:rPr>
  </w:style>
  <w:style w:type="character" w:customStyle="1" w:styleId="EndnoteTextChar">
    <w:name w:val="Endnote Text Char"/>
    <w:basedOn w:val="DefaultParagraphFont"/>
    <w:link w:val="EndnoteText"/>
    <w:uiPriority w:val="99"/>
    <w:rsid w:val="00920D86"/>
    <w:rPr>
      <w:color w:val="273943" w:themeColor="background2"/>
      <w:sz w:val="12"/>
      <w:szCs w:val="20"/>
      <w:lang w:val="en-US"/>
    </w:rPr>
  </w:style>
  <w:style w:type="character" w:styleId="EndnoteReference">
    <w:name w:val="endnote reference"/>
    <w:basedOn w:val="DefaultParagraphFont"/>
    <w:uiPriority w:val="99"/>
    <w:rsid w:val="00920D86"/>
    <w:rPr>
      <w:vertAlign w:val="superscript"/>
      <w:lang w:val="en-US"/>
    </w:rPr>
  </w:style>
  <w:style w:type="paragraph" w:styleId="FootnoteText">
    <w:name w:val="footnote text"/>
    <w:aliases w:val="Podrozdział,Footnote Text Char Char,Fußnote,single space,FOOTNOTES,fn,stile 1,Footnote,Footnote1,Footnote2,Footnote3,Footnote4,Footnote5,Footnote6,Footnote7,Footnote8,Footnote9,Footnote10,Footnote11, Char Char Char,Note de bas de page Car"/>
    <w:basedOn w:val="Normal"/>
    <w:link w:val="FootnoteTextChar"/>
    <w:uiPriority w:val="99"/>
    <w:qFormat/>
    <w:rsid w:val="00920D86"/>
    <w:pPr>
      <w:spacing w:line="200" w:lineRule="atLeast"/>
      <w:ind w:left="85" w:hanging="85"/>
    </w:pPr>
    <w:rPr>
      <w:color w:val="797766"/>
      <w:sz w:val="12"/>
      <w:szCs w:val="20"/>
    </w:rPr>
  </w:style>
  <w:style w:type="character" w:customStyle="1" w:styleId="FootnoteTextChar">
    <w:name w:val="Footnote Text Char"/>
    <w:aliases w:val="Podrozdział Char,Footnote Text Char Char Char,Fußnote Char,single space Char,FOOTNOTES Char,fn Char,stile 1 Char,Footnote Char,Footnote1 Char,Footnote2 Char,Footnote3 Char,Footnote4 Char,Footnote5 Char,Footnote6 Char,Footnote7 Char"/>
    <w:basedOn w:val="DefaultParagraphFont"/>
    <w:link w:val="FootnoteText"/>
    <w:uiPriority w:val="99"/>
    <w:rsid w:val="00920D86"/>
    <w:rPr>
      <w:color w:val="797766"/>
      <w:sz w:val="12"/>
      <w:szCs w:val="20"/>
      <w:lang w:val="en-US"/>
    </w:rPr>
  </w:style>
  <w:style w:type="paragraph" w:styleId="ListBullet">
    <w:name w:val="List Bullet"/>
    <w:basedOn w:val="Normal"/>
    <w:link w:val="ListBulletChar"/>
    <w:uiPriority w:val="99"/>
    <w:qFormat/>
    <w:rsid w:val="00920D86"/>
    <w:pPr>
      <w:numPr>
        <w:numId w:val="3"/>
      </w:numPr>
      <w:contextualSpacing/>
    </w:pPr>
  </w:style>
  <w:style w:type="paragraph" w:styleId="ListNumber">
    <w:name w:val="List Number"/>
    <w:aliases w:val="CAB List Number"/>
    <w:basedOn w:val="Normal"/>
    <w:qFormat/>
    <w:rsid w:val="00920D86"/>
    <w:pPr>
      <w:numPr>
        <w:numId w:val="8"/>
      </w:numPr>
      <w:contextualSpacing/>
    </w:pPr>
  </w:style>
  <w:style w:type="character" w:styleId="PageNumber">
    <w:name w:val="page number"/>
    <w:aliases w:val="Numéro de page"/>
    <w:basedOn w:val="DefaultParagraphFont"/>
    <w:uiPriority w:val="99"/>
    <w:rsid w:val="00920D86"/>
    <w:rPr>
      <w:lang w:val="en-US"/>
    </w:rPr>
  </w:style>
  <w:style w:type="paragraph" w:customStyle="1" w:styleId="Template">
    <w:name w:val="Template"/>
    <w:link w:val="TemplateChar"/>
    <w:semiHidden/>
    <w:qFormat/>
    <w:rsid w:val="00920D86"/>
    <w:pPr>
      <w:spacing w:line="200" w:lineRule="atLeast"/>
    </w:pPr>
    <w:rPr>
      <w:noProof/>
      <w:sz w:val="14"/>
      <w:lang w:val="en-US"/>
    </w:rPr>
  </w:style>
  <w:style w:type="paragraph" w:customStyle="1" w:styleId="Template-Address">
    <w:name w:val="Template - Address"/>
    <w:basedOn w:val="Template"/>
    <w:uiPriority w:val="8"/>
    <w:semiHidden/>
    <w:rsid w:val="00920D86"/>
    <w:pPr>
      <w:tabs>
        <w:tab w:val="left" w:pos="567"/>
      </w:tabs>
      <w:suppressAutoHyphens/>
    </w:pPr>
  </w:style>
  <w:style w:type="paragraph" w:customStyle="1" w:styleId="Template-Companyname">
    <w:name w:val="Template - Company name"/>
    <w:basedOn w:val="Template-Address"/>
    <w:next w:val="Template-Address"/>
    <w:uiPriority w:val="8"/>
    <w:semiHidden/>
    <w:rsid w:val="00920D86"/>
  </w:style>
  <w:style w:type="paragraph" w:styleId="TOAHeading">
    <w:name w:val="toa heading"/>
    <w:basedOn w:val="Normal"/>
    <w:next w:val="Normal"/>
    <w:uiPriority w:val="99"/>
    <w:rsid w:val="00920D86"/>
    <w:pPr>
      <w:spacing w:after="520" w:line="360" w:lineRule="atLeast"/>
    </w:pPr>
    <w:rPr>
      <w:rFonts w:eastAsiaTheme="majorEastAsia" w:cstheme="majorBidi"/>
      <w:b/>
      <w:bCs/>
      <w:sz w:val="28"/>
      <w:szCs w:val="24"/>
    </w:rPr>
  </w:style>
  <w:style w:type="paragraph" w:styleId="TableofFigures">
    <w:name w:val="table of figures"/>
    <w:aliases w:val="Tabelul,Tabel"/>
    <w:basedOn w:val="Normal"/>
    <w:next w:val="Normal"/>
    <w:uiPriority w:val="99"/>
    <w:qFormat/>
    <w:rsid w:val="00920D86"/>
    <w:pPr>
      <w:tabs>
        <w:tab w:val="right" w:pos="7229"/>
      </w:tabs>
      <w:ind w:right="2268"/>
    </w:pPr>
  </w:style>
  <w:style w:type="paragraph" w:styleId="Signature">
    <w:name w:val="Signature"/>
    <w:basedOn w:val="Normal"/>
    <w:link w:val="SignatureChar"/>
    <w:uiPriority w:val="99"/>
    <w:rsid w:val="00920D86"/>
    <w:pPr>
      <w:spacing w:line="240" w:lineRule="auto"/>
      <w:ind w:left="4252"/>
    </w:pPr>
  </w:style>
  <w:style w:type="character" w:customStyle="1" w:styleId="SignatureChar">
    <w:name w:val="Signature Char"/>
    <w:basedOn w:val="DefaultParagraphFont"/>
    <w:link w:val="Signature"/>
    <w:uiPriority w:val="99"/>
    <w:rsid w:val="00920D86"/>
    <w:rPr>
      <w:lang w:val="en-US"/>
    </w:rPr>
  </w:style>
  <w:style w:type="character" w:styleId="PlaceholderText">
    <w:name w:val="Placeholder Text"/>
    <w:basedOn w:val="DefaultParagraphFont"/>
    <w:uiPriority w:val="99"/>
    <w:semiHidden/>
    <w:rsid w:val="00920D86"/>
    <w:rPr>
      <w:color w:val="auto"/>
      <w:lang w:val="en-US"/>
    </w:rPr>
  </w:style>
  <w:style w:type="paragraph" w:customStyle="1" w:styleId="Table">
    <w:name w:val="Table"/>
    <w:link w:val="TableChar1"/>
    <w:qFormat/>
    <w:rsid w:val="00920D86"/>
    <w:pPr>
      <w:spacing w:before="40" w:after="40" w:line="200" w:lineRule="atLeast"/>
      <w:ind w:left="57" w:right="113"/>
    </w:pPr>
    <w:rPr>
      <w:sz w:val="14"/>
      <w:lang w:val="en-US"/>
    </w:rPr>
  </w:style>
  <w:style w:type="paragraph" w:customStyle="1" w:styleId="Table-Text">
    <w:name w:val="Table - Text"/>
    <w:basedOn w:val="Table"/>
    <w:uiPriority w:val="6"/>
    <w:rsid w:val="00920D86"/>
  </w:style>
  <w:style w:type="paragraph" w:customStyle="1" w:styleId="Table-TextTotal">
    <w:name w:val="Table - Text Total"/>
    <w:basedOn w:val="Table-Text"/>
    <w:uiPriority w:val="6"/>
    <w:rsid w:val="00920D86"/>
    <w:rPr>
      <w:b/>
    </w:rPr>
  </w:style>
  <w:style w:type="paragraph" w:customStyle="1" w:styleId="Table-Number">
    <w:name w:val="Table - Number"/>
    <w:basedOn w:val="Table"/>
    <w:uiPriority w:val="6"/>
    <w:rsid w:val="00920D86"/>
    <w:pPr>
      <w:jc w:val="right"/>
    </w:pPr>
  </w:style>
  <w:style w:type="paragraph" w:customStyle="1" w:styleId="Table-NumberTotal">
    <w:name w:val="Table - Number Total"/>
    <w:basedOn w:val="Table-Number"/>
    <w:uiPriority w:val="6"/>
    <w:rsid w:val="00920D86"/>
    <w:rPr>
      <w:b/>
    </w:rPr>
  </w:style>
  <w:style w:type="paragraph" w:styleId="Quote">
    <w:name w:val="Quote"/>
    <w:basedOn w:val="Normal"/>
    <w:next w:val="Normal"/>
    <w:link w:val="QuoteChar"/>
    <w:uiPriority w:val="29"/>
    <w:qFormat/>
    <w:rsid w:val="00920D86"/>
    <w:pPr>
      <w:spacing w:before="260" w:after="260"/>
      <w:ind w:left="567" w:right="567"/>
    </w:pPr>
    <w:rPr>
      <w:b/>
      <w:iCs/>
      <w:color w:val="000000" w:themeColor="text1"/>
      <w:sz w:val="20"/>
    </w:rPr>
  </w:style>
  <w:style w:type="character" w:customStyle="1" w:styleId="QuoteChar">
    <w:name w:val="Quote Char"/>
    <w:basedOn w:val="DefaultParagraphFont"/>
    <w:link w:val="Quote"/>
    <w:uiPriority w:val="29"/>
    <w:rsid w:val="00920D86"/>
    <w:rPr>
      <w:b/>
      <w:iCs/>
      <w:color w:val="000000" w:themeColor="text1"/>
      <w:sz w:val="20"/>
      <w:lang w:val="en-US"/>
    </w:rPr>
  </w:style>
  <w:style w:type="character" w:styleId="BookTitle">
    <w:name w:val="Book Title"/>
    <w:basedOn w:val="DefaultParagraphFont"/>
    <w:uiPriority w:val="33"/>
    <w:qFormat/>
    <w:rsid w:val="00920D86"/>
    <w:rPr>
      <w:b/>
      <w:bCs/>
      <w:caps w:val="0"/>
      <w:smallCaps w:val="0"/>
      <w:spacing w:val="5"/>
      <w:lang w:val="en-US"/>
    </w:rPr>
  </w:style>
  <w:style w:type="paragraph" w:styleId="TableofAuthorities">
    <w:name w:val="table of authorities"/>
    <w:basedOn w:val="Normal"/>
    <w:next w:val="Normal"/>
    <w:uiPriority w:val="99"/>
    <w:rsid w:val="00920D86"/>
    <w:pPr>
      <w:ind w:right="567"/>
    </w:pPr>
  </w:style>
  <w:style w:type="paragraph" w:styleId="NormalIndent">
    <w:name w:val="Normal Indent"/>
    <w:aliases w:val="Char Char Char Char Char Char,Char3,Normal Indent Char Char,Normal Indent Char1 Char,Normal Indent Char1, Char Char Char Char Char Char, Char,Normal Indent Char Char Char Char Char Char,Normal Indent Char Char Char Char,Char"/>
    <w:basedOn w:val="Normal"/>
    <w:link w:val="NormalIndentChar"/>
    <w:uiPriority w:val="99"/>
    <w:qFormat/>
    <w:rsid w:val="00920D86"/>
    <w:pPr>
      <w:ind w:left="1134"/>
    </w:pPr>
  </w:style>
  <w:style w:type="table" w:styleId="TableGrid">
    <w:name w:val="Table Grid"/>
    <w:aliases w:val="GT0,Table long document"/>
    <w:basedOn w:val="TableNormal"/>
    <w:qFormat/>
    <w:rsid w:val="00920D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Heading">
    <w:name w:val="Document Heading"/>
    <w:basedOn w:val="Normal"/>
    <w:uiPriority w:val="8"/>
    <w:semiHidden/>
    <w:rsid w:val="00920D86"/>
    <w:pPr>
      <w:spacing w:after="260"/>
      <w:contextualSpacing/>
    </w:pPr>
    <w:rPr>
      <w:b/>
      <w:caps/>
    </w:rPr>
  </w:style>
  <w:style w:type="paragraph" w:customStyle="1" w:styleId="DocumentName">
    <w:name w:val="Document Name"/>
    <w:basedOn w:val="Normal"/>
    <w:next w:val="Normal"/>
    <w:uiPriority w:val="8"/>
    <w:semiHidden/>
    <w:rsid w:val="00920D86"/>
    <w:pPr>
      <w:spacing w:after="160" w:line="440" w:lineRule="exact"/>
    </w:pPr>
    <w:rPr>
      <w:caps/>
      <w:sz w:val="44"/>
    </w:rPr>
  </w:style>
  <w:style w:type="paragraph" w:customStyle="1" w:styleId="Template-Date">
    <w:name w:val="Template - Date"/>
    <w:basedOn w:val="Template"/>
    <w:uiPriority w:val="8"/>
    <w:semiHidden/>
    <w:rsid w:val="00920D86"/>
  </w:style>
  <w:style w:type="table" w:customStyle="1" w:styleId="Blank">
    <w:name w:val="Blank"/>
    <w:basedOn w:val="TableNormal"/>
    <w:uiPriority w:val="99"/>
    <w:rsid w:val="00920D86"/>
    <w:pPr>
      <w:spacing w:line="240" w:lineRule="atLeast"/>
    </w:pPr>
    <w:tblPr>
      <w:tblCellMar>
        <w:left w:w="0" w:type="dxa"/>
        <w:right w:w="0" w:type="dxa"/>
      </w:tblCellMar>
    </w:tblPr>
  </w:style>
  <w:style w:type="paragraph" w:styleId="NoSpacing">
    <w:name w:val="No Spacing"/>
    <w:link w:val="NoSpacingChar"/>
    <w:uiPriority w:val="1"/>
    <w:qFormat/>
    <w:rsid w:val="00920D86"/>
    <w:pPr>
      <w:spacing w:line="240" w:lineRule="atLeast"/>
    </w:pPr>
    <w:rPr>
      <w:lang w:val="en-US"/>
    </w:rPr>
  </w:style>
  <w:style w:type="paragraph" w:customStyle="1" w:styleId="RecipientAddress">
    <w:name w:val="Recipient Address"/>
    <w:basedOn w:val="Normal"/>
    <w:uiPriority w:val="8"/>
    <w:semiHidden/>
    <w:rsid w:val="00920D86"/>
  </w:style>
  <w:style w:type="paragraph" w:customStyle="1" w:styleId="Table-Heading">
    <w:name w:val="Table - Heading"/>
    <w:basedOn w:val="Table"/>
    <w:uiPriority w:val="6"/>
    <w:rsid w:val="00920D86"/>
    <w:rPr>
      <w:b/>
    </w:rPr>
  </w:style>
  <w:style w:type="paragraph" w:customStyle="1" w:styleId="Table-HeadingRight">
    <w:name w:val="Table - Heading Right"/>
    <w:basedOn w:val="Table-Heading"/>
    <w:uiPriority w:val="6"/>
    <w:rsid w:val="00920D86"/>
    <w:pPr>
      <w:jc w:val="right"/>
    </w:pPr>
  </w:style>
  <w:style w:type="paragraph" w:customStyle="1" w:styleId="SenderName">
    <w:name w:val="Sender Name"/>
    <w:basedOn w:val="Normal"/>
    <w:uiPriority w:val="7"/>
    <w:semiHidden/>
    <w:rsid w:val="00920D86"/>
    <w:rPr>
      <w:rFonts w:eastAsia="Times New Roman" w:cs="Times New Roman"/>
      <w:b/>
    </w:rPr>
  </w:style>
  <w:style w:type="paragraph" w:customStyle="1" w:styleId="Senderinformation">
    <w:name w:val="Sender information"/>
    <w:basedOn w:val="Normal"/>
    <w:uiPriority w:val="7"/>
    <w:semiHidden/>
    <w:rsid w:val="00920D86"/>
    <w:pPr>
      <w:tabs>
        <w:tab w:val="left" w:pos="198"/>
        <w:tab w:val="left" w:pos="851"/>
      </w:tabs>
      <w:spacing w:line="200" w:lineRule="atLeast"/>
    </w:pPr>
    <w:rPr>
      <w:rFonts w:eastAsia="Times New Roman" w:cs="Times New Roman"/>
      <w:sz w:val="14"/>
    </w:rPr>
  </w:style>
  <w:style w:type="paragraph" w:styleId="BalloonText">
    <w:name w:val="Balloon Text"/>
    <w:aliases w:val=" Char2"/>
    <w:basedOn w:val="Normal"/>
    <w:link w:val="BalloonTextChar"/>
    <w:uiPriority w:val="99"/>
    <w:qFormat/>
    <w:rsid w:val="00920D86"/>
    <w:pPr>
      <w:spacing w:line="240" w:lineRule="auto"/>
    </w:pPr>
    <w:rPr>
      <w:rFonts w:ascii="Segoe UI" w:hAnsi="Segoe UI" w:cs="Segoe UI"/>
    </w:rPr>
  </w:style>
  <w:style w:type="character" w:customStyle="1" w:styleId="BalloonTextChar">
    <w:name w:val="Balloon Text Char"/>
    <w:aliases w:val=" Char2 Char"/>
    <w:basedOn w:val="DefaultParagraphFont"/>
    <w:link w:val="BalloonText"/>
    <w:uiPriority w:val="99"/>
    <w:rsid w:val="00920D86"/>
    <w:rPr>
      <w:rFonts w:ascii="Segoe UI" w:hAnsi="Segoe UI" w:cs="Segoe UI"/>
      <w:lang w:val="en-US"/>
    </w:rPr>
  </w:style>
  <w:style w:type="paragraph" w:styleId="Bibliography">
    <w:name w:val="Bibliography"/>
    <w:basedOn w:val="Normal"/>
    <w:next w:val="Normal"/>
    <w:uiPriority w:val="37"/>
    <w:semiHidden/>
    <w:rsid w:val="00920D86"/>
  </w:style>
  <w:style w:type="paragraph" w:styleId="BodyText">
    <w:name w:val="Body Text"/>
    <w:aliases w:val=" Caracter,heading3,BT,bt,Body Text - Level 2,Body TextA,Body,Te,Heading 41,Body single, bt,Body Text Char Char,BodyText, (Norm),Body Text Char2,Body Text Char1 Char,Body Text Char Char Char,Tegn Char Char Char, bt Char Char,(Norm),bt Char Char"/>
    <w:basedOn w:val="Normal"/>
    <w:link w:val="BodyTextChar"/>
    <w:uiPriority w:val="99"/>
    <w:qFormat/>
    <w:rsid w:val="00920D86"/>
    <w:pPr>
      <w:spacing w:after="120"/>
    </w:pPr>
  </w:style>
  <w:style w:type="character" w:customStyle="1" w:styleId="BodyTextChar">
    <w:name w:val="Body Text Char"/>
    <w:aliases w:val=" Caracter Char,heading3 Char,BT Char,bt Char,Body Text - Level 2 Char,Body TextA Char,Body Char,Te Char,Heading 41 Char,Body single Char, bt Char,Body Text Char Char Char1,BodyText Char, (Norm) Char,Body Text Char2 Char, bt Char Char Char"/>
    <w:basedOn w:val="DefaultParagraphFont"/>
    <w:link w:val="BodyText"/>
    <w:uiPriority w:val="99"/>
    <w:rsid w:val="00920D86"/>
    <w:rPr>
      <w:lang w:val="en-US"/>
    </w:rPr>
  </w:style>
  <w:style w:type="paragraph" w:styleId="BodyText2">
    <w:name w:val="Body Text 2"/>
    <w:basedOn w:val="Normal"/>
    <w:link w:val="BodyText2Char"/>
    <w:uiPriority w:val="99"/>
    <w:rsid w:val="00920D86"/>
    <w:pPr>
      <w:spacing w:after="120" w:line="480" w:lineRule="auto"/>
    </w:pPr>
  </w:style>
  <w:style w:type="character" w:customStyle="1" w:styleId="BodyText2Char">
    <w:name w:val="Body Text 2 Char"/>
    <w:basedOn w:val="DefaultParagraphFont"/>
    <w:link w:val="BodyText2"/>
    <w:uiPriority w:val="99"/>
    <w:rsid w:val="00920D86"/>
    <w:rPr>
      <w:lang w:val="en-US"/>
    </w:rPr>
  </w:style>
  <w:style w:type="paragraph" w:styleId="BodyText3">
    <w:name w:val="Body Text 3"/>
    <w:basedOn w:val="Normal"/>
    <w:link w:val="BodyText3Char"/>
    <w:uiPriority w:val="99"/>
    <w:rsid w:val="00920D86"/>
    <w:pPr>
      <w:spacing w:after="120"/>
    </w:pPr>
    <w:rPr>
      <w:sz w:val="16"/>
      <w:szCs w:val="16"/>
    </w:rPr>
  </w:style>
  <w:style w:type="character" w:customStyle="1" w:styleId="BodyText3Char">
    <w:name w:val="Body Text 3 Char"/>
    <w:basedOn w:val="DefaultParagraphFont"/>
    <w:link w:val="BodyText3"/>
    <w:uiPriority w:val="99"/>
    <w:rsid w:val="00920D86"/>
    <w:rPr>
      <w:sz w:val="16"/>
      <w:szCs w:val="16"/>
      <w:lang w:val="en-US"/>
    </w:rPr>
  </w:style>
  <w:style w:type="paragraph" w:styleId="BodyTextFirstIndent">
    <w:name w:val="Body Text First Indent"/>
    <w:basedOn w:val="BodyText"/>
    <w:link w:val="BodyTextFirstIndentChar"/>
    <w:uiPriority w:val="99"/>
    <w:rsid w:val="00920D86"/>
    <w:pPr>
      <w:spacing w:after="0"/>
      <w:ind w:firstLine="360"/>
    </w:pPr>
  </w:style>
  <w:style w:type="character" w:customStyle="1" w:styleId="BodyTextFirstIndentChar">
    <w:name w:val="Body Text First Indent Char"/>
    <w:basedOn w:val="BodyTextChar"/>
    <w:link w:val="BodyTextFirstIndent"/>
    <w:uiPriority w:val="99"/>
    <w:rsid w:val="00920D86"/>
    <w:rPr>
      <w:lang w:val="en-US"/>
    </w:rPr>
  </w:style>
  <w:style w:type="paragraph" w:styleId="BodyTextIndent">
    <w:name w:val="Body Text Indent"/>
    <w:aliases w:val="Body Text Indent ALEX"/>
    <w:basedOn w:val="Normal"/>
    <w:link w:val="BodyTextIndentChar"/>
    <w:uiPriority w:val="99"/>
    <w:qFormat/>
    <w:rsid w:val="00920D86"/>
    <w:pPr>
      <w:spacing w:after="120"/>
      <w:ind w:left="283"/>
    </w:pPr>
  </w:style>
  <w:style w:type="character" w:customStyle="1" w:styleId="BodyTextIndentChar">
    <w:name w:val="Body Text Indent Char"/>
    <w:aliases w:val="Body Text Indent ALEX Char1"/>
    <w:basedOn w:val="DefaultParagraphFont"/>
    <w:link w:val="BodyTextIndent"/>
    <w:uiPriority w:val="99"/>
    <w:rsid w:val="00920D86"/>
    <w:rPr>
      <w:lang w:val="en-US"/>
    </w:rPr>
  </w:style>
  <w:style w:type="paragraph" w:styleId="BodyTextFirstIndent2">
    <w:name w:val="Body Text First Indent 2"/>
    <w:basedOn w:val="BodyTextIndent"/>
    <w:link w:val="BodyTextFirstIndent2Char"/>
    <w:uiPriority w:val="99"/>
    <w:rsid w:val="00920D86"/>
    <w:pPr>
      <w:spacing w:after="0"/>
      <w:ind w:left="360" w:firstLine="360"/>
    </w:pPr>
  </w:style>
  <w:style w:type="character" w:customStyle="1" w:styleId="BodyTextFirstIndent2Char">
    <w:name w:val="Body Text First Indent 2 Char"/>
    <w:basedOn w:val="BodyTextIndentChar"/>
    <w:link w:val="BodyTextFirstIndent2"/>
    <w:uiPriority w:val="99"/>
    <w:rsid w:val="00920D86"/>
    <w:rPr>
      <w:lang w:val="en-US"/>
    </w:rPr>
  </w:style>
  <w:style w:type="paragraph" w:styleId="BodyTextIndent2">
    <w:name w:val="Body Text Indent 2"/>
    <w:basedOn w:val="Normal"/>
    <w:link w:val="BodyTextIndent2Char"/>
    <w:uiPriority w:val="99"/>
    <w:rsid w:val="00920D86"/>
    <w:pPr>
      <w:spacing w:after="120" w:line="480" w:lineRule="auto"/>
      <w:ind w:left="283"/>
    </w:pPr>
  </w:style>
  <w:style w:type="character" w:customStyle="1" w:styleId="BodyTextIndent2Char">
    <w:name w:val="Body Text Indent 2 Char"/>
    <w:basedOn w:val="DefaultParagraphFont"/>
    <w:link w:val="BodyTextIndent2"/>
    <w:uiPriority w:val="99"/>
    <w:rsid w:val="00920D86"/>
    <w:rPr>
      <w:lang w:val="en-US"/>
    </w:rPr>
  </w:style>
  <w:style w:type="paragraph" w:styleId="BodyTextIndent3">
    <w:name w:val="Body Text Indent 3"/>
    <w:basedOn w:val="Normal"/>
    <w:link w:val="BodyTextIndent3Char"/>
    <w:uiPriority w:val="99"/>
    <w:rsid w:val="00920D86"/>
    <w:pPr>
      <w:spacing w:after="120"/>
      <w:ind w:left="283"/>
    </w:pPr>
    <w:rPr>
      <w:sz w:val="16"/>
      <w:szCs w:val="16"/>
    </w:rPr>
  </w:style>
  <w:style w:type="character" w:customStyle="1" w:styleId="BodyTextIndent3Char">
    <w:name w:val="Body Text Indent 3 Char"/>
    <w:basedOn w:val="DefaultParagraphFont"/>
    <w:link w:val="BodyTextIndent3"/>
    <w:uiPriority w:val="99"/>
    <w:rsid w:val="00920D86"/>
    <w:rPr>
      <w:sz w:val="16"/>
      <w:szCs w:val="16"/>
      <w:lang w:val="en-US"/>
    </w:rPr>
  </w:style>
  <w:style w:type="paragraph" w:styleId="Closing">
    <w:name w:val="Closing"/>
    <w:basedOn w:val="Normal"/>
    <w:link w:val="ClosingChar"/>
    <w:uiPriority w:val="99"/>
    <w:rsid w:val="00920D86"/>
    <w:pPr>
      <w:spacing w:line="240" w:lineRule="auto"/>
      <w:ind w:left="4252"/>
    </w:pPr>
  </w:style>
  <w:style w:type="character" w:customStyle="1" w:styleId="ClosingChar">
    <w:name w:val="Closing Char"/>
    <w:basedOn w:val="DefaultParagraphFont"/>
    <w:link w:val="Closing"/>
    <w:uiPriority w:val="99"/>
    <w:rsid w:val="00920D86"/>
    <w:rPr>
      <w:lang w:val="en-US"/>
    </w:rPr>
  </w:style>
  <w:style w:type="table" w:styleId="ColorfulGrid">
    <w:name w:val="Colorful Grid"/>
    <w:basedOn w:val="TableNormal"/>
    <w:uiPriority w:val="73"/>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B3D2FB" w:themeFill="accent1" w:themeFillTint="33"/>
    </w:tcPr>
    <w:tblStylePr w:type="firstRow">
      <w:rPr>
        <w:b/>
        <w:bCs/>
      </w:rPr>
      <w:tblPr/>
      <w:tcPr>
        <w:shd w:val="clear" w:color="auto" w:fill="67A5F8" w:themeFill="accent1" w:themeFillTint="66"/>
      </w:tcPr>
    </w:tblStylePr>
    <w:tblStylePr w:type="lastRow">
      <w:rPr>
        <w:b/>
        <w:bCs/>
        <w:color w:val="000000" w:themeColor="text1"/>
      </w:rPr>
      <w:tblPr/>
      <w:tcPr>
        <w:shd w:val="clear" w:color="auto" w:fill="67A5F8" w:themeFill="accent1" w:themeFillTint="66"/>
      </w:tcPr>
    </w:tblStylePr>
    <w:tblStylePr w:type="firstCol">
      <w:rPr>
        <w:color w:val="FFFFFF" w:themeColor="background1"/>
      </w:rPr>
      <w:tblPr/>
      <w:tcPr>
        <w:shd w:val="clear" w:color="auto" w:fill="032552" w:themeFill="accent1" w:themeFillShade="BF"/>
      </w:tcPr>
    </w:tblStylePr>
    <w:tblStylePr w:type="lastCol">
      <w:rPr>
        <w:color w:val="FFFFFF" w:themeColor="background1"/>
      </w:rPr>
      <w:tblPr/>
      <w:tcPr>
        <w:shd w:val="clear" w:color="auto" w:fill="032552" w:themeFill="accent1" w:themeFillShade="BF"/>
      </w:tcPr>
    </w:tblStylePr>
    <w:tblStylePr w:type="band1Vert">
      <w:tblPr/>
      <w:tcPr>
        <w:shd w:val="clear" w:color="auto" w:fill="428FF6" w:themeFill="accent1" w:themeFillTint="7F"/>
      </w:tcPr>
    </w:tblStylePr>
    <w:tblStylePr w:type="band1Horz">
      <w:tblPr/>
      <w:tcPr>
        <w:shd w:val="clear" w:color="auto" w:fill="428FF6" w:themeFill="accent1" w:themeFillTint="7F"/>
      </w:tcPr>
    </w:tblStylePr>
  </w:style>
  <w:style w:type="table" w:styleId="ColorfulGrid-Accent2">
    <w:name w:val="Colorful Grid Accent 2"/>
    <w:basedOn w:val="TableNormal"/>
    <w:uiPriority w:val="73"/>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BBF1DD" w:themeFill="accent2" w:themeFillTint="33"/>
    </w:tcPr>
    <w:tblStylePr w:type="firstRow">
      <w:rPr>
        <w:b/>
        <w:bCs/>
      </w:rPr>
      <w:tblPr/>
      <w:tcPr>
        <w:shd w:val="clear" w:color="auto" w:fill="78E4BD" w:themeFill="accent2" w:themeFillTint="66"/>
      </w:tcPr>
    </w:tblStylePr>
    <w:tblStylePr w:type="lastRow">
      <w:rPr>
        <w:b/>
        <w:bCs/>
        <w:color w:val="000000" w:themeColor="text1"/>
      </w:rPr>
      <w:tblPr/>
      <w:tcPr>
        <w:shd w:val="clear" w:color="auto" w:fill="78E4BD" w:themeFill="accent2" w:themeFillTint="66"/>
      </w:tcPr>
    </w:tblStylePr>
    <w:tblStylePr w:type="firstCol">
      <w:rPr>
        <w:color w:val="FFFFFF" w:themeColor="background1"/>
      </w:rPr>
      <w:tblPr/>
      <w:tcPr>
        <w:shd w:val="clear" w:color="auto" w:fill="0D432F" w:themeFill="accent2" w:themeFillShade="BF"/>
      </w:tcPr>
    </w:tblStylePr>
    <w:tblStylePr w:type="lastCol">
      <w:rPr>
        <w:color w:val="FFFFFF" w:themeColor="background1"/>
      </w:rPr>
      <w:tblPr/>
      <w:tcPr>
        <w:shd w:val="clear" w:color="auto" w:fill="0D432F" w:themeFill="accent2" w:themeFillShade="BF"/>
      </w:tcPr>
    </w:tblStylePr>
    <w:tblStylePr w:type="band1Vert">
      <w:tblPr/>
      <w:tcPr>
        <w:shd w:val="clear" w:color="auto" w:fill="58DDAC" w:themeFill="accent2" w:themeFillTint="7F"/>
      </w:tcPr>
    </w:tblStylePr>
    <w:tblStylePr w:type="band1Horz">
      <w:tblPr/>
      <w:tcPr>
        <w:shd w:val="clear" w:color="auto" w:fill="58DDAC" w:themeFill="accent2" w:themeFillTint="7F"/>
      </w:tcPr>
    </w:tblStylePr>
  </w:style>
  <w:style w:type="table" w:styleId="ColorfulGrid-Accent3">
    <w:name w:val="Colorful Grid Accent 3"/>
    <w:basedOn w:val="TableNormal"/>
    <w:uiPriority w:val="73"/>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EEF5E9" w:themeFill="accent3" w:themeFillTint="33"/>
    </w:tcPr>
    <w:tblStylePr w:type="firstRow">
      <w:rPr>
        <w:b/>
        <w:bCs/>
      </w:rPr>
      <w:tblPr/>
      <w:tcPr>
        <w:shd w:val="clear" w:color="auto" w:fill="DEECD4" w:themeFill="accent3" w:themeFillTint="66"/>
      </w:tcPr>
    </w:tblStylePr>
    <w:tblStylePr w:type="lastRow">
      <w:rPr>
        <w:b/>
        <w:bCs/>
        <w:color w:val="000000" w:themeColor="text1"/>
      </w:rPr>
      <w:tblPr/>
      <w:tcPr>
        <w:shd w:val="clear" w:color="auto" w:fill="DEECD4" w:themeFill="accent3" w:themeFillTint="66"/>
      </w:tcPr>
    </w:tblStylePr>
    <w:tblStylePr w:type="firstCol">
      <w:rPr>
        <w:color w:val="FFFFFF" w:themeColor="background1"/>
      </w:rPr>
      <w:tblPr/>
      <w:tcPr>
        <w:shd w:val="clear" w:color="auto" w:fill="7CB456" w:themeFill="accent3" w:themeFillShade="BF"/>
      </w:tcPr>
    </w:tblStylePr>
    <w:tblStylePr w:type="lastCol">
      <w:rPr>
        <w:color w:val="FFFFFF" w:themeColor="background1"/>
      </w:rPr>
      <w:tblPr/>
      <w:tcPr>
        <w:shd w:val="clear" w:color="auto" w:fill="7CB456" w:themeFill="accent3" w:themeFillShade="BF"/>
      </w:tcPr>
    </w:tblStylePr>
    <w:tblStylePr w:type="band1Vert">
      <w:tblPr/>
      <w:tcPr>
        <w:shd w:val="clear" w:color="auto" w:fill="D5E7CA" w:themeFill="accent3" w:themeFillTint="7F"/>
      </w:tcPr>
    </w:tblStylePr>
    <w:tblStylePr w:type="band1Horz">
      <w:tblPr/>
      <w:tcPr>
        <w:shd w:val="clear" w:color="auto" w:fill="D5E7CA" w:themeFill="accent3" w:themeFillTint="7F"/>
      </w:tcPr>
    </w:tblStylePr>
  </w:style>
  <w:style w:type="table" w:styleId="ColorfulGrid-Accent4">
    <w:name w:val="Colorful Grid Accent 4"/>
    <w:basedOn w:val="TableNormal"/>
    <w:uiPriority w:val="73"/>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E9CADC" w:themeFill="accent4" w:themeFillTint="33"/>
    </w:tcPr>
    <w:tblStylePr w:type="firstRow">
      <w:rPr>
        <w:b/>
        <w:bCs/>
      </w:rPr>
      <w:tblPr/>
      <w:tcPr>
        <w:shd w:val="clear" w:color="auto" w:fill="D396BA" w:themeFill="accent4" w:themeFillTint="66"/>
      </w:tcPr>
    </w:tblStylePr>
    <w:tblStylePr w:type="lastRow">
      <w:rPr>
        <w:b/>
        <w:bCs/>
        <w:color w:val="000000" w:themeColor="text1"/>
      </w:rPr>
      <w:tblPr/>
      <w:tcPr>
        <w:shd w:val="clear" w:color="auto" w:fill="D396BA" w:themeFill="accent4" w:themeFillTint="66"/>
      </w:tcPr>
    </w:tblStylePr>
    <w:tblStylePr w:type="firstCol">
      <w:rPr>
        <w:color w:val="FFFFFF" w:themeColor="background1"/>
      </w:rPr>
      <w:tblPr/>
      <w:tcPr>
        <w:shd w:val="clear" w:color="auto" w:fill="491E38" w:themeFill="accent4" w:themeFillShade="BF"/>
      </w:tcPr>
    </w:tblStylePr>
    <w:tblStylePr w:type="lastCol">
      <w:rPr>
        <w:color w:val="FFFFFF" w:themeColor="background1"/>
      </w:rPr>
      <w:tblPr/>
      <w:tcPr>
        <w:shd w:val="clear" w:color="auto" w:fill="491E38" w:themeFill="accent4" w:themeFillShade="BF"/>
      </w:tcPr>
    </w:tblStylePr>
    <w:tblStylePr w:type="band1Vert">
      <w:tblPr/>
      <w:tcPr>
        <w:shd w:val="clear" w:color="auto" w:fill="C87CA9" w:themeFill="accent4" w:themeFillTint="7F"/>
      </w:tcPr>
    </w:tblStylePr>
    <w:tblStylePr w:type="band1Horz">
      <w:tblPr/>
      <w:tcPr>
        <w:shd w:val="clear" w:color="auto" w:fill="C87CA9" w:themeFill="accent4" w:themeFillTint="7F"/>
      </w:tcPr>
    </w:tblStylePr>
  </w:style>
  <w:style w:type="table" w:styleId="ColorfulGrid-Accent5">
    <w:name w:val="Colorful Grid Accent 5"/>
    <w:basedOn w:val="TableNormal"/>
    <w:uiPriority w:val="73"/>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FE7DD" w:themeFill="accent5" w:themeFillTint="33"/>
    </w:tcPr>
    <w:tblStylePr w:type="firstRow">
      <w:rPr>
        <w:b/>
        <w:bCs/>
      </w:rPr>
      <w:tblPr/>
      <w:tcPr>
        <w:shd w:val="clear" w:color="auto" w:fill="FFCFBB" w:themeFill="accent5" w:themeFillTint="66"/>
      </w:tcPr>
    </w:tblStylePr>
    <w:tblStylePr w:type="lastRow">
      <w:rPr>
        <w:b/>
        <w:bCs/>
        <w:color w:val="000000" w:themeColor="text1"/>
      </w:rPr>
      <w:tblPr/>
      <w:tcPr>
        <w:shd w:val="clear" w:color="auto" w:fill="FFCFBB" w:themeFill="accent5" w:themeFillTint="66"/>
      </w:tcPr>
    </w:tblStylePr>
    <w:tblStylePr w:type="firstCol">
      <w:rPr>
        <w:color w:val="FFFFFF" w:themeColor="background1"/>
      </w:rPr>
      <w:tblPr/>
      <w:tcPr>
        <w:shd w:val="clear" w:color="auto" w:fill="FE4B00" w:themeFill="accent5" w:themeFillShade="BF"/>
      </w:tcPr>
    </w:tblStylePr>
    <w:tblStylePr w:type="lastCol">
      <w:rPr>
        <w:color w:val="FFFFFF" w:themeColor="background1"/>
      </w:rPr>
      <w:tblPr/>
      <w:tcPr>
        <w:shd w:val="clear" w:color="auto" w:fill="FE4B00" w:themeFill="accent5" w:themeFillShade="BF"/>
      </w:tcPr>
    </w:tblStylePr>
    <w:tblStylePr w:type="band1Vert">
      <w:tblPr/>
      <w:tcPr>
        <w:shd w:val="clear" w:color="auto" w:fill="FFC3AA" w:themeFill="accent5" w:themeFillTint="7F"/>
      </w:tcPr>
    </w:tblStylePr>
    <w:tblStylePr w:type="band1Horz">
      <w:tblPr/>
      <w:tcPr>
        <w:shd w:val="clear" w:color="auto" w:fill="FFC3AA" w:themeFill="accent5" w:themeFillTint="7F"/>
      </w:tcPr>
    </w:tblStylePr>
  </w:style>
  <w:style w:type="table" w:styleId="ColorfulGrid-Accent6">
    <w:name w:val="Colorful Grid Accent 6"/>
    <w:basedOn w:val="TableNormal"/>
    <w:uiPriority w:val="73"/>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9F8F7" w:themeFill="accent6" w:themeFillTint="33"/>
    </w:tcPr>
    <w:tblStylePr w:type="firstRow">
      <w:rPr>
        <w:b/>
        <w:bCs/>
      </w:rPr>
      <w:tblPr/>
      <w:tcPr>
        <w:shd w:val="clear" w:color="auto" w:fill="F3F2EF" w:themeFill="accent6" w:themeFillTint="66"/>
      </w:tcPr>
    </w:tblStylePr>
    <w:tblStylePr w:type="lastRow">
      <w:rPr>
        <w:b/>
        <w:bCs/>
        <w:color w:val="000000" w:themeColor="text1"/>
      </w:rPr>
      <w:tblPr/>
      <w:tcPr>
        <w:shd w:val="clear" w:color="auto" w:fill="F3F2EF" w:themeFill="accent6" w:themeFillTint="66"/>
      </w:tcPr>
    </w:tblStylePr>
    <w:tblStylePr w:type="firstCol">
      <w:rPr>
        <w:color w:val="FFFFFF" w:themeColor="background1"/>
      </w:rPr>
      <w:tblPr/>
      <w:tcPr>
        <w:shd w:val="clear" w:color="auto" w:fill="B4AF97" w:themeFill="accent6" w:themeFillShade="BF"/>
      </w:tcPr>
    </w:tblStylePr>
    <w:tblStylePr w:type="lastCol">
      <w:rPr>
        <w:color w:val="FFFFFF" w:themeColor="background1"/>
      </w:rPr>
      <w:tblPr/>
      <w:tcPr>
        <w:shd w:val="clear" w:color="auto" w:fill="B4AF97" w:themeFill="accent6" w:themeFillShade="BF"/>
      </w:tcPr>
    </w:tblStylePr>
    <w:tblStylePr w:type="band1Vert">
      <w:tblPr/>
      <w:tcPr>
        <w:shd w:val="clear" w:color="auto" w:fill="F1EFEB" w:themeFill="accent6" w:themeFillTint="7F"/>
      </w:tcPr>
    </w:tblStylePr>
    <w:tblStylePr w:type="band1Horz">
      <w:tblPr/>
      <w:tcPr>
        <w:shd w:val="clear" w:color="auto" w:fill="F1EFEB" w:themeFill="accent6" w:themeFillTint="7F"/>
      </w:tcPr>
    </w:tblStylePr>
  </w:style>
  <w:style w:type="table" w:styleId="ColorfulList">
    <w:name w:val="Colorful List"/>
    <w:basedOn w:val="TableNormal"/>
    <w:uiPriority w:val="72"/>
    <w:unhideWhenUsed/>
    <w:rsid w:val="00920D86"/>
    <w:pPr>
      <w:spacing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0E4732" w:themeFill="accent2" w:themeFillShade="CC"/>
      </w:tcPr>
    </w:tblStylePr>
    <w:tblStylePr w:type="lastRow">
      <w:rPr>
        <w:b/>
        <w:bCs/>
        <w:color w:val="0E473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unhideWhenUsed/>
    <w:rsid w:val="00920D86"/>
    <w:pPr>
      <w:spacing w:line="240" w:lineRule="auto"/>
    </w:pPr>
    <w:rPr>
      <w:color w:val="000000" w:themeColor="text1"/>
    </w:rPr>
    <w:tblPr>
      <w:tblStyleRowBandSize w:val="1"/>
      <w:tblStyleColBandSize w:val="1"/>
    </w:tblPr>
    <w:tcPr>
      <w:shd w:val="clear" w:color="auto" w:fill="D9E8FD" w:themeFill="accent1" w:themeFillTint="19"/>
    </w:tcPr>
    <w:tblStylePr w:type="firstRow">
      <w:rPr>
        <w:b/>
        <w:bCs/>
        <w:color w:val="FFFFFF" w:themeColor="background1"/>
      </w:rPr>
      <w:tblPr/>
      <w:tcPr>
        <w:tcBorders>
          <w:bottom w:val="single" w:sz="12" w:space="0" w:color="FFFFFF" w:themeColor="background1"/>
        </w:tcBorders>
        <w:shd w:val="clear" w:color="auto" w:fill="0E4732" w:themeFill="accent2" w:themeFillShade="CC"/>
      </w:tcPr>
    </w:tblStylePr>
    <w:tblStylePr w:type="lastRow">
      <w:rPr>
        <w:b/>
        <w:bCs/>
        <w:color w:val="0E473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1C7FA" w:themeFill="accent1" w:themeFillTint="3F"/>
      </w:tcPr>
    </w:tblStylePr>
    <w:tblStylePr w:type="band1Horz">
      <w:tblPr/>
      <w:tcPr>
        <w:shd w:val="clear" w:color="auto" w:fill="B3D2FB" w:themeFill="accent1" w:themeFillTint="33"/>
      </w:tcPr>
    </w:tblStylePr>
  </w:style>
  <w:style w:type="table" w:styleId="ColorfulList-Accent2">
    <w:name w:val="Colorful List Accent 2"/>
    <w:basedOn w:val="TableNormal"/>
    <w:uiPriority w:val="72"/>
    <w:unhideWhenUsed/>
    <w:rsid w:val="00920D86"/>
    <w:pPr>
      <w:spacing w:line="240" w:lineRule="auto"/>
    </w:pPr>
    <w:rPr>
      <w:color w:val="000000" w:themeColor="text1"/>
    </w:rPr>
    <w:tblPr>
      <w:tblStyleRowBandSize w:val="1"/>
      <w:tblStyleColBandSize w:val="1"/>
    </w:tblPr>
    <w:tcPr>
      <w:shd w:val="clear" w:color="auto" w:fill="DDF8EE" w:themeFill="accent2" w:themeFillTint="19"/>
    </w:tcPr>
    <w:tblStylePr w:type="firstRow">
      <w:rPr>
        <w:b/>
        <w:bCs/>
        <w:color w:val="FFFFFF" w:themeColor="background1"/>
      </w:rPr>
      <w:tblPr/>
      <w:tcPr>
        <w:tcBorders>
          <w:bottom w:val="single" w:sz="12" w:space="0" w:color="FFFFFF" w:themeColor="background1"/>
        </w:tcBorders>
        <w:shd w:val="clear" w:color="auto" w:fill="0E4732" w:themeFill="accent2" w:themeFillShade="CC"/>
      </w:tcPr>
    </w:tblStylePr>
    <w:tblStylePr w:type="lastRow">
      <w:rPr>
        <w:b/>
        <w:bCs/>
        <w:color w:val="0E473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CEED6" w:themeFill="accent2" w:themeFillTint="3F"/>
      </w:tcPr>
    </w:tblStylePr>
    <w:tblStylePr w:type="band1Horz">
      <w:tblPr/>
      <w:tcPr>
        <w:shd w:val="clear" w:color="auto" w:fill="BBF1DD" w:themeFill="accent2" w:themeFillTint="33"/>
      </w:tcPr>
    </w:tblStylePr>
  </w:style>
  <w:style w:type="table" w:styleId="ColorfulList-Accent3">
    <w:name w:val="Colorful List Accent 3"/>
    <w:basedOn w:val="TableNormal"/>
    <w:uiPriority w:val="72"/>
    <w:unhideWhenUsed/>
    <w:rsid w:val="00920D86"/>
    <w:pPr>
      <w:spacing w:line="240" w:lineRule="auto"/>
    </w:pPr>
    <w:rPr>
      <w:color w:val="000000" w:themeColor="text1"/>
    </w:rPr>
    <w:tblPr>
      <w:tblStyleRowBandSize w:val="1"/>
      <w:tblStyleColBandSize w:val="1"/>
    </w:tblPr>
    <w:tcPr>
      <w:shd w:val="clear" w:color="auto" w:fill="F6FAF4" w:themeFill="accent3" w:themeFillTint="19"/>
    </w:tcPr>
    <w:tblStylePr w:type="firstRow">
      <w:rPr>
        <w:b/>
        <w:bCs/>
        <w:color w:val="FFFFFF" w:themeColor="background1"/>
      </w:rPr>
      <w:tblPr/>
      <w:tcPr>
        <w:tcBorders>
          <w:bottom w:val="single" w:sz="12" w:space="0" w:color="FFFFFF" w:themeColor="background1"/>
        </w:tcBorders>
        <w:shd w:val="clear" w:color="auto" w:fill="4E203B" w:themeFill="accent4" w:themeFillShade="CC"/>
      </w:tcPr>
    </w:tblStylePr>
    <w:tblStylePr w:type="lastRow">
      <w:rPr>
        <w:b/>
        <w:bCs/>
        <w:color w:val="4E203B"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AF3E4" w:themeFill="accent3" w:themeFillTint="3F"/>
      </w:tcPr>
    </w:tblStylePr>
    <w:tblStylePr w:type="band1Horz">
      <w:tblPr/>
      <w:tcPr>
        <w:shd w:val="clear" w:color="auto" w:fill="EEF5E9" w:themeFill="accent3" w:themeFillTint="33"/>
      </w:tcPr>
    </w:tblStylePr>
  </w:style>
  <w:style w:type="table" w:styleId="ColorfulList-Accent4">
    <w:name w:val="Colorful List Accent 4"/>
    <w:basedOn w:val="TableNormal"/>
    <w:uiPriority w:val="72"/>
    <w:unhideWhenUsed/>
    <w:rsid w:val="00920D86"/>
    <w:pPr>
      <w:spacing w:line="240" w:lineRule="auto"/>
    </w:pPr>
    <w:rPr>
      <w:color w:val="000000" w:themeColor="text1"/>
    </w:rPr>
    <w:tblPr>
      <w:tblStyleRowBandSize w:val="1"/>
      <w:tblStyleColBandSize w:val="1"/>
    </w:tblPr>
    <w:tcPr>
      <w:shd w:val="clear" w:color="auto" w:fill="F4E5EE" w:themeFill="accent4" w:themeFillTint="19"/>
    </w:tcPr>
    <w:tblStylePr w:type="firstRow">
      <w:rPr>
        <w:b/>
        <w:bCs/>
        <w:color w:val="FFFFFF" w:themeColor="background1"/>
      </w:rPr>
      <w:tblPr/>
      <w:tcPr>
        <w:tcBorders>
          <w:bottom w:val="single" w:sz="12" w:space="0" w:color="FFFFFF" w:themeColor="background1"/>
        </w:tcBorders>
        <w:shd w:val="clear" w:color="auto" w:fill="86BA63" w:themeFill="accent3" w:themeFillShade="CC"/>
      </w:tcPr>
    </w:tblStylePr>
    <w:tblStylePr w:type="lastRow">
      <w:rPr>
        <w:b/>
        <w:bCs/>
        <w:color w:val="86BA63"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4BED4" w:themeFill="accent4" w:themeFillTint="3F"/>
      </w:tcPr>
    </w:tblStylePr>
    <w:tblStylePr w:type="band1Horz">
      <w:tblPr/>
      <w:tcPr>
        <w:shd w:val="clear" w:color="auto" w:fill="E9CADC" w:themeFill="accent4" w:themeFillTint="33"/>
      </w:tcPr>
    </w:tblStylePr>
  </w:style>
  <w:style w:type="table" w:styleId="ColorfulList-Accent5">
    <w:name w:val="Colorful List Accent 5"/>
    <w:basedOn w:val="TableNormal"/>
    <w:uiPriority w:val="72"/>
    <w:unhideWhenUsed/>
    <w:rsid w:val="00920D86"/>
    <w:pPr>
      <w:spacing w:line="240" w:lineRule="auto"/>
    </w:pPr>
    <w:rPr>
      <w:color w:val="000000" w:themeColor="text1"/>
    </w:rPr>
    <w:tblPr>
      <w:tblStyleRowBandSize w:val="1"/>
      <w:tblStyleColBandSize w:val="1"/>
    </w:tblPr>
    <w:tcPr>
      <w:shd w:val="clear" w:color="auto" w:fill="FFF3EE" w:themeFill="accent5" w:themeFillTint="19"/>
    </w:tcPr>
    <w:tblStylePr w:type="firstRow">
      <w:rPr>
        <w:b/>
        <w:bCs/>
        <w:color w:val="FFFFFF" w:themeColor="background1"/>
      </w:rPr>
      <w:tblPr/>
      <w:tcPr>
        <w:tcBorders>
          <w:bottom w:val="single" w:sz="12" w:space="0" w:color="FFFFFF" w:themeColor="background1"/>
        </w:tcBorders>
        <w:shd w:val="clear" w:color="auto" w:fill="BEB9A4" w:themeFill="accent6" w:themeFillShade="CC"/>
      </w:tcPr>
    </w:tblStylePr>
    <w:tblStylePr w:type="lastRow">
      <w:rPr>
        <w:b/>
        <w:bCs/>
        <w:color w:val="BEB9A4"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1D5" w:themeFill="accent5" w:themeFillTint="3F"/>
      </w:tcPr>
    </w:tblStylePr>
    <w:tblStylePr w:type="band1Horz">
      <w:tblPr/>
      <w:tcPr>
        <w:shd w:val="clear" w:color="auto" w:fill="FFE7DD" w:themeFill="accent5" w:themeFillTint="33"/>
      </w:tcPr>
    </w:tblStylePr>
  </w:style>
  <w:style w:type="table" w:styleId="ColorfulList-Accent6">
    <w:name w:val="Colorful List Accent 6"/>
    <w:basedOn w:val="TableNormal"/>
    <w:uiPriority w:val="72"/>
    <w:unhideWhenUsed/>
    <w:rsid w:val="00920D86"/>
    <w:pPr>
      <w:spacing w:line="240" w:lineRule="auto"/>
    </w:pPr>
    <w:rPr>
      <w:color w:val="000000" w:themeColor="text1"/>
    </w:rPr>
    <w:tblPr>
      <w:tblStyleRowBandSize w:val="1"/>
      <w:tblStyleColBandSize w:val="1"/>
    </w:tblPr>
    <w:tcPr>
      <w:shd w:val="clear" w:color="auto" w:fill="FCFCFB" w:themeFill="accent6" w:themeFillTint="19"/>
    </w:tcPr>
    <w:tblStylePr w:type="firstRow">
      <w:rPr>
        <w:b/>
        <w:bCs/>
        <w:color w:val="FFFFFF" w:themeColor="background1"/>
      </w:rPr>
      <w:tblPr/>
      <w:tcPr>
        <w:tcBorders>
          <w:bottom w:val="single" w:sz="12" w:space="0" w:color="FFFFFF" w:themeColor="background1"/>
        </w:tcBorders>
        <w:shd w:val="clear" w:color="auto" w:fill="FF5711" w:themeFill="accent5" w:themeFillShade="CC"/>
      </w:tcPr>
    </w:tblStylePr>
    <w:tblStylePr w:type="lastRow">
      <w:rPr>
        <w:b/>
        <w:bCs/>
        <w:color w:val="FF571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8F7F5" w:themeFill="accent6" w:themeFillTint="3F"/>
      </w:tcPr>
    </w:tblStylePr>
    <w:tblStylePr w:type="band1Horz">
      <w:tblPr/>
      <w:tcPr>
        <w:shd w:val="clear" w:color="auto" w:fill="F9F8F7" w:themeFill="accent6" w:themeFillTint="33"/>
      </w:tcPr>
    </w:tblStylePr>
  </w:style>
  <w:style w:type="table" w:styleId="ColorfulShading">
    <w:name w:val="Colorful Shading"/>
    <w:basedOn w:val="TableNormal"/>
    <w:uiPriority w:val="71"/>
    <w:unhideWhenUsed/>
    <w:rsid w:val="00920D86"/>
    <w:pPr>
      <w:spacing w:line="240" w:lineRule="auto"/>
    </w:pPr>
    <w:rPr>
      <w:color w:val="000000" w:themeColor="text1"/>
    </w:rPr>
    <w:tblPr>
      <w:tblStyleRowBandSize w:val="1"/>
      <w:tblStyleColBandSize w:val="1"/>
      <w:tblBorders>
        <w:top w:val="single" w:sz="24" w:space="0" w:color="125A4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125A4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unhideWhenUsed/>
    <w:rsid w:val="00920D86"/>
    <w:pPr>
      <w:spacing w:line="240" w:lineRule="auto"/>
    </w:pPr>
    <w:rPr>
      <w:color w:val="000000" w:themeColor="text1"/>
    </w:rPr>
    <w:tblPr>
      <w:tblStyleRowBandSize w:val="1"/>
      <w:tblStyleColBandSize w:val="1"/>
      <w:tblBorders>
        <w:top w:val="single" w:sz="24" w:space="0" w:color="125A40" w:themeColor="accent2"/>
        <w:left w:val="single" w:sz="4" w:space="0" w:color="05326E" w:themeColor="accent1"/>
        <w:bottom w:val="single" w:sz="4" w:space="0" w:color="05326E" w:themeColor="accent1"/>
        <w:right w:val="single" w:sz="4" w:space="0" w:color="05326E" w:themeColor="accent1"/>
        <w:insideH w:val="single" w:sz="4" w:space="0" w:color="FFFFFF" w:themeColor="background1"/>
        <w:insideV w:val="single" w:sz="4" w:space="0" w:color="FFFFFF" w:themeColor="background1"/>
      </w:tblBorders>
    </w:tblPr>
    <w:tcPr>
      <w:shd w:val="clear" w:color="auto" w:fill="D9E8FD" w:themeFill="accent1" w:themeFillTint="19"/>
    </w:tcPr>
    <w:tblStylePr w:type="firstRow">
      <w:rPr>
        <w:b/>
        <w:bCs/>
      </w:rPr>
      <w:tblPr/>
      <w:tcPr>
        <w:tcBorders>
          <w:top w:val="nil"/>
          <w:left w:val="nil"/>
          <w:bottom w:val="single" w:sz="24" w:space="0" w:color="125A4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31D41" w:themeFill="accent1" w:themeFillShade="99"/>
      </w:tcPr>
    </w:tblStylePr>
    <w:tblStylePr w:type="firstCol">
      <w:rPr>
        <w:color w:val="FFFFFF" w:themeColor="background1"/>
      </w:rPr>
      <w:tblPr/>
      <w:tcPr>
        <w:tcBorders>
          <w:top w:val="nil"/>
          <w:left w:val="nil"/>
          <w:bottom w:val="nil"/>
          <w:right w:val="nil"/>
          <w:insideH w:val="single" w:sz="4" w:space="0" w:color="031D41" w:themeColor="accent1" w:themeShade="99"/>
          <w:insideV w:val="nil"/>
        </w:tcBorders>
        <w:shd w:val="clear" w:color="auto" w:fill="031D41"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31D41" w:themeFill="accent1" w:themeFillShade="99"/>
      </w:tcPr>
    </w:tblStylePr>
    <w:tblStylePr w:type="band1Vert">
      <w:tblPr/>
      <w:tcPr>
        <w:shd w:val="clear" w:color="auto" w:fill="67A5F8" w:themeFill="accent1" w:themeFillTint="66"/>
      </w:tcPr>
    </w:tblStylePr>
    <w:tblStylePr w:type="band1Horz">
      <w:tblPr/>
      <w:tcPr>
        <w:shd w:val="clear" w:color="auto" w:fill="428FF6"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unhideWhenUsed/>
    <w:rsid w:val="00920D86"/>
    <w:pPr>
      <w:spacing w:line="240" w:lineRule="auto"/>
    </w:pPr>
    <w:rPr>
      <w:color w:val="000000" w:themeColor="text1"/>
    </w:rPr>
    <w:tblPr>
      <w:tblStyleRowBandSize w:val="1"/>
      <w:tblStyleColBandSize w:val="1"/>
      <w:tblBorders>
        <w:top w:val="single" w:sz="24" w:space="0" w:color="125A40" w:themeColor="accent2"/>
        <w:left w:val="single" w:sz="4" w:space="0" w:color="125A40" w:themeColor="accent2"/>
        <w:bottom w:val="single" w:sz="4" w:space="0" w:color="125A40" w:themeColor="accent2"/>
        <w:right w:val="single" w:sz="4" w:space="0" w:color="125A40" w:themeColor="accent2"/>
        <w:insideH w:val="single" w:sz="4" w:space="0" w:color="FFFFFF" w:themeColor="background1"/>
        <w:insideV w:val="single" w:sz="4" w:space="0" w:color="FFFFFF" w:themeColor="background1"/>
      </w:tblBorders>
    </w:tblPr>
    <w:tcPr>
      <w:shd w:val="clear" w:color="auto" w:fill="DDF8EE" w:themeFill="accent2" w:themeFillTint="19"/>
    </w:tcPr>
    <w:tblStylePr w:type="firstRow">
      <w:rPr>
        <w:b/>
        <w:bCs/>
      </w:rPr>
      <w:tblPr/>
      <w:tcPr>
        <w:tcBorders>
          <w:top w:val="nil"/>
          <w:left w:val="nil"/>
          <w:bottom w:val="single" w:sz="24" w:space="0" w:color="125A4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A3526" w:themeFill="accent2" w:themeFillShade="99"/>
      </w:tcPr>
    </w:tblStylePr>
    <w:tblStylePr w:type="firstCol">
      <w:rPr>
        <w:color w:val="FFFFFF" w:themeColor="background1"/>
      </w:rPr>
      <w:tblPr/>
      <w:tcPr>
        <w:tcBorders>
          <w:top w:val="nil"/>
          <w:left w:val="nil"/>
          <w:bottom w:val="nil"/>
          <w:right w:val="nil"/>
          <w:insideH w:val="single" w:sz="4" w:space="0" w:color="0A3526" w:themeColor="accent2" w:themeShade="99"/>
          <w:insideV w:val="nil"/>
        </w:tcBorders>
        <w:shd w:val="clear" w:color="auto" w:fill="0A3526"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A3526" w:themeFill="accent2" w:themeFillShade="99"/>
      </w:tcPr>
    </w:tblStylePr>
    <w:tblStylePr w:type="band1Vert">
      <w:tblPr/>
      <w:tcPr>
        <w:shd w:val="clear" w:color="auto" w:fill="78E4BD" w:themeFill="accent2" w:themeFillTint="66"/>
      </w:tcPr>
    </w:tblStylePr>
    <w:tblStylePr w:type="band1Horz">
      <w:tblPr/>
      <w:tcPr>
        <w:shd w:val="clear" w:color="auto" w:fill="58DDAC"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unhideWhenUsed/>
    <w:rsid w:val="00920D86"/>
    <w:pPr>
      <w:spacing w:line="240" w:lineRule="auto"/>
    </w:pPr>
    <w:rPr>
      <w:color w:val="000000" w:themeColor="text1"/>
    </w:rPr>
    <w:tblPr>
      <w:tblStyleRowBandSize w:val="1"/>
      <w:tblStyleColBandSize w:val="1"/>
      <w:tblBorders>
        <w:top w:val="single" w:sz="24" w:space="0" w:color="62294B" w:themeColor="accent4"/>
        <w:left w:val="single" w:sz="4" w:space="0" w:color="ADD095" w:themeColor="accent3"/>
        <w:bottom w:val="single" w:sz="4" w:space="0" w:color="ADD095" w:themeColor="accent3"/>
        <w:right w:val="single" w:sz="4" w:space="0" w:color="ADD095" w:themeColor="accent3"/>
        <w:insideH w:val="single" w:sz="4" w:space="0" w:color="FFFFFF" w:themeColor="background1"/>
        <w:insideV w:val="single" w:sz="4" w:space="0" w:color="FFFFFF" w:themeColor="background1"/>
      </w:tblBorders>
    </w:tblPr>
    <w:tcPr>
      <w:shd w:val="clear" w:color="auto" w:fill="F6FAF4" w:themeFill="accent3" w:themeFillTint="19"/>
    </w:tcPr>
    <w:tblStylePr w:type="firstRow">
      <w:rPr>
        <w:b/>
        <w:bCs/>
      </w:rPr>
      <w:tblPr/>
      <w:tcPr>
        <w:tcBorders>
          <w:top w:val="nil"/>
          <w:left w:val="nil"/>
          <w:bottom w:val="single" w:sz="24" w:space="0" w:color="62294B"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9441" w:themeFill="accent3" w:themeFillShade="99"/>
      </w:tcPr>
    </w:tblStylePr>
    <w:tblStylePr w:type="firstCol">
      <w:rPr>
        <w:color w:val="FFFFFF" w:themeColor="background1"/>
      </w:rPr>
      <w:tblPr/>
      <w:tcPr>
        <w:tcBorders>
          <w:top w:val="nil"/>
          <w:left w:val="nil"/>
          <w:bottom w:val="nil"/>
          <w:right w:val="nil"/>
          <w:insideH w:val="single" w:sz="4" w:space="0" w:color="639441" w:themeColor="accent3" w:themeShade="99"/>
          <w:insideV w:val="nil"/>
        </w:tcBorders>
        <w:shd w:val="clear" w:color="auto" w:fill="639441"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9441" w:themeFill="accent3" w:themeFillShade="99"/>
      </w:tcPr>
    </w:tblStylePr>
    <w:tblStylePr w:type="band1Vert">
      <w:tblPr/>
      <w:tcPr>
        <w:shd w:val="clear" w:color="auto" w:fill="DEECD4" w:themeFill="accent3" w:themeFillTint="66"/>
      </w:tcPr>
    </w:tblStylePr>
    <w:tblStylePr w:type="band1Horz">
      <w:tblPr/>
      <w:tcPr>
        <w:shd w:val="clear" w:color="auto" w:fill="D5E7CA" w:themeFill="accent3" w:themeFillTint="7F"/>
      </w:tcPr>
    </w:tblStylePr>
  </w:style>
  <w:style w:type="table" w:styleId="ColorfulShading-Accent4">
    <w:name w:val="Colorful Shading Accent 4"/>
    <w:basedOn w:val="TableNormal"/>
    <w:uiPriority w:val="71"/>
    <w:unhideWhenUsed/>
    <w:rsid w:val="00920D86"/>
    <w:pPr>
      <w:spacing w:line="240" w:lineRule="auto"/>
    </w:pPr>
    <w:rPr>
      <w:color w:val="000000" w:themeColor="text1"/>
    </w:rPr>
    <w:tblPr>
      <w:tblStyleRowBandSize w:val="1"/>
      <w:tblStyleColBandSize w:val="1"/>
      <w:tblBorders>
        <w:top w:val="single" w:sz="24" w:space="0" w:color="ADD095" w:themeColor="accent3"/>
        <w:left w:val="single" w:sz="4" w:space="0" w:color="62294B" w:themeColor="accent4"/>
        <w:bottom w:val="single" w:sz="4" w:space="0" w:color="62294B" w:themeColor="accent4"/>
        <w:right w:val="single" w:sz="4" w:space="0" w:color="62294B" w:themeColor="accent4"/>
        <w:insideH w:val="single" w:sz="4" w:space="0" w:color="FFFFFF" w:themeColor="background1"/>
        <w:insideV w:val="single" w:sz="4" w:space="0" w:color="FFFFFF" w:themeColor="background1"/>
      </w:tblBorders>
    </w:tblPr>
    <w:tcPr>
      <w:shd w:val="clear" w:color="auto" w:fill="F4E5EE" w:themeFill="accent4" w:themeFillTint="19"/>
    </w:tcPr>
    <w:tblStylePr w:type="firstRow">
      <w:rPr>
        <w:b/>
        <w:bCs/>
      </w:rPr>
      <w:tblPr/>
      <w:tcPr>
        <w:tcBorders>
          <w:top w:val="nil"/>
          <w:left w:val="nil"/>
          <w:bottom w:val="single" w:sz="24" w:space="0" w:color="ADD09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3A182C" w:themeFill="accent4" w:themeFillShade="99"/>
      </w:tcPr>
    </w:tblStylePr>
    <w:tblStylePr w:type="firstCol">
      <w:rPr>
        <w:color w:val="FFFFFF" w:themeColor="background1"/>
      </w:rPr>
      <w:tblPr/>
      <w:tcPr>
        <w:tcBorders>
          <w:top w:val="nil"/>
          <w:left w:val="nil"/>
          <w:bottom w:val="nil"/>
          <w:right w:val="nil"/>
          <w:insideH w:val="single" w:sz="4" w:space="0" w:color="3A182C" w:themeColor="accent4" w:themeShade="99"/>
          <w:insideV w:val="nil"/>
        </w:tcBorders>
        <w:shd w:val="clear" w:color="auto" w:fill="3A182C"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3A182C" w:themeFill="accent4" w:themeFillShade="99"/>
      </w:tcPr>
    </w:tblStylePr>
    <w:tblStylePr w:type="band1Vert">
      <w:tblPr/>
      <w:tcPr>
        <w:shd w:val="clear" w:color="auto" w:fill="D396BA" w:themeFill="accent4" w:themeFillTint="66"/>
      </w:tcPr>
    </w:tblStylePr>
    <w:tblStylePr w:type="band1Horz">
      <w:tblPr/>
      <w:tcPr>
        <w:shd w:val="clear" w:color="auto" w:fill="C87CA9"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unhideWhenUsed/>
    <w:rsid w:val="00920D86"/>
    <w:pPr>
      <w:spacing w:line="240" w:lineRule="auto"/>
    </w:pPr>
    <w:rPr>
      <w:color w:val="000000" w:themeColor="text1"/>
    </w:rPr>
    <w:tblPr>
      <w:tblStyleRowBandSize w:val="1"/>
      <w:tblStyleColBandSize w:val="1"/>
      <w:tblBorders>
        <w:top w:val="single" w:sz="24" w:space="0" w:color="E3E1D8" w:themeColor="accent6"/>
        <w:left w:val="single" w:sz="4" w:space="0" w:color="FF8855" w:themeColor="accent5"/>
        <w:bottom w:val="single" w:sz="4" w:space="0" w:color="FF8855" w:themeColor="accent5"/>
        <w:right w:val="single" w:sz="4" w:space="0" w:color="FF8855" w:themeColor="accent5"/>
        <w:insideH w:val="single" w:sz="4" w:space="0" w:color="FFFFFF" w:themeColor="background1"/>
        <w:insideV w:val="single" w:sz="4" w:space="0" w:color="FFFFFF" w:themeColor="background1"/>
      </w:tblBorders>
    </w:tblPr>
    <w:tcPr>
      <w:shd w:val="clear" w:color="auto" w:fill="FFF3EE" w:themeFill="accent5" w:themeFillTint="19"/>
    </w:tcPr>
    <w:tblStylePr w:type="firstRow">
      <w:rPr>
        <w:b/>
        <w:bCs/>
      </w:rPr>
      <w:tblPr/>
      <w:tcPr>
        <w:tcBorders>
          <w:top w:val="nil"/>
          <w:left w:val="nil"/>
          <w:bottom w:val="single" w:sz="24" w:space="0" w:color="E3E1D8"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CC3C00" w:themeFill="accent5" w:themeFillShade="99"/>
      </w:tcPr>
    </w:tblStylePr>
    <w:tblStylePr w:type="firstCol">
      <w:rPr>
        <w:color w:val="FFFFFF" w:themeColor="background1"/>
      </w:rPr>
      <w:tblPr/>
      <w:tcPr>
        <w:tcBorders>
          <w:top w:val="nil"/>
          <w:left w:val="nil"/>
          <w:bottom w:val="nil"/>
          <w:right w:val="nil"/>
          <w:insideH w:val="single" w:sz="4" w:space="0" w:color="CC3C00" w:themeColor="accent5" w:themeShade="99"/>
          <w:insideV w:val="nil"/>
        </w:tcBorders>
        <w:shd w:val="clear" w:color="auto" w:fill="CC3C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CC3C00" w:themeFill="accent5" w:themeFillShade="99"/>
      </w:tcPr>
    </w:tblStylePr>
    <w:tblStylePr w:type="band1Vert">
      <w:tblPr/>
      <w:tcPr>
        <w:shd w:val="clear" w:color="auto" w:fill="FFCFBB" w:themeFill="accent5" w:themeFillTint="66"/>
      </w:tcPr>
    </w:tblStylePr>
    <w:tblStylePr w:type="band1Horz">
      <w:tblPr/>
      <w:tcPr>
        <w:shd w:val="clear" w:color="auto" w:fill="FFC3A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unhideWhenUsed/>
    <w:rsid w:val="00920D86"/>
    <w:pPr>
      <w:spacing w:line="240" w:lineRule="auto"/>
    </w:pPr>
    <w:rPr>
      <w:color w:val="000000" w:themeColor="text1"/>
    </w:rPr>
    <w:tblPr>
      <w:tblStyleRowBandSize w:val="1"/>
      <w:tblStyleColBandSize w:val="1"/>
      <w:tblBorders>
        <w:top w:val="single" w:sz="24" w:space="0" w:color="FF8855" w:themeColor="accent5"/>
        <w:left w:val="single" w:sz="4" w:space="0" w:color="E3E1D8" w:themeColor="accent6"/>
        <w:bottom w:val="single" w:sz="4" w:space="0" w:color="E3E1D8" w:themeColor="accent6"/>
        <w:right w:val="single" w:sz="4" w:space="0" w:color="E3E1D8" w:themeColor="accent6"/>
        <w:insideH w:val="single" w:sz="4" w:space="0" w:color="FFFFFF" w:themeColor="background1"/>
        <w:insideV w:val="single" w:sz="4" w:space="0" w:color="FFFFFF" w:themeColor="background1"/>
      </w:tblBorders>
    </w:tblPr>
    <w:tcPr>
      <w:shd w:val="clear" w:color="auto" w:fill="FCFCFB" w:themeFill="accent6" w:themeFillTint="19"/>
    </w:tcPr>
    <w:tblStylePr w:type="firstRow">
      <w:rPr>
        <w:b/>
        <w:bCs/>
      </w:rPr>
      <w:tblPr/>
      <w:tcPr>
        <w:tcBorders>
          <w:top w:val="nil"/>
          <w:left w:val="nil"/>
          <w:bottom w:val="single" w:sz="24" w:space="0" w:color="FF885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9170" w:themeFill="accent6" w:themeFillShade="99"/>
      </w:tcPr>
    </w:tblStylePr>
    <w:tblStylePr w:type="firstCol">
      <w:rPr>
        <w:color w:val="FFFFFF" w:themeColor="background1"/>
      </w:rPr>
      <w:tblPr/>
      <w:tcPr>
        <w:tcBorders>
          <w:top w:val="nil"/>
          <w:left w:val="nil"/>
          <w:bottom w:val="nil"/>
          <w:right w:val="nil"/>
          <w:insideH w:val="single" w:sz="4" w:space="0" w:color="999170" w:themeColor="accent6" w:themeShade="99"/>
          <w:insideV w:val="nil"/>
        </w:tcBorders>
        <w:shd w:val="clear" w:color="auto" w:fill="999170"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999170" w:themeFill="accent6" w:themeFillShade="99"/>
      </w:tcPr>
    </w:tblStylePr>
    <w:tblStylePr w:type="band1Vert">
      <w:tblPr/>
      <w:tcPr>
        <w:shd w:val="clear" w:color="auto" w:fill="F3F2EF" w:themeFill="accent6" w:themeFillTint="66"/>
      </w:tcPr>
    </w:tblStylePr>
    <w:tblStylePr w:type="band1Horz">
      <w:tblPr/>
      <w:tcPr>
        <w:shd w:val="clear" w:color="auto" w:fill="F1EFEB" w:themeFill="accent6" w:themeFillTint="7F"/>
      </w:tcPr>
    </w:tblStylePr>
    <w:tblStylePr w:type="neCell">
      <w:rPr>
        <w:color w:val="000000" w:themeColor="text1"/>
      </w:rPr>
    </w:tblStylePr>
    <w:tblStylePr w:type="nwCell">
      <w:rPr>
        <w:color w:val="000000" w:themeColor="text1"/>
      </w:rPr>
    </w:tblStylePr>
  </w:style>
  <w:style w:type="character" w:styleId="CommentReference">
    <w:name w:val="annotation reference"/>
    <w:basedOn w:val="DefaultParagraphFont"/>
    <w:uiPriority w:val="99"/>
    <w:rsid w:val="00920D86"/>
    <w:rPr>
      <w:sz w:val="16"/>
      <w:szCs w:val="16"/>
      <w:lang w:val="en-US"/>
    </w:rPr>
  </w:style>
  <w:style w:type="paragraph" w:styleId="CommentText">
    <w:name w:val="annotation text"/>
    <w:basedOn w:val="Normal"/>
    <w:link w:val="CommentTextChar"/>
    <w:uiPriority w:val="99"/>
    <w:rsid w:val="00920D86"/>
    <w:pPr>
      <w:spacing w:line="240" w:lineRule="auto"/>
    </w:pPr>
    <w:rPr>
      <w:sz w:val="20"/>
      <w:szCs w:val="20"/>
    </w:rPr>
  </w:style>
  <w:style w:type="character" w:customStyle="1" w:styleId="CommentTextChar">
    <w:name w:val="Comment Text Char"/>
    <w:basedOn w:val="DefaultParagraphFont"/>
    <w:link w:val="CommentText"/>
    <w:uiPriority w:val="99"/>
    <w:qFormat/>
    <w:rsid w:val="00920D86"/>
    <w:rPr>
      <w:sz w:val="20"/>
      <w:szCs w:val="20"/>
      <w:lang w:val="en-US"/>
    </w:rPr>
  </w:style>
  <w:style w:type="paragraph" w:styleId="CommentSubject">
    <w:name w:val="annotation subject"/>
    <w:basedOn w:val="CommentText"/>
    <w:next w:val="CommentText"/>
    <w:link w:val="CommentSubjectChar"/>
    <w:uiPriority w:val="99"/>
    <w:rsid w:val="00920D86"/>
    <w:rPr>
      <w:b/>
      <w:bCs/>
    </w:rPr>
  </w:style>
  <w:style w:type="character" w:customStyle="1" w:styleId="CommentSubjectChar">
    <w:name w:val="Comment Subject Char"/>
    <w:basedOn w:val="CommentTextChar"/>
    <w:link w:val="CommentSubject"/>
    <w:uiPriority w:val="99"/>
    <w:rsid w:val="00920D86"/>
    <w:rPr>
      <w:b/>
      <w:bCs/>
      <w:sz w:val="20"/>
      <w:szCs w:val="20"/>
      <w:lang w:val="en-US"/>
    </w:rPr>
  </w:style>
  <w:style w:type="table" w:styleId="DarkList">
    <w:name w:val="Dark List"/>
    <w:basedOn w:val="TableNormal"/>
    <w:uiPriority w:val="70"/>
    <w:unhideWhenUsed/>
    <w:rsid w:val="00920D86"/>
    <w:pPr>
      <w:spacing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unhideWhenUsed/>
    <w:rsid w:val="00920D86"/>
    <w:pPr>
      <w:spacing w:line="240" w:lineRule="auto"/>
    </w:pPr>
    <w:rPr>
      <w:color w:val="FFFFFF" w:themeColor="background1"/>
    </w:rPr>
    <w:tblPr>
      <w:tblStyleRowBandSize w:val="1"/>
      <w:tblStyleColBandSize w:val="1"/>
    </w:tblPr>
    <w:tcPr>
      <w:shd w:val="clear" w:color="auto" w:fill="05326E"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21836"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32552"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32552" w:themeFill="accent1" w:themeFillShade="BF"/>
      </w:tcPr>
    </w:tblStylePr>
    <w:tblStylePr w:type="band1Vert">
      <w:tblPr/>
      <w:tcPr>
        <w:tcBorders>
          <w:top w:val="nil"/>
          <w:left w:val="nil"/>
          <w:bottom w:val="nil"/>
          <w:right w:val="nil"/>
          <w:insideH w:val="nil"/>
          <w:insideV w:val="nil"/>
        </w:tcBorders>
        <w:shd w:val="clear" w:color="auto" w:fill="032552" w:themeFill="accent1" w:themeFillShade="BF"/>
      </w:tcPr>
    </w:tblStylePr>
    <w:tblStylePr w:type="band1Horz">
      <w:tblPr/>
      <w:tcPr>
        <w:tcBorders>
          <w:top w:val="nil"/>
          <w:left w:val="nil"/>
          <w:bottom w:val="nil"/>
          <w:right w:val="nil"/>
          <w:insideH w:val="nil"/>
          <w:insideV w:val="nil"/>
        </w:tcBorders>
        <w:shd w:val="clear" w:color="auto" w:fill="032552" w:themeFill="accent1" w:themeFillShade="BF"/>
      </w:tcPr>
    </w:tblStylePr>
  </w:style>
  <w:style w:type="table" w:styleId="DarkList-Accent2">
    <w:name w:val="Dark List Accent 2"/>
    <w:basedOn w:val="TableNormal"/>
    <w:uiPriority w:val="70"/>
    <w:unhideWhenUsed/>
    <w:rsid w:val="00920D86"/>
    <w:pPr>
      <w:spacing w:line="240" w:lineRule="auto"/>
    </w:pPr>
    <w:rPr>
      <w:color w:val="FFFFFF" w:themeColor="background1"/>
    </w:rPr>
    <w:tblPr>
      <w:tblStyleRowBandSize w:val="1"/>
      <w:tblStyleColBandSize w:val="1"/>
    </w:tblPr>
    <w:tcPr>
      <w:shd w:val="clear" w:color="auto" w:fill="125A4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92C1F"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D432F"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D432F" w:themeFill="accent2" w:themeFillShade="BF"/>
      </w:tcPr>
    </w:tblStylePr>
    <w:tblStylePr w:type="band1Vert">
      <w:tblPr/>
      <w:tcPr>
        <w:tcBorders>
          <w:top w:val="nil"/>
          <w:left w:val="nil"/>
          <w:bottom w:val="nil"/>
          <w:right w:val="nil"/>
          <w:insideH w:val="nil"/>
          <w:insideV w:val="nil"/>
        </w:tcBorders>
        <w:shd w:val="clear" w:color="auto" w:fill="0D432F" w:themeFill="accent2" w:themeFillShade="BF"/>
      </w:tcPr>
    </w:tblStylePr>
    <w:tblStylePr w:type="band1Horz">
      <w:tblPr/>
      <w:tcPr>
        <w:tcBorders>
          <w:top w:val="nil"/>
          <w:left w:val="nil"/>
          <w:bottom w:val="nil"/>
          <w:right w:val="nil"/>
          <w:insideH w:val="nil"/>
          <w:insideV w:val="nil"/>
        </w:tcBorders>
        <w:shd w:val="clear" w:color="auto" w:fill="0D432F" w:themeFill="accent2" w:themeFillShade="BF"/>
      </w:tcPr>
    </w:tblStylePr>
  </w:style>
  <w:style w:type="table" w:styleId="DarkList-Accent3">
    <w:name w:val="Dark List Accent 3"/>
    <w:basedOn w:val="TableNormal"/>
    <w:uiPriority w:val="70"/>
    <w:unhideWhenUsed/>
    <w:rsid w:val="00920D86"/>
    <w:pPr>
      <w:spacing w:line="240" w:lineRule="auto"/>
    </w:pPr>
    <w:rPr>
      <w:color w:val="FFFFFF" w:themeColor="background1"/>
    </w:rPr>
    <w:tblPr>
      <w:tblStyleRowBandSize w:val="1"/>
      <w:tblStyleColBandSize w:val="1"/>
    </w:tblPr>
    <w:tcPr>
      <w:shd w:val="clear" w:color="auto" w:fill="ADD09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7B36"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CB456"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CB456" w:themeFill="accent3" w:themeFillShade="BF"/>
      </w:tcPr>
    </w:tblStylePr>
    <w:tblStylePr w:type="band1Vert">
      <w:tblPr/>
      <w:tcPr>
        <w:tcBorders>
          <w:top w:val="nil"/>
          <w:left w:val="nil"/>
          <w:bottom w:val="nil"/>
          <w:right w:val="nil"/>
          <w:insideH w:val="nil"/>
          <w:insideV w:val="nil"/>
        </w:tcBorders>
        <w:shd w:val="clear" w:color="auto" w:fill="7CB456" w:themeFill="accent3" w:themeFillShade="BF"/>
      </w:tcPr>
    </w:tblStylePr>
    <w:tblStylePr w:type="band1Horz">
      <w:tblPr/>
      <w:tcPr>
        <w:tcBorders>
          <w:top w:val="nil"/>
          <w:left w:val="nil"/>
          <w:bottom w:val="nil"/>
          <w:right w:val="nil"/>
          <w:insideH w:val="nil"/>
          <w:insideV w:val="nil"/>
        </w:tcBorders>
        <w:shd w:val="clear" w:color="auto" w:fill="7CB456" w:themeFill="accent3" w:themeFillShade="BF"/>
      </w:tcPr>
    </w:tblStylePr>
  </w:style>
  <w:style w:type="table" w:styleId="DarkList-Accent4">
    <w:name w:val="Dark List Accent 4"/>
    <w:basedOn w:val="TableNormal"/>
    <w:uiPriority w:val="70"/>
    <w:unhideWhenUsed/>
    <w:rsid w:val="00920D86"/>
    <w:pPr>
      <w:spacing w:line="240" w:lineRule="auto"/>
    </w:pPr>
    <w:rPr>
      <w:color w:val="FFFFFF" w:themeColor="background1"/>
    </w:rPr>
    <w:tblPr>
      <w:tblStyleRowBandSize w:val="1"/>
      <w:tblStyleColBandSize w:val="1"/>
    </w:tblPr>
    <w:tcPr>
      <w:shd w:val="clear" w:color="auto" w:fill="62294B"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01425"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491E38"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491E38" w:themeFill="accent4" w:themeFillShade="BF"/>
      </w:tcPr>
    </w:tblStylePr>
    <w:tblStylePr w:type="band1Vert">
      <w:tblPr/>
      <w:tcPr>
        <w:tcBorders>
          <w:top w:val="nil"/>
          <w:left w:val="nil"/>
          <w:bottom w:val="nil"/>
          <w:right w:val="nil"/>
          <w:insideH w:val="nil"/>
          <w:insideV w:val="nil"/>
        </w:tcBorders>
        <w:shd w:val="clear" w:color="auto" w:fill="491E38" w:themeFill="accent4" w:themeFillShade="BF"/>
      </w:tcPr>
    </w:tblStylePr>
    <w:tblStylePr w:type="band1Horz">
      <w:tblPr/>
      <w:tcPr>
        <w:tcBorders>
          <w:top w:val="nil"/>
          <w:left w:val="nil"/>
          <w:bottom w:val="nil"/>
          <w:right w:val="nil"/>
          <w:insideH w:val="nil"/>
          <w:insideV w:val="nil"/>
        </w:tcBorders>
        <w:shd w:val="clear" w:color="auto" w:fill="491E38" w:themeFill="accent4" w:themeFillShade="BF"/>
      </w:tcPr>
    </w:tblStylePr>
  </w:style>
  <w:style w:type="table" w:styleId="DarkList-Accent5">
    <w:name w:val="Dark List Accent 5"/>
    <w:basedOn w:val="TableNormal"/>
    <w:uiPriority w:val="70"/>
    <w:unhideWhenUsed/>
    <w:rsid w:val="00920D86"/>
    <w:pPr>
      <w:spacing w:line="240" w:lineRule="auto"/>
    </w:pPr>
    <w:rPr>
      <w:color w:val="FFFFFF" w:themeColor="background1"/>
    </w:rPr>
    <w:tblPr>
      <w:tblStyleRowBandSize w:val="1"/>
      <w:tblStyleColBandSize w:val="1"/>
    </w:tblPr>
    <w:tcPr>
      <w:shd w:val="clear" w:color="auto" w:fill="FF885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A932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FE4B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FE4B00" w:themeFill="accent5" w:themeFillShade="BF"/>
      </w:tcPr>
    </w:tblStylePr>
    <w:tblStylePr w:type="band1Vert">
      <w:tblPr/>
      <w:tcPr>
        <w:tcBorders>
          <w:top w:val="nil"/>
          <w:left w:val="nil"/>
          <w:bottom w:val="nil"/>
          <w:right w:val="nil"/>
          <w:insideH w:val="nil"/>
          <w:insideV w:val="nil"/>
        </w:tcBorders>
        <w:shd w:val="clear" w:color="auto" w:fill="FE4B00" w:themeFill="accent5" w:themeFillShade="BF"/>
      </w:tcPr>
    </w:tblStylePr>
    <w:tblStylePr w:type="band1Horz">
      <w:tblPr/>
      <w:tcPr>
        <w:tcBorders>
          <w:top w:val="nil"/>
          <w:left w:val="nil"/>
          <w:bottom w:val="nil"/>
          <w:right w:val="nil"/>
          <w:insideH w:val="nil"/>
          <w:insideV w:val="nil"/>
        </w:tcBorders>
        <w:shd w:val="clear" w:color="auto" w:fill="FE4B00" w:themeFill="accent5" w:themeFillShade="BF"/>
      </w:tcPr>
    </w:tblStylePr>
  </w:style>
  <w:style w:type="table" w:styleId="DarkList-Accent6">
    <w:name w:val="Dark List Accent 6"/>
    <w:basedOn w:val="TableNormal"/>
    <w:uiPriority w:val="70"/>
    <w:unhideWhenUsed/>
    <w:rsid w:val="00920D86"/>
    <w:pPr>
      <w:spacing w:line="240" w:lineRule="auto"/>
    </w:pPr>
    <w:rPr>
      <w:color w:val="FFFFFF" w:themeColor="background1"/>
    </w:rPr>
    <w:tblPr>
      <w:tblStyleRowBandSize w:val="1"/>
      <w:tblStyleColBandSize w:val="1"/>
    </w:tblPr>
    <w:tcPr>
      <w:shd w:val="clear" w:color="auto" w:fill="E3E1D8"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0795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B4AF97"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B4AF97" w:themeFill="accent6" w:themeFillShade="BF"/>
      </w:tcPr>
    </w:tblStylePr>
    <w:tblStylePr w:type="band1Vert">
      <w:tblPr/>
      <w:tcPr>
        <w:tcBorders>
          <w:top w:val="nil"/>
          <w:left w:val="nil"/>
          <w:bottom w:val="nil"/>
          <w:right w:val="nil"/>
          <w:insideH w:val="nil"/>
          <w:insideV w:val="nil"/>
        </w:tcBorders>
        <w:shd w:val="clear" w:color="auto" w:fill="B4AF97" w:themeFill="accent6" w:themeFillShade="BF"/>
      </w:tcPr>
    </w:tblStylePr>
    <w:tblStylePr w:type="band1Horz">
      <w:tblPr/>
      <w:tcPr>
        <w:tcBorders>
          <w:top w:val="nil"/>
          <w:left w:val="nil"/>
          <w:bottom w:val="nil"/>
          <w:right w:val="nil"/>
          <w:insideH w:val="nil"/>
          <w:insideV w:val="nil"/>
        </w:tcBorders>
        <w:shd w:val="clear" w:color="auto" w:fill="B4AF97" w:themeFill="accent6" w:themeFillShade="BF"/>
      </w:tcPr>
    </w:tblStylePr>
  </w:style>
  <w:style w:type="paragraph" w:styleId="Date">
    <w:name w:val="Date"/>
    <w:basedOn w:val="Normal"/>
    <w:next w:val="Normal"/>
    <w:link w:val="DateChar"/>
    <w:uiPriority w:val="99"/>
    <w:rsid w:val="00920D86"/>
  </w:style>
  <w:style w:type="character" w:customStyle="1" w:styleId="DateChar">
    <w:name w:val="Date Char"/>
    <w:basedOn w:val="DefaultParagraphFont"/>
    <w:link w:val="Date"/>
    <w:uiPriority w:val="99"/>
    <w:rsid w:val="00920D86"/>
    <w:rPr>
      <w:lang w:val="en-US"/>
    </w:rPr>
  </w:style>
  <w:style w:type="paragraph" w:styleId="DocumentMap">
    <w:name w:val="Document Map"/>
    <w:basedOn w:val="Normal"/>
    <w:link w:val="DocumentMapChar"/>
    <w:uiPriority w:val="99"/>
    <w:rsid w:val="00920D86"/>
    <w:pPr>
      <w:spacing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rsid w:val="00920D86"/>
    <w:rPr>
      <w:rFonts w:ascii="Segoe UI" w:hAnsi="Segoe UI" w:cs="Segoe UI"/>
      <w:sz w:val="16"/>
      <w:szCs w:val="16"/>
      <w:lang w:val="en-US"/>
    </w:rPr>
  </w:style>
  <w:style w:type="paragraph" w:styleId="E-mailSignature">
    <w:name w:val="E-mail Signature"/>
    <w:basedOn w:val="Normal"/>
    <w:link w:val="E-mailSignatureChar"/>
    <w:uiPriority w:val="99"/>
    <w:rsid w:val="00920D86"/>
    <w:pPr>
      <w:spacing w:line="240" w:lineRule="auto"/>
    </w:pPr>
  </w:style>
  <w:style w:type="character" w:customStyle="1" w:styleId="E-mailSignatureChar">
    <w:name w:val="E-mail Signature Char"/>
    <w:basedOn w:val="DefaultParagraphFont"/>
    <w:link w:val="E-mailSignature"/>
    <w:uiPriority w:val="99"/>
    <w:rsid w:val="00920D86"/>
    <w:rPr>
      <w:lang w:val="en-US"/>
    </w:rPr>
  </w:style>
  <w:style w:type="character" w:styleId="Emphasis">
    <w:name w:val="Emphasis"/>
    <w:basedOn w:val="DefaultParagraphFont"/>
    <w:qFormat/>
    <w:rsid w:val="00920D86"/>
    <w:rPr>
      <w:i/>
      <w:iCs/>
      <w:lang w:val="en-US"/>
    </w:rPr>
  </w:style>
  <w:style w:type="paragraph" w:styleId="EnvelopeAddress">
    <w:name w:val="envelope address"/>
    <w:basedOn w:val="Normal"/>
    <w:uiPriority w:val="99"/>
    <w:rsid w:val="00920D86"/>
    <w:pPr>
      <w:framePr w:w="7920" w:h="1980" w:hRule="exact" w:hSpace="141"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920D86"/>
    <w:pPr>
      <w:spacing w:line="240" w:lineRule="auto"/>
    </w:pPr>
    <w:rPr>
      <w:rFonts w:asciiTheme="majorHAnsi" w:eastAsiaTheme="majorEastAsia" w:hAnsiTheme="majorHAnsi" w:cstheme="majorBidi"/>
      <w:sz w:val="20"/>
      <w:szCs w:val="20"/>
    </w:rPr>
  </w:style>
  <w:style w:type="character" w:styleId="FollowedHyperlink">
    <w:name w:val="FollowedHyperlink"/>
    <w:basedOn w:val="DefaultParagraphFont"/>
    <w:uiPriority w:val="99"/>
    <w:rsid w:val="00920D86"/>
    <w:rPr>
      <w:color w:val="CCEBFD" w:themeColor="followedHyperlink"/>
      <w:u w:val="single"/>
      <w:lang w:val="en-US"/>
    </w:rPr>
  </w:style>
  <w:style w:type="character" w:styleId="FootnoteReference">
    <w:name w:val="footnote reference"/>
    <w:aliases w:val="note de bas de page,-E Fußnotenzeichen,Heading 6 Char1,Footnote symbol, BVI fnr,DNV-H6 Char1,Bullet list Char1,Lev 6 Char1,sub-dash Char1,sd Char1,5 Char1,H6 Char1,Annexe1 Char1,Aston T6 Char1,(Shift Ctrl 6) Char1,DO NOT USE_h6 Char1"/>
    <w:basedOn w:val="DefaultParagraphFont"/>
    <w:uiPriority w:val="99"/>
    <w:qFormat/>
    <w:rsid w:val="00920D86"/>
    <w:rPr>
      <w:vertAlign w:val="superscript"/>
      <w:lang w:val="en-US"/>
    </w:rPr>
  </w:style>
  <w:style w:type="table" w:styleId="GridTable1Light">
    <w:name w:val="Grid Table 1 Light"/>
    <w:basedOn w:val="TableNormal"/>
    <w:uiPriority w:val="46"/>
    <w:rsid w:val="00920D86"/>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920D86"/>
    <w:pPr>
      <w:spacing w:line="240" w:lineRule="auto"/>
    </w:pPr>
    <w:tblPr>
      <w:tblStyleRowBandSize w:val="1"/>
      <w:tblStyleColBandSize w:val="1"/>
      <w:tblBorders>
        <w:top w:val="single" w:sz="4" w:space="0" w:color="67A5F8" w:themeColor="accent1" w:themeTint="66"/>
        <w:left w:val="single" w:sz="4" w:space="0" w:color="67A5F8" w:themeColor="accent1" w:themeTint="66"/>
        <w:bottom w:val="single" w:sz="4" w:space="0" w:color="67A5F8" w:themeColor="accent1" w:themeTint="66"/>
        <w:right w:val="single" w:sz="4" w:space="0" w:color="67A5F8" w:themeColor="accent1" w:themeTint="66"/>
        <w:insideH w:val="single" w:sz="4" w:space="0" w:color="67A5F8" w:themeColor="accent1" w:themeTint="66"/>
        <w:insideV w:val="single" w:sz="4" w:space="0" w:color="67A5F8" w:themeColor="accent1" w:themeTint="66"/>
      </w:tblBorders>
    </w:tblPr>
    <w:tblStylePr w:type="firstRow">
      <w:rPr>
        <w:b/>
        <w:bCs/>
      </w:rPr>
      <w:tblPr/>
      <w:tcPr>
        <w:tcBorders>
          <w:bottom w:val="single" w:sz="12" w:space="0" w:color="1C78F4" w:themeColor="accent1" w:themeTint="99"/>
        </w:tcBorders>
      </w:tcPr>
    </w:tblStylePr>
    <w:tblStylePr w:type="lastRow">
      <w:rPr>
        <w:b/>
        <w:bCs/>
      </w:rPr>
      <w:tblPr/>
      <w:tcPr>
        <w:tcBorders>
          <w:top w:val="double" w:sz="2" w:space="0" w:color="1C78F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920D86"/>
    <w:pPr>
      <w:spacing w:line="240" w:lineRule="auto"/>
    </w:pPr>
    <w:tblPr>
      <w:tblStyleRowBandSize w:val="1"/>
      <w:tblStyleColBandSize w:val="1"/>
      <w:tblBorders>
        <w:top w:val="single" w:sz="4" w:space="0" w:color="78E4BD" w:themeColor="accent2" w:themeTint="66"/>
        <w:left w:val="single" w:sz="4" w:space="0" w:color="78E4BD" w:themeColor="accent2" w:themeTint="66"/>
        <w:bottom w:val="single" w:sz="4" w:space="0" w:color="78E4BD" w:themeColor="accent2" w:themeTint="66"/>
        <w:right w:val="single" w:sz="4" w:space="0" w:color="78E4BD" w:themeColor="accent2" w:themeTint="66"/>
        <w:insideH w:val="single" w:sz="4" w:space="0" w:color="78E4BD" w:themeColor="accent2" w:themeTint="66"/>
        <w:insideV w:val="single" w:sz="4" w:space="0" w:color="78E4BD" w:themeColor="accent2" w:themeTint="66"/>
      </w:tblBorders>
    </w:tblPr>
    <w:tblStylePr w:type="firstRow">
      <w:rPr>
        <w:b/>
        <w:bCs/>
      </w:rPr>
      <w:tblPr/>
      <w:tcPr>
        <w:tcBorders>
          <w:bottom w:val="single" w:sz="12" w:space="0" w:color="35D69C" w:themeColor="accent2" w:themeTint="99"/>
        </w:tcBorders>
      </w:tcPr>
    </w:tblStylePr>
    <w:tblStylePr w:type="lastRow">
      <w:rPr>
        <w:b/>
        <w:bCs/>
      </w:rPr>
      <w:tblPr/>
      <w:tcPr>
        <w:tcBorders>
          <w:top w:val="double" w:sz="2" w:space="0" w:color="35D69C"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920D86"/>
    <w:pPr>
      <w:spacing w:line="240" w:lineRule="auto"/>
    </w:pPr>
    <w:tblPr>
      <w:tblStyleRowBandSize w:val="1"/>
      <w:tblStyleColBandSize w:val="1"/>
      <w:tblBorders>
        <w:top w:val="single" w:sz="4" w:space="0" w:color="DEECD4" w:themeColor="accent3" w:themeTint="66"/>
        <w:left w:val="single" w:sz="4" w:space="0" w:color="DEECD4" w:themeColor="accent3" w:themeTint="66"/>
        <w:bottom w:val="single" w:sz="4" w:space="0" w:color="DEECD4" w:themeColor="accent3" w:themeTint="66"/>
        <w:right w:val="single" w:sz="4" w:space="0" w:color="DEECD4" w:themeColor="accent3" w:themeTint="66"/>
        <w:insideH w:val="single" w:sz="4" w:space="0" w:color="DEECD4" w:themeColor="accent3" w:themeTint="66"/>
        <w:insideV w:val="single" w:sz="4" w:space="0" w:color="DEECD4" w:themeColor="accent3" w:themeTint="66"/>
      </w:tblBorders>
    </w:tblPr>
    <w:tblStylePr w:type="firstRow">
      <w:rPr>
        <w:b/>
        <w:bCs/>
      </w:rPr>
      <w:tblPr/>
      <w:tcPr>
        <w:tcBorders>
          <w:bottom w:val="single" w:sz="12" w:space="0" w:color="CDE2BF" w:themeColor="accent3" w:themeTint="99"/>
        </w:tcBorders>
      </w:tcPr>
    </w:tblStylePr>
    <w:tblStylePr w:type="lastRow">
      <w:rPr>
        <w:b/>
        <w:bCs/>
      </w:rPr>
      <w:tblPr/>
      <w:tcPr>
        <w:tcBorders>
          <w:top w:val="double" w:sz="2" w:space="0" w:color="CDE2BF"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920D86"/>
    <w:pPr>
      <w:spacing w:line="240" w:lineRule="auto"/>
    </w:pPr>
    <w:tblPr>
      <w:tblStyleRowBandSize w:val="1"/>
      <w:tblStyleColBandSize w:val="1"/>
      <w:tblBorders>
        <w:top w:val="single" w:sz="4" w:space="0" w:color="D396BA" w:themeColor="accent4" w:themeTint="66"/>
        <w:left w:val="single" w:sz="4" w:space="0" w:color="D396BA" w:themeColor="accent4" w:themeTint="66"/>
        <w:bottom w:val="single" w:sz="4" w:space="0" w:color="D396BA" w:themeColor="accent4" w:themeTint="66"/>
        <w:right w:val="single" w:sz="4" w:space="0" w:color="D396BA" w:themeColor="accent4" w:themeTint="66"/>
        <w:insideH w:val="single" w:sz="4" w:space="0" w:color="D396BA" w:themeColor="accent4" w:themeTint="66"/>
        <w:insideV w:val="single" w:sz="4" w:space="0" w:color="D396BA" w:themeColor="accent4" w:themeTint="66"/>
      </w:tblBorders>
    </w:tblPr>
    <w:tblStylePr w:type="firstRow">
      <w:rPr>
        <w:b/>
        <w:bCs/>
      </w:rPr>
      <w:tblPr/>
      <w:tcPr>
        <w:tcBorders>
          <w:bottom w:val="single" w:sz="12" w:space="0" w:color="BD6298" w:themeColor="accent4" w:themeTint="99"/>
        </w:tcBorders>
      </w:tcPr>
    </w:tblStylePr>
    <w:tblStylePr w:type="lastRow">
      <w:rPr>
        <w:b/>
        <w:bCs/>
      </w:rPr>
      <w:tblPr/>
      <w:tcPr>
        <w:tcBorders>
          <w:top w:val="double" w:sz="2" w:space="0" w:color="BD6298"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920D86"/>
    <w:pPr>
      <w:spacing w:line="240" w:lineRule="auto"/>
    </w:pPr>
    <w:tblPr>
      <w:tblStyleRowBandSize w:val="1"/>
      <w:tblStyleColBandSize w:val="1"/>
      <w:tblBorders>
        <w:top w:val="single" w:sz="4" w:space="0" w:color="FFCFBB" w:themeColor="accent5" w:themeTint="66"/>
        <w:left w:val="single" w:sz="4" w:space="0" w:color="FFCFBB" w:themeColor="accent5" w:themeTint="66"/>
        <w:bottom w:val="single" w:sz="4" w:space="0" w:color="FFCFBB" w:themeColor="accent5" w:themeTint="66"/>
        <w:right w:val="single" w:sz="4" w:space="0" w:color="FFCFBB" w:themeColor="accent5" w:themeTint="66"/>
        <w:insideH w:val="single" w:sz="4" w:space="0" w:color="FFCFBB" w:themeColor="accent5" w:themeTint="66"/>
        <w:insideV w:val="single" w:sz="4" w:space="0" w:color="FFCFBB" w:themeColor="accent5" w:themeTint="66"/>
      </w:tblBorders>
    </w:tblPr>
    <w:tblStylePr w:type="firstRow">
      <w:rPr>
        <w:b/>
        <w:bCs/>
      </w:rPr>
      <w:tblPr/>
      <w:tcPr>
        <w:tcBorders>
          <w:bottom w:val="single" w:sz="12" w:space="0" w:color="FFB799" w:themeColor="accent5" w:themeTint="99"/>
        </w:tcBorders>
      </w:tcPr>
    </w:tblStylePr>
    <w:tblStylePr w:type="lastRow">
      <w:rPr>
        <w:b/>
        <w:bCs/>
      </w:rPr>
      <w:tblPr/>
      <w:tcPr>
        <w:tcBorders>
          <w:top w:val="double" w:sz="2" w:space="0" w:color="FFB799"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920D86"/>
    <w:pPr>
      <w:spacing w:line="240" w:lineRule="auto"/>
    </w:pPr>
    <w:tblPr>
      <w:tblStyleRowBandSize w:val="1"/>
      <w:tblStyleColBandSize w:val="1"/>
      <w:tblBorders>
        <w:top w:val="single" w:sz="4" w:space="0" w:color="F3F2EF" w:themeColor="accent6" w:themeTint="66"/>
        <w:left w:val="single" w:sz="4" w:space="0" w:color="F3F2EF" w:themeColor="accent6" w:themeTint="66"/>
        <w:bottom w:val="single" w:sz="4" w:space="0" w:color="F3F2EF" w:themeColor="accent6" w:themeTint="66"/>
        <w:right w:val="single" w:sz="4" w:space="0" w:color="F3F2EF" w:themeColor="accent6" w:themeTint="66"/>
        <w:insideH w:val="single" w:sz="4" w:space="0" w:color="F3F2EF" w:themeColor="accent6" w:themeTint="66"/>
        <w:insideV w:val="single" w:sz="4" w:space="0" w:color="F3F2EF" w:themeColor="accent6" w:themeTint="66"/>
      </w:tblBorders>
    </w:tblPr>
    <w:tblStylePr w:type="firstRow">
      <w:rPr>
        <w:b/>
        <w:bCs/>
      </w:rPr>
      <w:tblPr/>
      <w:tcPr>
        <w:tcBorders>
          <w:bottom w:val="single" w:sz="12" w:space="0" w:color="EEECE7" w:themeColor="accent6" w:themeTint="99"/>
        </w:tcBorders>
      </w:tcPr>
    </w:tblStylePr>
    <w:tblStylePr w:type="lastRow">
      <w:rPr>
        <w:b/>
        <w:bCs/>
      </w:rPr>
      <w:tblPr/>
      <w:tcPr>
        <w:tcBorders>
          <w:top w:val="double" w:sz="2" w:space="0" w:color="EEECE7"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920D86"/>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920D86"/>
    <w:pPr>
      <w:spacing w:line="240" w:lineRule="auto"/>
    </w:pPr>
    <w:tblPr>
      <w:tblStyleRowBandSize w:val="1"/>
      <w:tblStyleColBandSize w:val="1"/>
      <w:tblBorders>
        <w:top w:val="single" w:sz="2" w:space="0" w:color="1C78F4" w:themeColor="accent1" w:themeTint="99"/>
        <w:bottom w:val="single" w:sz="2" w:space="0" w:color="1C78F4" w:themeColor="accent1" w:themeTint="99"/>
        <w:insideH w:val="single" w:sz="2" w:space="0" w:color="1C78F4" w:themeColor="accent1" w:themeTint="99"/>
        <w:insideV w:val="single" w:sz="2" w:space="0" w:color="1C78F4" w:themeColor="accent1" w:themeTint="99"/>
      </w:tblBorders>
    </w:tblPr>
    <w:tblStylePr w:type="firstRow">
      <w:rPr>
        <w:b/>
        <w:bCs/>
      </w:rPr>
      <w:tblPr/>
      <w:tcPr>
        <w:tcBorders>
          <w:top w:val="nil"/>
          <w:bottom w:val="single" w:sz="12" w:space="0" w:color="1C78F4" w:themeColor="accent1" w:themeTint="99"/>
          <w:insideH w:val="nil"/>
          <w:insideV w:val="nil"/>
        </w:tcBorders>
        <w:shd w:val="clear" w:color="auto" w:fill="FFFFFF" w:themeFill="background1"/>
      </w:tcPr>
    </w:tblStylePr>
    <w:tblStylePr w:type="lastRow">
      <w:rPr>
        <w:b/>
        <w:bCs/>
      </w:rPr>
      <w:tblPr/>
      <w:tcPr>
        <w:tcBorders>
          <w:top w:val="double" w:sz="2" w:space="0" w:color="1C78F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GridTable2-Accent2">
    <w:name w:val="Grid Table 2 Accent 2"/>
    <w:basedOn w:val="TableNormal"/>
    <w:uiPriority w:val="47"/>
    <w:rsid w:val="00920D86"/>
    <w:pPr>
      <w:spacing w:line="240" w:lineRule="auto"/>
    </w:pPr>
    <w:tblPr>
      <w:tblStyleRowBandSize w:val="1"/>
      <w:tblStyleColBandSize w:val="1"/>
      <w:tblBorders>
        <w:top w:val="single" w:sz="2" w:space="0" w:color="35D69C" w:themeColor="accent2" w:themeTint="99"/>
        <w:bottom w:val="single" w:sz="2" w:space="0" w:color="35D69C" w:themeColor="accent2" w:themeTint="99"/>
        <w:insideH w:val="single" w:sz="2" w:space="0" w:color="35D69C" w:themeColor="accent2" w:themeTint="99"/>
        <w:insideV w:val="single" w:sz="2" w:space="0" w:color="35D69C" w:themeColor="accent2" w:themeTint="99"/>
      </w:tblBorders>
    </w:tblPr>
    <w:tblStylePr w:type="firstRow">
      <w:rPr>
        <w:b/>
        <w:bCs/>
      </w:rPr>
      <w:tblPr/>
      <w:tcPr>
        <w:tcBorders>
          <w:top w:val="nil"/>
          <w:bottom w:val="single" w:sz="12" w:space="0" w:color="35D69C" w:themeColor="accent2" w:themeTint="99"/>
          <w:insideH w:val="nil"/>
          <w:insideV w:val="nil"/>
        </w:tcBorders>
        <w:shd w:val="clear" w:color="auto" w:fill="FFFFFF" w:themeFill="background1"/>
      </w:tcPr>
    </w:tblStylePr>
    <w:tblStylePr w:type="lastRow">
      <w:rPr>
        <w:b/>
        <w:bCs/>
      </w:rPr>
      <w:tblPr/>
      <w:tcPr>
        <w:tcBorders>
          <w:top w:val="double" w:sz="2" w:space="0" w:color="35D69C"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GridTable2-Accent3">
    <w:name w:val="Grid Table 2 Accent 3"/>
    <w:basedOn w:val="TableNormal"/>
    <w:uiPriority w:val="47"/>
    <w:rsid w:val="00920D86"/>
    <w:pPr>
      <w:spacing w:line="240" w:lineRule="auto"/>
    </w:pPr>
    <w:tblPr>
      <w:tblStyleRowBandSize w:val="1"/>
      <w:tblStyleColBandSize w:val="1"/>
      <w:tblBorders>
        <w:top w:val="single" w:sz="2" w:space="0" w:color="CDE2BF" w:themeColor="accent3" w:themeTint="99"/>
        <w:bottom w:val="single" w:sz="2" w:space="0" w:color="CDE2BF" w:themeColor="accent3" w:themeTint="99"/>
        <w:insideH w:val="single" w:sz="2" w:space="0" w:color="CDE2BF" w:themeColor="accent3" w:themeTint="99"/>
        <w:insideV w:val="single" w:sz="2" w:space="0" w:color="CDE2BF" w:themeColor="accent3" w:themeTint="99"/>
      </w:tblBorders>
    </w:tblPr>
    <w:tblStylePr w:type="firstRow">
      <w:rPr>
        <w:b/>
        <w:bCs/>
      </w:rPr>
      <w:tblPr/>
      <w:tcPr>
        <w:tcBorders>
          <w:top w:val="nil"/>
          <w:bottom w:val="single" w:sz="12" w:space="0" w:color="CDE2BF" w:themeColor="accent3" w:themeTint="99"/>
          <w:insideH w:val="nil"/>
          <w:insideV w:val="nil"/>
        </w:tcBorders>
        <w:shd w:val="clear" w:color="auto" w:fill="FFFFFF" w:themeFill="background1"/>
      </w:tcPr>
    </w:tblStylePr>
    <w:tblStylePr w:type="lastRow">
      <w:rPr>
        <w:b/>
        <w:bCs/>
      </w:rPr>
      <w:tblPr/>
      <w:tcPr>
        <w:tcBorders>
          <w:top w:val="double" w:sz="2" w:space="0" w:color="CDE2BF"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GridTable2-Accent4">
    <w:name w:val="Grid Table 2 Accent 4"/>
    <w:basedOn w:val="TableNormal"/>
    <w:uiPriority w:val="47"/>
    <w:rsid w:val="00920D86"/>
    <w:pPr>
      <w:spacing w:line="240" w:lineRule="auto"/>
    </w:pPr>
    <w:tblPr>
      <w:tblStyleRowBandSize w:val="1"/>
      <w:tblStyleColBandSize w:val="1"/>
      <w:tblBorders>
        <w:top w:val="single" w:sz="2" w:space="0" w:color="BD6298" w:themeColor="accent4" w:themeTint="99"/>
        <w:bottom w:val="single" w:sz="2" w:space="0" w:color="BD6298" w:themeColor="accent4" w:themeTint="99"/>
        <w:insideH w:val="single" w:sz="2" w:space="0" w:color="BD6298" w:themeColor="accent4" w:themeTint="99"/>
        <w:insideV w:val="single" w:sz="2" w:space="0" w:color="BD6298" w:themeColor="accent4" w:themeTint="99"/>
      </w:tblBorders>
    </w:tblPr>
    <w:tblStylePr w:type="firstRow">
      <w:rPr>
        <w:b/>
        <w:bCs/>
      </w:rPr>
      <w:tblPr/>
      <w:tcPr>
        <w:tcBorders>
          <w:top w:val="nil"/>
          <w:bottom w:val="single" w:sz="12" w:space="0" w:color="BD6298" w:themeColor="accent4" w:themeTint="99"/>
          <w:insideH w:val="nil"/>
          <w:insideV w:val="nil"/>
        </w:tcBorders>
        <w:shd w:val="clear" w:color="auto" w:fill="FFFFFF" w:themeFill="background1"/>
      </w:tcPr>
    </w:tblStylePr>
    <w:tblStylePr w:type="lastRow">
      <w:rPr>
        <w:b/>
        <w:bCs/>
      </w:rPr>
      <w:tblPr/>
      <w:tcPr>
        <w:tcBorders>
          <w:top w:val="double" w:sz="2" w:space="0" w:color="BD6298"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GridTable2-Accent5">
    <w:name w:val="Grid Table 2 Accent 5"/>
    <w:basedOn w:val="TableNormal"/>
    <w:uiPriority w:val="47"/>
    <w:rsid w:val="00920D86"/>
    <w:pPr>
      <w:spacing w:line="240" w:lineRule="auto"/>
    </w:pPr>
    <w:tblPr>
      <w:tblStyleRowBandSize w:val="1"/>
      <w:tblStyleColBandSize w:val="1"/>
      <w:tblBorders>
        <w:top w:val="single" w:sz="2" w:space="0" w:color="FFB799" w:themeColor="accent5" w:themeTint="99"/>
        <w:bottom w:val="single" w:sz="2" w:space="0" w:color="FFB799" w:themeColor="accent5" w:themeTint="99"/>
        <w:insideH w:val="single" w:sz="2" w:space="0" w:color="FFB799" w:themeColor="accent5" w:themeTint="99"/>
        <w:insideV w:val="single" w:sz="2" w:space="0" w:color="FFB799" w:themeColor="accent5" w:themeTint="99"/>
      </w:tblBorders>
    </w:tblPr>
    <w:tblStylePr w:type="firstRow">
      <w:rPr>
        <w:b/>
        <w:bCs/>
      </w:rPr>
      <w:tblPr/>
      <w:tcPr>
        <w:tcBorders>
          <w:top w:val="nil"/>
          <w:bottom w:val="single" w:sz="12" w:space="0" w:color="FFB799" w:themeColor="accent5" w:themeTint="99"/>
          <w:insideH w:val="nil"/>
          <w:insideV w:val="nil"/>
        </w:tcBorders>
        <w:shd w:val="clear" w:color="auto" w:fill="FFFFFF" w:themeFill="background1"/>
      </w:tcPr>
    </w:tblStylePr>
    <w:tblStylePr w:type="lastRow">
      <w:rPr>
        <w:b/>
        <w:bCs/>
      </w:rPr>
      <w:tblPr/>
      <w:tcPr>
        <w:tcBorders>
          <w:top w:val="double" w:sz="2" w:space="0" w:color="FFB799"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GridTable2-Accent6">
    <w:name w:val="Grid Table 2 Accent 6"/>
    <w:basedOn w:val="TableNormal"/>
    <w:uiPriority w:val="47"/>
    <w:rsid w:val="00920D86"/>
    <w:pPr>
      <w:spacing w:line="240" w:lineRule="auto"/>
    </w:pPr>
    <w:tblPr>
      <w:tblStyleRowBandSize w:val="1"/>
      <w:tblStyleColBandSize w:val="1"/>
      <w:tblBorders>
        <w:top w:val="single" w:sz="2" w:space="0" w:color="EEECE7" w:themeColor="accent6" w:themeTint="99"/>
        <w:bottom w:val="single" w:sz="2" w:space="0" w:color="EEECE7" w:themeColor="accent6" w:themeTint="99"/>
        <w:insideH w:val="single" w:sz="2" w:space="0" w:color="EEECE7" w:themeColor="accent6" w:themeTint="99"/>
        <w:insideV w:val="single" w:sz="2" w:space="0" w:color="EEECE7" w:themeColor="accent6" w:themeTint="99"/>
      </w:tblBorders>
    </w:tblPr>
    <w:tblStylePr w:type="firstRow">
      <w:rPr>
        <w:b/>
        <w:bCs/>
      </w:rPr>
      <w:tblPr/>
      <w:tcPr>
        <w:tcBorders>
          <w:top w:val="nil"/>
          <w:bottom w:val="single" w:sz="12" w:space="0" w:color="EEECE7" w:themeColor="accent6" w:themeTint="99"/>
          <w:insideH w:val="nil"/>
          <w:insideV w:val="nil"/>
        </w:tcBorders>
        <w:shd w:val="clear" w:color="auto" w:fill="FFFFFF" w:themeFill="background1"/>
      </w:tcPr>
    </w:tblStylePr>
    <w:tblStylePr w:type="lastRow">
      <w:rPr>
        <w:b/>
        <w:bCs/>
      </w:rPr>
      <w:tblPr/>
      <w:tcPr>
        <w:tcBorders>
          <w:top w:val="double" w:sz="2" w:space="0" w:color="EEECE7"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GridTable3">
    <w:name w:val="Grid Table 3"/>
    <w:basedOn w:val="TableNormal"/>
    <w:uiPriority w:val="48"/>
    <w:rsid w:val="00920D86"/>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920D86"/>
    <w:pPr>
      <w:spacing w:line="240" w:lineRule="auto"/>
    </w:pPr>
    <w:tblPr>
      <w:tblStyleRowBandSize w:val="1"/>
      <w:tblStyleColBandSize w:val="1"/>
      <w:tblBorders>
        <w:top w:val="single" w:sz="4" w:space="0" w:color="1C78F4" w:themeColor="accent1" w:themeTint="99"/>
        <w:left w:val="single" w:sz="4" w:space="0" w:color="1C78F4" w:themeColor="accent1" w:themeTint="99"/>
        <w:bottom w:val="single" w:sz="4" w:space="0" w:color="1C78F4" w:themeColor="accent1" w:themeTint="99"/>
        <w:right w:val="single" w:sz="4" w:space="0" w:color="1C78F4" w:themeColor="accent1" w:themeTint="99"/>
        <w:insideH w:val="single" w:sz="4" w:space="0" w:color="1C78F4" w:themeColor="accent1" w:themeTint="99"/>
        <w:insideV w:val="single" w:sz="4" w:space="0" w:color="1C78F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3D2FB" w:themeFill="accent1" w:themeFillTint="33"/>
      </w:tcPr>
    </w:tblStylePr>
    <w:tblStylePr w:type="band1Horz">
      <w:tblPr/>
      <w:tcPr>
        <w:shd w:val="clear" w:color="auto" w:fill="B3D2FB" w:themeFill="accent1" w:themeFillTint="33"/>
      </w:tcPr>
    </w:tblStylePr>
    <w:tblStylePr w:type="neCell">
      <w:tblPr/>
      <w:tcPr>
        <w:tcBorders>
          <w:bottom w:val="single" w:sz="4" w:space="0" w:color="1C78F4" w:themeColor="accent1" w:themeTint="99"/>
        </w:tcBorders>
      </w:tcPr>
    </w:tblStylePr>
    <w:tblStylePr w:type="nwCell">
      <w:tblPr/>
      <w:tcPr>
        <w:tcBorders>
          <w:bottom w:val="single" w:sz="4" w:space="0" w:color="1C78F4" w:themeColor="accent1" w:themeTint="99"/>
        </w:tcBorders>
      </w:tcPr>
    </w:tblStylePr>
    <w:tblStylePr w:type="seCell">
      <w:tblPr/>
      <w:tcPr>
        <w:tcBorders>
          <w:top w:val="single" w:sz="4" w:space="0" w:color="1C78F4" w:themeColor="accent1" w:themeTint="99"/>
        </w:tcBorders>
      </w:tcPr>
    </w:tblStylePr>
    <w:tblStylePr w:type="swCell">
      <w:tblPr/>
      <w:tcPr>
        <w:tcBorders>
          <w:top w:val="single" w:sz="4" w:space="0" w:color="1C78F4" w:themeColor="accent1" w:themeTint="99"/>
        </w:tcBorders>
      </w:tcPr>
    </w:tblStylePr>
  </w:style>
  <w:style w:type="table" w:styleId="GridTable3-Accent2">
    <w:name w:val="Grid Table 3 Accent 2"/>
    <w:basedOn w:val="TableNormal"/>
    <w:uiPriority w:val="48"/>
    <w:rsid w:val="00920D86"/>
    <w:pPr>
      <w:spacing w:line="240" w:lineRule="auto"/>
    </w:pPr>
    <w:tblPr>
      <w:tblStyleRowBandSize w:val="1"/>
      <w:tblStyleColBandSize w:val="1"/>
      <w:tblBorders>
        <w:top w:val="single" w:sz="4" w:space="0" w:color="35D69C" w:themeColor="accent2" w:themeTint="99"/>
        <w:left w:val="single" w:sz="4" w:space="0" w:color="35D69C" w:themeColor="accent2" w:themeTint="99"/>
        <w:bottom w:val="single" w:sz="4" w:space="0" w:color="35D69C" w:themeColor="accent2" w:themeTint="99"/>
        <w:right w:val="single" w:sz="4" w:space="0" w:color="35D69C" w:themeColor="accent2" w:themeTint="99"/>
        <w:insideH w:val="single" w:sz="4" w:space="0" w:color="35D69C" w:themeColor="accent2" w:themeTint="99"/>
        <w:insideV w:val="single" w:sz="4" w:space="0" w:color="35D69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1DD" w:themeFill="accent2" w:themeFillTint="33"/>
      </w:tcPr>
    </w:tblStylePr>
    <w:tblStylePr w:type="band1Horz">
      <w:tblPr/>
      <w:tcPr>
        <w:shd w:val="clear" w:color="auto" w:fill="BBF1DD" w:themeFill="accent2" w:themeFillTint="33"/>
      </w:tcPr>
    </w:tblStylePr>
    <w:tblStylePr w:type="neCell">
      <w:tblPr/>
      <w:tcPr>
        <w:tcBorders>
          <w:bottom w:val="single" w:sz="4" w:space="0" w:color="35D69C" w:themeColor="accent2" w:themeTint="99"/>
        </w:tcBorders>
      </w:tcPr>
    </w:tblStylePr>
    <w:tblStylePr w:type="nwCell">
      <w:tblPr/>
      <w:tcPr>
        <w:tcBorders>
          <w:bottom w:val="single" w:sz="4" w:space="0" w:color="35D69C" w:themeColor="accent2" w:themeTint="99"/>
        </w:tcBorders>
      </w:tcPr>
    </w:tblStylePr>
    <w:tblStylePr w:type="seCell">
      <w:tblPr/>
      <w:tcPr>
        <w:tcBorders>
          <w:top w:val="single" w:sz="4" w:space="0" w:color="35D69C" w:themeColor="accent2" w:themeTint="99"/>
        </w:tcBorders>
      </w:tcPr>
    </w:tblStylePr>
    <w:tblStylePr w:type="swCell">
      <w:tblPr/>
      <w:tcPr>
        <w:tcBorders>
          <w:top w:val="single" w:sz="4" w:space="0" w:color="35D69C" w:themeColor="accent2" w:themeTint="99"/>
        </w:tcBorders>
      </w:tcPr>
    </w:tblStylePr>
  </w:style>
  <w:style w:type="table" w:styleId="GridTable3-Accent3">
    <w:name w:val="Grid Table 3 Accent 3"/>
    <w:basedOn w:val="TableNormal"/>
    <w:uiPriority w:val="48"/>
    <w:rsid w:val="00920D86"/>
    <w:pPr>
      <w:spacing w:line="240" w:lineRule="auto"/>
    </w:pPr>
    <w:tblPr>
      <w:tblStyleRowBandSize w:val="1"/>
      <w:tblStyleColBandSize w:val="1"/>
      <w:tblBorders>
        <w:top w:val="single" w:sz="4" w:space="0" w:color="CDE2BF" w:themeColor="accent3" w:themeTint="99"/>
        <w:left w:val="single" w:sz="4" w:space="0" w:color="CDE2BF" w:themeColor="accent3" w:themeTint="99"/>
        <w:bottom w:val="single" w:sz="4" w:space="0" w:color="CDE2BF" w:themeColor="accent3" w:themeTint="99"/>
        <w:right w:val="single" w:sz="4" w:space="0" w:color="CDE2BF" w:themeColor="accent3" w:themeTint="99"/>
        <w:insideH w:val="single" w:sz="4" w:space="0" w:color="CDE2BF" w:themeColor="accent3" w:themeTint="99"/>
        <w:insideV w:val="single" w:sz="4" w:space="0" w:color="CDE2BF"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EF5E9" w:themeFill="accent3" w:themeFillTint="33"/>
      </w:tcPr>
    </w:tblStylePr>
    <w:tblStylePr w:type="band1Horz">
      <w:tblPr/>
      <w:tcPr>
        <w:shd w:val="clear" w:color="auto" w:fill="EEF5E9" w:themeFill="accent3" w:themeFillTint="33"/>
      </w:tcPr>
    </w:tblStylePr>
    <w:tblStylePr w:type="neCell">
      <w:tblPr/>
      <w:tcPr>
        <w:tcBorders>
          <w:bottom w:val="single" w:sz="4" w:space="0" w:color="CDE2BF" w:themeColor="accent3" w:themeTint="99"/>
        </w:tcBorders>
      </w:tcPr>
    </w:tblStylePr>
    <w:tblStylePr w:type="nwCell">
      <w:tblPr/>
      <w:tcPr>
        <w:tcBorders>
          <w:bottom w:val="single" w:sz="4" w:space="0" w:color="CDE2BF" w:themeColor="accent3" w:themeTint="99"/>
        </w:tcBorders>
      </w:tcPr>
    </w:tblStylePr>
    <w:tblStylePr w:type="seCell">
      <w:tblPr/>
      <w:tcPr>
        <w:tcBorders>
          <w:top w:val="single" w:sz="4" w:space="0" w:color="CDE2BF" w:themeColor="accent3" w:themeTint="99"/>
        </w:tcBorders>
      </w:tcPr>
    </w:tblStylePr>
    <w:tblStylePr w:type="swCell">
      <w:tblPr/>
      <w:tcPr>
        <w:tcBorders>
          <w:top w:val="single" w:sz="4" w:space="0" w:color="CDE2BF" w:themeColor="accent3" w:themeTint="99"/>
        </w:tcBorders>
      </w:tcPr>
    </w:tblStylePr>
  </w:style>
  <w:style w:type="table" w:styleId="GridTable3-Accent4">
    <w:name w:val="Grid Table 3 Accent 4"/>
    <w:basedOn w:val="TableNormal"/>
    <w:uiPriority w:val="48"/>
    <w:rsid w:val="00920D86"/>
    <w:pPr>
      <w:spacing w:line="240" w:lineRule="auto"/>
    </w:pPr>
    <w:tblPr>
      <w:tblStyleRowBandSize w:val="1"/>
      <w:tblStyleColBandSize w:val="1"/>
      <w:tblBorders>
        <w:top w:val="single" w:sz="4" w:space="0" w:color="BD6298" w:themeColor="accent4" w:themeTint="99"/>
        <w:left w:val="single" w:sz="4" w:space="0" w:color="BD6298" w:themeColor="accent4" w:themeTint="99"/>
        <w:bottom w:val="single" w:sz="4" w:space="0" w:color="BD6298" w:themeColor="accent4" w:themeTint="99"/>
        <w:right w:val="single" w:sz="4" w:space="0" w:color="BD6298" w:themeColor="accent4" w:themeTint="99"/>
        <w:insideH w:val="single" w:sz="4" w:space="0" w:color="BD6298" w:themeColor="accent4" w:themeTint="99"/>
        <w:insideV w:val="single" w:sz="4" w:space="0" w:color="BD6298"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9CADC" w:themeFill="accent4" w:themeFillTint="33"/>
      </w:tcPr>
    </w:tblStylePr>
    <w:tblStylePr w:type="band1Horz">
      <w:tblPr/>
      <w:tcPr>
        <w:shd w:val="clear" w:color="auto" w:fill="E9CADC" w:themeFill="accent4" w:themeFillTint="33"/>
      </w:tcPr>
    </w:tblStylePr>
    <w:tblStylePr w:type="neCell">
      <w:tblPr/>
      <w:tcPr>
        <w:tcBorders>
          <w:bottom w:val="single" w:sz="4" w:space="0" w:color="BD6298" w:themeColor="accent4" w:themeTint="99"/>
        </w:tcBorders>
      </w:tcPr>
    </w:tblStylePr>
    <w:tblStylePr w:type="nwCell">
      <w:tblPr/>
      <w:tcPr>
        <w:tcBorders>
          <w:bottom w:val="single" w:sz="4" w:space="0" w:color="BD6298" w:themeColor="accent4" w:themeTint="99"/>
        </w:tcBorders>
      </w:tcPr>
    </w:tblStylePr>
    <w:tblStylePr w:type="seCell">
      <w:tblPr/>
      <w:tcPr>
        <w:tcBorders>
          <w:top w:val="single" w:sz="4" w:space="0" w:color="BD6298" w:themeColor="accent4" w:themeTint="99"/>
        </w:tcBorders>
      </w:tcPr>
    </w:tblStylePr>
    <w:tblStylePr w:type="swCell">
      <w:tblPr/>
      <w:tcPr>
        <w:tcBorders>
          <w:top w:val="single" w:sz="4" w:space="0" w:color="BD6298" w:themeColor="accent4" w:themeTint="99"/>
        </w:tcBorders>
      </w:tcPr>
    </w:tblStylePr>
  </w:style>
  <w:style w:type="table" w:styleId="GridTable3-Accent5">
    <w:name w:val="Grid Table 3 Accent 5"/>
    <w:basedOn w:val="TableNormal"/>
    <w:uiPriority w:val="48"/>
    <w:rsid w:val="00920D86"/>
    <w:pPr>
      <w:spacing w:line="240" w:lineRule="auto"/>
    </w:pPr>
    <w:tblPr>
      <w:tblStyleRowBandSize w:val="1"/>
      <w:tblStyleColBandSize w:val="1"/>
      <w:tblBorders>
        <w:top w:val="single" w:sz="4" w:space="0" w:color="FFB799" w:themeColor="accent5" w:themeTint="99"/>
        <w:left w:val="single" w:sz="4" w:space="0" w:color="FFB799" w:themeColor="accent5" w:themeTint="99"/>
        <w:bottom w:val="single" w:sz="4" w:space="0" w:color="FFB799" w:themeColor="accent5" w:themeTint="99"/>
        <w:right w:val="single" w:sz="4" w:space="0" w:color="FFB799" w:themeColor="accent5" w:themeTint="99"/>
        <w:insideH w:val="single" w:sz="4" w:space="0" w:color="FFB799" w:themeColor="accent5" w:themeTint="99"/>
        <w:insideV w:val="single" w:sz="4" w:space="0" w:color="FFB799"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E7DD" w:themeFill="accent5" w:themeFillTint="33"/>
      </w:tcPr>
    </w:tblStylePr>
    <w:tblStylePr w:type="band1Horz">
      <w:tblPr/>
      <w:tcPr>
        <w:shd w:val="clear" w:color="auto" w:fill="FFE7DD" w:themeFill="accent5" w:themeFillTint="33"/>
      </w:tcPr>
    </w:tblStylePr>
    <w:tblStylePr w:type="neCell">
      <w:tblPr/>
      <w:tcPr>
        <w:tcBorders>
          <w:bottom w:val="single" w:sz="4" w:space="0" w:color="FFB799" w:themeColor="accent5" w:themeTint="99"/>
        </w:tcBorders>
      </w:tcPr>
    </w:tblStylePr>
    <w:tblStylePr w:type="nwCell">
      <w:tblPr/>
      <w:tcPr>
        <w:tcBorders>
          <w:bottom w:val="single" w:sz="4" w:space="0" w:color="FFB799" w:themeColor="accent5" w:themeTint="99"/>
        </w:tcBorders>
      </w:tcPr>
    </w:tblStylePr>
    <w:tblStylePr w:type="seCell">
      <w:tblPr/>
      <w:tcPr>
        <w:tcBorders>
          <w:top w:val="single" w:sz="4" w:space="0" w:color="FFB799" w:themeColor="accent5" w:themeTint="99"/>
        </w:tcBorders>
      </w:tcPr>
    </w:tblStylePr>
    <w:tblStylePr w:type="swCell">
      <w:tblPr/>
      <w:tcPr>
        <w:tcBorders>
          <w:top w:val="single" w:sz="4" w:space="0" w:color="FFB799" w:themeColor="accent5" w:themeTint="99"/>
        </w:tcBorders>
      </w:tcPr>
    </w:tblStylePr>
  </w:style>
  <w:style w:type="table" w:styleId="GridTable3-Accent6">
    <w:name w:val="Grid Table 3 Accent 6"/>
    <w:basedOn w:val="TableNormal"/>
    <w:uiPriority w:val="48"/>
    <w:rsid w:val="00920D86"/>
    <w:pPr>
      <w:spacing w:line="240" w:lineRule="auto"/>
    </w:pPr>
    <w:tblPr>
      <w:tblStyleRowBandSize w:val="1"/>
      <w:tblStyleColBandSize w:val="1"/>
      <w:tblBorders>
        <w:top w:val="single" w:sz="4" w:space="0" w:color="EEECE7" w:themeColor="accent6" w:themeTint="99"/>
        <w:left w:val="single" w:sz="4" w:space="0" w:color="EEECE7" w:themeColor="accent6" w:themeTint="99"/>
        <w:bottom w:val="single" w:sz="4" w:space="0" w:color="EEECE7" w:themeColor="accent6" w:themeTint="99"/>
        <w:right w:val="single" w:sz="4" w:space="0" w:color="EEECE7" w:themeColor="accent6" w:themeTint="99"/>
        <w:insideH w:val="single" w:sz="4" w:space="0" w:color="EEECE7" w:themeColor="accent6" w:themeTint="99"/>
        <w:insideV w:val="single" w:sz="4" w:space="0" w:color="EEECE7"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9F8F7" w:themeFill="accent6" w:themeFillTint="33"/>
      </w:tcPr>
    </w:tblStylePr>
    <w:tblStylePr w:type="band1Horz">
      <w:tblPr/>
      <w:tcPr>
        <w:shd w:val="clear" w:color="auto" w:fill="F9F8F7" w:themeFill="accent6" w:themeFillTint="33"/>
      </w:tcPr>
    </w:tblStylePr>
    <w:tblStylePr w:type="neCell">
      <w:tblPr/>
      <w:tcPr>
        <w:tcBorders>
          <w:bottom w:val="single" w:sz="4" w:space="0" w:color="EEECE7" w:themeColor="accent6" w:themeTint="99"/>
        </w:tcBorders>
      </w:tcPr>
    </w:tblStylePr>
    <w:tblStylePr w:type="nwCell">
      <w:tblPr/>
      <w:tcPr>
        <w:tcBorders>
          <w:bottom w:val="single" w:sz="4" w:space="0" w:color="EEECE7" w:themeColor="accent6" w:themeTint="99"/>
        </w:tcBorders>
      </w:tcPr>
    </w:tblStylePr>
    <w:tblStylePr w:type="seCell">
      <w:tblPr/>
      <w:tcPr>
        <w:tcBorders>
          <w:top w:val="single" w:sz="4" w:space="0" w:color="EEECE7" w:themeColor="accent6" w:themeTint="99"/>
        </w:tcBorders>
      </w:tcPr>
    </w:tblStylePr>
    <w:tblStylePr w:type="swCell">
      <w:tblPr/>
      <w:tcPr>
        <w:tcBorders>
          <w:top w:val="single" w:sz="4" w:space="0" w:color="EEECE7" w:themeColor="accent6" w:themeTint="99"/>
        </w:tcBorders>
      </w:tcPr>
    </w:tblStylePr>
  </w:style>
  <w:style w:type="table" w:styleId="GridTable4">
    <w:name w:val="Grid Table 4"/>
    <w:basedOn w:val="TableNormal"/>
    <w:uiPriority w:val="49"/>
    <w:rsid w:val="00920D86"/>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920D86"/>
    <w:pPr>
      <w:spacing w:line="240" w:lineRule="auto"/>
    </w:pPr>
    <w:tblPr>
      <w:tblStyleRowBandSize w:val="1"/>
      <w:tblStyleColBandSize w:val="1"/>
      <w:tblBorders>
        <w:top w:val="single" w:sz="4" w:space="0" w:color="1C78F4" w:themeColor="accent1" w:themeTint="99"/>
        <w:left w:val="single" w:sz="4" w:space="0" w:color="1C78F4" w:themeColor="accent1" w:themeTint="99"/>
        <w:bottom w:val="single" w:sz="4" w:space="0" w:color="1C78F4" w:themeColor="accent1" w:themeTint="99"/>
        <w:right w:val="single" w:sz="4" w:space="0" w:color="1C78F4" w:themeColor="accent1" w:themeTint="99"/>
        <w:insideH w:val="single" w:sz="4" w:space="0" w:color="1C78F4" w:themeColor="accent1" w:themeTint="99"/>
        <w:insideV w:val="single" w:sz="4" w:space="0" w:color="1C78F4" w:themeColor="accent1" w:themeTint="99"/>
      </w:tblBorders>
    </w:tblPr>
    <w:tblStylePr w:type="firstRow">
      <w:rPr>
        <w:b/>
        <w:bCs/>
        <w:color w:val="FFFFFF" w:themeColor="background1"/>
      </w:rPr>
      <w:tblPr/>
      <w:tcPr>
        <w:tcBorders>
          <w:top w:val="single" w:sz="4" w:space="0" w:color="05326E" w:themeColor="accent1"/>
          <w:left w:val="single" w:sz="4" w:space="0" w:color="05326E" w:themeColor="accent1"/>
          <w:bottom w:val="single" w:sz="4" w:space="0" w:color="05326E" w:themeColor="accent1"/>
          <w:right w:val="single" w:sz="4" w:space="0" w:color="05326E" w:themeColor="accent1"/>
          <w:insideH w:val="nil"/>
          <w:insideV w:val="nil"/>
        </w:tcBorders>
        <w:shd w:val="clear" w:color="auto" w:fill="05326E" w:themeFill="accent1"/>
      </w:tcPr>
    </w:tblStylePr>
    <w:tblStylePr w:type="lastRow">
      <w:rPr>
        <w:b/>
        <w:bCs/>
      </w:rPr>
      <w:tblPr/>
      <w:tcPr>
        <w:tcBorders>
          <w:top w:val="double" w:sz="4" w:space="0" w:color="05326E" w:themeColor="accent1"/>
        </w:tcBorders>
      </w:tc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GridTable4-Accent2">
    <w:name w:val="Grid Table 4 Accent 2"/>
    <w:basedOn w:val="TableNormal"/>
    <w:uiPriority w:val="49"/>
    <w:rsid w:val="00920D86"/>
    <w:pPr>
      <w:spacing w:line="240" w:lineRule="auto"/>
    </w:pPr>
    <w:tblPr>
      <w:tblStyleRowBandSize w:val="1"/>
      <w:tblStyleColBandSize w:val="1"/>
      <w:tblBorders>
        <w:top w:val="single" w:sz="4" w:space="0" w:color="35D69C" w:themeColor="accent2" w:themeTint="99"/>
        <w:left w:val="single" w:sz="4" w:space="0" w:color="35D69C" w:themeColor="accent2" w:themeTint="99"/>
        <w:bottom w:val="single" w:sz="4" w:space="0" w:color="35D69C" w:themeColor="accent2" w:themeTint="99"/>
        <w:right w:val="single" w:sz="4" w:space="0" w:color="35D69C" w:themeColor="accent2" w:themeTint="99"/>
        <w:insideH w:val="single" w:sz="4" w:space="0" w:color="35D69C" w:themeColor="accent2" w:themeTint="99"/>
        <w:insideV w:val="single" w:sz="4" w:space="0" w:color="35D69C" w:themeColor="accent2" w:themeTint="99"/>
      </w:tblBorders>
    </w:tblPr>
    <w:tblStylePr w:type="firstRow">
      <w:rPr>
        <w:b/>
        <w:bCs/>
        <w:color w:val="FFFFFF" w:themeColor="background1"/>
      </w:rPr>
      <w:tblPr/>
      <w:tcPr>
        <w:tcBorders>
          <w:top w:val="single" w:sz="4" w:space="0" w:color="125A40" w:themeColor="accent2"/>
          <w:left w:val="single" w:sz="4" w:space="0" w:color="125A40" w:themeColor="accent2"/>
          <w:bottom w:val="single" w:sz="4" w:space="0" w:color="125A40" w:themeColor="accent2"/>
          <w:right w:val="single" w:sz="4" w:space="0" w:color="125A40" w:themeColor="accent2"/>
          <w:insideH w:val="nil"/>
          <w:insideV w:val="nil"/>
        </w:tcBorders>
        <w:shd w:val="clear" w:color="auto" w:fill="125A40" w:themeFill="accent2"/>
      </w:tcPr>
    </w:tblStylePr>
    <w:tblStylePr w:type="lastRow">
      <w:rPr>
        <w:b/>
        <w:bCs/>
      </w:rPr>
      <w:tblPr/>
      <w:tcPr>
        <w:tcBorders>
          <w:top w:val="double" w:sz="4" w:space="0" w:color="125A40" w:themeColor="accent2"/>
        </w:tcBorders>
      </w:tc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GridTable4-Accent3">
    <w:name w:val="Grid Table 4 Accent 3"/>
    <w:basedOn w:val="TableNormal"/>
    <w:uiPriority w:val="49"/>
    <w:rsid w:val="00920D86"/>
    <w:pPr>
      <w:spacing w:line="240" w:lineRule="auto"/>
    </w:pPr>
    <w:tblPr>
      <w:tblStyleRowBandSize w:val="1"/>
      <w:tblStyleColBandSize w:val="1"/>
      <w:tblBorders>
        <w:top w:val="single" w:sz="4" w:space="0" w:color="CDE2BF" w:themeColor="accent3" w:themeTint="99"/>
        <w:left w:val="single" w:sz="4" w:space="0" w:color="CDE2BF" w:themeColor="accent3" w:themeTint="99"/>
        <w:bottom w:val="single" w:sz="4" w:space="0" w:color="CDE2BF" w:themeColor="accent3" w:themeTint="99"/>
        <w:right w:val="single" w:sz="4" w:space="0" w:color="CDE2BF" w:themeColor="accent3" w:themeTint="99"/>
        <w:insideH w:val="single" w:sz="4" w:space="0" w:color="CDE2BF" w:themeColor="accent3" w:themeTint="99"/>
        <w:insideV w:val="single" w:sz="4" w:space="0" w:color="CDE2BF" w:themeColor="accent3" w:themeTint="99"/>
      </w:tblBorders>
    </w:tblPr>
    <w:tblStylePr w:type="firstRow">
      <w:rPr>
        <w:b/>
        <w:bCs/>
        <w:color w:val="FFFFFF" w:themeColor="background1"/>
      </w:rPr>
      <w:tblPr/>
      <w:tcPr>
        <w:tcBorders>
          <w:top w:val="single" w:sz="4" w:space="0" w:color="ADD095" w:themeColor="accent3"/>
          <w:left w:val="single" w:sz="4" w:space="0" w:color="ADD095" w:themeColor="accent3"/>
          <w:bottom w:val="single" w:sz="4" w:space="0" w:color="ADD095" w:themeColor="accent3"/>
          <w:right w:val="single" w:sz="4" w:space="0" w:color="ADD095" w:themeColor="accent3"/>
          <w:insideH w:val="nil"/>
          <w:insideV w:val="nil"/>
        </w:tcBorders>
        <w:shd w:val="clear" w:color="auto" w:fill="ADD095" w:themeFill="accent3"/>
      </w:tcPr>
    </w:tblStylePr>
    <w:tblStylePr w:type="lastRow">
      <w:rPr>
        <w:b/>
        <w:bCs/>
      </w:rPr>
      <w:tblPr/>
      <w:tcPr>
        <w:tcBorders>
          <w:top w:val="double" w:sz="4" w:space="0" w:color="ADD095" w:themeColor="accent3"/>
        </w:tcBorders>
      </w:tc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GridTable4-Accent4">
    <w:name w:val="Grid Table 4 Accent 4"/>
    <w:basedOn w:val="TableNormal"/>
    <w:uiPriority w:val="49"/>
    <w:rsid w:val="00920D86"/>
    <w:pPr>
      <w:spacing w:line="240" w:lineRule="auto"/>
    </w:pPr>
    <w:tblPr>
      <w:tblStyleRowBandSize w:val="1"/>
      <w:tblStyleColBandSize w:val="1"/>
      <w:tblBorders>
        <w:top w:val="single" w:sz="4" w:space="0" w:color="BD6298" w:themeColor="accent4" w:themeTint="99"/>
        <w:left w:val="single" w:sz="4" w:space="0" w:color="BD6298" w:themeColor="accent4" w:themeTint="99"/>
        <w:bottom w:val="single" w:sz="4" w:space="0" w:color="BD6298" w:themeColor="accent4" w:themeTint="99"/>
        <w:right w:val="single" w:sz="4" w:space="0" w:color="BD6298" w:themeColor="accent4" w:themeTint="99"/>
        <w:insideH w:val="single" w:sz="4" w:space="0" w:color="BD6298" w:themeColor="accent4" w:themeTint="99"/>
        <w:insideV w:val="single" w:sz="4" w:space="0" w:color="BD6298" w:themeColor="accent4" w:themeTint="99"/>
      </w:tblBorders>
    </w:tblPr>
    <w:tblStylePr w:type="firstRow">
      <w:rPr>
        <w:b/>
        <w:bCs/>
        <w:color w:val="FFFFFF" w:themeColor="background1"/>
      </w:rPr>
      <w:tblPr/>
      <w:tcPr>
        <w:tcBorders>
          <w:top w:val="single" w:sz="4" w:space="0" w:color="62294B" w:themeColor="accent4"/>
          <w:left w:val="single" w:sz="4" w:space="0" w:color="62294B" w:themeColor="accent4"/>
          <w:bottom w:val="single" w:sz="4" w:space="0" w:color="62294B" w:themeColor="accent4"/>
          <w:right w:val="single" w:sz="4" w:space="0" w:color="62294B" w:themeColor="accent4"/>
          <w:insideH w:val="nil"/>
          <w:insideV w:val="nil"/>
        </w:tcBorders>
        <w:shd w:val="clear" w:color="auto" w:fill="62294B" w:themeFill="accent4"/>
      </w:tcPr>
    </w:tblStylePr>
    <w:tblStylePr w:type="lastRow">
      <w:rPr>
        <w:b/>
        <w:bCs/>
      </w:rPr>
      <w:tblPr/>
      <w:tcPr>
        <w:tcBorders>
          <w:top w:val="double" w:sz="4" w:space="0" w:color="62294B" w:themeColor="accent4"/>
        </w:tcBorders>
      </w:tc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GridTable4-Accent5">
    <w:name w:val="Grid Table 4 Accent 5"/>
    <w:basedOn w:val="TableNormal"/>
    <w:uiPriority w:val="49"/>
    <w:rsid w:val="00920D86"/>
    <w:pPr>
      <w:spacing w:line="240" w:lineRule="auto"/>
    </w:pPr>
    <w:tblPr>
      <w:tblStyleRowBandSize w:val="1"/>
      <w:tblStyleColBandSize w:val="1"/>
      <w:tblBorders>
        <w:top w:val="single" w:sz="4" w:space="0" w:color="FFB799" w:themeColor="accent5" w:themeTint="99"/>
        <w:left w:val="single" w:sz="4" w:space="0" w:color="FFB799" w:themeColor="accent5" w:themeTint="99"/>
        <w:bottom w:val="single" w:sz="4" w:space="0" w:color="FFB799" w:themeColor="accent5" w:themeTint="99"/>
        <w:right w:val="single" w:sz="4" w:space="0" w:color="FFB799" w:themeColor="accent5" w:themeTint="99"/>
        <w:insideH w:val="single" w:sz="4" w:space="0" w:color="FFB799" w:themeColor="accent5" w:themeTint="99"/>
        <w:insideV w:val="single" w:sz="4" w:space="0" w:color="FFB799" w:themeColor="accent5" w:themeTint="99"/>
      </w:tblBorders>
    </w:tblPr>
    <w:tblStylePr w:type="firstRow">
      <w:rPr>
        <w:b/>
        <w:bCs/>
        <w:color w:val="FFFFFF" w:themeColor="background1"/>
      </w:rPr>
      <w:tblPr/>
      <w:tcPr>
        <w:tcBorders>
          <w:top w:val="single" w:sz="4" w:space="0" w:color="FF8855" w:themeColor="accent5"/>
          <w:left w:val="single" w:sz="4" w:space="0" w:color="FF8855" w:themeColor="accent5"/>
          <w:bottom w:val="single" w:sz="4" w:space="0" w:color="FF8855" w:themeColor="accent5"/>
          <w:right w:val="single" w:sz="4" w:space="0" w:color="FF8855" w:themeColor="accent5"/>
          <w:insideH w:val="nil"/>
          <w:insideV w:val="nil"/>
        </w:tcBorders>
        <w:shd w:val="clear" w:color="auto" w:fill="FF8855" w:themeFill="accent5"/>
      </w:tcPr>
    </w:tblStylePr>
    <w:tblStylePr w:type="lastRow">
      <w:rPr>
        <w:b/>
        <w:bCs/>
      </w:rPr>
      <w:tblPr/>
      <w:tcPr>
        <w:tcBorders>
          <w:top w:val="double" w:sz="4" w:space="0" w:color="FF8855" w:themeColor="accent5"/>
        </w:tcBorders>
      </w:tc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GridTable4-Accent6">
    <w:name w:val="Grid Table 4 Accent 6"/>
    <w:basedOn w:val="TableNormal"/>
    <w:uiPriority w:val="49"/>
    <w:rsid w:val="00920D86"/>
    <w:pPr>
      <w:spacing w:line="240" w:lineRule="auto"/>
    </w:pPr>
    <w:tblPr>
      <w:tblStyleRowBandSize w:val="1"/>
      <w:tblStyleColBandSize w:val="1"/>
      <w:tblBorders>
        <w:top w:val="single" w:sz="4" w:space="0" w:color="EEECE7" w:themeColor="accent6" w:themeTint="99"/>
        <w:left w:val="single" w:sz="4" w:space="0" w:color="EEECE7" w:themeColor="accent6" w:themeTint="99"/>
        <w:bottom w:val="single" w:sz="4" w:space="0" w:color="EEECE7" w:themeColor="accent6" w:themeTint="99"/>
        <w:right w:val="single" w:sz="4" w:space="0" w:color="EEECE7" w:themeColor="accent6" w:themeTint="99"/>
        <w:insideH w:val="single" w:sz="4" w:space="0" w:color="EEECE7" w:themeColor="accent6" w:themeTint="99"/>
        <w:insideV w:val="single" w:sz="4" w:space="0" w:color="EEECE7" w:themeColor="accent6" w:themeTint="99"/>
      </w:tblBorders>
    </w:tblPr>
    <w:tblStylePr w:type="firstRow">
      <w:rPr>
        <w:b/>
        <w:bCs/>
        <w:color w:val="FFFFFF" w:themeColor="background1"/>
      </w:rPr>
      <w:tblPr/>
      <w:tcPr>
        <w:tcBorders>
          <w:top w:val="single" w:sz="4" w:space="0" w:color="E3E1D8" w:themeColor="accent6"/>
          <w:left w:val="single" w:sz="4" w:space="0" w:color="E3E1D8" w:themeColor="accent6"/>
          <w:bottom w:val="single" w:sz="4" w:space="0" w:color="E3E1D8" w:themeColor="accent6"/>
          <w:right w:val="single" w:sz="4" w:space="0" w:color="E3E1D8" w:themeColor="accent6"/>
          <w:insideH w:val="nil"/>
          <w:insideV w:val="nil"/>
        </w:tcBorders>
        <w:shd w:val="clear" w:color="auto" w:fill="E3E1D8" w:themeFill="accent6"/>
      </w:tcPr>
    </w:tblStylePr>
    <w:tblStylePr w:type="lastRow">
      <w:rPr>
        <w:b/>
        <w:bCs/>
      </w:rPr>
      <w:tblPr/>
      <w:tcPr>
        <w:tcBorders>
          <w:top w:val="double" w:sz="4" w:space="0" w:color="E3E1D8" w:themeColor="accent6"/>
        </w:tcBorders>
      </w:tc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GridTable5Dark">
    <w:name w:val="Grid Table 5 Dark"/>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3D2FB"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5326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5326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5326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5326E" w:themeFill="accent1"/>
      </w:tcPr>
    </w:tblStylePr>
    <w:tblStylePr w:type="band1Vert">
      <w:tblPr/>
      <w:tcPr>
        <w:shd w:val="clear" w:color="auto" w:fill="67A5F8" w:themeFill="accent1" w:themeFillTint="66"/>
      </w:tcPr>
    </w:tblStylePr>
    <w:tblStylePr w:type="band1Horz">
      <w:tblPr/>
      <w:tcPr>
        <w:shd w:val="clear" w:color="auto" w:fill="67A5F8" w:themeFill="accent1" w:themeFillTint="66"/>
      </w:tcPr>
    </w:tblStylePr>
  </w:style>
  <w:style w:type="table" w:styleId="GridTable5Dark-Accent2">
    <w:name w:val="Grid Table 5 Dark Accent 2"/>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BF1DD"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25A4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25A4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25A4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25A40" w:themeFill="accent2"/>
      </w:tcPr>
    </w:tblStylePr>
    <w:tblStylePr w:type="band1Vert">
      <w:tblPr/>
      <w:tcPr>
        <w:shd w:val="clear" w:color="auto" w:fill="78E4BD" w:themeFill="accent2" w:themeFillTint="66"/>
      </w:tcPr>
    </w:tblStylePr>
    <w:tblStylePr w:type="band1Horz">
      <w:tblPr/>
      <w:tcPr>
        <w:shd w:val="clear" w:color="auto" w:fill="78E4BD" w:themeFill="accent2" w:themeFillTint="66"/>
      </w:tcPr>
    </w:tblStylePr>
  </w:style>
  <w:style w:type="table" w:styleId="GridTable5Dark-Accent3">
    <w:name w:val="Grid Table 5 Dark Accent 3"/>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EF5E9"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DD09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DD09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DD09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DD095" w:themeFill="accent3"/>
      </w:tcPr>
    </w:tblStylePr>
    <w:tblStylePr w:type="band1Vert">
      <w:tblPr/>
      <w:tcPr>
        <w:shd w:val="clear" w:color="auto" w:fill="DEECD4" w:themeFill="accent3" w:themeFillTint="66"/>
      </w:tcPr>
    </w:tblStylePr>
    <w:tblStylePr w:type="band1Horz">
      <w:tblPr/>
      <w:tcPr>
        <w:shd w:val="clear" w:color="auto" w:fill="DEECD4" w:themeFill="accent3" w:themeFillTint="66"/>
      </w:tcPr>
    </w:tblStylePr>
  </w:style>
  <w:style w:type="table" w:styleId="GridTable5Dark-Accent4">
    <w:name w:val="Grid Table 5 Dark Accent 4"/>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9CAD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2294B"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2294B"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62294B"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62294B" w:themeFill="accent4"/>
      </w:tcPr>
    </w:tblStylePr>
    <w:tblStylePr w:type="band1Vert">
      <w:tblPr/>
      <w:tcPr>
        <w:shd w:val="clear" w:color="auto" w:fill="D396BA" w:themeFill="accent4" w:themeFillTint="66"/>
      </w:tcPr>
    </w:tblStylePr>
    <w:tblStylePr w:type="band1Horz">
      <w:tblPr/>
      <w:tcPr>
        <w:shd w:val="clear" w:color="auto" w:fill="D396BA" w:themeFill="accent4" w:themeFillTint="66"/>
      </w:tcPr>
    </w:tblStylePr>
  </w:style>
  <w:style w:type="table" w:styleId="GridTable5Dark-Accent5">
    <w:name w:val="Grid Table 5 Dark Accent 5"/>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E7DD"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885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885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885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8855" w:themeFill="accent5"/>
      </w:tcPr>
    </w:tblStylePr>
    <w:tblStylePr w:type="band1Vert">
      <w:tblPr/>
      <w:tcPr>
        <w:shd w:val="clear" w:color="auto" w:fill="FFCFBB" w:themeFill="accent5" w:themeFillTint="66"/>
      </w:tcPr>
    </w:tblStylePr>
    <w:tblStylePr w:type="band1Horz">
      <w:tblPr/>
      <w:tcPr>
        <w:shd w:val="clear" w:color="auto" w:fill="FFCFBB" w:themeFill="accent5" w:themeFillTint="66"/>
      </w:tcPr>
    </w:tblStylePr>
  </w:style>
  <w:style w:type="table" w:styleId="GridTable5Dark-Accent6">
    <w:name w:val="Grid Table 5 Dark Accent 6"/>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9F8F7"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3E1D8"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3E1D8"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3E1D8"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3E1D8" w:themeFill="accent6"/>
      </w:tcPr>
    </w:tblStylePr>
    <w:tblStylePr w:type="band1Vert">
      <w:tblPr/>
      <w:tcPr>
        <w:shd w:val="clear" w:color="auto" w:fill="F3F2EF" w:themeFill="accent6" w:themeFillTint="66"/>
      </w:tcPr>
    </w:tblStylePr>
    <w:tblStylePr w:type="band1Horz">
      <w:tblPr/>
      <w:tcPr>
        <w:shd w:val="clear" w:color="auto" w:fill="F3F2EF" w:themeFill="accent6" w:themeFillTint="66"/>
      </w:tcPr>
    </w:tblStylePr>
  </w:style>
  <w:style w:type="table" w:styleId="GridTable6Colorful">
    <w:name w:val="Grid Table 6 Colorful"/>
    <w:basedOn w:val="TableNormal"/>
    <w:uiPriority w:val="51"/>
    <w:rsid w:val="00920D86"/>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920D86"/>
    <w:pPr>
      <w:spacing w:line="240" w:lineRule="auto"/>
    </w:pPr>
    <w:rPr>
      <w:color w:val="032552" w:themeColor="accent1" w:themeShade="BF"/>
    </w:rPr>
    <w:tblPr>
      <w:tblStyleRowBandSize w:val="1"/>
      <w:tblStyleColBandSize w:val="1"/>
      <w:tblBorders>
        <w:top w:val="single" w:sz="4" w:space="0" w:color="1C78F4" w:themeColor="accent1" w:themeTint="99"/>
        <w:left w:val="single" w:sz="4" w:space="0" w:color="1C78F4" w:themeColor="accent1" w:themeTint="99"/>
        <w:bottom w:val="single" w:sz="4" w:space="0" w:color="1C78F4" w:themeColor="accent1" w:themeTint="99"/>
        <w:right w:val="single" w:sz="4" w:space="0" w:color="1C78F4" w:themeColor="accent1" w:themeTint="99"/>
        <w:insideH w:val="single" w:sz="4" w:space="0" w:color="1C78F4" w:themeColor="accent1" w:themeTint="99"/>
        <w:insideV w:val="single" w:sz="4" w:space="0" w:color="1C78F4" w:themeColor="accent1" w:themeTint="99"/>
      </w:tblBorders>
    </w:tblPr>
    <w:tblStylePr w:type="firstRow">
      <w:rPr>
        <w:b/>
        <w:bCs/>
      </w:rPr>
      <w:tblPr/>
      <w:tcPr>
        <w:tcBorders>
          <w:bottom w:val="single" w:sz="12" w:space="0" w:color="1C78F4" w:themeColor="accent1" w:themeTint="99"/>
        </w:tcBorders>
      </w:tcPr>
    </w:tblStylePr>
    <w:tblStylePr w:type="lastRow">
      <w:rPr>
        <w:b/>
        <w:bCs/>
      </w:rPr>
      <w:tblPr/>
      <w:tcPr>
        <w:tcBorders>
          <w:top w:val="double" w:sz="4" w:space="0" w:color="1C78F4" w:themeColor="accent1" w:themeTint="99"/>
        </w:tcBorders>
      </w:tc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GridTable6Colorful-Accent2">
    <w:name w:val="Grid Table 6 Colorful Accent 2"/>
    <w:basedOn w:val="TableNormal"/>
    <w:uiPriority w:val="51"/>
    <w:rsid w:val="00920D86"/>
    <w:pPr>
      <w:spacing w:line="240" w:lineRule="auto"/>
    </w:pPr>
    <w:rPr>
      <w:color w:val="0D432F" w:themeColor="accent2" w:themeShade="BF"/>
    </w:rPr>
    <w:tblPr>
      <w:tblStyleRowBandSize w:val="1"/>
      <w:tblStyleColBandSize w:val="1"/>
      <w:tblBorders>
        <w:top w:val="single" w:sz="4" w:space="0" w:color="35D69C" w:themeColor="accent2" w:themeTint="99"/>
        <w:left w:val="single" w:sz="4" w:space="0" w:color="35D69C" w:themeColor="accent2" w:themeTint="99"/>
        <w:bottom w:val="single" w:sz="4" w:space="0" w:color="35D69C" w:themeColor="accent2" w:themeTint="99"/>
        <w:right w:val="single" w:sz="4" w:space="0" w:color="35D69C" w:themeColor="accent2" w:themeTint="99"/>
        <w:insideH w:val="single" w:sz="4" w:space="0" w:color="35D69C" w:themeColor="accent2" w:themeTint="99"/>
        <w:insideV w:val="single" w:sz="4" w:space="0" w:color="35D69C" w:themeColor="accent2" w:themeTint="99"/>
      </w:tblBorders>
    </w:tblPr>
    <w:tblStylePr w:type="firstRow">
      <w:rPr>
        <w:b/>
        <w:bCs/>
      </w:rPr>
      <w:tblPr/>
      <w:tcPr>
        <w:tcBorders>
          <w:bottom w:val="single" w:sz="12" w:space="0" w:color="35D69C" w:themeColor="accent2" w:themeTint="99"/>
        </w:tcBorders>
      </w:tcPr>
    </w:tblStylePr>
    <w:tblStylePr w:type="lastRow">
      <w:rPr>
        <w:b/>
        <w:bCs/>
      </w:rPr>
      <w:tblPr/>
      <w:tcPr>
        <w:tcBorders>
          <w:top w:val="double" w:sz="4" w:space="0" w:color="35D69C" w:themeColor="accent2" w:themeTint="99"/>
        </w:tcBorders>
      </w:tc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GridTable6Colorful-Accent3">
    <w:name w:val="Grid Table 6 Colorful Accent 3"/>
    <w:basedOn w:val="TableNormal"/>
    <w:uiPriority w:val="51"/>
    <w:rsid w:val="00920D86"/>
    <w:pPr>
      <w:spacing w:line="240" w:lineRule="auto"/>
    </w:pPr>
    <w:rPr>
      <w:color w:val="7CB456" w:themeColor="accent3" w:themeShade="BF"/>
    </w:rPr>
    <w:tblPr>
      <w:tblStyleRowBandSize w:val="1"/>
      <w:tblStyleColBandSize w:val="1"/>
      <w:tblBorders>
        <w:top w:val="single" w:sz="4" w:space="0" w:color="CDE2BF" w:themeColor="accent3" w:themeTint="99"/>
        <w:left w:val="single" w:sz="4" w:space="0" w:color="CDE2BF" w:themeColor="accent3" w:themeTint="99"/>
        <w:bottom w:val="single" w:sz="4" w:space="0" w:color="CDE2BF" w:themeColor="accent3" w:themeTint="99"/>
        <w:right w:val="single" w:sz="4" w:space="0" w:color="CDE2BF" w:themeColor="accent3" w:themeTint="99"/>
        <w:insideH w:val="single" w:sz="4" w:space="0" w:color="CDE2BF" w:themeColor="accent3" w:themeTint="99"/>
        <w:insideV w:val="single" w:sz="4" w:space="0" w:color="CDE2BF" w:themeColor="accent3" w:themeTint="99"/>
      </w:tblBorders>
    </w:tblPr>
    <w:tblStylePr w:type="firstRow">
      <w:rPr>
        <w:b/>
        <w:bCs/>
      </w:rPr>
      <w:tblPr/>
      <w:tcPr>
        <w:tcBorders>
          <w:bottom w:val="single" w:sz="12" w:space="0" w:color="CDE2BF" w:themeColor="accent3" w:themeTint="99"/>
        </w:tcBorders>
      </w:tcPr>
    </w:tblStylePr>
    <w:tblStylePr w:type="lastRow">
      <w:rPr>
        <w:b/>
        <w:bCs/>
      </w:rPr>
      <w:tblPr/>
      <w:tcPr>
        <w:tcBorders>
          <w:top w:val="double" w:sz="4" w:space="0" w:color="CDE2BF" w:themeColor="accent3" w:themeTint="99"/>
        </w:tcBorders>
      </w:tc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GridTable6Colorful-Accent4">
    <w:name w:val="Grid Table 6 Colorful Accent 4"/>
    <w:basedOn w:val="TableNormal"/>
    <w:uiPriority w:val="51"/>
    <w:rsid w:val="00920D86"/>
    <w:pPr>
      <w:spacing w:line="240" w:lineRule="auto"/>
    </w:pPr>
    <w:rPr>
      <w:color w:val="491E38" w:themeColor="accent4" w:themeShade="BF"/>
    </w:rPr>
    <w:tblPr>
      <w:tblStyleRowBandSize w:val="1"/>
      <w:tblStyleColBandSize w:val="1"/>
      <w:tblBorders>
        <w:top w:val="single" w:sz="4" w:space="0" w:color="BD6298" w:themeColor="accent4" w:themeTint="99"/>
        <w:left w:val="single" w:sz="4" w:space="0" w:color="BD6298" w:themeColor="accent4" w:themeTint="99"/>
        <w:bottom w:val="single" w:sz="4" w:space="0" w:color="BD6298" w:themeColor="accent4" w:themeTint="99"/>
        <w:right w:val="single" w:sz="4" w:space="0" w:color="BD6298" w:themeColor="accent4" w:themeTint="99"/>
        <w:insideH w:val="single" w:sz="4" w:space="0" w:color="BD6298" w:themeColor="accent4" w:themeTint="99"/>
        <w:insideV w:val="single" w:sz="4" w:space="0" w:color="BD6298" w:themeColor="accent4" w:themeTint="99"/>
      </w:tblBorders>
    </w:tblPr>
    <w:tblStylePr w:type="firstRow">
      <w:rPr>
        <w:b/>
        <w:bCs/>
      </w:rPr>
      <w:tblPr/>
      <w:tcPr>
        <w:tcBorders>
          <w:bottom w:val="single" w:sz="12" w:space="0" w:color="BD6298" w:themeColor="accent4" w:themeTint="99"/>
        </w:tcBorders>
      </w:tcPr>
    </w:tblStylePr>
    <w:tblStylePr w:type="lastRow">
      <w:rPr>
        <w:b/>
        <w:bCs/>
      </w:rPr>
      <w:tblPr/>
      <w:tcPr>
        <w:tcBorders>
          <w:top w:val="double" w:sz="4" w:space="0" w:color="BD6298" w:themeColor="accent4" w:themeTint="99"/>
        </w:tcBorders>
      </w:tc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GridTable6Colorful-Accent5">
    <w:name w:val="Grid Table 6 Colorful Accent 5"/>
    <w:basedOn w:val="TableNormal"/>
    <w:uiPriority w:val="51"/>
    <w:rsid w:val="00920D86"/>
    <w:pPr>
      <w:spacing w:line="240" w:lineRule="auto"/>
    </w:pPr>
    <w:rPr>
      <w:color w:val="FE4B00" w:themeColor="accent5" w:themeShade="BF"/>
    </w:rPr>
    <w:tblPr>
      <w:tblStyleRowBandSize w:val="1"/>
      <w:tblStyleColBandSize w:val="1"/>
      <w:tblBorders>
        <w:top w:val="single" w:sz="4" w:space="0" w:color="FFB799" w:themeColor="accent5" w:themeTint="99"/>
        <w:left w:val="single" w:sz="4" w:space="0" w:color="FFB799" w:themeColor="accent5" w:themeTint="99"/>
        <w:bottom w:val="single" w:sz="4" w:space="0" w:color="FFB799" w:themeColor="accent5" w:themeTint="99"/>
        <w:right w:val="single" w:sz="4" w:space="0" w:color="FFB799" w:themeColor="accent5" w:themeTint="99"/>
        <w:insideH w:val="single" w:sz="4" w:space="0" w:color="FFB799" w:themeColor="accent5" w:themeTint="99"/>
        <w:insideV w:val="single" w:sz="4" w:space="0" w:color="FFB799" w:themeColor="accent5" w:themeTint="99"/>
      </w:tblBorders>
    </w:tblPr>
    <w:tblStylePr w:type="firstRow">
      <w:rPr>
        <w:b/>
        <w:bCs/>
      </w:rPr>
      <w:tblPr/>
      <w:tcPr>
        <w:tcBorders>
          <w:bottom w:val="single" w:sz="12" w:space="0" w:color="FFB799" w:themeColor="accent5" w:themeTint="99"/>
        </w:tcBorders>
      </w:tcPr>
    </w:tblStylePr>
    <w:tblStylePr w:type="lastRow">
      <w:rPr>
        <w:b/>
        <w:bCs/>
      </w:rPr>
      <w:tblPr/>
      <w:tcPr>
        <w:tcBorders>
          <w:top w:val="double" w:sz="4" w:space="0" w:color="FFB799" w:themeColor="accent5" w:themeTint="99"/>
        </w:tcBorders>
      </w:tc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GridTable6Colorful-Accent6">
    <w:name w:val="Grid Table 6 Colorful Accent 6"/>
    <w:basedOn w:val="TableNormal"/>
    <w:uiPriority w:val="51"/>
    <w:rsid w:val="00920D86"/>
    <w:pPr>
      <w:spacing w:line="240" w:lineRule="auto"/>
    </w:pPr>
    <w:rPr>
      <w:color w:val="B4AF97" w:themeColor="accent6" w:themeShade="BF"/>
    </w:rPr>
    <w:tblPr>
      <w:tblStyleRowBandSize w:val="1"/>
      <w:tblStyleColBandSize w:val="1"/>
      <w:tblBorders>
        <w:top w:val="single" w:sz="4" w:space="0" w:color="EEECE7" w:themeColor="accent6" w:themeTint="99"/>
        <w:left w:val="single" w:sz="4" w:space="0" w:color="EEECE7" w:themeColor="accent6" w:themeTint="99"/>
        <w:bottom w:val="single" w:sz="4" w:space="0" w:color="EEECE7" w:themeColor="accent6" w:themeTint="99"/>
        <w:right w:val="single" w:sz="4" w:space="0" w:color="EEECE7" w:themeColor="accent6" w:themeTint="99"/>
        <w:insideH w:val="single" w:sz="4" w:space="0" w:color="EEECE7" w:themeColor="accent6" w:themeTint="99"/>
        <w:insideV w:val="single" w:sz="4" w:space="0" w:color="EEECE7" w:themeColor="accent6" w:themeTint="99"/>
      </w:tblBorders>
    </w:tblPr>
    <w:tblStylePr w:type="firstRow">
      <w:rPr>
        <w:b/>
        <w:bCs/>
      </w:rPr>
      <w:tblPr/>
      <w:tcPr>
        <w:tcBorders>
          <w:bottom w:val="single" w:sz="12" w:space="0" w:color="EEECE7" w:themeColor="accent6" w:themeTint="99"/>
        </w:tcBorders>
      </w:tcPr>
    </w:tblStylePr>
    <w:tblStylePr w:type="lastRow">
      <w:rPr>
        <w:b/>
        <w:bCs/>
      </w:rPr>
      <w:tblPr/>
      <w:tcPr>
        <w:tcBorders>
          <w:top w:val="double" w:sz="4" w:space="0" w:color="EEECE7" w:themeColor="accent6" w:themeTint="99"/>
        </w:tcBorders>
      </w:tc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GridTable7Colorful">
    <w:name w:val="Grid Table 7 Colorful"/>
    <w:basedOn w:val="TableNormal"/>
    <w:uiPriority w:val="52"/>
    <w:rsid w:val="00920D86"/>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920D86"/>
    <w:pPr>
      <w:spacing w:line="240" w:lineRule="auto"/>
    </w:pPr>
    <w:rPr>
      <w:color w:val="032552" w:themeColor="accent1" w:themeShade="BF"/>
    </w:rPr>
    <w:tblPr>
      <w:tblStyleRowBandSize w:val="1"/>
      <w:tblStyleColBandSize w:val="1"/>
      <w:tblBorders>
        <w:top w:val="single" w:sz="4" w:space="0" w:color="1C78F4" w:themeColor="accent1" w:themeTint="99"/>
        <w:left w:val="single" w:sz="4" w:space="0" w:color="1C78F4" w:themeColor="accent1" w:themeTint="99"/>
        <w:bottom w:val="single" w:sz="4" w:space="0" w:color="1C78F4" w:themeColor="accent1" w:themeTint="99"/>
        <w:right w:val="single" w:sz="4" w:space="0" w:color="1C78F4" w:themeColor="accent1" w:themeTint="99"/>
        <w:insideH w:val="single" w:sz="4" w:space="0" w:color="1C78F4" w:themeColor="accent1" w:themeTint="99"/>
        <w:insideV w:val="single" w:sz="4" w:space="0" w:color="1C78F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3D2FB" w:themeFill="accent1" w:themeFillTint="33"/>
      </w:tcPr>
    </w:tblStylePr>
    <w:tblStylePr w:type="band1Horz">
      <w:tblPr/>
      <w:tcPr>
        <w:shd w:val="clear" w:color="auto" w:fill="B3D2FB" w:themeFill="accent1" w:themeFillTint="33"/>
      </w:tcPr>
    </w:tblStylePr>
    <w:tblStylePr w:type="neCell">
      <w:tblPr/>
      <w:tcPr>
        <w:tcBorders>
          <w:bottom w:val="single" w:sz="4" w:space="0" w:color="1C78F4" w:themeColor="accent1" w:themeTint="99"/>
        </w:tcBorders>
      </w:tcPr>
    </w:tblStylePr>
    <w:tblStylePr w:type="nwCell">
      <w:tblPr/>
      <w:tcPr>
        <w:tcBorders>
          <w:bottom w:val="single" w:sz="4" w:space="0" w:color="1C78F4" w:themeColor="accent1" w:themeTint="99"/>
        </w:tcBorders>
      </w:tcPr>
    </w:tblStylePr>
    <w:tblStylePr w:type="seCell">
      <w:tblPr/>
      <w:tcPr>
        <w:tcBorders>
          <w:top w:val="single" w:sz="4" w:space="0" w:color="1C78F4" w:themeColor="accent1" w:themeTint="99"/>
        </w:tcBorders>
      </w:tcPr>
    </w:tblStylePr>
    <w:tblStylePr w:type="swCell">
      <w:tblPr/>
      <w:tcPr>
        <w:tcBorders>
          <w:top w:val="single" w:sz="4" w:space="0" w:color="1C78F4" w:themeColor="accent1" w:themeTint="99"/>
        </w:tcBorders>
      </w:tcPr>
    </w:tblStylePr>
  </w:style>
  <w:style w:type="table" w:styleId="GridTable7Colorful-Accent2">
    <w:name w:val="Grid Table 7 Colorful Accent 2"/>
    <w:basedOn w:val="TableNormal"/>
    <w:uiPriority w:val="52"/>
    <w:rsid w:val="00920D86"/>
    <w:pPr>
      <w:spacing w:line="240" w:lineRule="auto"/>
    </w:pPr>
    <w:rPr>
      <w:color w:val="0D432F" w:themeColor="accent2" w:themeShade="BF"/>
    </w:rPr>
    <w:tblPr>
      <w:tblStyleRowBandSize w:val="1"/>
      <w:tblStyleColBandSize w:val="1"/>
      <w:tblBorders>
        <w:top w:val="single" w:sz="4" w:space="0" w:color="35D69C" w:themeColor="accent2" w:themeTint="99"/>
        <w:left w:val="single" w:sz="4" w:space="0" w:color="35D69C" w:themeColor="accent2" w:themeTint="99"/>
        <w:bottom w:val="single" w:sz="4" w:space="0" w:color="35D69C" w:themeColor="accent2" w:themeTint="99"/>
        <w:right w:val="single" w:sz="4" w:space="0" w:color="35D69C" w:themeColor="accent2" w:themeTint="99"/>
        <w:insideH w:val="single" w:sz="4" w:space="0" w:color="35D69C" w:themeColor="accent2" w:themeTint="99"/>
        <w:insideV w:val="single" w:sz="4" w:space="0" w:color="35D69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1DD" w:themeFill="accent2" w:themeFillTint="33"/>
      </w:tcPr>
    </w:tblStylePr>
    <w:tblStylePr w:type="band1Horz">
      <w:tblPr/>
      <w:tcPr>
        <w:shd w:val="clear" w:color="auto" w:fill="BBF1DD" w:themeFill="accent2" w:themeFillTint="33"/>
      </w:tcPr>
    </w:tblStylePr>
    <w:tblStylePr w:type="neCell">
      <w:tblPr/>
      <w:tcPr>
        <w:tcBorders>
          <w:bottom w:val="single" w:sz="4" w:space="0" w:color="35D69C" w:themeColor="accent2" w:themeTint="99"/>
        </w:tcBorders>
      </w:tcPr>
    </w:tblStylePr>
    <w:tblStylePr w:type="nwCell">
      <w:tblPr/>
      <w:tcPr>
        <w:tcBorders>
          <w:bottom w:val="single" w:sz="4" w:space="0" w:color="35D69C" w:themeColor="accent2" w:themeTint="99"/>
        </w:tcBorders>
      </w:tcPr>
    </w:tblStylePr>
    <w:tblStylePr w:type="seCell">
      <w:tblPr/>
      <w:tcPr>
        <w:tcBorders>
          <w:top w:val="single" w:sz="4" w:space="0" w:color="35D69C" w:themeColor="accent2" w:themeTint="99"/>
        </w:tcBorders>
      </w:tcPr>
    </w:tblStylePr>
    <w:tblStylePr w:type="swCell">
      <w:tblPr/>
      <w:tcPr>
        <w:tcBorders>
          <w:top w:val="single" w:sz="4" w:space="0" w:color="35D69C" w:themeColor="accent2" w:themeTint="99"/>
        </w:tcBorders>
      </w:tcPr>
    </w:tblStylePr>
  </w:style>
  <w:style w:type="table" w:styleId="GridTable7Colorful-Accent3">
    <w:name w:val="Grid Table 7 Colorful Accent 3"/>
    <w:basedOn w:val="TableNormal"/>
    <w:uiPriority w:val="52"/>
    <w:rsid w:val="00920D86"/>
    <w:pPr>
      <w:spacing w:line="240" w:lineRule="auto"/>
    </w:pPr>
    <w:rPr>
      <w:color w:val="7CB456" w:themeColor="accent3" w:themeShade="BF"/>
    </w:rPr>
    <w:tblPr>
      <w:tblStyleRowBandSize w:val="1"/>
      <w:tblStyleColBandSize w:val="1"/>
      <w:tblBorders>
        <w:top w:val="single" w:sz="4" w:space="0" w:color="CDE2BF" w:themeColor="accent3" w:themeTint="99"/>
        <w:left w:val="single" w:sz="4" w:space="0" w:color="CDE2BF" w:themeColor="accent3" w:themeTint="99"/>
        <w:bottom w:val="single" w:sz="4" w:space="0" w:color="CDE2BF" w:themeColor="accent3" w:themeTint="99"/>
        <w:right w:val="single" w:sz="4" w:space="0" w:color="CDE2BF" w:themeColor="accent3" w:themeTint="99"/>
        <w:insideH w:val="single" w:sz="4" w:space="0" w:color="CDE2BF" w:themeColor="accent3" w:themeTint="99"/>
        <w:insideV w:val="single" w:sz="4" w:space="0" w:color="CDE2BF"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EF5E9" w:themeFill="accent3" w:themeFillTint="33"/>
      </w:tcPr>
    </w:tblStylePr>
    <w:tblStylePr w:type="band1Horz">
      <w:tblPr/>
      <w:tcPr>
        <w:shd w:val="clear" w:color="auto" w:fill="EEF5E9" w:themeFill="accent3" w:themeFillTint="33"/>
      </w:tcPr>
    </w:tblStylePr>
    <w:tblStylePr w:type="neCell">
      <w:tblPr/>
      <w:tcPr>
        <w:tcBorders>
          <w:bottom w:val="single" w:sz="4" w:space="0" w:color="CDE2BF" w:themeColor="accent3" w:themeTint="99"/>
        </w:tcBorders>
      </w:tcPr>
    </w:tblStylePr>
    <w:tblStylePr w:type="nwCell">
      <w:tblPr/>
      <w:tcPr>
        <w:tcBorders>
          <w:bottom w:val="single" w:sz="4" w:space="0" w:color="CDE2BF" w:themeColor="accent3" w:themeTint="99"/>
        </w:tcBorders>
      </w:tcPr>
    </w:tblStylePr>
    <w:tblStylePr w:type="seCell">
      <w:tblPr/>
      <w:tcPr>
        <w:tcBorders>
          <w:top w:val="single" w:sz="4" w:space="0" w:color="CDE2BF" w:themeColor="accent3" w:themeTint="99"/>
        </w:tcBorders>
      </w:tcPr>
    </w:tblStylePr>
    <w:tblStylePr w:type="swCell">
      <w:tblPr/>
      <w:tcPr>
        <w:tcBorders>
          <w:top w:val="single" w:sz="4" w:space="0" w:color="CDE2BF" w:themeColor="accent3" w:themeTint="99"/>
        </w:tcBorders>
      </w:tcPr>
    </w:tblStylePr>
  </w:style>
  <w:style w:type="table" w:styleId="GridTable7Colorful-Accent4">
    <w:name w:val="Grid Table 7 Colorful Accent 4"/>
    <w:basedOn w:val="TableNormal"/>
    <w:uiPriority w:val="52"/>
    <w:rsid w:val="00920D86"/>
    <w:pPr>
      <w:spacing w:line="240" w:lineRule="auto"/>
    </w:pPr>
    <w:rPr>
      <w:color w:val="491E38" w:themeColor="accent4" w:themeShade="BF"/>
    </w:rPr>
    <w:tblPr>
      <w:tblStyleRowBandSize w:val="1"/>
      <w:tblStyleColBandSize w:val="1"/>
      <w:tblBorders>
        <w:top w:val="single" w:sz="4" w:space="0" w:color="BD6298" w:themeColor="accent4" w:themeTint="99"/>
        <w:left w:val="single" w:sz="4" w:space="0" w:color="BD6298" w:themeColor="accent4" w:themeTint="99"/>
        <w:bottom w:val="single" w:sz="4" w:space="0" w:color="BD6298" w:themeColor="accent4" w:themeTint="99"/>
        <w:right w:val="single" w:sz="4" w:space="0" w:color="BD6298" w:themeColor="accent4" w:themeTint="99"/>
        <w:insideH w:val="single" w:sz="4" w:space="0" w:color="BD6298" w:themeColor="accent4" w:themeTint="99"/>
        <w:insideV w:val="single" w:sz="4" w:space="0" w:color="BD6298"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9CADC" w:themeFill="accent4" w:themeFillTint="33"/>
      </w:tcPr>
    </w:tblStylePr>
    <w:tblStylePr w:type="band1Horz">
      <w:tblPr/>
      <w:tcPr>
        <w:shd w:val="clear" w:color="auto" w:fill="E9CADC" w:themeFill="accent4" w:themeFillTint="33"/>
      </w:tcPr>
    </w:tblStylePr>
    <w:tblStylePr w:type="neCell">
      <w:tblPr/>
      <w:tcPr>
        <w:tcBorders>
          <w:bottom w:val="single" w:sz="4" w:space="0" w:color="BD6298" w:themeColor="accent4" w:themeTint="99"/>
        </w:tcBorders>
      </w:tcPr>
    </w:tblStylePr>
    <w:tblStylePr w:type="nwCell">
      <w:tblPr/>
      <w:tcPr>
        <w:tcBorders>
          <w:bottom w:val="single" w:sz="4" w:space="0" w:color="BD6298" w:themeColor="accent4" w:themeTint="99"/>
        </w:tcBorders>
      </w:tcPr>
    </w:tblStylePr>
    <w:tblStylePr w:type="seCell">
      <w:tblPr/>
      <w:tcPr>
        <w:tcBorders>
          <w:top w:val="single" w:sz="4" w:space="0" w:color="BD6298" w:themeColor="accent4" w:themeTint="99"/>
        </w:tcBorders>
      </w:tcPr>
    </w:tblStylePr>
    <w:tblStylePr w:type="swCell">
      <w:tblPr/>
      <w:tcPr>
        <w:tcBorders>
          <w:top w:val="single" w:sz="4" w:space="0" w:color="BD6298" w:themeColor="accent4" w:themeTint="99"/>
        </w:tcBorders>
      </w:tcPr>
    </w:tblStylePr>
  </w:style>
  <w:style w:type="table" w:styleId="GridTable7Colorful-Accent5">
    <w:name w:val="Grid Table 7 Colorful Accent 5"/>
    <w:basedOn w:val="TableNormal"/>
    <w:uiPriority w:val="52"/>
    <w:rsid w:val="00920D86"/>
    <w:pPr>
      <w:spacing w:line="240" w:lineRule="auto"/>
    </w:pPr>
    <w:rPr>
      <w:color w:val="FE4B00" w:themeColor="accent5" w:themeShade="BF"/>
    </w:rPr>
    <w:tblPr>
      <w:tblStyleRowBandSize w:val="1"/>
      <w:tblStyleColBandSize w:val="1"/>
      <w:tblBorders>
        <w:top w:val="single" w:sz="4" w:space="0" w:color="FFB799" w:themeColor="accent5" w:themeTint="99"/>
        <w:left w:val="single" w:sz="4" w:space="0" w:color="FFB799" w:themeColor="accent5" w:themeTint="99"/>
        <w:bottom w:val="single" w:sz="4" w:space="0" w:color="FFB799" w:themeColor="accent5" w:themeTint="99"/>
        <w:right w:val="single" w:sz="4" w:space="0" w:color="FFB799" w:themeColor="accent5" w:themeTint="99"/>
        <w:insideH w:val="single" w:sz="4" w:space="0" w:color="FFB799" w:themeColor="accent5" w:themeTint="99"/>
        <w:insideV w:val="single" w:sz="4" w:space="0" w:color="FFB799"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E7DD" w:themeFill="accent5" w:themeFillTint="33"/>
      </w:tcPr>
    </w:tblStylePr>
    <w:tblStylePr w:type="band1Horz">
      <w:tblPr/>
      <w:tcPr>
        <w:shd w:val="clear" w:color="auto" w:fill="FFE7DD" w:themeFill="accent5" w:themeFillTint="33"/>
      </w:tcPr>
    </w:tblStylePr>
    <w:tblStylePr w:type="neCell">
      <w:tblPr/>
      <w:tcPr>
        <w:tcBorders>
          <w:bottom w:val="single" w:sz="4" w:space="0" w:color="FFB799" w:themeColor="accent5" w:themeTint="99"/>
        </w:tcBorders>
      </w:tcPr>
    </w:tblStylePr>
    <w:tblStylePr w:type="nwCell">
      <w:tblPr/>
      <w:tcPr>
        <w:tcBorders>
          <w:bottom w:val="single" w:sz="4" w:space="0" w:color="FFB799" w:themeColor="accent5" w:themeTint="99"/>
        </w:tcBorders>
      </w:tcPr>
    </w:tblStylePr>
    <w:tblStylePr w:type="seCell">
      <w:tblPr/>
      <w:tcPr>
        <w:tcBorders>
          <w:top w:val="single" w:sz="4" w:space="0" w:color="FFB799" w:themeColor="accent5" w:themeTint="99"/>
        </w:tcBorders>
      </w:tcPr>
    </w:tblStylePr>
    <w:tblStylePr w:type="swCell">
      <w:tblPr/>
      <w:tcPr>
        <w:tcBorders>
          <w:top w:val="single" w:sz="4" w:space="0" w:color="FFB799" w:themeColor="accent5" w:themeTint="99"/>
        </w:tcBorders>
      </w:tcPr>
    </w:tblStylePr>
  </w:style>
  <w:style w:type="table" w:styleId="GridTable7Colorful-Accent6">
    <w:name w:val="Grid Table 7 Colorful Accent 6"/>
    <w:basedOn w:val="TableNormal"/>
    <w:uiPriority w:val="52"/>
    <w:rsid w:val="00920D86"/>
    <w:pPr>
      <w:spacing w:line="240" w:lineRule="auto"/>
    </w:pPr>
    <w:rPr>
      <w:color w:val="B4AF97" w:themeColor="accent6" w:themeShade="BF"/>
    </w:rPr>
    <w:tblPr>
      <w:tblStyleRowBandSize w:val="1"/>
      <w:tblStyleColBandSize w:val="1"/>
      <w:tblBorders>
        <w:top w:val="single" w:sz="4" w:space="0" w:color="EEECE7" w:themeColor="accent6" w:themeTint="99"/>
        <w:left w:val="single" w:sz="4" w:space="0" w:color="EEECE7" w:themeColor="accent6" w:themeTint="99"/>
        <w:bottom w:val="single" w:sz="4" w:space="0" w:color="EEECE7" w:themeColor="accent6" w:themeTint="99"/>
        <w:right w:val="single" w:sz="4" w:space="0" w:color="EEECE7" w:themeColor="accent6" w:themeTint="99"/>
        <w:insideH w:val="single" w:sz="4" w:space="0" w:color="EEECE7" w:themeColor="accent6" w:themeTint="99"/>
        <w:insideV w:val="single" w:sz="4" w:space="0" w:color="EEECE7"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9F8F7" w:themeFill="accent6" w:themeFillTint="33"/>
      </w:tcPr>
    </w:tblStylePr>
    <w:tblStylePr w:type="band1Horz">
      <w:tblPr/>
      <w:tcPr>
        <w:shd w:val="clear" w:color="auto" w:fill="F9F8F7" w:themeFill="accent6" w:themeFillTint="33"/>
      </w:tcPr>
    </w:tblStylePr>
    <w:tblStylePr w:type="neCell">
      <w:tblPr/>
      <w:tcPr>
        <w:tcBorders>
          <w:bottom w:val="single" w:sz="4" w:space="0" w:color="EEECE7" w:themeColor="accent6" w:themeTint="99"/>
        </w:tcBorders>
      </w:tcPr>
    </w:tblStylePr>
    <w:tblStylePr w:type="nwCell">
      <w:tblPr/>
      <w:tcPr>
        <w:tcBorders>
          <w:bottom w:val="single" w:sz="4" w:space="0" w:color="EEECE7" w:themeColor="accent6" w:themeTint="99"/>
        </w:tcBorders>
      </w:tcPr>
    </w:tblStylePr>
    <w:tblStylePr w:type="seCell">
      <w:tblPr/>
      <w:tcPr>
        <w:tcBorders>
          <w:top w:val="single" w:sz="4" w:space="0" w:color="EEECE7" w:themeColor="accent6" w:themeTint="99"/>
        </w:tcBorders>
      </w:tcPr>
    </w:tblStylePr>
    <w:tblStylePr w:type="swCell">
      <w:tblPr/>
      <w:tcPr>
        <w:tcBorders>
          <w:top w:val="single" w:sz="4" w:space="0" w:color="EEECE7" w:themeColor="accent6" w:themeTint="99"/>
        </w:tcBorders>
      </w:tcPr>
    </w:tblStylePr>
  </w:style>
  <w:style w:type="character" w:styleId="Hashtag">
    <w:name w:val="Hashtag"/>
    <w:basedOn w:val="DefaultParagraphFont"/>
    <w:uiPriority w:val="99"/>
    <w:semiHidden/>
    <w:rsid w:val="00920D86"/>
    <w:rPr>
      <w:color w:val="2B579A"/>
      <w:shd w:val="clear" w:color="auto" w:fill="E6E6E6"/>
      <w:lang w:val="en-US"/>
    </w:rPr>
  </w:style>
  <w:style w:type="character" w:styleId="HTMLAcronym">
    <w:name w:val="HTML Acronym"/>
    <w:basedOn w:val="DefaultParagraphFont"/>
    <w:uiPriority w:val="99"/>
    <w:rsid w:val="00920D86"/>
    <w:rPr>
      <w:lang w:val="en-US"/>
    </w:rPr>
  </w:style>
  <w:style w:type="paragraph" w:styleId="HTMLAddress">
    <w:name w:val="HTML Address"/>
    <w:basedOn w:val="Normal"/>
    <w:link w:val="HTMLAddressChar"/>
    <w:uiPriority w:val="99"/>
    <w:rsid w:val="00920D86"/>
    <w:pPr>
      <w:spacing w:line="240" w:lineRule="auto"/>
    </w:pPr>
    <w:rPr>
      <w:i/>
      <w:iCs/>
    </w:rPr>
  </w:style>
  <w:style w:type="character" w:customStyle="1" w:styleId="HTMLAddressChar">
    <w:name w:val="HTML Address Char"/>
    <w:basedOn w:val="DefaultParagraphFont"/>
    <w:link w:val="HTMLAddress"/>
    <w:uiPriority w:val="99"/>
    <w:rsid w:val="00920D86"/>
    <w:rPr>
      <w:i/>
      <w:iCs/>
      <w:lang w:val="en-US"/>
    </w:rPr>
  </w:style>
  <w:style w:type="character" w:styleId="HTMLCite">
    <w:name w:val="HTML Cite"/>
    <w:basedOn w:val="DefaultParagraphFont"/>
    <w:uiPriority w:val="99"/>
    <w:rsid w:val="00920D86"/>
    <w:rPr>
      <w:i/>
      <w:iCs/>
      <w:lang w:val="en-US"/>
    </w:rPr>
  </w:style>
  <w:style w:type="character" w:styleId="HTMLCode">
    <w:name w:val="HTML Code"/>
    <w:basedOn w:val="DefaultParagraphFont"/>
    <w:uiPriority w:val="99"/>
    <w:rsid w:val="00920D86"/>
    <w:rPr>
      <w:rFonts w:ascii="Consolas" w:hAnsi="Consolas"/>
      <w:sz w:val="20"/>
      <w:szCs w:val="20"/>
      <w:lang w:val="en-US"/>
    </w:rPr>
  </w:style>
  <w:style w:type="character" w:styleId="HTMLDefinition">
    <w:name w:val="HTML Definition"/>
    <w:basedOn w:val="DefaultParagraphFont"/>
    <w:uiPriority w:val="99"/>
    <w:rsid w:val="00920D86"/>
    <w:rPr>
      <w:i/>
      <w:iCs/>
      <w:lang w:val="en-US"/>
    </w:rPr>
  </w:style>
  <w:style w:type="character" w:styleId="HTMLKeyboard">
    <w:name w:val="HTML Keyboard"/>
    <w:basedOn w:val="DefaultParagraphFont"/>
    <w:uiPriority w:val="99"/>
    <w:rsid w:val="00920D86"/>
    <w:rPr>
      <w:rFonts w:ascii="Consolas" w:hAnsi="Consolas"/>
      <w:sz w:val="20"/>
      <w:szCs w:val="20"/>
      <w:lang w:val="en-US"/>
    </w:rPr>
  </w:style>
  <w:style w:type="paragraph" w:styleId="HTMLPreformatted">
    <w:name w:val="HTML Preformatted"/>
    <w:basedOn w:val="Normal"/>
    <w:link w:val="HTMLPreformattedChar"/>
    <w:uiPriority w:val="99"/>
    <w:rsid w:val="00920D86"/>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920D86"/>
    <w:rPr>
      <w:rFonts w:ascii="Consolas" w:hAnsi="Consolas"/>
      <w:sz w:val="20"/>
      <w:szCs w:val="20"/>
      <w:lang w:val="en-US"/>
    </w:rPr>
  </w:style>
  <w:style w:type="character" w:styleId="HTMLSample">
    <w:name w:val="HTML Sample"/>
    <w:basedOn w:val="DefaultParagraphFont"/>
    <w:uiPriority w:val="99"/>
    <w:rsid w:val="00920D86"/>
    <w:rPr>
      <w:rFonts w:ascii="Consolas" w:hAnsi="Consolas"/>
      <w:sz w:val="24"/>
      <w:szCs w:val="24"/>
      <w:lang w:val="en-US"/>
    </w:rPr>
  </w:style>
  <w:style w:type="character" w:styleId="HTMLTypewriter">
    <w:name w:val="HTML Typewriter"/>
    <w:basedOn w:val="DefaultParagraphFont"/>
    <w:uiPriority w:val="99"/>
    <w:rsid w:val="00920D86"/>
    <w:rPr>
      <w:rFonts w:ascii="Consolas" w:hAnsi="Consolas"/>
      <w:sz w:val="20"/>
      <w:szCs w:val="20"/>
      <w:lang w:val="en-US"/>
    </w:rPr>
  </w:style>
  <w:style w:type="character" w:styleId="HTMLVariable">
    <w:name w:val="HTML Variable"/>
    <w:basedOn w:val="DefaultParagraphFont"/>
    <w:uiPriority w:val="99"/>
    <w:rsid w:val="00920D86"/>
    <w:rPr>
      <w:i/>
      <w:iCs/>
      <w:lang w:val="en-US"/>
    </w:rPr>
  </w:style>
  <w:style w:type="character" w:styleId="Hyperlink">
    <w:name w:val="Hyperlink"/>
    <w:basedOn w:val="DefaultParagraphFont"/>
    <w:uiPriority w:val="99"/>
    <w:rsid w:val="00920D86"/>
    <w:rPr>
      <w:color w:val="009DF0" w:themeColor="hyperlink"/>
      <w:u w:val="single"/>
      <w:lang w:val="en-US"/>
    </w:rPr>
  </w:style>
  <w:style w:type="paragraph" w:styleId="Index1">
    <w:name w:val="index 1"/>
    <w:basedOn w:val="Normal"/>
    <w:next w:val="Normal"/>
    <w:autoRedefine/>
    <w:uiPriority w:val="99"/>
    <w:rsid w:val="00920D86"/>
    <w:pPr>
      <w:spacing w:line="240" w:lineRule="auto"/>
      <w:ind w:left="180" w:hanging="180"/>
    </w:pPr>
  </w:style>
  <w:style w:type="paragraph" w:styleId="Index2">
    <w:name w:val="index 2"/>
    <w:basedOn w:val="Normal"/>
    <w:next w:val="Normal"/>
    <w:autoRedefine/>
    <w:uiPriority w:val="99"/>
    <w:rsid w:val="00920D86"/>
    <w:pPr>
      <w:spacing w:line="240" w:lineRule="auto"/>
      <w:ind w:left="360" w:hanging="180"/>
    </w:pPr>
  </w:style>
  <w:style w:type="paragraph" w:styleId="Index3">
    <w:name w:val="index 3"/>
    <w:basedOn w:val="Normal"/>
    <w:next w:val="Normal"/>
    <w:autoRedefine/>
    <w:uiPriority w:val="99"/>
    <w:rsid w:val="00920D86"/>
    <w:pPr>
      <w:spacing w:line="240" w:lineRule="auto"/>
      <w:ind w:left="540" w:hanging="180"/>
    </w:pPr>
  </w:style>
  <w:style w:type="paragraph" w:styleId="Index4">
    <w:name w:val="index 4"/>
    <w:basedOn w:val="Normal"/>
    <w:next w:val="Normal"/>
    <w:autoRedefine/>
    <w:uiPriority w:val="99"/>
    <w:rsid w:val="00920D86"/>
    <w:pPr>
      <w:spacing w:line="240" w:lineRule="auto"/>
      <w:ind w:left="720" w:hanging="180"/>
    </w:pPr>
  </w:style>
  <w:style w:type="paragraph" w:styleId="Index5">
    <w:name w:val="index 5"/>
    <w:basedOn w:val="Normal"/>
    <w:next w:val="Normal"/>
    <w:autoRedefine/>
    <w:uiPriority w:val="99"/>
    <w:rsid w:val="00920D86"/>
    <w:pPr>
      <w:spacing w:line="240" w:lineRule="auto"/>
      <w:ind w:left="900" w:hanging="180"/>
    </w:pPr>
  </w:style>
  <w:style w:type="paragraph" w:styleId="Index6">
    <w:name w:val="index 6"/>
    <w:basedOn w:val="Normal"/>
    <w:next w:val="Normal"/>
    <w:autoRedefine/>
    <w:uiPriority w:val="99"/>
    <w:rsid w:val="00920D86"/>
    <w:pPr>
      <w:spacing w:line="240" w:lineRule="auto"/>
      <w:ind w:left="1080" w:hanging="180"/>
    </w:pPr>
  </w:style>
  <w:style w:type="paragraph" w:styleId="Index7">
    <w:name w:val="index 7"/>
    <w:basedOn w:val="Normal"/>
    <w:next w:val="Normal"/>
    <w:autoRedefine/>
    <w:uiPriority w:val="99"/>
    <w:rsid w:val="00920D86"/>
    <w:pPr>
      <w:spacing w:line="240" w:lineRule="auto"/>
      <w:ind w:left="1260" w:hanging="180"/>
    </w:pPr>
  </w:style>
  <w:style w:type="paragraph" w:styleId="Index8">
    <w:name w:val="index 8"/>
    <w:basedOn w:val="Normal"/>
    <w:next w:val="Normal"/>
    <w:autoRedefine/>
    <w:uiPriority w:val="99"/>
    <w:rsid w:val="00920D86"/>
    <w:pPr>
      <w:spacing w:line="240" w:lineRule="auto"/>
      <w:ind w:left="1440" w:hanging="180"/>
    </w:pPr>
  </w:style>
  <w:style w:type="paragraph" w:styleId="Index9">
    <w:name w:val="index 9"/>
    <w:basedOn w:val="Normal"/>
    <w:next w:val="Normal"/>
    <w:autoRedefine/>
    <w:uiPriority w:val="99"/>
    <w:rsid w:val="00920D86"/>
    <w:pPr>
      <w:spacing w:line="240" w:lineRule="auto"/>
      <w:ind w:left="1620" w:hanging="180"/>
    </w:pPr>
  </w:style>
  <w:style w:type="paragraph" w:styleId="IndexHeading">
    <w:name w:val="index heading"/>
    <w:basedOn w:val="Normal"/>
    <w:next w:val="Index1"/>
    <w:uiPriority w:val="99"/>
    <w:rsid w:val="00920D86"/>
    <w:rPr>
      <w:rFonts w:asciiTheme="majorHAnsi" w:eastAsiaTheme="majorEastAsia" w:hAnsiTheme="majorHAnsi" w:cstheme="majorBidi"/>
      <w:b/>
      <w:bCs/>
    </w:rPr>
  </w:style>
  <w:style w:type="table" w:styleId="LightGrid">
    <w:name w:val="Light Grid"/>
    <w:basedOn w:val="TableNormal"/>
    <w:uiPriority w:val="62"/>
    <w:unhideWhenUsed/>
    <w:rsid w:val="00920D86"/>
    <w:pPr>
      <w:spacing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unhideWhenUsed/>
    <w:rsid w:val="00920D86"/>
    <w:pPr>
      <w:spacing w:line="240" w:lineRule="auto"/>
    </w:pPr>
    <w:tblPr>
      <w:tblStyleRowBandSize w:val="1"/>
      <w:tblStyleColBandSize w:val="1"/>
      <w:tblBorders>
        <w:top w:val="single" w:sz="8" w:space="0" w:color="05326E" w:themeColor="accent1"/>
        <w:left w:val="single" w:sz="8" w:space="0" w:color="05326E" w:themeColor="accent1"/>
        <w:bottom w:val="single" w:sz="8" w:space="0" w:color="05326E" w:themeColor="accent1"/>
        <w:right w:val="single" w:sz="8" w:space="0" w:color="05326E" w:themeColor="accent1"/>
        <w:insideH w:val="single" w:sz="8" w:space="0" w:color="05326E" w:themeColor="accent1"/>
        <w:insideV w:val="single" w:sz="8" w:space="0" w:color="05326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5326E" w:themeColor="accent1"/>
          <w:left w:val="single" w:sz="8" w:space="0" w:color="05326E" w:themeColor="accent1"/>
          <w:bottom w:val="single" w:sz="18" w:space="0" w:color="05326E" w:themeColor="accent1"/>
          <w:right w:val="single" w:sz="8" w:space="0" w:color="05326E" w:themeColor="accent1"/>
          <w:insideH w:val="nil"/>
          <w:insideV w:val="single" w:sz="8" w:space="0" w:color="05326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5326E" w:themeColor="accent1"/>
          <w:left w:val="single" w:sz="8" w:space="0" w:color="05326E" w:themeColor="accent1"/>
          <w:bottom w:val="single" w:sz="8" w:space="0" w:color="05326E" w:themeColor="accent1"/>
          <w:right w:val="single" w:sz="8" w:space="0" w:color="05326E" w:themeColor="accent1"/>
          <w:insideH w:val="nil"/>
          <w:insideV w:val="single" w:sz="8" w:space="0" w:color="05326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5326E" w:themeColor="accent1"/>
          <w:left w:val="single" w:sz="8" w:space="0" w:color="05326E" w:themeColor="accent1"/>
          <w:bottom w:val="single" w:sz="8" w:space="0" w:color="05326E" w:themeColor="accent1"/>
          <w:right w:val="single" w:sz="8" w:space="0" w:color="05326E" w:themeColor="accent1"/>
        </w:tcBorders>
      </w:tcPr>
    </w:tblStylePr>
    <w:tblStylePr w:type="band1Vert">
      <w:tblPr/>
      <w:tcPr>
        <w:tcBorders>
          <w:top w:val="single" w:sz="8" w:space="0" w:color="05326E" w:themeColor="accent1"/>
          <w:left w:val="single" w:sz="8" w:space="0" w:color="05326E" w:themeColor="accent1"/>
          <w:bottom w:val="single" w:sz="8" w:space="0" w:color="05326E" w:themeColor="accent1"/>
          <w:right w:val="single" w:sz="8" w:space="0" w:color="05326E" w:themeColor="accent1"/>
        </w:tcBorders>
        <w:shd w:val="clear" w:color="auto" w:fill="A1C7FA" w:themeFill="accent1" w:themeFillTint="3F"/>
      </w:tcPr>
    </w:tblStylePr>
    <w:tblStylePr w:type="band1Horz">
      <w:tblPr/>
      <w:tcPr>
        <w:tcBorders>
          <w:top w:val="single" w:sz="8" w:space="0" w:color="05326E" w:themeColor="accent1"/>
          <w:left w:val="single" w:sz="8" w:space="0" w:color="05326E" w:themeColor="accent1"/>
          <w:bottom w:val="single" w:sz="8" w:space="0" w:color="05326E" w:themeColor="accent1"/>
          <w:right w:val="single" w:sz="8" w:space="0" w:color="05326E" w:themeColor="accent1"/>
          <w:insideV w:val="single" w:sz="8" w:space="0" w:color="05326E" w:themeColor="accent1"/>
        </w:tcBorders>
        <w:shd w:val="clear" w:color="auto" w:fill="A1C7FA" w:themeFill="accent1" w:themeFillTint="3F"/>
      </w:tcPr>
    </w:tblStylePr>
    <w:tblStylePr w:type="band2Horz">
      <w:tblPr/>
      <w:tcPr>
        <w:tcBorders>
          <w:top w:val="single" w:sz="8" w:space="0" w:color="05326E" w:themeColor="accent1"/>
          <w:left w:val="single" w:sz="8" w:space="0" w:color="05326E" w:themeColor="accent1"/>
          <w:bottom w:val="single" w:sz="8" w:space="0" w:color="05326E" w:themeColor="accent1"/>
          <w:right w:val="single" w:sz="8" w:space="0" w:color="05326E" w:themeColor="accent1"/>
          <w:insideV w:val="single" w:sz="8" w:space="0" w:color="05326E" w:themeColor="accent1"/>
        </w:tcBorders>
      </w:tcPr>
    </w:tblStylePr>
  </w:style>
  <w:style w:type="table" w:styleId="LightGrid-Accent2">
    <w:name w:val="Light Grid Accent 2"/>
    <w:basedOn w:val="TableNormal"/>
    <w:uiPriority w:val="62"/>
    <w:unhideWhenUsed/>
    <w:rsid w:val="00920D86"/>
    <w:pPr>
      <w:spacing w:line="240" w:lineRule="auto"/>
    </w:pPr>
    <w:tblPr>
      <w:tblStyleRowBandSize w:val="1"/>
      <w:tblStyleColBandSize w:val="1"/>
      <w:tblBorders>
        <w:top w:val="single" w:sz="8" w:space="0" w:color="125A40" w:themeColor="accent2"/>
        <w:left w:val="single" w:sz="8" w:space="0" w:color="125A40" w:themeColor="accent2"/>
        <w:bottom w:val="single" w:sz="8" w:space="0" w:color="125A40" w:themeColor="accent2"/>
        <w:right w:val="single" w:sz="8" w:space="0" w:color="125A40" w:themeColor="accent2"/>
        <w:insideH w:val="single" w:sz="8" w:space="0" w:color="125A40" w:themeColor="accent2"/>
        <w:insideV w:val="single" w:sz="8" w:space="0" w:color="125A4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25A40" w:themeColor="accent2"/>
          <w:left w:val="single" w:sz="8" w:space="0" w:color="125A40" w:themeColor="accent2"/>
          <w:bottom w:val="single" w:sz="18" w:space="0" w:color="125A40" w:themeColor="accent2"/>
          <w:right w:val="single" w:sz="8" w:space="0" w:color="125A40" w:themeColor="accent2"/>
          <w:insideH w:val="nil"/>
          <w:insideV w:val="single" w:sz="8" w:space="0" w:color="125A4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25A40" w:themeColor="accent2"/>
          <w:left w:val="single" w:sz="8" w:space="0" w:color="125A40" w:themeColor="accent2"/>
          <w:bottom w:val="single" w:sz="8" w:space="0" w:color="125A40" w:themeColor="accent2"/>
          <w:right w:val="single" w:sz="8" w:space="0" w:color="125A40" w:themeColor="accent2"/>
          <w:insideH w:val="nil"/>
          <w:insideV w:val="single" w:sz="8" w:space="0" w:color="125A4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25A40" w:themeColor="accent2"/>
          <w:left w:val="single" w:sz="8" w:space="0" w:color="125A40" w:themeColor="accent2"/>
          <w:bottom w:val="single" w:sz="8" w:space="0" w:color="125A40" w:themeColor="accent2"/>
          <w:right w:val="single" w:sz="8" w:space="0" w:color="125A40" w:themeColor="accent2"/>
        </w:tcBorders>
      </w:tcPr>
    </w:tblStylePr>
    <w:tblStylePr w:type="band1Vert">
      <w:tblPr/>
      <w:tcPr>
        <w:tcBorders>
          <w:top w:val="single" w:sz="8" w:space="0" w:color="125A40" w:themeColor="accent2"/>
          <w:left w:val="single" w:sz="8" w:space="0" w:color="125A40" w:themeColor="accent2"/>
          <w:bottom w:val="single" w:sz="8" w:space="0" w:color="125A40" w:themeColor="accent2"/>
          <w:right w:val="single" w:sz="8" w:space="0" w:color="125A40" w:themeColor="accent2"/>
        </w:tcBorders>
        <w:shd w:val="clear" w:color="auto" w:fill="ACEED6" w:themeFill="accent2" w:themeFillTint="3F"/>
      </w:tcPr>
    </w:tblStylePr>
    <w:tblStylePr w:type="band1Horz">
      <w:tblPr/>
      <w:tcPr>
        <w:tcBorders>
          <w:top w:val="single" w:sz="8" w:space="0" w:color="125A40" w:themeColor="accent2"/>
          <w:left w:val="single" w:sz="8" w:space="0" w:color="125A40" w:themeColor="accent2"/>
          <w:bottom w:val="single" w:sz="8" w:space="0" w:color="125A40" w:themeColor="accent2"/>
          <w:right w:val="single" w:sz="8" w:space="0" w:color="125A40" w:themeColor="accent2"/>
          <w:insideV w:val="single" w:sz="8" w:space="0" w:color="125A40" w:themeColor="accent2"/>
        </w:tcBorders>
        <w:shd w:val="clear" w:color="auto" w:fill="ACEED6" w:themeFill="accent2" w:themeFillTint="3F"/>
      </w:tcPr>
    </w:tblStylePr>
    <w:tblStylePr w:type="band2Horz">
      <w:tblPr/>
      <w:tcPr>
        <w:tcBorders>
          <w:top w:val="single" w:sz="8" w:space="0" w:color="125A40" w:themeColor="accent2"/>
          <w:left w:val="single" w:sz="8" w:space="0" w:color="125A40" w:themeColor="accent2"/>
          <w:bottom w:val="single" w:sz="8" w:space="0" w:color="125A40" w:themeColor="accent2"/>
          <w:right w:val="single" w:sz="8" w:space="0" w:color="125A40" w:themeColor="accent2"/>
          <w:insideV w:val="single" w:sz="8" w:space="0" w:color="125A40" w:themeColor="accent2"/>
        </w:tcBorders>
      </w:tcPr>
    </w:tblStylePr>
  </w:style>
  <w:style w:type="table" w:styleId="LightGrid-Accent3">
    <w:name w:val="Light Grid Accent 3"/>
    <w:basedOn w:val="TableNormal"/>
    <w:uiPriority w:val="62"/>
    <w:unhideWhenUsed/>
    <w:rsid w:val="00920D86"/>
    <w:pPr>
      <w:spacing w:line="240" w:lineRule="auto"/>
    </w:pPr>
    <w:tblPr>
      <w:tblStyleRowBandSize w:val="1"/>
      <w:tblStyleColBandSize w:val="1"/>
      <w:tblBorders>
        <w:top w:val="single" w:sz="8" w:space="0" w:color="ADD095" w:themeColor="accent3"/>
        <w:left w:val="single" w:sz="8" w:space="0" w:color="ADD095" w:themeColor="accent3"/>
        <w:bottom w:val="single" w:sz="8" w:space="0" w:color="ADD095" w:themeColor="accent3"/>
        <w:right w:val="single" w:sz="8" w:space="0" w:color="ADD095" w:themeColor="accent3"/>
        <w:insideH w:val="single" w:sz="8" w:space="0" w:color="ADD095" w:themeColor="accent3"/>
        <w:insideV w:val="single" w:sz="8" w:space="0" w:color="ADD09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DD095" w:themeColor="accent3"/>
          <w:left w:val="single" w:sz="8" w:space="0" w:color="ADD095" w:themeColor="accent3"/>
          <w:bottom w:val="single" w:sz="18" w:space="0" w:color="ADD095" w:themeColor="accent3"/>
          <w:right w:val="single" w:sz="8" w:space="0" w:color="ADD095" w:themeColor="accent3"/>
          <w:insideH w:val="nil"/>
          <w:insideV w:val="single" w:sz="8" w:space="0" w:color="ADD09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DD095" w:themeColor="accent3"/>
          <w:left w:val="single" w:sz="8" w:space="0" w:color="ADD095" w:themeColor="accent3"/>
          <w:bottom w:val="single" w:sz="8" w:space="0" w:color="ADD095" w:themeColor="accent3"/>
          <w:right w:val="single" w:sz="8" w:space="0" w:color="ADD095" w:themeColor="accent3"/>
          <w:insideH w:val="nil"/>
          <w:insideV w:val="single" w:sz="8" w:space="0" w:color="ADD09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DD095" w:themeColor="accent3"/>
          <w:left w:val="single" w:sz="8" w:space="0" w:color="ADD095" w:themeColor="accent3"/>
          <w:bottom w:val="single" w:sz="8" w:space="0" w:color="ADD095" w:themeColor="accent3"/>
          <w:right w:val="single" w:sz="8" w:space="0" w:color="ADD095" w:themeColor="accent3"/>
        </w:tcBorders>
      </w:tcPr>
    </w:tblStylePr>
    <w:tblStylePr w:type="band1Vert">
      <w:tblPr/>
      <w:tcPr>
        <w:tcBorders>
          <w:top w:val="single" w:sz="8" w:space="0" w:color="ADD095" w:themeColor="accent3"/>
          <w:left w:val="single" w:sz="8" w:space="0" w:color="ADD095" w:themeColor="accent3"/>
          <w:bottom w:val="single" w:sz="8" w:space="0" w:color="ADD095" w:themeColor="accent3"/>
          <w:right w:val="single" w:sz="8" w:space="0" w:color="ADD095" w:themeColor="accent3"/>
        </w:tcBorders>
        <w:shd w:val="clear" w:color="auto" w:fill="EAF3E4" w:themeFill="accent3" w:themeFillTint="3F"/>
      </w:tcPr>
    </w:tblStylePr>
    <w:tblStylePr w:type="band1Horz">
      <w:tblPr/>
      <w:tcPr>
        <w:tcBorders>
          <w:top w:val="single" w:sz="8" w:space="0" w:color="ADD095" w:themeColor="accent3"/>
          <w:left w:val="single" w:sz="8" w:space="0" w:color="ADD095" w:themeColor="accent3"/>
          <w:bottom w:val="single" w:sz="8" w:space="0" w:color="ADD095" w:themeColor="accent3"/>
          <w:right w:val="single" w:sz="8" w:space="0" w:color="ADD095" w:themeColor="accent3"/>
          <w:insideV w:val="single" w:sz="8" w:space="0" w:color="ADD095" w:themeColor="accent3"/>
        </w:tcBorders>
        <w:shd w:val="clear" w:color="auto" w:fill="EAF3E4" w:themeFill="accent3" w:themeFillTint="3F"/>
      </w:tcPr>
    </w:tblStylePr>
    <w:tblStylePr w:type="band2Horz">
      <w:tblPr/>
      <w:tcPr>
        <w:tcBorders>
          <w:top w:val="single" w:sz="8" w:space="0" w:color="ADD095" w:themeColor="accent3"/>
          <w:left w:val="single" w:sz="8" w:space="0" w:color="ADD095" w:themeColor="accent3"/>
          <w:bottom w:val="single" w:sz="8" w:space="0" w:color="ADD095" w:themeColor="accent3"/>
          <w:right w:val="single" w:sz="8" w:space="0" w:color="ADD095" w:themeColor="accent3"/>
          <w:insideV w:val="single" w:sz="8" w:space="0" w:color="ADD095" w:themeColor="accent3"/>
        </w:tcBorders>
      </w:tcPr>
    </w:tblStylePr>
  </w:style>
  <w:style w:type="table" w:styleId="LightGrid-Accent4">
    <w:name w:val="Light Grid Accent 4"/>
    <w:basedOn w:val="TableNormal"/>
    <w:uiPriority w:val="62"/>
    <w:unhideWhenUsed/>
    <w:rsid w:val="00920D86"/>
    <w:pPr>
      <w:spacing w:line="240" w:lineRule="auto"/>
    </w:pPr>
    <w:tblPr>
      <w:tblStyleRowBandSize w:val="1"/>
      <w:tblStyleColBandSize w:val="1"/>
      <w:tblBorders>
        <w:top w:val="single" w:sz="8" w:space="0" w:color="62294B" w:themeColor="accent4"/>
        <w:left w:val="single" w:sz="8" w:space="0" w:color="62294B" w:themeColor="accent4"/>
        <w:bottom w:val="single" w:sz="8" w:space="0" w:color="62294B" w:themeColor="accent4"/>
        <w:right w:val="single" w:sz="8" w:space="0" w:color="62294B" w:themeColor="accent4"/>
        <w:insideH w:val="single" w:sz="8" w:space="0" w:color="62294B" w:themeColor="accent4"/>
        <w:insideV w:val="single" w:sz="8" w:space="0" w:color="62294B"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62294B" w:themeColor="accent4"/>
          <w:left w:val="single" w:sz="8" w:space="0" w:color="62294B" w:themeColor="accent4"/>
          <w:bottom w:val="single" w:sz="18" w:space="0" w:color="62294B" w:themeColor="accent4"/>
          <w:right w:val="single" w:sz="8" w:space="0" w:color="62294B" w:themeColor="accent4"/>
          <w:insideH w:val="nil"/>
          <w:insideV w:val="single" w:sz="8" w:space="0" w:color="62294B"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62294B" w:themeColor="accent4"/>
          <w:left w:val="single" w:sz="8" w:space="0" w:color="62294B" w:themeColor="accent4"/>
          <w:bottom w:val="single" w:sz="8" w:space="0" w:color="62294B" w:themeColor="accent4"/>
          <w:right w:val="single" w:sz="8" w:space="0" w:color="62294B" w:themeColor="accent4"/>
          <w:insideH w:val="nil"/>
          <w:insideV w:val="single" w:sz="8" w:space="0" w:color="62294B"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62294B" w:themeColor="accent4"/>
          <w:left w:val="single" w:sz="8" w:space="0" w:color="62294B" w:themeColor="accent4"/>
          <w:bottom w:val="single" w:sz="8" w:space="0" w:color="62294B" w:themeColor="accent4"/>
          <w:right w:val="single" w:sz="8" w:space="0" w:color="62294B" w:themeColor="accent4"/>
        </w:tcBorders>
      </w:tcPr>
    </w:tblStylePr>
    <w:tblStylePr w:type="band1Vert">
      <w:tblPr/>
      <w:tcPr>
        <w:tcBorders>
          <w:top w:val="single" w:sz="8" w:space="0" w:color="62294B" w:themeColor="accent4"/>
          <w:left w:val="single" w:sz="8" w:space="0" w:color="62294B" w:themeColor="accent4"/>
          <w:bottom w:val="single" w:sz="8" w:space="0" w:color="62294B" w:themeColor="accent4"/>
          <w:right w:val="single" w:sz="8" w:space="0" w:color="62294B" w:themeColor="accent4"/>
        </w:tcBorders>
        <w:shd w:val="clear" w:color="auto" w:fill="E4BED4" w:themeFill="accent4" w:themeFillTint="3F"/>
      </w:tcPr>
    </w:tblStylePr>
    <w:tblStylePr w:type="band1Horz">
      <w:tblPr/>
      <w:tcPr>
        <w:tcBorders>
          <w:top w:val="single" w:sz="8" w:space="0" w:color="62294B" w:themeColor="accent4"/>
          <w:left w:val="single" w:sz="8" w:space="0" w:color="62294B" w:themeColor="accent4"/>
          <w:bottom w:val="single" w:sz="8" w:space="0" w:color="62294B" w:themeColor="accent4"/>
          <w:right w:val="single" w:sz="8" w:space="0" w:color="62294B" w:themeColor="accent4"/>
          <w:insideV w:val="single" w:sz="8" w:space="0" w:color="62294B" w:themeColor="accent4"/>
        </w:tcBorders>
        <w:shd w:val="clear" w:color="auto" w:fill="E4BED4" w:themeFill="accent4" w:themeFillTint="3F"/>
      </w:tcPr>
    </w:tblStylePr>
    <w:tblStylePr w:type="band2Horz">
      <w:tblPr/>
      <w:tcPr>
        <w:tcBorders>
          <w:top w:val="single" w:sz="8" w:space="0" w:color="62294B" w:themeColor="accent4"/>
          <w:left w:val="single" w:sz="8" w:space="0" w:color="62294B" w:themeColor="accent4"/>
          <w:bottom w:val="single" w:sz="8" w:space="0" w:color="62294B" w:themeColor="accent4"/>
          <w:right w:val="single" w:sz="8" w:space="0" w:color="62294B" w:themeColor="accent4"/>
          <w:insideV w:val="single" w:sz="8" w:space="0" w:color="62294B" w:themeColor="accent4"/>
        </w:tcBorders>
      </w:tcPr>
    </w:tblStylePr>
  </w:style>
  <w:style w:type="table" w:styleId="LightGrid-Accent5">
    <w:name w:val="Light Grid Accent 5"/>
    <w:basedOn w:val="TableNormal"/>
    <w:uiPriority w:val="62"/>
    <w:unhideWhenUsed/>
    <w:rsid w:val="00920D86"/>
    <w:pPr>
      <w:spacing w:line="240" w:lineRule="auto"/>
    </w:pPr>
    <w:tblPr>
      <w:tblStyleRowBandSize w:val="1"/>
      <w:tblStyleColBandSize w:val="1"/>
      <w:tblBorders>
        <w:top w:val="single" w:sz="8" w:space="0" w:color="FF8855" w:themeColor="accent5"/>
        <w:left w:val="single" w:sz="8" w:space="0" w:color="FF8855" w:themeColor="accent5"/>
        <w:bottom w:val="single" w:sz="8" w:space="0" w:color="FF8855" w:themeColor="accent5"/>
        <w:right w:val="single" w:sz="8" w:space="0" w:color="FF8855" w:themeColor="accent5"/>
        <w:insideH w:val="single" w:sz="8" w:space="0" w:color="FF8855" w:themeColor="accent5"/>
        <w:insideV w:val="single" w:sz="8" w:space="0" w:color="FF885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8855" w:themeColor="accent5"/>
          <w:left w:val="single" w:sz="8" w:space="0" w:color="FF8855" w:themeColor="accent5"/>
          <w:bottom w:val="single" w:sz="18" w:space="0" w:color="FF8855" w:themeColor="accent5"/>
          <w:right w:val="single" w:sz="8" w:space="0" w:color="FF8855" w:themeColor="accent5"/>
          <w:insideH w:val="nil"/>
          <w:insideV w:val="single" w:sz="8" w:space="0" w:color="FF885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8855" w:themeColor="accent5"/>
          <w:left w:val="single" w:sz="8" w:space="0" w:color="FF8855" w:themeColor="accent5"/>
          <w:bottom w:val="single" w:sz="8" w:space="0" w:color="FF8855" w:themeColor="accent5"/>
          <w:right w:val="single" w:sz="8" w:space="0" w:color="FF8855" w:themeColor="accent5"/>
          <w:insideH w:val="nil"/>
          <w:insideV w:val="single" w:sz="8" w:space="0" w:color="FF885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8855" w:themeColor="accent5"/>
          <w:left w:val="single" w:sz="8" w:space="0" w:color="FF8855" w:themeColor="accent5"/>
          <w:bottom w:val="single" w:sz="8" w:space="0" w:color="FF8855" w:themeColor="accent5"/>
          <w:right w:val="single" w:sz="8" w:space="0" w:color="FF8855" w:themeColor="accent5"/>
        </w:tcBorders>
      </w:tcPr>
    </w:tblStylePr>
    <w:tblStylePr w:type="band1Vert">
      <w:tblPr/>
      <w:tcPr>
        <w:tcBorders>
          <w:top w:val="single" w:sz="8" w:space="0" w:color="FF8855" w:themeColor="accent5"/>
          <w:left w:val="single" w:sz="8" w:space="0" w:color="FF8855" w:themeColor="accent5"/>
          <w:bottom w:val="single" w:sz="8" w:space="0" w:color="FF8855" w:themeColor="accent5"/>
          <w:right w:val="single" w:sz="8" w:space="0" w:color="FF8855" w:themeColor="accent5"/>
        </w:tcBorders>
        <w:shd w:val="clear" w:color="auto" w:fill="FFE1D5" w:themeFill="accent5" w:themeFillTint="3F"/>
      </w:tcPr>
    </w:tblStylePr>
    <w:tblStylePr w:type="band1Horz">
      <w:tblPr/>
      <w:tcPr>
        <w:tcBorders>
          <w:top w:val="single" w:sz="8" w:space="0" w:color="FF8855" w:themeColor="accent5"/>
          <w:left w:val="single" w:sz="8" w:space="0" w:color="FF8855" w:themeColor="accent5"/>
          <w:bottom w:val="single" w:sz="8" w:space="0" w:color="FF8855" w:themeColor="accent5"/>
          <w:right w:val="single" w:sz="8" w:space="0" w:color="FF8855" w:themeColor="accent5"/>
          <w:insideV w:val="single" w:sz="8" w:space="0" w:color="FF8855" w:themeColor="accent5"/>
        </w:tcBorders>
        <w:shd w:val="clear" w:color="auto" w:fill="FFE1D5" w:themeFill="accent5" w:themeFillTint="3F"/>
      </w:tcPr>
    </w:tblStylePr>
    <w:tblStylePr w:type="band2Horz">
      <w:tblPr/>
      <w:tcPr>
        <w:tcBorders>
          <w:top w:val="single" w:sz="8" w:space="0" w:color="FF8855" w:themeColor="accent5"/>
          <w:left w:val="single" w:sz="8" w:space="0" w:color="FF8855" w:themeColor="accent5"/>
          <w:bottom w:val="single" w:sz="8" w:space="0" w:color="FF8855" w:themeColor="accent5"/>
          <w:right w:val="single" w:sz="8" w:space="0" w:color="FF8855" w:themeColor="accent5"/>
          <w:insideV w:val="single" w:sz="8" w:space="0" w:color="FF8855" w:themeColor="accent5"/>
        </w:tcBorders>
      </w:tcPr>
    </w:tblStylePr>
  </w:style>
  <w:style w:type="table" w:styleId="LightGrid-Accent6">
    <w:name w:val="Light Grid Accent 6"/>
    <w:basedOn w:val="TableNormal"/>
    <w:uiPriority w:val="62"/>
    <w:unhideWhenUsed/>
    <w:rsid w:val="00920D86"/>
    <w:pPr>
      <w:spacing w:line="240" w:lineRule="auto"/>
    </w:pPr>
    <w:tblPr>
      <w:tblStyleRowBandSize w:val="1"/>
      <w:tblStyleColBandSize w:val="1"/>
      <w:tblBorders>
        <w:top w:val="single" w:sz="8" w:space="0" w:color="E3E1D8" w:themeColor="accent6"/>
        <w:left w:val="single" w:sz="8" w:space="0" w:color="E3E1D8" w:themeColor="accent6"/>
        <w:bottom w:val="single" w:sz="8" w:space="0" w:color="E3E1D8" w:themeColor="accent6"/>
        <w:right w:val="single" w:sz="8" w:space="0" w:color="E3E1D8" w:themeColor="accent6"/>
        <w:insideH w:val="single" w:sz="8" w:space="0" w:color="E3E1D8" w:themeColor="accent6"/>
        <w:insideV w:val="single" w:sz="8" w:space="0" w:color="E3E1D8"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3E1D8" w:themeColor="accent6"/>
          <w:left w:val="single" w:sz="8" w:space="0" w:color="E3E1D8" w:themeColor="accent6"/>
          <w:bottom w:val="single" w:sz="18" w:space="0" w:color="E3E1D8" w:themeColor="accent6"/>
          <w:right w:val="single" w:sz="8" w:space="0" w:color="E3E1D8" w:themeColor="accent6"/>
          <w:insideH w:val="nil"/>
          <w:insideV w:val="single" w:sz="8" w:space="0" w:color="E3E1D8"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3E1D8" w:themeColor="accent6"/>
          <w:left w:val="single" w:sz="8" w:space="0" w:color="E3E1D8" w:themeColor="accent6"/>
          <w:bottom w:val="single" w:sz="8" w:space="0" w:color="E3E1D8" w:themeColor="accent6"/>
          <w:right w:val="single" w:sz="8" w:space="0" w:color="E3E1D8" w:themeColor="accent6"/>
          <w:insideH w:val="nil"/>
          <w:insideV w:val="single" w:sz="8" w:space="0" w:color="E3E1D8"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3E1D8" w:themeColor="accent6"/>
          <w:left w:val="single" w:sz="8" w:space="0" w:color="E3E1D8" w:themeColor="accent6"/>
          <w:bottom w:val="single" w:sz="8" w:space="0" w:color="E3E1D8" w:themeColor="accent6"/>
          <w:right w:val="single" w:sz="8" w:space="0" w:color="E3E1D8" w:themeColor="accent6"/>
        </w:tcBorders>
      </w:tcPr>
    </w:tblStylePr>
    <w:tblStylePr w:type="band1Vert">
      <w:tblPr/>
      <w:tcPr>
        <w:tcBorders>
          <w:top w:val="single" w:sz="8" w:space="0" w:color="E3E1D8" w:themeColor="accent6"/>
          <w:left w:val="single" w:sz="8" w:space="0" w:color="E3E1D8" w:themeColor="accent6"/>
          <w:bottom w:val="single" w:sz="8" w:space="0" w:color="E3E1D8" w:themeColor="accent6"/>
          <w:right w:val="single" w:sz="8" w:space="0" w:color="E3E1D8" w:themeColor="accent6"/>
        </w:tcBorders>
        <w:shd w:val="clear" w:color="auto" w:fill="F8F7F5" w:themeFill="accent6" w:themeFillTint="3F"/>
      </w:tcPr>
    </w:tblStylePr>
    <w:tblStylePr w:type="band1Horz">
      <w:tblPr/>
      <w:tcPr>
        <w:tcBorders>
          <w:top w:val="single" w:sz="8" w:space="0" w:color="E3E1D8" w:themeColor="accent6"/>
          <w:left w:val="single" w:sz="8" w:space="0" w:color="E3E1D8" w:themeColor="accent6"/>
          <w:bottom w:val="single" w:sz="8" w:space="0" w:color="E3E1D8" w:themeColor="accent6"/>
          <w:right w:val="single" w:sz="8" w:space="0" w:color="E3E1D8" w:themeColor="accent6"/>
          <w:insideV w:val="single" w:sz="8" w:space="0" w:color="E3E1D8" w:themeColor="accent6"/>
        </w:tcBorders>
        <w:shd w:val="clear" w:color="auto" w:fill="F8F7F5" w:themeFill="accent6" w:themeFillTint="3F"/>
      </w:tcPr>
    </w:tblStylePr>
    <w:tblStylePr w:type="band2Horz">
      <w:tblPr/>
      <w:tcPr>
        <w:tcBorders>
          <w:top w:val="single" w:sz="8" w:space="0" w:color="E3E1D8" w:themeColor="accent6"/>
          <w:left w:val="single" w:sz="8" w:space="0" w:color="E3E1D8" w:themeColor="accent6"/>
          <w:bottom w:val="single" w:sz="8" w:space="0" w:color="E3E1D8" w:themeColor="accent6"/>
          <w:right w:val="single" w:sz="8" w:space="0" w:color="E3E1D8" w:themeColor="accent6"/>
          <w:insideV w:val="single" w:sz="8" w:space="0" w:color="E3E1D8" w:themeColor="accent6"/>
        </w:tcBorders>
      </w:tcPr>
    </w:tblStylePr>
  </w:style>
  <w:style w:type="table" w:styleId="LightList">
    <w:name w:val="Light List"/>
    <w:basedOn w:val="TableNormal"/>
    <w:uiPriority w:val="61"/>
    <w:unhideWhenUsed/>
    <w:rsid w:val="00920D86"/>
    <w:pPr>
      <w:spacing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unhideWhenUsed/>
    <w:rsid w:val="00920D86"/>
    <w:pPr>
      <w:spacing w:line="240" w:lineRule="auto"/>
    </w:pPr>
    <w:tblPr>
      <w:tblStyleRowBandSize w:val="1"/>
      <w:tblStyleColBandSize w:val="1"/>
      <w:tblBorders>
        <w:top w:val="single" w:sz="8" w:space="0" w:color="05326E" w:themeColor="accent1"/>
        <w:left w:val="single" w:sz="8" w:space="0" w:color="05326E" w:themeColor="accent1"/>
        <w:bottom w:val="single" w:sz="8" w:space="0" w:color="05326E" w:themeColor="accent1"/>
        <w:right w:val="single" w:sz="8" w:space="0" w:color="05326E" w:themeColor="accent1"/>
      </w:tblBorders>
    </w:tblPr>
    <w:tblStylePr w:type="firstRow">
      <w:pPr>
        <w:spacing w:before="0" w:after="0" w:line="240" w:lineRule="auto"/>
      </w:pPr>
      <w:rPr>
        <w:b/>
        <w:bCs/>
        <w:color w:val="FFFFFF" w:themeColor="background1"/>
      </w:rPr>
      <w:tblPr/>
      <w:tcPr>
        <w:shd w:val="clear" w:color="auto" w:fill="05326E" w:themeFill="accent1"/>
      </w:tcPr>
    </w:tblStylePr>
    <w:tblStylePr w:type="lastRow">
      <w:pPr>
        <w:spacing w:before="0" w:after="0" w:line="240" w:lineRule="auto"/>
      </w:pPr>
      <w:rPr>
        <w:b/>
        <w:bCs/>
      </w:rPr>
      <w:tblPr/>
      <w:tcPr>
        <w:tcBorders>
          <w:top w:val="double" w:sz="6" w:space="0" w:color="05326E" w:themeColor="accent1"/>
          <w:left w:val="single" w:sz="8" w:space="0" w:color="05326E" w:themeColor="accent1"/>
          <w:bottom w:val="single" w:sz="8" w:space="0" w:color="05326E" w:themeColor="accent1"/>
          <w:right w:val="single" w:sz="8" w:space="0" w:color="05326E" w:themeColor="accent1"/>
        </w:tcBorders>
      </w:tcPr>
    </w:tblStylePr>
    <w:tblStylePr w:type="firstCol">
      <w:rPr>
        <w:b/>
        <w:bCs/>
      </w:rPr>
    </w:tblStylePr>
    <w:tblStylePr w:type="lastCol">
      <w:rPr>
        <w:b/>
        <w:bCs/>
      </w:rPr>
    </w:tblStylePr>
    <w:tblStylePr w:type="band1Vert">
      <w:tblPr/>
      <w:tcPr>
        <w:tcBorders>
          <w:top w:val="single" w:sz="8" w:space="0" w:color="05326E" w:themeColor="accent1"/>
          <w:left w:val="single" w:sz="8" w:space="0" w:color="05326E" w:themeColor="accent1"/>
          <w:bottom w:val="single" w:sz="8" w:space="0" w:color="05326E" w:themeColor="accent1"/>
          <w:right w:val="single" w:sz="8" w:space="0" w:color="05326E" w:themeColor="accent1"/>
        </w:tcBorders>
      </w:tcPr>
    </w:tblStylePr>
    <w:tblStylePr w:type="band1Horz">
      <w:tblPr/>
      <w:tcPr>
        <w:tcBorders>
          <w:top w:val="single" w:sz="8" w:space="0" w:color="05326E" w:themeColor="accent1"/>
          <w:left w:val="single" w:sz="8" w:space="0" w:color="05326E" w:themeColor="accent1"/>
          <w:bottom w:val="single" w:sz="8" w:space="0" w:color="05326E" w:themeColor="accent1"/>
          <w:right w:val="single" w:sz="8" w:space="0" w:color="05326E" w:themeColor="accent1"/>
        </w:tcBorders>
      </w:tcPr>
    </w:tblStylePr>
  </w:style>
  <w:style w:type="table" w:styleId="LightList-Accent2">
    <w:name w:val="Light List Accent 2"/>
    <w:basedOn w:val="TableNormal"/>
    <w:uiPriority w:val="61"/>
    <w:unhideWhenUsed/>
    <w:rsid w:val="00920D86"/>
    <w:pPr>
      <w:spacing w:line="240" w:lineRule="auto"/>
    </w:pPr>
    <w:tblPr>
      <w:tblStyleRowBandSize w:val="1"/>
      <w:tblStyleColBandSize w:val="1"/>
      <w:tblBorders>
        <w:top w:val="single" w:sz="8" w:space="0" w:color="125A40" w:themeColor="accent2"/>
        <w:left w:val="single" w:sz="8" w:space="0" w:color="125A40" w:themeColor="accent2"/>
        <w:bottom w:val="single" w:sz="8" w:space="0" w:color="125A40" w:themeColor="accent2"/>
        <w:right w:val="single" w:sz="8" w:space="0" w:color="125A40" w:themeColor="accent2"/>
      </w:tblBorders>
    </w:tblPr>
    <w:tblStylePr w:type="firstRow">
      <w:pPr>
        <w:spacing w:before="0" w:after="0" w:line="240" w:lineRule="auto"/>
      </w:pPr>
      <w:rPr>
        <w:b/>
        <w:bCs/>
        <w:color w:val="FFFFFF" w:themeColor="background1"/>
      </w:rPr>
      <w:tblPr/>
      <w:tcPr>
        <w:shd w:val="clear" w:color="auto" w:fill="125A40" w:themeFill="accent2"/>
      </w:tcPr>
    </w:tblStylePr>
    <w:tblStylePr w:type="lastRow">
      <w:pPr>
        <w:spacing w:before="0" w:after="0" w:line="240" w:lineRule="auto"/>
      </w:pPr>
      <w:rPr>
        <w:b/>
        <w:bCs/>
      </w:rPr>
      <w:tblPr/>
      <w:tcPr>
        <w:tcBorders>
          <w:top w:val="double" w:sz="6" w:space="0" w:color="125A40" w:themeColor="accent2"/>
          <w:left w:val="single" w:sz="8" w:space="0" w:color="125A40" w:themeColor="accent2"/>
          <w:bottom w:val="single" w:sz="8" w:space="0" w:color="125A40" w:themeColor="accent2"/>
          <w:right w:val="single" w:sz="8" w:space="0" w:color="125A40" w:themeColor="accent2"/>
        </w:tcBorders>
      </w:tcPr>
    </w:tblStylePr>
    <w:tblStylePr w:type="firstCol">
      <w:rPr>
        <w:b/>
        <w:bCs/>
      </w:rPr>
    </w:tblStylePr>
    <w:tblStylePr w:type="lastCol">
      <w:rPr>
        <w:b/>
        <w:bCs/>
      </w:rPr>
    </w:tblStylePr>
    <w:tblStylePr w:type="band1Vert">
      <w:tblPr/>
      <w:tcPr>
        <w:tcBorders>
          <w:top w:val="single" w:sz="8" w:space="0" w:color="125A40" w:themeColor="accent2"/>
          <w:left w:val="single" w:sz="8" w:space="0" w:color="125A40" w:themeColor="accent2"/>
          <w:bottom w:val="single" w:sz="8" w:space="0" w:color="125A40" w:themeColor="accent2"/>
          <w:right w:val="single" w:sz="8" w:space="0" w:color="125A40" w:themeColor="accent2"/>
        </w:tcBorders>
      </w:tcPr>
    </w:tblStylePr>
    <w:tblStylePr w:type="band1Horz">
      <w:tblPr/>
      <w:tcPr>
        <w:tcBorders>
          <w:top w:val="single" w:sz="8" w:space="0" w:color="125A40" w:themeColor="accent2"/>
          <w:left w:val="single" w:sz="8" w:space="0" w:color="125A40" w:themeColor="accent2"/>
          <w:bottom w:val="single" w:sz="8" w:space="0" w:color="125A40" w:themeColor="accent2"/>
          <w:right w:val="single" w:sz="8" w:space="0" w:color="125A40" w:themeColor="accent2"/>
        </w:tcBorders>
      </w:tcPr>
    </w:tblStylePr>
  </w:style>
  <w:style w:type="table" w:styleId="LightList-Accent3">
    <w:name w:val="Light List Accent 3"/>
    <w:basedOn w:val="TableNormal"/>
    <w:uiPriority w:val="61"/>
    <w:unhideWhenUsed/>
    <w:rsid w:val="00920D86"/>
    <w:pPr>
      <w:spacing w:line="240" w:lineRule="auto"/>
    </w:pPr>
    <w:tblPr>
      <w:tblStyleRowBandSize w:val="1"/>
      <w:tblStyleColBandSize w:val="1"/>
      <w:tblBorders>
        <w:top w:val="single" w:sz="8" w:space="0" w:color="ADD095" w:themeColor="accent3"/>
        <w:left w:val="single" w:sz="8" w:space="0" w:color="ADD095" w:themeColor="accent3"/>
        <w:bottom w:val="single" w:sz="8" w:space="0" w:color="ADD095" w:themeColor="accent3"/>
        <w:right w:val="single" w:sz="8" w:space="0" w:color="ADD095" w:themeColor="accent3"/>
      </w:tblBorders>
    </w:tblPr>
    <w:tblStylePr w:type="firstRow">
      <w:pPr>
        <w:spacing w:before="0" w:after="0" w:line="240" w:lineRule="auto"/>
      </w:pPr>
      <w:rPr>
        <w:b/>
        <w:bCs/>
        <w:color w:val="FFFFFF" w:themeColor="background1"/>
      </w:rPr>
      <w:tblPr/>
      <w:tcPr>
        <w:shd w:val="clear" w:color="auto" w:fill="ADD095" w:themeFill="accent3"/>
      </w:tcPr>
    </w:tblStylePr>
    <w:tblStylePr w:type="lastRow">
      <w:pPr>
        <w:spacing w:before="0" w:after="0" w:line="240" w:lineRule="auto"/>
      </w:pPr>
      <w:rPr>
        <w:b/>
        <w:bCs/>
      </w:rPr>
      <w:tblPr/>
      <w:tcPr>
        <w:tcBorders>
          <w:top w:val="double" w:sz="6" w:space="0" w:color="ADD095" w:themeColor="accent3"/>
          <w:left w:val="single" w:sz="8" w:space="0" w:color="ADD095" w:themeColor="accent3"/>
          <w:bottom w:val="single" w:sz="8" w:space="0" w:color="ADD095" w:themeColor="accent3"/>
          <w:right w:val="single" w:sz="8" w:space="0" w:color="ADD095" w:themeColor="accent3"/>
        </w:tcBorders>
      </w:tcPr>
    </w:tblStylePr>
    <w:tblStylePr w:type="firstCol">
      <w:rPr>
        <w:b/>
        <w:bCs/>
      </w:rPr>
    </w:tblStylePr>
    <w:tblStylePr w:type="lastCol">
      <w:rPr>
        <w:b/>
        <w:bCs/>
      </w:rPr>
    </w:tblStylePr>
    <w:tblStylePr w:type="band1Vert">
      <w:tblPr/>
      <w:tcPr>
        <w:tcBorders>
          <w:top w:val="single" w:sz="8" w:space="0" w:color="ADD095" w:themeColor="accent3"/>
          <w:left w:val="single" w:sz="8" w:space="0" w:color="ADD095" w:themeColor="accent3"/>
          <w:bottom w:val="single" w:sz="8" w:space="0" w:color="ADD095" w:themeColor="accent3"/>
          <w:right w:val="single" w:sz="8" w:space="0" w:color="ADD095" w:themeColor="accent3"/>
        </w:tcBorders>
      </w:tcPr>
    </w:tblStylePr>
    <w:tblStylePr w:type="band1Horz">
      <w:tblPr/>
      <w:tcPr>
        <w:tcBorders>
          <w:top w:val="single" w:sz="8" w:space="0" w:color="ADD095" w:themeColor="accent3"/>
          <w:left w:val="single" w:sz="8" w:space="0" w:color="ADD095" w:themeColor="accent3"/>
          <w:bottom w:val="single" w:sz="8" w:space="0" w:color="ADD095" w:themeColor="accent3"/>
          <w:right w:val="single" w:sz="8" w:space="0" w:color="ADD095" w:themeColor="accent3"/>
        </w:tcBorders>
      </w:tcPr>
    </w:tblStylePr>
  </w:style>
  <w:style w:type="table" w:styleId="LightList-Accent4">
    <w:name w:val="Light List Accent 4"/>
    <w:basedOn w:val="TableNormal"/>
    <w:uiPriority w:val="61"/>
    <w:unhideWhenUsed/>
    <w:rsid w:val="00920D86"/>
    <w:pPr>
      <w:spacing w:line="240" w:lineRule="auto"/>
    </w:pPr>
    <w:tblPr>
      <w:tblStyleRowBandSize w:val="1"/>
      <w:tblStyleColBandSize w:val="1"/>
      <w:tblBorders>
        <w:top w:val="single" w:sz="8" w:space="0" w:color="62294B" w:themeColor="accent4"/>
        <w:left w:val="single" w:sz="8" w:space="0" w:color="62294B" w:themeColor="accent4"/>
        <w:bottom w:val="single" w:sz="8" w:space="0" w:color="62294B" w:themeColor="accent4"/>
        <w:right w:val="single" w:sz="8" w:space="0" w:color="62294B" w:themeColor="accent4"/>
      </w:tblBorders>
    </w:tblPr>
    <w:tblStylePr w:type="firstRow">
      <w:pPr>
        <w:spacing w:before="0" w:after="0" w:line="240" w:lineRule="auto"/>
      </w:pPr>
      <w:rPr>
        <w:b/>
        <w:bCs/>
        <w:color w:val="FFFFFF" w:themeColor="background1"/>
      </w:rPr>
      <w:tblPr/>
      <w:tcPr>
        <w:shd w:val="clear" w:color="auto" w:fill="62294B" w:themeFill="accent4"/>
      </w:tcPr>
    </w:tblStylePr>
    <w:tblStylePr w:type="lastRow">
      <w:pPr>
        <w:spacing w:before="0" w:after="0" w:line="240" w:lineRule="auto"/>
      </w:pPr>
      <w:rPr>
        <w:b/>
        <w:bCs/>
      </w:rPr>
      <w:tblPr/>
      <w:tcPr>
        <w:tcBorders>
          <w:top w:val="double" w:sz="6" w:space="0" w:color="62294B" w:themeColor="accent4"/>
          <w:left w:val="single" w:sz="8" w:space="0" w:color="62294B" w:themeColor="accent4"/>
          <w:bottom w:val="single" w:sz="8" w:space="0" w:color="62294B" w:themeColor="accent4"/>
          <w:right w:val="single" w:sz="8" w:space="0" w:color="62294B" w:themeColor="accent4"/>
        </w:tcBorders>
      </w:tcPr>
    </w:tblStylePr>
    <w:tblStylePr w:type="firstCol">
      <w:rPr>
        <w:b/>
        <w:bCs/>
      </w:rPr>
    </w:tblStylePr>
    <w:tblStylePr w:type="lastCol">
      <w:rPr>
        <w:b/>
        <w:bCs/>
      </w:rPr>
    </w:tblStylePr>
    <w:tblStylePr w:type="band1Vert">
      <w:tblPr/>
      <w:tcPr>
        <w:tcBorders>
          <w:top w:val="single" w:sz="8" w:space="0" w:color="62294B" w:themeColor="accent4"/>
          <w:left w:val="single" w:sz="8" w:space="0" w:color="62294B" w:themeColor="accent4"/>
          <w:bottom w:val="single" w:sz="8" w:space="0" w:color="62294B" w:themeColor="accent4"/>
          <w:right w:val="single" w:sz="8" w:space="0" w:color="62294B" w:themeColor="accent4"/>
        </w:tcBorders>
      </w:tcPr>
    </w:tblStylePr>
    <w:tblStylePr w:type="band1Horz">
      <w:tblPr/>
      <w:tcPr>
        <w:tcBorders>
          <w:top w:val="single" w:sz="8" w:space="0" w:color="62294B" w:themeColor="accent4"/>
          <w:left w:val="single" w:sz="8" w:space="0" w:color="62294B" w:themeColor="accent4"/>
          <w:bottom w:val="single" w:sz="8" w:space="0" w:color="62294B" w:themeColor="accent4"/>
          <w:right w:val="single" w:sz="8" w:space="0" w:color="62294B" w:themeColor="accent4"/>
        </w:tcBorders>
      </w:tcPr>
    </w:tblStylePr>
  </w:style>
  <w:style w:type="table" w:styleId="LightList-Accent5">
    <w:name w:val="Light List Accent 5"/>
    <w:basedOn w:val="TableNormal"/>
    <w:uiPriority w:val="61"/>
    <w:unhideWhenUsed/>
    <w:rsid w:val="00920D86"/>
    <w:pPr>
      <w:spacing w:line="240" w:lineRule="auto"/>
    </w:pPr>
    <w:tblPr>
      <w:tblStyleRowBandSize w:val="1"/>
      <w:tblStyleColBandSize w:val="1"/>
      <w:tblBorders>
        <w:top w:val="single" w:sz="8" w:space="0" w:color="FF8855" w:themeColor="accent5"/>
        <w:left w:val="single" w:sz="8" w:space="0" w:color="FF8855" w:themeColor="accent5"/>
        <w:bottom w:val="single" w:sz="8" w:space="0" w:color="FF8855" w:themeColor="accent5"/>
        <w:right w:val="single" w:sz="8" w:space="0" w:color="FF8855" w:themeColor="accent5"/>
      </w:tblBorders>
    </w:tblPr>
    <w:tblStylePr w:type="firstRow">
      <w:pPr>
        <w:spacing w:before="0" w:after="0" w:line="240" w:lineRule="auto"/>
      </w:pPr>
      <w:rPr>
        <w:b/>
        <w:bCs/>
        <w:color w:val="FFFFFF" w:themeColor="background1"/>
      </w:rPr>
      <w:tblPr/>
      <w:tcPr>
        <w:shd w:val="clear" w:color="auto" w:fill="FF8855" w:themeFill="accent5"/>
      </w:tcPr>
    </w:tblStylePr>
    <w:tblStylePr w:type="lastRow">
      <w:pPr>
        <w:spacing w:before="0" w:after="0" w:line="240" w:lineRule="auto"/>
      </w:pPr>
      <w:rPr>
        <w:b/>
        <w:bCs/>
      </w:rPr>
      <w:tblPr/>
      <w:tcPr>
        <w:tcBorders>
          <w:top w:val="double" w:sz="6" w:space="0" w:color="FF8855" w:themeColor="accent5"/>
          <w:left w:val="single" w:sz="8" w:space="0" w:color="FF8855" w:themeColor="accent5"/>
          <w:bottom w:val="single" w:sz="8" w:space="0" w:color="FF8855" w:themeColor="accent5"/>
          <w:right w:val="single" w:sz="8" w:space="0" w:color="FF8855" w:themeColor="accent5"/>
        </w:tcBorders>
      </w:tcPr>
    </w:tblStylePr>
    <w:tblStylePr w:type="firstCol">
      <w:rPr>
        <w:b/>
        <w:bCs/>
      </w:rPr>
    </w:tblStylePr>
    <w:tblStylePr w:type="lastCol">
      <w:rPr>
        <w:b/>
        <w:bCs/>
      </w:rPr>
    </w:tblStylePr>
    <w:tblStylePr w:type="band1Vert">
      <w:tblPr/>
      <w:tcPr>
        <w:tcBorders>
          <w:top w:val="single" w:sz="8" w:space="0" w:color="FF8855" w:themeColor="accent5"/>
          <w:left w:val="single" w:sz="8" w:space="0" w:color="FF8855" w:themeColor="accent5"/>
          <w:bottom w:val="single" w:sz="8" w:space="0" w:color="FF8855" w:themeColor="accent5"/>
          <w:right w:val="single" w:sz="8" w:space="0" w:color="FF8855" w:themeColor="accent5"/>
        </w:tcBorders>
      </w:tcPr>
    </w:tblStylePr>
    <w:tblStylePr w:type="band1Horz">
      <w:tblPr/>
      <w:tcPr>
        <w:tcBorders>
          <w:top w:val="single" w:sz="8" w:space="0" w:color="FF8855" w:themeColor="accent5"/>
          <w:left w:val="single" w:sz="8" w:space="0" w:color="FF8855" w:themeColor="accent5"/>
          <w:bottom w:val="single" w:sz="8" w:space="0" w:color="FF8855" w:themeColor="accent5"/>
          <w:right w:val="single" w:sz="8" w:space="0" w:color="FF8855" w:themeColor="accent5"/>
        </w:tcBorders>
      </w:tcPr>
    </w:tblStylePr>
  </w:style>
  <w:style w:type="table" w:styleId="LightList-Accent6">
    <w:name w:val="Light List Accent 6"/>
    <w:basedOn w:val="TableNormal"/>
    <w:uiPriority w:val="61"/>
    <w:unhideWhenUsed/>
    <w:rsid w:val="00920D86"/>
    <w:pPr>
      <w:spacing w:line="240" w:lineRule="auto"/>
    </w:pPr>
    <w:tblPr>
      <w:tblStyleRowBandSize w:val="1"/>
      <w:tblStyleColBandSize w:val="1"/>
      <w:tblBorders>
        <w:top w:val="single" w:sz="8" w:space="0" w:color="E3E1D8" w:themeColor="accent6"/>
        <w:left w:val="single" w:sz="8" w:space="0" w:color="E3E1D8" w:themeColor="accent6"/>
        <w:bottom w:val="single" w:sz="8" w:space="0" w:color="E3E1D8" w:themeColor="accent6"/>
        <w:right w:val="single" w:sz="8" w:space="0" w:color="E3E1D8" w:themeColor="accent6"/>
      </w:tblBorders>
    </w:tblPr>
    <w:tblStylePr w:type="firstRow">
      <w:pPr>
        <w:spacing w:before="0" w:after="0" w:line="240" w:lineRule="auto"/>
      </w:pPr>
      <w:rPr>
        <w:b/>
        <w:bCs/>
        <w:color w:val="FFFFFF" w:themeColor="background1"/>
      </w:rPr>
      <w:tblPr/>
      <w:tcPr>
        <w:shd w:val="clear" w:color="auto" w:fill="E3E1D8" w:themeFill="accent6"/>
      </w:tcPr>
    </w:tblStylePr>
    <w:tblStylePr w:type="lastRow">
      <w:pPr>
        <w:spacing w:before="0" w:after="0" w:line="240" w:lineRule="auto"/>
      </w:pPr>
      <w:rPr>
        <w:b/>
        <w:bCs/>
      </w:rPr>
      <w:tblPr/>
      <w:tcPr>
        <w:tcBorders>
          <w:top w:val="double" w:sz="6" w:space="0" w:color="E3E1D8" w:themeColor="accent6"/>
          <w:left w:val="single" w:sz="8" w:space="0" w:color="E3E1D8" w:themeColor="accent6"/>
          <w:bottom w:val="single" w:sz="8" w:space="0" w:color="E3E1D8" w:themeColor="accent6"/>
          <w:right w:val="single" w:sz="8" w:space="0" w:color="E3E1D8" w:themeColor="accent6"/>
        </w:tcBorders>
      </w:tcPr>
    </w:tblStylePr>
    <w:tblStylePr w:type="firstCol">
      <w:rPr>
        <w:b/>
        <w:bCs/>
      </w:rPr>
    </w:tblStylePr>
    <w:tblStylePr w:type="lastCol">
      <w:rPr>
        <w:b/>
        <w:bCs/>
      </w:rPr>
    </w:tblStylePr>
    <w:tblStylePr w:type="band1Vert">
      <w:tblPr/>
      <w:tcPr>
        <w:tcBorders>
          <w:top w:val="single" w:sz="8" w:space="0" w:color="E3E1D8" w:themeColor="accent6"/>
          <w:left w:val="single" w:sz="8" w:space="0" w:color="E3E1D8" w:themeColor="accent6"/>
          <w:bottom w:val="single" w:sz="8" w:space="0" w:color="E3E1D8" w:themeColor="accent6"/>
          <w:right w:val="single" w:sz="8" w:space="0" w:color="E3E1D8" w:themeColor="accent6"/>
        </w:tcBorders>
      </w:tcPr>
    </w:tblStylePr>
    <w:tblStylePr w:type="band1Horz">
      <w:tblPr/>
      <w:tcPr>
        <w:tcBorders>
          <w:top w:val="single" w:sz="8" w:space="0" w:color="E3E1D8" w:themeColor="accent6"/>
          <w:left w:val="single" w:sz="8" w:space="0" w:color="E3E1D8" w:themeColor="accent6"/>
          <w:bottom w:val="single" w:sz="8" w:space="0" w:color="E3E1D8" w:themeColor="accent6"/>
          <w:right w:val="single" w:sz="8" w:space="0" w:color="E3E1D8" w:themeColor="accent6"/>
        </w:tcBorders>
      </w:tcPr>
    </w:tblStylePr>
  </w:style>
  <w:style w:type="table" w:styleId="LightShading">
    <w:name w:val="Light Shading"/>
    <w:basedOn w:val="TableNormal"/>
    <w:uiPriority w:val="60"/>
    <w:unhideWhenUsed/>
    <w:rsid w:val="00920D86"/>
    <w:pPr>
      <w:spacing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unhideWhenUsed/>
    <w:rsid w:val="00920D86"/>
    <w:pPr>
      <w:spacing w:line="240" w:lineRule="auto"/>
    </w:pPr>
    <w:rPr>
      <w:color w:val="032552" w:themeColor="accent1" w:themeShade="BF"/>
    </w:rPr>
    <w:tblPr>
      <w:tblStyleRowBandSize w:val="1"/>
      <w:tblStyleColBandSize w:val="1"/>
      <w:tblBorders>
        <w:top w:val="single" w:sz="8" w:space="0" w:color="05326E" w:themeColor="accent1"/>
        <w:bottom w:val="single" w:sz="8" w:space="0" w:color="05326E" w:themeColor="accent1"/>
      </w:tblBorders>
    </w:tblPr>
    <w:tblStylePr w:type="firstRow">
      <w:pPr>
        <w:spacing w:before="0" w:after="0" w:line="240" w:lineRule="auto"/>
      </w:pPr>
      <w:rPr>
        <w:b/>
        <w:bCs/>
      </w:rPr>
      <w:tblPr/>
      <w:tcPr>
        <w:tcBorders>
          <w:top w:val="single" w:sz="8" w:space="0" w:color="05326E" w:themeColor="accent1"/>
          <w:left w:val="nil"/>
          <w:bottom w:val="single" w:sz="8" w:space="0" w:color="05326E" w:themeColor="accent1"/>
          <w:right w:val="nil"/>
          <w:insideH w:val="nil"/>
          <w:insideV w:val="nil"/>
        </w:tcBorders>
      </w:tcPr>
    </w:tblStylePr>
    <w:tblStylePr w:type="lastRow">
      <w:pPr>
        <w:spacing w:before="0" w:after="0" w:line="240" w:lineRule="auto"/>
      </w:pPr>
      <w:rPr>
        <w:b/>
        <w:bCs/>
      </w:rPr>
      <w:tblPr/>
      <w:tcPr>
        <w:tcBorders>
          <w:top w:val="single" w:sz="8" w:space="0" w:color="05326E" w:themeColor="accent1"/>
          <w:left w:val="nil"/>
          <w:bottom w:val="single" w:sz="8" w:space="0" w:color="05326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1C7FA" w:themeFill="accent1" w:themeFillTint="3F"/>
      </w:tcPr>
    </w:tblStylePr>
    <w:tblStylePr w:type="band1Horz">
      <w:tblPr/>
      <w:tcPr>
        <w:tcBorders>
          <w:left w:val="nil"/>
          <w:right w:val="nil"/>
          <w:insideH w:val="nil"/>
          <w:insideV w:val="nil"/>
        </w:tcBorders>
        <w:shd w:val="clear" w:color="auto" w:fill="A1C7FA" w:themeFill="accent1" w:themeFillTint="3F"/>
      </w:tcPr>
    </w:tblStylePr>
  </w:style>
  <w:style w:type="table" w:styleId="LightShading-Accent2">
    <w:name w:val="Light Shading Accent 2"/>
    <w:basedOn w:val="TableNormal"/>
    <w:uiPriority w:val="60"/>
    <w:unhideWhenUsed/>
    <w:rsid w:val="00920D86"/>
    <w:pPr>
      <w:spacing w:line="240" w:lineRule="auto"/>
    </w:pPr>
    <w:rPr>
      <w:color w:val="0D432F" w:themeColor="accent2" w:themeShade="BF"/>
    </w:rPr>
    <w:tblPr>
      <w:tblStyleRowBandSize w:val="1"/>
      <w:tblStyleColBandSize w:val="1"/>
      <w:tblBorders>
        <w:top w:val="single" w:sz="8" w:space="0" w:color="125A40" w:themeColor="accent2"/>
        <w:bottom w:val="single" w:sz="8" w:space="0" w:color="125A40" w:themeColor="accent2"/>
      </w:tblBorders>
    </w:tblPr>
    <w:tblStylePr w:type="firstRow">
      <w:pPr>
        <w:spacing w:before="0" w:after="0" w:line="240" w:lineRule="auto"/>
      </w:pPr>
      <w:rPr>
        <w:b/>
        <w:bCs/>
      </w:rPr>
      <w:tblPr/>
      <w:tcPr>
        <w:tcBorders>
          <w:top w:val="single" w:sz="8" w:space="0" w:color="125A40" w:themeColor="accent2"/>
          <w:left w:val="nil"/>
          <w:bottom w:val="single" w:sz="8" w:space="0" w:color="125A40" w:themeColor="accent2"/>
          <w:right w:val="nil"/>
          <w:insideH w:val="nil"/>
          <w:insideV w:val="nil"/>
        </w:tcBorders>
      </w:tcPr>
    </w:tblStylePr>
    <w:tblStylePr w:type="lastRow">
      <w:pPr>
        <w:spacing w:before="0" w:after="0" w:line="240" w:lineRule="auto"/>
      </w:pPr>
      <w:rPr>
        <w:b/>
        <w:bCs/>
      </w:rPr>
      <w:tblPr/>
      <w:tcPr>
        <w:tcBorders>
          <w:top w:val="single" w:sz="8" w:space="0" w:color="125A40" w:themeColor="accent2"/>
          <w:left w:val="nil"/>
          <w:bottom w:val="single" w:sz="8" w:space="0" w:color="125A4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CEED6" w:themeFill="accent2" w:themeFillTint="3F"/>
      </w:tcPr>
    </w:tblStylePr>
    <w:tblStylePr w:type="band1Horz">
      <w:tblPr/>
      <w:tcPr>
        <w:tcBorders>
          <w:left w:val="nil"/>
          <w:right w:val="nil"/>
          <w:insideH w:val="nil"/>
          <w:insideV w:val="nil"/>
        </w:tcBorders>
        <w:shd w:val="clear" w:color="auto" w:fill="ACEED6" w:themeFill="accent2" w:themeFillTint="3F"/>
      </w:tcPr>
    </w:tblStylePr>
  </w:style>
  <w:style w:type="table" w:styleId="LightShading-Accent3">
    <w:name w:val="Light Shading Accent 3"/>
    <w:basedOn w:val="TableNormal"/>
    <w:uiPriority w:val="60"/>
    <w:unhideWhenUsed/>
    <w:rsid w:val="00920D86"/>
    <w:pPr>
      <w:spacing w:line="240" w:lineRule="auto"/>
    </w:pPr>
    <w:rPr>
      <w:color w:val="7CB456" w:themeColor="accent3" w:themeShade="BF"/>
    </w:rPr>
    <w:tblPr>
      <w:tblStyleRowBandSize w:val="1"/>
      <w:tblStyleColBandSize w:val="1"/>
      <w:tblBorders>
        <w:top w:val="single" w:sz="8" w:space="0" w:color="ADD095" w:themeColor="accent3"/>
        <w:bottom w:val="single" w:sz="8" w:space="0" w:color="ADD095" w:themeColor="accent3"/>
      </w:tblBorders>
    </w:tblPr>
    <w:tblStylePr w:type="firstRow">
      <w:pPr>
        <w:spacing w:before="0" w:after="0" w:line="240" w:lineRule="auto"/>
      </w:pPr>
      <w:rPr>
        <w:b/>
        <w:bCs/>
      </w:rPr>
      <w:tblPr/>
      <w:tcPr>
        <w:tcBorders>
          <w:top w:val="single" w:sz="8" w:space="0" w:color="ADD095" w:themeColor="accent3"/>
          <w:left w:val="nil"/>
          <w:bottom w:val="single" w:sz="8" w:space="0" w:color="ADD095" w:themeColor="accent3"/>
          <w:right w:val="nil"/>
          <w:insideH w:val="nil"/>
          <w:insideV w:val="nil"/>
        </w:tcBorders>
      </w:tcPr>
    </w:tblStylePr>
    <w:tblStylePr w:type="lastRow">
      <w:pPr>
        <w:spacing w:before="0" w:after="0" w:line="240" w:lineRule="auto"/>
      </w:pPr>
      <w:rPr>
        <w:b/>
        <w:bCs/>
      </w:rPr>
      <w:tblPr/>
      <w:tcPr>
        <w:tcBorders>
          <w:top w:val="single" w:sz="8" w:space="0" w:color="ADD095" w:themeColor="accent3"/>
          <w:left w:val="nil"/>
          <w:bottom w:val="single" w:sz="8" w:space="0" w:color="ADD09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AF3E4" w:themeFill="accent3" w:themeFillTint="3F"/>
      </w:tcPr>
    </w:tblStylePr>
    <w:tblStylePr w:type="band1Horz">
      <w:tblPr/>
      <w:tcPr>
        <w:tcBorders>
          <w:left w:val="nil"/>
          <w:right w:val="nil"/>
          <w:insideH w:val="nil"/>
          <w:insideV w:val="nil"/>
        </w:tcBorders>
        <w:shd w:val="clear" w:color="auto" w:fill="EAF3E4" w:themeFill="accent3" w:themeFillTint="3F"/>
      </w:tcPr>
    </w:tblStylePr>
  </w:style>
  <w:style w:type="table" w:styleId="LightShading-Accent4">
    <w:name w:val="Light Shading Accent 4"/>
    <w:basedOn w:val="TableNormal"/>
    <w:uiPriority w:val="60"/>
    <w:unhideWhenUsed/>
    <w:rsid w:val="00920D86"/>
    <w:pPr>
      <w:spacing w:line="240" w:lineRule="auto"/>
    </w:pPr>
    <w:rPr>
      <w:color w:val="491E38" w:themeColor="accent4" w:themeShade="BF"/>
    </w:rPr>
    <w:tblPr>
      <w:tblStyleRowBandSize w:val="1"/>
      <w:tblStyleColBandSize w:val="1"/>
      <w:tblBorders>
        <w:top w:val="single" w:sz="8" w:space="0" w:color="62294B" w:themeColor="accent4"/>
        <w:bottom w:val="single" w:sz="8" w:space="0" w:color="62294B" w:themeColor="accent4"/>
      </w:tblBorders>
    </w:tblPr>
    <w:tblStylePr w:type="firstRow">
      <w:pPr>
        <w:spacing w:before="0" w:after="0" w:line="240" w:lineRule="auto"/>
      </w:pPr>
      <w:rPr>
        <w:b/>
        <w:bCs/>
      </w:rPr>
      <w:tblPr/>
      <w:tcPr>
        <w:tcBorders>
          <w:top w:val="single" w:sz="8" w:space="0" w:color="62294B" w:themeColor="accent4"/>
          <w:left w:val="nil"/>
          <w:bottom w:val="single" w:sz="8" w:space="0" w:color="62294B" w:themeColor="accent4"/>
          <w:right w:val="nil"/>
          <w:insideH w:val="nil"/>
          <w:insideV w:val="nil"/>
        </w:tcBorders>
      </w:tcPr>
    </w:tblStylePr>
    <w:tblStylePr w:type="lastRow">
      <w:pPr>
        <w:spacing w:before="0" w:after="0" w:line="240" w:lineRule="auto"/>
      </w:pPr>
      <w:rPr>
        <w:b/>
        <w:bCs/>
      </w:rPr>
      <w:tblPr/>
      <w:tcPr>
        <w:tcBorders>
          <w:top w:val="single" w:sz="8" w:space="0" w:color="62294B" w:themeColor="accent4"/>
          <w:left w:val="nil"/>
          <w:bottom w:val="single" w:sz="8" w:space="0" w:color="62294B"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4BED4" w:themeFill="accent4" w:themeFillTint="3F"/>
      </w:tcPr>
    </w:tblStylePr>
    <w:tblStylePr w:type="band1Horz">
      <w:tblPr/>
      <w:tcPr>
        <w:tcBorders>
          <w:left w:val="nil"/>
          <w:right w:val="nil"/>
          <w:insideH w:val="nil"/>
          <w:insideV w:val="nil"/>
        </w:tcBorders>
        <w:shd w:val="clear" w:color="auto" w:fill="E4BED4" w:themeFill="accent4" w:themeFillTint="3F"/>
      </w:tcPr>
    </w:tblStylePr>
  </w:style>
  <w:style w:type="table" w:styleId="LightShading-Accent5">
    <w:name w:val="Light Shading Accent 5"/>
    <w:basedOn w:val="TableNormal"/>
    <w:uiPriority w:val="60"/>
    <w:unhideWhenUsed/>
    <w:rsid w:val="00920D86"/>
    <w:pPr>
      <w:spacing w:line="240" w:lineRule="auto"/>
    </w:pPr>
    <w:rPr>
      <w:color w:val="FE4B00" w:themeColor="accent5" w:themeShade="BF"/>
    </w:rPr>
    <w:tblPr>
      <w:tblStyleRowBandSize w:val="1"/>
      <w:tblStyleColBandSize w:val="1"/>
      <w:tblBorders>
        <w:top w:val="single" w:sz="8" w:space="0" w:color="FF8855" w:themeColor="accent5"/>
        <w:bottom w:val="single" w:sz="8" w:space="0" w:color="FF8855" w:themeColor="accent5"/>
      </w:tblBorders>
    </w:tblPr>
    <w:tblStylePr w:type="firstRow">
      <w:pPr>
        <w:spacing w:before="0" w:after="0" w:line="240" w:lineRule="auto"/>
      </w:pPr>
      <w:rPr>
        <w:b/>
        <w:bCs/>
      </w:rPr>
      <w:tblPr/>
      <w:tcPr>
        <w:tcBorders>
          <w:top w:val="single" w:sz="8" w:space="0" w:color="FF8855" w:themeColor="accent5"/>
          <w:left w:val="nil"/>
          <w:bottom w:val="single" w:sz="8" w:space="0" w:color="FF8855" w:themeColor="accent5"/>
          <w:right w:val="nil"/>
          <w:insideH w:val="nil"/>
          <w:insideV w:val="nil"/>
        </w:tcBorders>
      </w:tcPr>
    </w:tblStylePr>
    <w:tblStylePr w:type="lastRow">
      <w:pPr>
        <w:spacing w:before="0" w:after="0" w:line="240" w:lineRule="auto"/>
      </w:pPr>
      <w:rPr>
        <w:b/>
        <w:bCs/>
      </w:rPr>
      <w:tblPr/>
      <w:tcPr>
        <w:tcBorders>
          <w:top w:val="single" w:sz="8" w:space="0" w:color="FF8855" w:themeColor="accent5"/>
          <w:left w:val="nil"/>
          <w:bottom w:val="single" w:sz="8" w:space="0" w:color="FF885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1D5" w:themeFill="accent5" w:themeFillTint="3F"/>
      </w:tcPr>
    </w:tblStylePr>
    <w:tblStylePr w:type="band1Horz">
      <w:tblPr/>
      <w:tcPr>
        <w:tcBorders>
          <w:left w:val="nil"/>
          <w:right w:val="nil"/>
          <w:insideH w:val="nil"/>
          <w:insideV w:val="nil"/>
        </w:tcBorders>
        <w:shd w:val="clear" w:color="auto" w:fill="FFE1D5" w:themeFill="accent5" w:themeFillTint="3F"/>
      </w:tcPr>
    </w:tblStylePr>
  </w:style>
  <w:style w:type="table" w:styleId="LightShading-Accent6">
    <w:name w:val="Light Shading Accent 6"/>
    <w:basedOn w:val="TableNormal"/>
    <w:uiPriority w:val="60"/>
    <w:unhideWhenUsed/>
    <w:rsid w:val="00920D86"/>
    <w:pPr>
      <w:spacing w:line="240" w:lineRule="auto"/>
    </w:pPr>
    <w:rPr>
      <w:color w:val="B4AF97" w:themeColor="accent6" w:themeShade="BF"/>
    </w:rPr>
    <w:tblPr>
      <w:tblStyleRowBandSize w:val="1"/>
      <w:tblStyleColBandSize w:val="1"/>
      <w:tblBorders>
        <w:top w:val="single" w:sz="8" w:space="0" w:color="E3E1D8" w:themeColor="accent6"/>
        <w:bottom w:val="single" w:sz="8" w:space="0" w:color="E3E1D8" w:themeColor="accent6"/>
      </w:tblBorders>
    </w:tblPr>
    <w:tblStylePr w:type="firstRow">
      <w:pPr>
        <w:spacing w:before="0" w:after="0" w:line="240" w:lineRule="auto"/>
      </w:pPr>
      <w:rPr>
        <w:b/>
        <w:bCs/>
      </w:rPr>
      <w:tblPr/>
      <w:tcPr>
        <w:tcBorders>
          <w:top w:val="single" w:sz="8" w:space="0" w:color="E3E1D8" w:themeColor="accent6"/>
          <w:left w:val="nil"/>
          <w:bottom w:val="single" w:sz="8" w:space="0" w:color="E3E1D8" w:themeColor="accent6"/>
          <w:right w:val="nil"/>
          <w:insideH w:val="nil"/>
          <w:insideV w:val="nil"/>
        </w:tcBorders>
      </w:tcPr>
    </w:tblStylePr>
    <w:tblStylePr w:type="lastRow">
      <w:pPr>
        <w:spacing w:before="0" w:after="0" w:line="240" w:lineRule="auto"/>
      </w:pPr>
      <w:rPr>
        <w:b/>
        <w:bCs/>
      </w:rPr>
      <w:tblPr/>
      <w:tcPr>
        <w:tcBorders>
          <w:top w:val="single" w:sz="8" w:space="0" w:color="E3E1D8" w:themeColor="accent6"/>
          <w:left w:val="nil"/>
          <w:bottom w:val="single" w:sz="8" w:space="0" w:color="E3E1D8"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8F7F5" w:themeFill="accent6" w:themeFillTint="3F"/>
      </w:tcPr>
    </w:tblStylePr>
    <w:tblStylePr w:type="band1Horz">
      <w:tblPr/>
      <w:tcPr>
        <w:tcBorders>
          <w:left w:val="nil"/>
          <w:right w:val="nil"/>
          <w:insideH w:val="nil"/>
          <w:insideV w:val="nil"/>
        </w:tcBorders>
        <w:shd w:val="clear" w:color="auto" w:fill="F8F7F5" w:themeFill="accent6" w:themeFillTint="3F"/>
      </w:tcPr>
    </w:tblStylePr>
  </w:style>
  <w:style w:type="character" w:styleId="LineNumber">
    <w:name w:val="line number"/>
    <w:basedOn w:val="DefaultParagraphFont"/>
    <w:uiPriority w:val="99"/>
    <w:rsid w:val="00920D86"/>
    <w:rPr>
      <w:lang w:val="en-US"/>
    </w:rPr>
  </w:style>
  <w:style w:type="paragraph" w:styleId="List">
    <w:name w:val="List"/>
    <w:basedOn w:val="Normal"/>
    <w:uiPriority w:val="99"/>
    <w:rsid w:val="00920D86"/>
    <w:pPr>
      <w:ind w:left="283" w:hanging="283"/>
      <w:contextualSpacing/>
    </w:pPr>
  </w:style>
  <w:style w:type="paragraph" w:styleId="List2">
    <w:name w:val="List 2"/>
    <w:aliases w:val="BULLET 1"/>
    <w:basedOn w:val="Normal"/>
    <w:link w:val="List2Char"/>
    <w:uiPriority w:val="99"/>
    <w:rsid w:val="00920D86"/>
    <w:pPr>
      <w:ind w:left="566" w:hanging="283"/>
      <w:contextualSpacing/>
    </w:pPr>
  </w:style>
  <w:style w:type="paragraph" w:styleId="List3">
    <w:name w:val="List 3"/>
    <w:basedOn w:val="Normal"/>
    <w:uiPriority w:val="99"/>
    <w:rsid w:val="00920D86"/>
    <w:pPr>
      <w:ind w:left="849" w:hanging="283"/>
      <w:contextualSpacing/>
    </w:pPr>
  </w:style>
  <w:style w:type="paragraph" w:styleId="List4">
    <w:name w:val="List 4"/>
    <w:basedOn w:val="Normal"/>
    <w:uiPriority w:val="99"/>
    <w:rsid w:val="00920D86"/>
    <w:pPr>
      <w:ind w:left="1132" w:hanging="283"/>
      <w:contextualSpacing/>
    </w:pPr>
  </w:style>
  <w:style w:type="paragraph" w:styleId="List5">
    <w:name w:val="List 5"/>
    <w:basedOn w:val="Normal"/>
    <w:uiPriority w:val="99"/>
    <w:rsid w:val="00920D86"/>
    <w:pPr>
      <w:ind w:left="1415" w:hanging="283"/>
      <w:contextualSpacing/>
    </w:pPr>
  </w:style>
  <w:style w:type="paragraph" w:styleId="ListBullet2">
    <w:name w:val="List Bullet 2"/>
    <w:basedOn w:val="Normal"/>
    <w:uiPriority w:val="99"/>
    <w:rsid w:val="00920D86"/>
    <w:pPr>
      <w:tabs>
        <w:tab w:val="num" w:pos="643"/>
      </w:tabs>
      <w:ind w:left="643" w:hanging="360"/>
      <w:contextualSpacing/>
    </w:pPr>
  </w:style>
  <w:style w:type="paragraph" w:styleId="ListBullet3">
    <w:name w:val="List Bullet 3"/>
    <w:basedOn w:val="Normal"/>
    <w:uiPriority w:val="99"/>
    <w:rsid w:val="00920D86"/>
    <w:pPr>
      <w:numPr>
        <w:numId w:val="5"/>
      </w:numPr>
      <w:contextualSpacing/>
    </w:pPr>
  </w:style>
  <w:style w:type="paragraph" w:styleId="ListBullet4">
    <w:name w:val="List Bullet 4"/>
    <w:basedOn w:val="Normal"/>
    <w:uiPriority w:val="99"/>
    <w:rsid w:val="00920D86"/>
    <w:pPr>
      <w:numPr>
        <w:numId w:val="6"/>
      </w:numPr>
      <w:contextualSpacing/>
    </w:pPr>
  </w:style>
  <w:style w:type="paragraph" w:styleId="ListBullet5">
    <w:name w:val="List Bullet 5"/>
    <w:basedOn w:val="Normal"/>
    <w:uiPriority w:val="99"/>
    <w:rsid w:val="00920D86"/>
    <w:pPr>
      <w:numPr>
        <w:numId w:val="7"/>
      </w:numPr>
      <w:contextualSpacing/>
    </w:pPr>
  </w:style>
  <w:style w:type="paragraph" w:styleId="ListContinue">
    <w:name w:val="List Continue"/>
    <w:basedOn w:val="Normal"/>
    <w:uiPriority w:val="99"/>
    <w:rsid w:val="00920D86"/>
    <w:pPr>
      <w:spacing w:after="120"/>
      <w:ind w:left="283"/>
      <w:contextualSpacing/>
    </w:pPr>
  </w:style>
  <w:style w:type="paragraph" w:styleId="ListContinue2">
    <w:name w:val="List Continue 2"/>
    <w:basedOn w:val="Normal"/>
    <w:uiPriority w:val="99"/>
    <w:rsid w:val="00920D86"/>
    <w:pPr>
      <w:spacing w:after="120"/>
      <w:ind w:left="566"/>
      <w:contextualSpacing/>
    </w:pPr>
  </w:style>
  <w:style w:type="paragraph" w:styleId="ListContinue3">
    <w:name w:val="List Continue 3"/>
    <w:basedOn w:val="Normal"/>
    <w:uiPriority w:val="99"/>
    <w:rsid w:val="00920D86"/>
    <w:pPr>
      <w:spacing w:after="120"/>
      <w:ind w:left="849"/>
      <w:contextualSpacing/>
    </w:pPr>
  </w:style>
  <w:style w:type="paragraph" w:styleId="ListContinue4">
    <w:name w:val="List Continue 4"/>
    <w:basedOn w:val="Normal"/>
    <w:uiPriority w:val="99"/>
    <w:rsid w:val="00920D86"/>
    <w:pPr>
      <w:spacing w:after="120"/>
      <w:ind w:left="1132"/>
      <w:contextualSpacing/>
    </w:pPr>
  </w:style>
  <w:style w:type="paragraph" w:styleId="ListContinue5">
    <w:name w:val="List Continue 5"/>
    <w:basedOn w:val="Normal"/>
    <w:uiPriority w:val="99"/>
    <w:rsid w:val="00920D86"/>
    <w:pPr>
      <w:spacing w:after="120"/>
      <w:ind w:left="1415"/>
      <w:contextualSpacing/>
    </w:pPr>
  </w:style>
  <w:style w:type="paragraph" w:styleId="ListNumber2">
    <w:name w:val="List Number 2"/>
    <w:basedOn w:val="Normal"/>
    <w:uiPriority w:val="99"/>
    <w:rsid w:val="00920D86"/>
    <w:pPr>
      <w:numPr>
        <w:numId w:val="9"/>
      </w:numPr>
      <w:contextualSpacing/>
    </w:pPr>
  </w:style>
  <w:style w:type="paragraph" w:styleId="ListNumber3">
    <w:name w:val="List Number 3"/>
    <w:basedOn w:val="Normal"/>
    <w:uiPriority w:val="99"/>
    <w:rsid w:val="00920D86"/>
    <w:pPr>
      <w:numPr>
        <w:numId w:val="10"/>
      </w:numPr>
      <w:contextualSpacing/>
    </w:pPr>
  </w:style>
  <w:style w:type="paragraph" w:styleId="ListNumber4">
    <w:name w:val="List Number 4"/>
    <w:basedOn w:val="Normal"/>
    <w:uiPriority w:val="99"/>
    <w:rsid w:val="00920D86"/>
    <w:pPr>
      <w:numPr>
        <w:numId w:val="11"/>
      </w:numPr>
      <w:contextualSpacing/>
    </w:pPr>
  </w:style>
  <w:style w:type="paragraph" w:styleId="ListNumber5">
    <w:name w:val="List Number 5"/>
    <w:basedOn w:val="Normal"/>
    <w:uiPriority w:val="99"/>
    <w:rsid w:val="00920D86"/>
    <w:pPr>
      <w:numPr>
        <w:numId w:val="12"/>
      </w:numPr>
      <w:contextualSpacing/>
    </w:pPr>
  </w:style>
  <w:style w:type="paragraph" w:styleId="ListParagraph">
    <w:name w:val="List Paragraph"/>
    <w:aliases w:val="body 2,List Paragraph1,List Paragraph11,bullets,Arial,Normal bullet 2,Header bold,List_Paragraph,Multilevel para_II,Paragraph,Citation List,ANNEX,Bullet,bullet,bu,b,bullet1,B,b1,bullet 1,body,b Char Char Char,b Char Char,Body Char1 Char1"/>
    <w:basedOn w:val="Normal"/>
    <w:link w:val="ListParagraphChar"/>
    <w:uiPriority w:val="34"/>
    <w:qFormat/>
    <w:rsid w:val="00920D86"/>
    <w:pPr>
      <w:ind w:left="720"/>
      <w:contextualSpacing/>
    </w:pPr>
  </w:style>
  <w:style w:type="table" w:styleId="ListTable1Light">
    <w:name w:val="List Table 1 Light"/>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1C78F4" w:themeColor="accent1" w:themeTint="99"/>
        </w:tcBorders>
      </w:tcPr>
    </w:tblStylePr>
    <w:tblStylePr w:type="lastRow">
      <w:rPr>
        <w:b/>
        <w:bCs/>
      </w:rPr>
      <w:tblPr/>
      <w:tcPr>
        <w:tcBorders>
          <w:top w:val="single" w:sz="4" w:space="0" w:color="1C78F4" w:themeColor="accent1" w:themeTint="99"/>
        </w:tcBorders>
      </w:tc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ListTable1Light-Accent2">
    <w:name w:val="List Table 1 Light Accent 2"/>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35D69C" w:themeColor="accent2" w:themeTint="99"/>
        </w:tcBorders>
      </w:tcPr>
    </w:tblStylePr>
    <w:tblStylePr w:type="lastRow">
      <w:rPr>
        <w:b/>
        <w:bCs/>
      </w:rPr>
      <w:tblPr/>
      <w:tcPr>
        <w:tcBorders>
          <w:top w:val="single" w:sz="4" w:space="0" w:color="35D69C" w:themeColor="accent2" w:themeTint="99"/>
        </w:tcBorders>
      </w:tc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ListTable1Light-Accent3">
    <w:name w:val="List Table 1 Light Accent 3"/>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CDE2BF" w:themeColor="accent3" w:themeTint="99"/>
        </w:tcBorders>
      </w:tcPr>
    </w:tblStylePr>
    <w:tblStylePr w:type="lastRow">
      <w:rPr>
        <w:b/>
        <w:bCs/>
      </w:rPr>
      <w:tblPr/>
      <w:tcPr>
        <w:tcBorders>
          <w:top w:val="single" w:sz="4" w:space="0" w:color="CDE2BF" w:themeColor="accent3" w:themeTint="99"/>
        </w:tcBorders>
      </w:tc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ListTable1Light-Accent4">
    <w:name w:val="List Table 1 Light Accent 4"/>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BD6298" w:themeColor="accent4" w:themeTint="99"/>
        </w:tcBorders>
      </w:tcPr>
    </w:tblStylePr>
    <w:tblStylePr w:type="lastRow">
      <w:rPr>
        <w:b/>
        <w:bCs/>
      </w:rPr>
      <w:tblPr/>
      <w:tcPr>
        <w:tcBorders>
          <w:top w:val="single" w:sz="4" w:space="0" w:color="BD6298" w:themeColor="accent4" w:themeTint="99"/>
        </w:tcBorders>
      </w:tc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ListTable1Light-Accent5">
    <w:name w:val="List Table 1 Light Accent 5"/>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FFB799" w:themeColor="accent5" w:themeTint="99"/>
        </w:tcBorders>
      </w:tcPr>
    </w:tblStylePr>
    <w:tblStylePr w:type="lastRow">
      <w:rPr>
        <w:b/>
        <w:bCs/>
      </w:rPr>
      <w:tblPr/>
      <w:tcPr>
        <w:tcBorders>
          <w:top w:val="single" w:sz="4" w:space="0" w:color="FFB799" w:themeColor="accent5" w:themeTint="99"/>
        </w:tcBorders>
      </w:tc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ListTable1Light-Accent6">
    <w:name w:val="List Table 1 Light Accent 6"/>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EEECE7" w:themeColor="accent6" w:themeTint="99"/>
        </w:tcBorders>
      </w:tcPr>
    </w:tblStylePr>
    <w:tblStylePr w:type="lastRow">
      <w:rPr>
        <w:b/>
        <w:bCs/>
      </w:rPr>
      <w:tblPr/>
      <w:tcPr>
        <w:tcBorders>
          <w:top w:val="single" w:sz="4" w:space="0" w:color="EEECE7" w:themeColor="accent6" w:themeTint="99"/>
        </w:tcBorders>
      </w:tc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ListTable2">
    <w:name w:val="List Table 2"/>
    <w:basedOn w:val="TableNormal"/>
    <w:uiPriority w:val="47"/>
    <w:rsid w:val="00920D86"/>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920D86"/>
    <w:pPr>
      <w:spacing w:line="240" w:lineRule="auto"/>
    </w:pPr>
    <w:tblPr>
      <w:tblStyleRowBandSize w:val="1"/>
      <w:tblStyleColBandSize w:val="1"/>
      <w:tblBorders>
        <w:top w:val="single" w:sz="4" w:space="0" w:color="1C78F4" w:themeColor="accent1" w:themeTint="99"/>
        <w:bottom w:val="single" w:sz="4" w:space="0" w:color="1C78F4" w:themeColor="accent1" w:themeTint="99"/>
        <w:insideH w:val="single" w:sz="4" w:space="0" w:color="1C78F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ListTable2-Accent2">
    <w:name w:val="List Table 2 Accent 2"/>
    <w:basedOn w:val="TableNormal"/>
    <w:uiPriority w:val="47"/>
    <w:rsid w:val="00920D86"/>
    <w:pPr>
      <w:spacing w:line="240" w:lineRule="auto"/>
    </w:pPr>
    <w:tblPr>
      <w:tblStyleRowBandSize w:val="1"/>
      <w:tblStyleColBandSize w:val="1"/>
      <w:tblBorders>
        <w:top w:val="single" w:sz="4" w:space="0" w:color="35D69C" w:themeColor="accent2" w:themeTint="99"/>
        <w:bottom w:val="single" w:sz="4" w:space="0" w:color="35D69C" w:themeColor="accent2" w:themeTint="99"/>
        <w:insideH w:val="single" w:sz="4" w:space="0" w:color="35D69C"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ListTable2-Accent3">
    <w:name w:val="List Table 2 Accent 3"/>
    <w:basedOn w:val="TableNormal"/>
    <w:uiPriority w:val="47"/>
    <w:rsid w:val="00920D86"/>
    <w:pPr>
      <w:spacing w:line="240" w:lineRule="auto"/>
    </w:pPr>
    <w:tblPr>
      <w:tblStyleRowBandSize w:val="1"/>
      <w:tblStyleColBandSize w:val="1"/>
      <w:tblBorders>
        <w:top w:val="single" w:sz="4" w:space="0" w:color="CDE2BF" w:themeColor="accent3" w:themeTint="99"/>
        <w:bottom w:val="single" w:sz="4" w:space="0" w:color="CDE2BF" w:themeColor="accent3" w:themeTint="99"/>
        <w:insideH w:val="single" w:sz="4" w:space="0" w:color="CDE2BF"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ListTable2-Accent4">
    <w:name w:val="List Table 2 Accent 4"/>
    <w:basedOn w:val="TableNormal"/>
    <w:uiPriority w:val="47"/>
    <w:rsid w:val="00920D86"/>
    <w:pPr>
      <w:spacing w:line="240" w:lineRule="auto"/>
    </w:pPr>
    <w:tblPr>
      <w:tblStyleRowBandSize w:val="1"/>
      <w:tblStyleColBandSize w:val="1"/>
      <w:tblBorders>
        <w:top w:val="single" w:sz="4" w:space="0" w:color="BD6298" w:themeColor="accent4" w:themeTint="99"/>
        <w:bottom w:val="single" w:sz="4" w:space="0" w:color="BD6298" w:themeColor="accent4" w:themeTint="99"/>
        <w:insideH w:val="single" w:sz="4" w:space="0" w:color="BD6298"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ListTable2-Accent5">
    <w:name w:val="List Table 2 Accent 5"/>
    <w:basedOn w:val="TableNormal"/>
    <w:uiPriority w:val="47"/>
    <w:rsid w:val="00920D86"/>
    <w:pPr>
      <w:spacing w:line="240" w:lineRule="auto"/>
    </w:pPr>
    <w:tblPr>
      <w:tblStyleRowBandSize w:val="1"/>
      <w:tblStyleColBandSize w:val="1"/>
      <w:tblBorders>
        <w:top w:val="single" w:sz="4" w:space="0" w:color="FFB799" w:themeColor="accent5" w:themeTint="99"/>
        <w:bottom w:val="single" w:sz="4" w:space="0" w:color="FFB799" w:themeColor="accent5" w:themeTint="99"/>
        <w:insideH w:val="single" w:sz="4" w:space="0" w:color="FFB799"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ListTable2-Accent6">
    <w:name w:val="List Table 2 Accent 6"/>
    <w:basedOn w:val="TableNormal"/>
    <w:uiPriority w:val="47"/>
    <w:rsid w:val="00920D86"/>
    <w:pPr>
      <w:spacing w:line="240" w:lineRule="auto"/>
    </w:pPr>
    <w:tblPr>
      <w:tblStyleRowBandSize w:val="1"/>
      <w:tblStyleColBandSize w:val="1"/>
      <w:tblBorders>
        <w:top w:val="single" w:sz="4" w:space="0" w:color="EEECE7" w:themeColor="accent6" w:themeTint="99"/>
        <w:bottom w:val="single" w:sz="4" w:space="0" w:color="EEECE7" w:themeColor="accent6" w:themeTint="99"/>
        <w:insideH w:val="single" w:sz="4" w:space="0" w:color="EEECE7"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ListTable3">
    <w:name w:val="List Table 3"/>
    <w:basedOn w:val="TableNormal"/>
    <w:uiPriority w:val="48"/>
    <w:rsid w:val="00920D86"/>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920D86"/>
    <w:pPr>
      <w:spacing w:line="240" w:lineRule="auto"/>
    </w:pPr>
    <w:tblPr>
      <w:tblStyleRowBandSize w:val="1"/>
      <w:tblStyleColBandSize w:val="1"/>
      <w:tblBorders>
        <w:top w:val="single" w:sz="4" w:space="0" w:color="05326E" w:themeColor="accent1"/>
        <w:left w:val="single" w:sz="4" w:space="0" w:color="05326E" w:themeColor="accent1"/>
        <w:bottom w:val="single" w:sz="4" w:space="0" w:color="05326E" w:themeColor="accent1"/>
        <w:right w:val="single" w:sz="4" w:space="0" w:color="05326E" w:themeColor="accent1"/>
      </w:tblBorders>
    </w:tblPr>
    <w:tblStylePr w:type="firstRow">
      <w:rPr>
        <w:b/>
        <w:bCs/>
        <w:color w:val="FFFFFF" w:themeColor="background1"/>
      </w:rPr>
      <w:tblPr/>
      <w:tcPr>
        <w:shd w:val="clear" w:color="auto" w:fill="05326E" w:themeFill="accent1"/>
      </w:tcPr>
    </w:tblStylePr>
    <w:tblStylePr w:type="lastRow">
      <w:rPr>
        <w:b/>
        <w:bCs/>
      </w:rPr>
      <w:tblPr/>
      <w:tcPr>
        <w:tcBorders>
          <w:top w:val="double" w:sz="4" w:space="0" w:color="05326E"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5326E" w:themeColor="accent1"/>
          <w:right w:val="single" w:sz="4" w:space="0" w:color="05326E" w:themeColor="accent1"/>
        </w:tcBorders>
      </w:tcPr>
    </w:tblStylePr>
    <w:tblStylePr w:type="band1Horz">
      <w:tblPr/>
      <w:tcPr>
        <w:tcBorders>
          <w:top w:val="single" w:sz="4" w:space="0" w:color="05326E" w:themeColor="accent1"/>
          <w:bottom w:val="single" w:sz="4" w:space="0" w:color="05326E"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5326E" w:themeColor="accent1"/>
          <w:left w:val="nil"/>
        </w:tcBorders>
      </w:tcPr>
    </w:tblStylePr>
    <w:tblStylePr w:type="swCell">
      <w:tblPr/>
      <w:tcPr>
        <w:tcBorders>
          <w:top w:val="double" w:sz="4" w:space="0" w:color="05326E" w:themeColor="accent1"/>
          <w:right w:val="nil"/>
        </w:tcBorders>
      </w:tcPr>
    </w:tblStylePr>
  </w:style>
  <w:style w:type="table" w:styleId="ListTable3-Accent2">
    <w:name w:val="List Table 3 Accent 2"/>
    <w:basedOn w:val="TableNormal"/>
    <w:uiPriority w:val="48"/>
    <w:rsid w:val="00920D86"/>
    <w:pPr>
      <w:spacing w:line="240" w:lineRule="auto"/>
    </w:pPr>
    <w:tblPr>
      <w:tblStyleRowBandSize w:val="1"/>
      <w:tblStyleColBandSize w:val="1"/>
      <w:tblBorders>
        <w:top w:val="single" w:sz="4" w:space="0" w:color="125A40" w:themeColor="accent2"/>
        <w:left w:val="single" w:sz="4" w:space="0" w:color="125A40" w:themeColor="accent2"/>
        <w:bottom w:val="single" w:sz="4" w:space="0" w:color="125A40" w:themeColor="accent2"/>
        <w:right w:val="single" w:sz="4" w:space="0" w:color="125A40" w:themeColor="accent2"/>
      </w:tblBorders>
    </w:tblPr>
    <w:tblStylePr w:type="firstRow">
      <w:rPr>
        <w:b/>
        <w:bCs/>
        <w:color w:val="FFFFFF" w:themeColor="background1"/>
      </w:rPr>
      <w:tblPr/>
      <w:tcPr>
        <w:shd w:val="clear" w:color="auto" w:fill="125A40" w:themeFill="accent2"/>
      </w:tcPr>
    </w:tblStylePr>
    <w:tblStylePr w:type="lastRow">
      <w:rPr>
        <w:b/>
        <w:bCs/>
      </w:rPr>
      <w:tblPr/>
      <w:tcPr>
        <w:tcBorders>
          <w:top w:val="double" w:sz="4" w:space="0" w:color="125A40"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25A40" w:themeColor="accent2"/>
          <w:right w:val="single" w:sz="4" w:space="0" w:color="125A40" w:themeColor="accent2"/>
        </w:tcBorders>
      </w:tcPr>
    </w:tblStylePr>
    <w:tblStylePr w:type="band1Horz">
      <w:tblPr/>
      <w:tcPr>
        <w:tcBorders>
          <w:top w:val="single" w:sz="4" w:space="0" w:color="125A40" w:themeColor="accent2"/>
          <w:bottom w:val="single" w:sz="4" w:space="0" w:color="125A40"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25A40" w:themeColor="accent2"/>
          <w:left w:val="nil"/>
        </w:tcBorders>
      </w:tcPr>
    </w:tblStylePr>
    <w:tblStylePr w:type="swCell">
      <w:tblPr/>
      <w:tcPr>
        <w:tcBorders>
          <w:top w:val="double" w:sz="4" w:space="0" w:color="125A40" w:themeColor="accent2"/>
          <w:right w:val="nil"/>
        </w:tcBorders>
      </w:tcPr>
    </w:tblStylePr>
  </w:style>
  <w:style w:type="table" w:styleId="ListTable3-Accent3">
    <w:name w:val="List Table 3 Accent 3"/>
    <w:basedOn w:val="TableNormal"/>
    <w:uiPriority w:val="48"/>
    <w:rsid w:val="00920D86"/>
    <w:pPr>
      <w:spacing w:line="240" w:lineRule="auto"/>
    </w:pPr>
    <w:tblPr>
      <w:tblStyleRowBandSize w:val="1"/>
      <w:tblStyleColBandSize w:val="1"/>
      <w:tblBorders>
        <w:top w:val="single" w:sz="4" w:space="0" w:color="ADD095" w:themeColor="accent3"/>
        <w:left w:val="single" w:sz="4" w:space="0" w:color="ADD095" w:themeColor="accent3"/>
        <w:bottom w:val="single" w:sz="4" w:space="0" w:color="ADD095" w:themeColor="accent3"/>
        <w:right w:val="single" w:sz="4" w:space="0" w:color="ADD095" w:themeColor="accent3"/>
      </w:tblBorders>
    </w:tblPr>
    <w:tblStylePr w:type="firstRow">
      <w:rPr>
        <w:b/>
        <w:bCs/>
        <w:color w:val="FFFFFF" w:themeColor="background1"/>
      </w:rPr>
      <w:tblPr/>
      <w:tcPr>
        <w:shd w:val="clear" w:color="auto" w:fill="ADD095" w:themeFill="accent3"/>
      </w:tcPr>
    </w:tblStylePr>
    <w:tblStylePr w:type="lastRow">
      <w:rPr>
        <w:b/>
        <w:bCs/>
      </w:rPr>
      <w:tblPr/>
      <w:tcPr>
        <w:tcBorders>
          <w:top w:val="double" w:sz="4" w:space="0" w:color="ADD09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DD095" w:themeColor="accent3"/>
          <w:right w:val="single" w:sz="4" w:space="0" w:color="ADD095" w:themeColor="accent3"/>
        </w:tcBorders>
      </w:tcPr>
    </w:tblStylePr>
    <w:tblStylePr w:type="band1Horz">
      <w:tblPr/>
      <w:tcPr>
        <w:tcBorders>
          <w:top w:val="single" w:sz="4" w:space="0" w:color="ADD095" w:themeColor="accent3"/>
          <w:bottom w:val="single" w:sz="4" w:space="0" w:color="ADD09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DD095" w:themeColor="accent3"/>
          <w:left w:val="nil"/>
        </w:tcBorders>
      </w:tcPr>
    </w:tblStylePr>
    <w:tblStylePr w:type="swCell">
      <w:tblPr/>
      <w:tcPr>
        <w:tcBorders>
          <w:top w:val="double" w:sz="4" w:space="0" w:color="ADD095" w:themeColor="accent3"/>
          <w:right w:val="nil"/>
        </w:tcBorders>
      </w:tcPr>
    </w:tblStylePr>
  </w:style>
  <w:style w:type="table" w:styleId="ListTable3-Accent4">
    <w:name w:val="List Table 3 Accent 4"/>
    <w:basedOn w:val="TableNormal"/>
    <w:uiPriority w:val="48"/>
    <w:rsid w:val="00920D86"/>
    <w:pPr>
      <w:spacing w:line="240" w:lineRule="auto"/>
    </w:pPr>
    <w:tblPr>
      <w:tblStyleRowBandSize w:val="1"/>
      <w:tblStyleColBandSize w:val="1"/>
      <w:tblBorders>
        <w:top w:val="single" w:sz="4" w:space="0" w:color="62294B" w:themeColor="accent4"/>
        <w:left w:val="single" w:sz="4" w:space="0" w:color="62294B" w:themeColor="accent4"/>
        <w:bottom w:val="single" w:sz="4" w:space="0" w:color="62294B" w:themeColor="accent4"/>
        <w:right w:val="single" w:sz="4" w:space="0" w:color="62294B" w:themeColor="accent4"/>
      </w:tblBorders>
    </w:tblPr>
    <w:tblStylePr w:type="firstRow">
      <w:rPr>
        <w:b/>
        <w:bCs/>
        <w:color w:val="FFFFFF" w:themeColor="background1"/>
      </w:rPr>
      <w:tblPr/>
      <w:tcPr>
        <w:shd w:val="clear" w:color="auto" w:fill="62294B" w:themeFill="accent4"/>
      </w:tcPr>
    </w:tblStylePr>
    <w:tblStylePr w:type="lastRow">
      <w:rPr>
        <w:b/>
        <w:bCs/>
      </w:rPr>
      <w:tblPr/>
      <w:tcPr>
        <w:tcBorders>
          <w:top w:val="double" w:sz="4" w:space="0" w:color="62294B"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62294B" w:themeColor="accent4"/>
          <w:right w:val="single" w:sz="4" w:space="0" w:color="62294B" w:themeColor="accent4"/>
        </w:tcBorders>
      </w:tcPr>
    </w:tblStylePr>
    <w:tblStylePr w:type="band1Horz">
      <w:tblPr/>
      <w:tcPr>
        <w:tcBorders>
          <w:top w:val="single" w:sz="4" w:space="0" w:color="62294B" w:themeColor="accent4"/>
          <w:bottom w:val="single" w:sz="4" w:space="0" w:color="62294B"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2294B" w:themeColor="accent4"/>
          <w:left w:val="nil"/>
        </w:tcBorders>
      </w:tcPr>
    </w:tblStylePr>
    <w:tblStylePr w:type="swCell">
      <w:tblPr/>
      <w:tcPr>
        <w:tcBorders>
          <w:top w:val="double" w:sz="4" w:space="0" w:color="62294B" w:themeColor="accent4"/>
          <w:right w:val="nil"/>
        </w:tcBorders>
      </w:tcPr>
    </w:tblStylePr>
  </w:style>
  <w:style w:type="table" w:styleId="ListTable3-Accent5">
    <w:name w:val="List Table 3 Accent 5"/>
    <w:basedOn w:val="TableNormal"/>
    <w:uiPriority w:val="48"/>
    <w:rsid w:val="00920D86"/>
    <w:pPr>
      <w:spacing w:line="240" w:lineRule="auto"/>
    </w:pPr>
    <w:tblPr>
      <w:tblStyleRowBandSize w:val="1"/>
      <w:tblStyleColBandSize w:val="1"/>
      <w:tblBorders>
        <w:top w:val="single" w:sz="4" w:space="0" w:color="FF8855" w:themeColor="accent5"/>
        <w:left w:val="single" w:sz="4" w:space="0" w:color="FF8855" w:themeColor="accent5"/>
        <w:bottom w:val="single" w:sz="4" w:space="0" w:color="FF8855" w:themeColor="accent5"/>
        <w:right w:val="single" w:sz="4" w:space="0" w:color="FF8855" w:themeColor="accent5"/>
      </w:tblBorders>
    </w:tblPr>
    <w:tblStylePr w:type="firstRow">
      <w:rPr>
        <w:b/>
        <w:bCs/>
        <w:color w:val="FFFFFF" w:themeColor="background1"/>
      </w:rPr>
      <w:tblPr/>
      <w:tcPr>
        <w:shd w:val="clear" w:color="auto" w:fill="FF8855" w:themeFill="accent5"/>
      </w:tcPr>
    </w:tblStylePr>
    <w:tblStylePr w:type="lastRow">
      <w:rPr>
        <w:b/>
        <w:bCs/>
      </w:rPr>
      <w:tblPr/>
      <w:tcPr>
        <w:tcBorders>
          <w:top w:val="double" w:sz="4" w:space="0" w:color="FF885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8855" w:themeColor="accent5"/>
          <w:right w:val="single" w:sz="4" w:space="0" w:color="FF8855" w:themeColor="accent5"/>
        </w:tcBorders>
      </w:tcPr>
    </w:tblStylePr>
    <w:tblStylePr w:type="band1Horz">
      <w:tblPr/>
      <w:tcPr>
        <w:tcBorders>
          <w:top w:val="single" w:sz="4" w:space="0" w:color="FF8855" w:themeColor="accent5"/>
          <w:bottom w:val="single" w:sz="4" w:space="0" w:color="FF885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8855" w:themeColor="accent5"/>
          <w:left w:val="nil"/>
        </w:tcBorders>
      </w:tcPr>
    </w:tblStylePr>
    <w:tblStylePr w:type="swCell">
      <w:tblPr/>
      <w:tcPr>
        <w:tcBorders>
          <w:top w:val="double" w:sz="4" w:space="0" w:color="FF8855" w:themeColor="accent5"/>
          <w:right w:val="nil"/>
        </w:tcBorders>
      </w:tcPr>
    </w:tblStylePr>
  </w:style>
  <w:style w:type="table" w:styleId="ListTable3-Accent6">
    <w:name w:val="List Table 3 Accent 6"/>
    <w:basedOn w:val="TableNormal"/>
    <w:uiPriority w:val="48"/>
    <w:rsid w:val="00920D86"/>
    <w:pPr>
      <w:spacing w:line="240" w:lineRule="auto"/>
    </w:pPr>
    <w:tblPr>
      <w:tblStyleRowBandSize w:val="1"/>
      <w:tblStyleColBandSize w:val="1"/>
      <w:tblBorders>
        <w:top w:val="single" w:sz="4" w:space="0" w:color="E3E1D8" w:themeColor="accent6"/>
        <w:left w:val="single" w:sz="4" w:space="0" w:color="E3E1D8" w:themeColor="accent6"/>
        <w:bottom w:val="single" w:sz="4" w:space="0" w:color="E3E1D8" w:themeColor="accent6"/>
        <w:right w:val="single" w:sz="4" w:space="0" w:color="E3E1D8" w:themeColor="accent6"/>
      </w:tblBorders>
    </w:tblPr>
    <w:tblStylePr w:type="firstRow">
      <w:rPr>
        <w:b/>
        <w:bCs/>
        <w:color w:val="FFFFFF" w:themeColor="background1"/>
      </w:rPr>
      <w:tblPr/>
      <w:tcPr>
        <w:shd w:val="clear" w:color="auto" w:fill="E3E1D8" w:themeFill="accent6"/>
      </w:tcPr>
    </w:tblStylePr>
    <w:tblStylePr w:type="lastRow">
      <w:rPr>
        <w:b/>
        <w:bCs/>
      </w:rPr>
      <w:tblPr/>
      <w:tcPr>
        <w:tcBorders>
          <w:top w:val="double" w:sz="4" w:space="0" w:color="E3E1D8"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3E1D8" w:themeColor="accent6"/>
          <w:right w:val="single" w:sz="4" w:space="0" w:color="E3E1D8" w:themeColor="accent6"/>
        </w:tcBorders>
      </w:tcPr>
    </w:tblStylePr>
    <w:tblStylePr w:type="band1Horz">
      <w:tblPr/>
      <w:tcPr>
        <w:tcBorders>
          <w:top w:val="single" w:sz="4" w:space="0" w:color="E3E1D8" w:themeColor="accent6"/>
          <w:bottom w:val="single" w:sz="4" w:space="0" w:color="E3E1D8"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3E1D8" w:themeColor="accent6"/>
          <w:left w:val="nil"/>
        </w:tcBorders>
      </w:tcPr>
    </w:tblStylePr>
    <w:tblStylePr w:type="swCell">
      <w:tblPr/>
      <w:tcPr>
        <w:tcBorders>
          <w:top w:val="double" w:sz="4" w:space="0" w:color="E3E1D8" w:themeColor="accent6"/>
          <w:right w:val="nil"/>
        </w:tcBorders>
      </w:tcPr>
    </w:tblStylePr>
  </w:style>
  <w:style w:type="table" w:styleId="ListTable4">
    <w:name w:val="List Table 4"/>
    <w:basedOn w:val="TableNormal"/>
    <w:uiPriority w:val="49"/>
    <w:rsid w:val="00920D86"/>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920D86"/>
    <w:pPr>
      <w:spacing w:line="240" w:lineRule="auto"/>
    </w:pPr>
    <w:tblPr>
      <w:tblStyleRowBandSize w:val="1"/>
      <w:tblStyleColBandSize w:val="1"/>
      <w:tblBorders>
        <w:top w:val="single" w:sz="4" w:space="0" w:color="1C78F4" w:themeColor="accent1" w:themeTint="99"/>
        <w:left w:val="single" w:sz="4" w:space="0" w:color="1C78F4" w:themeColor="accent1" w:themeTint="99"/>
        <w:bottom w:val="single" w:sz="4" w:space="0" w:color="1C78F4" w:themeColor="accent1" w:themeTint="99"/>
        <w:right w:val="single" w:sz="4" w:space="0" w:color="1C78F4" w:themeColor="accent1" w:themeTint="99"/>
        <w:insideH w:val="single" w:sz="4" w:space="0" w:color="1C78F4" w:themeColor="accent1" w:themeTint="99"/>
      </w:tblBorders>
    </w:tblPr>
    <w:tblStylePr w:type="firstRow">
      <w:rPr>
        <w:b/>
        <w:bCs/>
        <w:color w:val="FFFFFF" w:themeColor="background1"/>
      </w:rPr>
      <w:tblPr/>
      <w:tcPr>
        <w:tcBorders>
          <w:top w:val="single" w:sz="4" w:space="0" w:color="05326E" w:themeColor="accent1"/>
          <w:left w:val="single" w:sz="4" w:space="0" w:color="05326E" w:themeColor="accent1"/>
          <w:bottom w:val="single" w:sz="4" w:space="0" w:color="05326E" w:themeColor="accent1"/>
          <w:right w:val="single" w:sz="4" w:space="0" w:color="05326E" w:themeColor="accent1"/>
          <w:insideH w:val="nil"/>
        </w:tcBorders>
        <w:shd w:val="clear" w:color="auto" w:fill="05326E" w:themeFill="accent1"/>
      </w:tcPr>
    </w:tblStylePr>
    <w:tblStylePr w:type="lastRow">
      <w:rPr>
        <w:b/>
        <w:bCs/>
      </w:rPr>
      <w:tblPr/>
      <w:tcPr>
        <w:tcBorders>
          <w:top w:val="double" w:sz="4" w:space="0" w:color="1C78F4" w:themeColor="accent1" w:themeTint="99"/>
        </w:tcBorders>
      </w:tc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ListTable4-Accent2">
    <w:name w:val="List Table 4 Accent 2"/>
    <w:basedOn w:val="TableNormal"/>
    <w:uiPriority w:val="49"/>
    <w:rsid w:val="00920D86"/>
    <w:pPr>
      <w:spacing w:line="240" w:lineRule="auto"/>
    </w:pPr>
    <w:tblPr>
      <w:tblStyleRowBandSize w:val="1"/>
      <w:tblStyleColBandSize w:val="1"/>
      <w:tblBorders>
        <w:top w:val="single" w:sz="4" w:space="0" w:color="35D69C" w:themeColor="accent2" w:themeTint="99"/>
        <w:left w:val="single" w:sz="4" w:space="0" w:color="35D69C" w:themeColor="accent2" w:themeTint="99"/>
        <w:bottom w:val="single" w:sz="4" w:space="0" w:color="35D69C" w:themeColor="accent2" w:themeTint="99"/>
        <w:right w:val="single" w:sz="4" w:space="0" w:color="35D69C" w:themeColor="accent2" w:themeTint="99"/>
        <w:insideH w:val="single" w:sz="4" w:space="0" w:color="35D69C" w:themeColor="accent2" w:themeTint="99"/>
      </w:tblBorders>
    </w:tblPr>
    <w:tblStylePr w:type="firstRow">
      <w:rPr>
        <w:b/>
        <w:bCs/>
        <w:color w:val="FFFFFF" w:themeColor="background1"/>
      </w:rPr>
      <w:tblPr/>
      <w:tcPr>
        <w:tcBorders>
          <w:top w:val="single" w:sz="4" w:space="0" w:color="125A40" w:themeColor="accent2"/>
          <w:left w:val="single" w:sz="4" w:space="0" w:color="125A40" w:themeColor="accent2"/>
          <w:bottom w:val="single" w:sz="4" w:space="0" w:color="125A40" w:themeColor="accent2"/>
          <w:right w:val="single" w:sz="4" w:space="0" w:color="125A40" w:themeColor="accent2"/>
          <w:insideH w:val="nil"/>
        </w:tcBorders>
        <w:shd w:val="clear" w:color="auto" w:fill="125A40" w:themeFill="accent2"/>
      </w:tcPr>
    </w:tblStylePr>
    <w:tblStylePr w:type="lastRow">
      <w:rPr>
        <w:b/>
        <w:bCs/>
      </w:rPr>
      <w:tblPr/>
      <w:tcPr>
        <w:tcBorders>
          <w:top w:val="double" w:sz="4" w:space="0" w:color="35D69C" w:themeColor="accent2" w:themeTint="99"/>
        </w:tcBorders>
      </w:tc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ListTable4-Accent3">
    <w:name w:val="List Table 4 Accent 3"/>
    <w:basedOn w:val="TableNormal"/>
    <w:uiPriority w:val="49"/>
    <w:rsid w:val="00920D86"/>
    <w:pPr>
      <w:spacing w:line="240" w:lineRule="auto"/>
    </w:pPr>
    <w:tblPr>
      <w:tblStyleRowBandSize w:val="1"/>
      <w:tblStyleColBandSize w:val="1"/>
      <w:tblBorders>
        <w:top w:val="single" w:sz="4" w:space="0" w:color="CDE2BF" w:themeColor="accent3" w:themeTint="99"/>
        <w:left w:val="single" w:sz="4" w:space="0" w:color="CDE2BF" w:themeColor="accent3" w:themeTint="99"/>
        <w:bottom w:val="single" w:sz="4" w:space="0" w:color="CDE2BF" w:themeColor="accent3" w:themeTint="99"/>
        <w:right w:val="single" w:sz="4" w:space="0" w:color="CDE2BF" w:themeColor="accent3" w:themeTint="99"/>
        <w:insideH w:val="single" w:sz="4" w:space="0" w:color="CDE2BF" w:themeColor="accent3" w:themeTint="99"/>
      </w:tblBorders>
    </w:tblPr>
    <w:tblStylePr w:type="firstRow">
      <w:rPr>
        <w:b/>
        <w:bCs/>
        <w:color w:val="FFFFFF" w:themeColor="background1"/>
      </w:rPr>
      <w:tblPr/>
      <w:tcPr>
        <w:tcBorders>
          <w:top w:val="single" w:sz="4" w:space="0" w:color="ADD095" w:themeColor="accent3"/>
          <w:left w:val="single" w:sz="4" w:space="0" w:color="ADD095" w:themeColor="accent3"/>
          <w:bottom w:val="single" w:sz="4" w:space="0" w:color="ADD095" w:themeColor="accent3"/>
          <w:right w:val="single" w:sz="4" w:space="0" w:color="ADD095" w:themeColor="accent3"/>
          <w:insideH w:val="nil"/>
        </w:tcBorders>
        <w:shd w:val="clear" w:color="auto" w:fill="ADD095" w:themeFill="accent3"/>
      </w:tcPr>
    </w:tblStylePr>
    <w:tblStylePr w:type="lastRow">
      <w:rPr>
        <w:b/>
        <w:bCs/>
      </w:rPr>
      <w:tblPr/>
      <w:tcPr>
        <w:tcBorders>
          <w:top w:val="double" w:sz="4" w:space="0" w:color="CDE2BF" w:themeColor="accent3" w:themeTint="99"/>
        </w:tcBorders>
      </w:tc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ListTable4-Accent4">
    <w:name w:val="List Table 4 Accent 4"/>
    <w:basedOn w:val="TableNormal"/>
    <w:uiPriority w:val="49"/>
    <w:rsid w:val="00920D86"/>
    <w:pPr>
      <w:spacing w:line="240" w:lineRule="auto"/>
    </w:pPr>
    <w:tblPr>
      <w:tblStyleRowBandSize w:val="1"/>
      <w:tblStyleColBandSize w:val="1"/>
      <w:tblBorders>
        <w:top w:val="single" w:sz="4" w:space="0" w:color="BD6298" w:themeColor="accent4" w:themeTint="99"/>
        <w:left w:val="single" w:sz="4" w:space="0" w:color="BD6298" w:themeColor="accent4" w:themeTint="99"/>
        <w:bottom w:val="single" w:sz="4" w:space="0" w:color="BD6298" w:themeColor="accent4" w:themeTint="99"/>
        <w:right w:val="single" w:sz="4" w:space="0" w:color="BD6298" w:themeColor="accent4" w:themeTint="99"/>
        <w:insideH w:val="single" w:sz="4" w:space="0" w:color="BD6298" w:themeColor="accent4" w:themeTint="99"/>
      </w:tblBorders>
    </w:tblPr>
    <w:tblStylePr w:type="firstRow">
      <w:rPr>
        <w:b/>
        <w:bCs/>
        <w:color w:val="FFFFFF" w:themeColor="background1"/>
      </w:rPr>
      <w:tblPr/>
      <w:tcPr>
        <w:tcBorders>
          <w:top w:val="single" w:sz="4" w:space="0" w:color="62294B" w:themeColor="accent4"/>
          <w:left w:val="single" w:sz="4" w:space="0" w:color="62294B" w:themeColor="accent4"/>
          <w:bottom w:val="single" w:sz="4" w:space="0" w:color="62294B" w:themeColor="accent4"/>
          <w:right w:val="single" w:sz="4" w:space="0" w:color="62294B" w:themeColor="accent4"/>
          <w:insideH w:val="nil"/>
        </w:tcBorders>
        <w:shd w:val="clear" w:color="auto" w:fill="62294B" w:themeFill="accent4"/>
      </w:tcPr>
    </w:tblStylePr>
    <w:tblStylePr w:type="lastRow">
      <w:rPr>
        <w:b/>
        <w:bCs/>
      </w:rPr>
      <w:tblPr/>
      <w:tcPr>
        <w:tcBorders>
          <w:top w:val="double" w:sz="4" w:space="0" w:color="BD6298" w:themeColor="accent4" w:themeTint="99"/>
        </w:tcBorders>
      </w:tc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ListTable4-Accent5">
    <w:name w:val="List Table 4 Accent 5"/>
    <w:basedOn w:val="TableNormal"/>
    <w:uiPriority w:val="49"/>
    <w:rsid w:val="00920D86"/>
    <w:pPr>
      <w:spacing w:line="240" w:lineRule="auto"/>
    </w:pPr>
    <w:tblPr>
      <w:tblStyleRowBandSize w:val="1"/>
      <w:tblStyleColBandSize w:val="1"/>
      <w:tblBorders>
        <w:top w:val="single" w:sz="4" w:space="0" w:color="FFB799" w:themeColor="accent5" w:themeTint="99"/>
        <w:left w:val="single" w:sz="4" w:space="0" w:color="FFB799" w:themeColor="accent5" w:themeTint="99"/>
        <w:bottom w:val="single" w:sz="4" w:space="0" w:color="FFB799" w:themeColor="accent5" w:themeTint="99"/>
        <w:right w:val="single" w:sz="4" w:space="0" w:color="FFB799" w:themeColor="accent5" w:themeTint="99"/>
        <w:insideH w:val="single" w:sz="4" w:space="0" w:color="FFB799" w:themeColor="accent5" w:themeTint="99"/>
      </w:tblBorders>
    </w:tblPr>
    <w:tblStylePr w:type="firstRow">
      <w:rPr>
        <w:b/>
        <w:bCs/>
        <w:color w:val="FFFFFF" w:themeColor="background1"/>
      </w:rPr>
      <w:tblPr/>
      <w:tcPr>
        <w:tcBorders>
          <w:top w:val="single" w:sz="4" w:space="0" w:color="FF8855" w:themeColor="accent5"/>
          <w:left w:val="single" w:sz="4" w:space="0" w:color="FF8855" w:themeColor="accent5"/>
          <w:bottom w:val="single" w:sz="4" w:space="0" w:color="FF8855" w:themeColor="accent5"/>
          <w:right w:val="single" w:sz="4" w:space="0" w:color="FF8855" w:themeColor="accent5"/>
          <w:insideH w:val="nil"/>
        </w:tcBorders>
        <w:shd w:val="clear" w:color="auto" w:fill="FF8855" w:themeFill="accent5"/>
      </w:tcPr>
    </w:tblStylePr>
    <w:tblStylePr w:type="lastRow">
      <w:rPr>
        <w:b/>
        <w:bCs/>
      </w:rPr>
      <w:tblPr/>
      <w:tcPr>
        <w:tcBorders>
          <w:top w:val="double" w:sz="4" w:space="0" w:color="FFB799" w:themeColor="accent5" w:themeTint="99"/>
        </w:tcBorders>
      </w:tc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ListTable4-Accent6">
    <w:name w:val="List Table 4 Accent 6"/>
    <w:basedOn w:val="TableNormal"/>
    <w:uiPriority w:val="49"/>
    <w:rsid w:val="00920D86"/>
    <w:pPr>
      <w:spacing w:line="240" w:lineRule="auto"/>
    </w:pPr>
    <w:tblPr>
      <w:tblStyleRowBandSize w:val="1"/>
      <w:tblStyleColBandSize w:val="1"/>
      <w:tblBorders>
        <w:top w:val="single" w:sz="4" w:space="0" w:color="EEECE7" w:themeColor="accent6" w:themeTint="99"/>
        <w:left w:val="single" w:sz="4" w:space="0" w:color="EEECE7" w:themeColor="accent6" w:themeTint="99"/>
        <w:bottom w:val="single" w:sz="4" w:space="0" w:color="EEECE7" w:themeColor="accent6" w:themeTint="99"/>
        <w:right w:val="single" w:sz="4" w:space="0" w:color="EEECE7" w:themeColor="accent6" w:themeTint="99"/>
        <w:insideH w:val="single" w:sz="4" w:space="0" w:color="EEECE7" w:themeColor="accent6" w:themeTint="99"/>
      </w:tblBorders>
    </w:tblPr>
    <w:tblStylePr w:type="firstRow">
      <w:rPr>
        <w:b/>
        <w:bCs/>
        <w:color w:val="FFFFFF" w:themeColor="background1"/>
      </w:rPr>
      <w:tblPr/>
      <w:tcPr>
        <w:tcBorders>
          <w:top w:val="single" w:sz="4" w:space="0" w:color="E3E1D8" w:themeColor="accent6"/>
          <w:left w:val="single" w:sz="4" w:space="0" w:color="E3E1D8" w:themeColor="accent6"/>
          <w:bottom w:val="single" w:sz="4" w:space="0" w:color="E3E1D8" w:themeColor="accent6"/>
          <w:right w:val="single" w:sz="4" w:space="0" w:color="E3E1D8" w:themeColor="accent6"/>
          <w:insideH w:val="nil"/>
        </w:tcBorders>
        <w:shd w:val="clear" w:color="auto" w:fill="E3E1D8" w:themeFill="accent6"/>
      </w:tcPr>
    </w:tblStylePr>
    <w:tblStylePr w:type="lastRow">
      <w:rPr>
        <w:b/>
        <w:bCs/>
      </w:rPr>
      <w:tblPr/>
      <w:tcPr>
        <w:tcBorders>
          <w:top w:val="double" w:sz="4" w:space="0" w:color="EEECE7" w:themeColor="accent6" w:themeTint="99"/>
        </w:tcBorders>
      </w:tc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ListTable5Dark">
    <w:name w:val="List Table 5 Dark"/>
    <w:basedOn w:val="TableNormal"/>
    <w:uiPriority w:val="50"/>
    <w:rsid w:val="00920D86"/>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20D86"/>
    <w:pPr>
      <w:spacing w:line="240" w:lineRule="auto"/>
    </w:pPr>
    <w:rPr>
      <w:color w:val="FFFFFF" w:themeColor="background1"/>
    </w:rPr>
    <w:tblPr>
      <w:tblStyleRowBandSize w:val="1"/>
      <w:tblStyleColBandSize w:val="1"/>
      <w:tblBorders>
        <w:top w:val="single" w:sz="24" w:space="0" w:color="05326E" w:themeColor="accent1"/>
        <w:left w:val="single" w:sz="24" w:space="0" w:color="05326E" w:themeColor="accent1"/>
        <w:bottom w:val="single" w:sz="24" w:space="0" w:color="05326E" w:themeColor="accent1"/>
        <w:right w:val="single" w:sz="24" w:space="0" w:color="05326E" w:themeColor="accent1"/>
      </w:tblBorders>
    </w:tblPr>
    <w:tcPr>
      <w:shd w:val="clear" w:color="auto" w:fill="05326E"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920D86"/>
    <w:pPr>
      <w:spacing w:line="240" w:lineRule="auto"/>
    </w:pPr>
    <w:rPr>
      <w:color w:val="FFFFFF" w:themeColor="background1"/>
    </w:rPr>
    <w:tblPr>
      <w:tblStyleRowBandSize w:val="1"/>
      <w:tblStyleColBandSize w:val="1"/>
      <w:tblBorders>
        <w:top w:val="single" w:sz="24" w:space="0" w:color="125A40" w:themeColor="accent2"/>
        <w:left w:val="single" w:sz="24" w:space="0" w:color="125A40" w:themeColor="accent2"/>
        <w:bottom w:val="single" w:sz="24" w:space="0" w:color="125A40" w:themeColor="accent2"/>
        <w:right w:val="single" w:sz="24" w:space="0" w:color="125A40" w:themeColor="accent2"/>
      </w:tblBorders>
    </w:tblPr>
    <w:tcPr>
      <w:shd w:val="clear" w:color="auto" w:fill="125A40"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920D86"/>
    <w:pPr>
      <w:spacing w:line="240" w:lineRule="auto"/>
    </w:pPr>
    <w:rPr>
      <w:color w:val="FFFFFF" w:themeColor="background1"/>
    </w:rPr>
    <w:tblPr>
      <w:tblStyleRowBandSize w:val="1"/>
      <w:tblStyleColBandSize w:val="1"/>
      <w:tblBorders>
        <w:top w:val="single" w:sz="24" w:space="0" w:color="ADD095" w:themeColor="accent3"/>
        <w:left w:val="single" w:sz="24" w:space="0" w:color="ADD095" w:themeColor="accent3"/>
        <w:bottom w:val="single" w:sz="24" w:space="0" w:color="ADD095" w:themeColor="accent3"/>
        <w:right w:val="single" w:sz="24" w:space="0" w:color="ADD095" w:themeColor="accent3"/>
      </w:tblBorders>
    </w:tblPr>
    <w:tcPr>
      <w:shd w:val="clear" w:color="auto" w:fill="ADD09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920D86"/>
    <w:pPr>
      <w:spacing w:line="240" w:lineRule="auto"/>
    </w:pPr>
    <w:rPr>
      <w:color w:val="FFFFFF" w:themeColor="background1"/>
    </w:rPr>
    <w:tblPr>
      <w:tblStyleRowBandSize w:val="1"/>
      <w:tblStyleColBandSize w:val="1"/>
      <w:tblBorders>
        <w:top w:val="single" w:sz="24" w:space="0" w:color="62294B" w:themeColor="accent4"/>
        <w:left w:val="single" w:sz="24" w:space="0" w:color="62294B" w:themeColor="accent4"/>
        <w:bottom w:val="single" w:sz="24" w:space="0" w:color="62294B" w:themeColor="accent4"/>
        <w:right w:val="single" w:sz="24" w:space="0" w:color="62294B" w:themeColor="accent4"/>
      </w:tblBorders>
    </w:tblPr>
    <w:tcPr>
      <w:shd w:val="clear" w:color="auto" w:fill="62294B"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920D86"/>
    <w:pPr>
      <w:spacing w:line="240" w:lineRule="auto"/>
    </w:pPr>
    <w:rPr>
      <w:color w:val="FFFFFF" w:themeColor="background1"/>
    </w:rPr>
    <w:tblPr>
      <w:tblStyleRowBandSize w:val="1"/>
      <w:tblStyleColBandSize w:val="1"/>
      <w:tblBorders>
        <w:top w:val="single" w:sz="24" w:space="0" w:color="FF8855" w:themeColor="accent5"/>
        <w:left w:val="single" w:sz="24" w:space="0" w:color="FF8855" w:themeColor="accent5"/>
        <w:bottom w:val="single" w:sz="24" w:space="0" w:color="FF8855" w:themeColor="accent5"/>
        <w:right w:val="single" w:sz="24" w:space="0" w:color="FF8855" w:themeColor="accent5"/>
      </w:tblBorders>
    </w:tblPr>
    <w:tcPr>
      <w:shd w:val="clear" w:color="auto" w:fill="FF885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920D86"/>
    <w:pPr>
      <w:spacing w:line="240" w:lineRule="auto"/>
    </w:pPr>
    <w:rPr>
      <w:color w:val="FFFFFF" w:themeColor="background1"/>
    </w:rPr>
    <w:tblPr>
      <w:tblStyleRowBandSize w:val="1"/>
      <w:tblStyleColBandSize w:val="1"/>
      <w:tblBorders>
        <w:top w:val="single" w:sz="24" w:space="0" w:color="E3E1D8" w:themeColor="accent6"/>
        <w:left w:val="single" w:sz="24" w:space="0" w:color="E3E1D8" w:themeColor="accent6"/>
        <w:bottom w:val="single" w:sz="24" w:space="0" w:color="E3E1D8" w:themeColor="accent6"/>
        <w:right w:val="single" w:sz="24" w:space="0" w:color="E3E1D8" w:themeColor="accent6"/>
      </w:tblBorders>
    </w:tblPr>
    <w:tcPr>
      <w:shd w:val="clear" w:color="auto" w:fill="E3E1D8"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920D86"/>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920D86"/>
    <w:pPr>
      <w:spacing w:line="240" w:lineRule="auto"/>
    </w:pPr>
    <w:rPr>
      <w:color w:val="032552" w:themeColor="accent1" w:themeShade="BF"/>
    </w:rPr>
    <w:tblPr>
      <w:tblStyleRowBandSize w:val="1"/>
      <w:tblStyleColBandSize w:val="1"/>
      <w:tblBorders>
        <w:top w:val="single" w:sz="4" w:space="0" w:color="05326E" w:themeColor="accent1"/>
        <w:bottom w:val="single" w:sz="4" w:space="0" w:color="05326E" w:themeColor="accent1"/>
      </w:tblBorders>
    </w:tblPr>
    <w:tblStylePr w:type="firstRow">
      <w:rPr>
        <w:b/>
        <w:bCs/>
      </w:rPr>
      <w:tblPr/>
      <w:tcPr>
        <w:tcBorders>
          <w:bottom w:val="single" w:sz="4" w:space="0" w:color="05326E" w:themeColor="accent1"/>
        </w:tcBorders>
      </w:tcPr>
    </w:tblStylePr>
    <w:tblStylePr w:type="lastRow">
      <w:rPr>
        <w:b/>
        <w:bCs/>
      </w:rPr>
      <w:tblPr/>
      <w:tcPr>
        <w:tcBorders>
          <w:top w:val="double" w:sz="4" w:space="0" w:color="05326E" w:themeColor="accent1"/>
        </w:tcBorders>
      </w:tc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ListTable6Colorful-Accent2">
    <w:name w:val="List Table 6 Colorful Accent 2"/>
    <w:basedOn w:val="TableNormal"/>
    <w:uiPriority w:val="51"/>
    <w:rsid w:val="00920D86"/>
    <w:pPr>
      <w:spacing w:line="240" w:lineRule="auto"/>
    </w:pPr>
    <w:rPr>
      <w:color w:val="0D432F" w:themeColor="accent2" w:themeShade="BF"/>
    </w:rPr>
    <w:tblPr>
      <w:tblStyleRowBandSize w:val="1"/>
      <w:tblStyleColBandSize w:val="1"/>
      <w:tblBorders>
        <w:top w:val="single" w:sz="4" w:space="0" w:color="125A40" w:themeColor="accent2"/>
        <w:bottom w:val="single" w:sz="4" w:space="0" w:color="125A40" w:themeColor="accent2"/>
      </w:tblBorders>
    </w:tblPr>
    <w:tblStylePr w:type="firstRow">
      <w:rPr>
        <w:b/>
        <w:bCs/>
      </w:rPr>
      <w:tblPr/>
      <w:tcPr>
        <w:tcBorders>
          <w:bottom w:val="single" w:sz="4" w:space="0" w:color="125A40" w:themeColor="accent2"/>
        </w:tcBorders>
      </w:tcPr>
    </w:tblStylePr>
    <w:tblStylePr w:type="lastRow">
      <w:rPr>
        <w:b/>
        <w:bCs/>
      </w:rPr>
      <w:tblPr/>
      <w:tcPr>
        <w:tcBorders>
          <w:top w:val="double" w:sz="4" w:space="0" w:color="125A40" w:themeColor="accent2"/>
        </w:tcBorders>
      </w:tc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ListTable6Colorful-Accent3">
    <w:name w:val="List Table 6 Colorful Accent 3"/>
    <w:basedOn w:val="TableNormal"/>
    <w:uiPriority w:val="51"/>
    <w:rsid w:val="00920D86"/>
    <w:pPr>
      <w:spacing w:line="240" w:lineRule="auto"/>
    </w:pPr>
    <w:rPr>
      <w:color w:val="7CB456" w:themeColor="accent3" w:themeShade="BF"/>
    </w:rPr>
    <w:tblPr>
      <w:tblStyleRowBandSize w:val="1"/>
      <w:tblStyleColBandSize w:val="1"/>
      <w:tblBorders>
        <w:top w:val="single" w:sz="4" w:space="0" w:color="ADD095" w:themeColor="accent3"/>
        <w:bottom w:val="single" w:sz="4" w:space="0" w:color="ADD095" w:themeColor="accent3"/>
      </w:tblBorders>
    </w:tblPr>
    <w:tblStylePr w:type="firstRow">
      <w:rPr>
        <w:b/>
        <w:bCs/>
      </w:rPr>
      <w:tblPr/>
      <w:tcPr>
        <w:tcBorders>
          <w:bottom w:val="single" w:sz="4" w:space="0" w:color="ADD095" w:themeColor="accent3"/>
        </w:tcBorders>
      </w:tcPr>
    </w:tblStylePr>
    <w:tblStylePr w:type="lastRow">
      <w:rPr>
        <w:b/>
        <w:bCs/>
      </w:rPr>
      <w:tblPr/>
      <w:tcPr>
        <w:tcBorders>
          <w:top w:val="double" w:sz="4" w:space="0" w:color="ADD095" w:themeColor="accent3"/>
        </w:tcBorders>
      </w:tc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ListTable6Colorful-Accent4">
    <w:name w:val="List Table 6 Colorful Accent 4"/>
    <w:basedOn w:val="TableNormal"/>
    <w:uiPriority w:val="51"/>
    <w:rsid w:val="00920D86"/>
    <w:pPr>
      <w:spacing w:line="240" w:lineRule="auto"/>
    </w:pPr>
    <w:rPr>
      <w:color w:val="491E38" w:themeColor="accent4" w:themeShade="BF"/>
    </w:rPr>
    <w:tblPr>
      <w:tblStyleRowBandSize w:val="1"/>
      <w:tblStyleColBandSize w:val="1"/>
      <w:tblBorders>
        <w:top w:val="single" w:sz="4" w:space="0" w:color="62294B" w:themeColor="accent4"/>
        <w:bottom w:val="single" w:sz="4" w:space="0" w:color="62294B" w:themeColor="accent4"/>
      </w:tblBorders>
    </w:tblPr>
    <w:tblStylePr w:type="firstRow">
      <w:rPr>
        <w:b/>
        <w:bCs/>
      </w:rPr>
      <w:tblPr/>
      <w:tcPr>
        <w:tcBorders>
          <w:bottom w:val="single" w:sz="4" w:space="0" w:color="62294B" w:themeColor="accent4"/>
        </w:tcBorders>
      </w:tcPr>
    </w:tblStylePr>
    <w:tblStylePr w:type="lastRow">
      <w:rPr>
        <w:b/>
        <w:bCs/>
      </w:rPr>
      <w:tblPr/>
      <w:tcPr>
        <w:tcBorders>
          <w:top w:val="double" w:sz="4" w:space="0" w:color="62294B" w:themeColor="accent4"/>
        </w:tcBorders>
      </w:tc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ListTable6Colorful-Accent5">
    <w:name w:val="List Table 6 Colorful Accent 5"/>
    <w:basedOn w:val="TableNormal"/>
    <w:uiPriority w:val="51"/>
    <w:rsid w:val="00920D86"/>
    <w:pPr>
      <w:spacing w:line="240" w:lineRule="auto"/>
    </w:pPr>
    <w:rPr>
      <w:color w:val="FE4B00" w:themeColor="accent5" w:themeShade="BF"/>
    </w:rPr>
    <w:tblPr>
      <w:tblStyleRowBandSize w:val="1"/>
      <w:tblStyleColBandSize w:val="1"/>
      <w:tblBorders>
        <w:top w:val="single" w:sz="4" w:space="0" w:color="FF8855" w:themeColor="accent5"/>
        <w:bottom w:val="single" w:sz="4" w:space="0" w:color="FF8855" w:themeColor="accent5"/>
      </w:tblBorders>
    </w:tblPr>
    <w:tblStylePr w:type="firstRow">
      <w:rPr>
        <w:b/>
        <w:bCs/>
      </w:rPr>
      <w:tblPr/>
      <w:tcPr>
        <w:tcBorders>
          <w:bottom w:val="single" w:sz="4" w:space="0" w:color="FF8855" w:themeColor="accent5"/>
        </w:tcBorders>
      </w:tcPr>
    </w:tblStylePr>
    <w:tblStylePr w:type="lastRow">
      <w:rPr>
        <w:b/>
        <w:bCs/>
      </w:rPr>
      <w:tblPr/>
      <w:tcPr>
        <w:tcBorders>
          <w:top w:val="double" w:sz="4" w:space="0" w:color="FF8855" w:themeColor="accent5"/>
        </w:tcBorders>
      </w:tc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ListTable6Colorful-Accent6">
    <w:name w:val="List Table 6 Colorful Accent 6"/>
    <w:basedOn w:val="TableNormal"/>
    <w:uiPriority w:val="51"/>
    <w:rsid w:val="00920D86"/>
    <w:pPr>
      <w:spacing w:line="240" w:lineRule="auto"/>
    </w:pPr>
    <w:rPr>
      <w:color w:val="B4AF97" w:themeColor="accent6" w:themeShade="BF"/>
    </w:rPr>
    <w:tblPr>
      <w:tblStyleRowBandSize w:val="1"/>
      <w:tblStyleColBandSize w:val="1"/>
      <w:tblBorders>
        <w:top w:val="single" w:sz="4" w:space="0" w:color="E3E1D8" w:themeColor="accent6"/>
        <w:bottom w:val="single" w:sz="4" w:space="0" w:color="E3E1D8" w:themeColor="accent6"/>
      </w:tblBorders>
    </w:tblPr>
    <w:tblStylePr w:type="firstRow">
      <w:rPr>
        <w:b/>
        <w:bCs/>
      </w:rPr>
      <w:tblPr/>
      <w:tcPr>
        <w:tcBorders>
          <w:bottom w:val="single" w:sz="4" w:space="0" w:color="E3E1D8" w:themeColor="accent6"/>
        </w:tcBorders>
      </w:tcPr>
    </w:tblStylePr>
    <w:tblStylePr w:type="lastRow">
      <w:rPr>
        <w:b/>
        <w:bCs/>
      </w:rPr>
      <w:tblPr/>
      <w:tcPr>
        <w:tcBorders>
          <w:top w:val="double" w:sz="4" w:space="0" w:color="E3E1D8" w:themeColor="accent6"/>
        </w:tcBorders>
      </w:tc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ListTable7Colorful">
    <w:name w:val="List Table 7 Colorful"/>
    <w:basedOn w:val="TableNormal"/>
    <w:uiPriority w:val="52"/>
    <w:rsid w:val="00920D86"/>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920D86"/>
    <w:pPr>
      <w:spacing w:line="240" w:lineRule="auto"/>
    </w:pPr>
    <w:rPr>
      <w:color w:val="032552"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5326E"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5326E"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5326E"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5326E" w:themeColor="accent1"/>
        </w:tcBorders>
        <w:shd w:val="clear" w:color="auto" w:fill="FFFFFF" w:themeFill="background1"/>
      </w:tcPr>
    </w:tblStylePr>
    <w:tblStylePr w:type="band1Vert">
      <w:tblPr/>
      <w:tcPr>
        <w:shd w:val="clear" w:color="auto" w:fill="B3D2FB" w:themeFill="accent1" w:themeFillTint="33"/>
      </w:tcPr>
    </w:tblStylePr>
    <w:tblStylePr w:type="band1Horz">
      <w:tblPr/>
      <w:tcPr>
        <w:shd w:val="clear" w:color="auto" w:fill="B3D2FB"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920D86"/>
    <w:pPr>
      <w:spacing w:line="240" w:lineRule="auto"/>
    </w:pPr>
    <w:rPr>
      <w:color w:val="0D432F"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125A40"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125A40"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125A40"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125A40" w:themeColor="accent2"/>
        </w:tcBorders>
        <w:shd w:val="clear" w:color="auto" w:fill="FFFFFF" w:themeFill="background1"/>
      </w:tcPr>
    </w:tblStylePr>
    <w:tblStylePr w:type="band1Vert">
      <w:tblPr/>
      <w:tcPr>
        <w:shd w:val="clear" w:color="auto" w:fill="BBF1DD" w:themeFill="accent2" w:themeFillTint="33"/>
      </w:tcPr>
    </w:tblStylePr>
    <w:tblStylePr w:type="band1Horz">
      <w:tblPr/>
      <w:tcPr>
        <w:shd w:val="clear" w:color="auto" w:fill="BBF1DD"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920D86"/>
    <w:pPr>
      <w:spacing w:line="240" w:lineRule="auto"/>
    </w:pPr>
    <w:rPr>
      <w:color w:val="7CB456"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DD09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DD09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DD09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DD095" w:themeColor="accent3"/>
        </w:tcBorders>
        <w:shd w:val="clear" w:color="auto" w:fill="FFFFFF" w:themeFill="background1"/>
      </w:tcPr>
    </w:tblStylePr>
    <w:tblStylePr w:type="band1Vert">
      <w:tblPr/>
      <w:tcPr>
        <w:shd w:val="clear" w:color="auto" w:fill="EEF5E9" w:themeFill="accent3" w:themeFillTint="33"/>
      </w:tcPr>
    </w:tblStylePr>
    <w:tblStylePr w:type="band1Horz">
      <w:tblPr/>
      <w:tcPr>
        <w:shd w:val="clear" w:color="auto" w:fill="EEF5E9"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920D86"/>
    <w:pPr>
      <w:spacing w:line="240" w:lineRule="auto"/>
    </w:pPr>
    <w:rPr>
      <w:color w:val="491E38"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62294B"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62294B"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62294B"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62294B" w:themeColor="accent4"/>
        </w:tcBorders>
        <w:shd w:val="clear" w:color="auto" w:fill="FFFFFF" w:themeFill="background1"/>
      </w:tcPr>
    </w:tblStylePr>
    <w:tblStylePr w:type="band1Vert">
      <w:tblPr/>
      <w:tcPr>
        <w:shd w:val="clear" w:color="auto" w:fill="E9CADC" w:themeFill="accent4" w:themeFillTint="33"/>
      </w:tcPr>
    </w:tblStylePr>
    <w:tblStylePr w:type="band1Horz">
      <w:tblPr/>
      <w:tcPr>
        <w:shd w:val="clear" w:color="auto" w:fill="E9CAD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920D86"/>
    <w:pPr>
      <w:spacing w:line="240" w:lineRule="auto"/>
    </w:pPr>
    <w:rPr>
      <w:color w:val="FE4B00"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885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885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885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8855" w:themeColor="accent5"/>
        </w:tcBorders>
        <w:shd w:val="clear" w:color="auto" w:fill="FFFFFF" w:themeFill="background1"/>
      </w:tcPr>
    </w:tblStylePr>
    <w:tblStylePr w:type="band1Vert">
      <w:tblPr/>
      <w:tcPr>
        <w:shd w:val="clear" w:color="auto" w:fill="FFE7DD" w:themeFill="accent5" w:themeFillTint="33"/>
      </w:tcPr>
    </w:tblStylePr>
    <w:tblStylePr w:type="band1Horz">
      <w:tblPr/>
      <w:tcPr>
        <w:shd w:val="clear" w:color="auto" w:fill="FFE7DD"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920D86"/>
    <w:pPr>
      <w:spacing w:line="240" w:lineRule="auto"/>
    </w:pPr>
    <w:rPr>
      <w:color w:val="B4AF97"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3E1D8"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3E1D8"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3E1D8"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3E1D8" w:themeColor="accent6"/>
        </w:tcBorders>
        <w:shd w:val="clear" w:color="auto" w:fill="FFFFFF" w:themeFill="background1"/>
      </w:tcPr>
    </w:tblStylePr>
    <w:tblStylePr w:type="band1Vert">
      <w:tblPr/>
      <w:tcPr>
        <w:shd w:val="clear" w:color="auto" w:fill="F9F8F7" w:themeFill="accent6" w:themeFillTint="33"/>
      </w:tcPr>
    </w:tblStylePr>
    <w:tblStylePr w:type="band1Horz">
      <w:tblPr/>
      <w:tcPr>
        <w:shd w:val="clear" w:color="auto" w:fill="F9F8F7"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rsid w:val="00920D86"/>
    <w:pPr>
      <w:tabs>
        <w:tab w:val="left" w:pos="480"/>
        <w:tab w:val="left" w:pos="960"/>
        <w:tab w:val="left" w:pos="1440"/>
        <w:tab w:val="left" w:pos="1920"/>
        <w:tab w:val="left" w:pos="2400"/>
        <w:tab w:val="left" w:pos="2880"/>
        <w:tab w:val="left" w:pos="3360"/>
        <w:tab w:val="left" w:pos="3840"/>
        <w:tab w:val="left" w:pos="4320"/>
      </w:tabs>
    </w:pPr>
    <w:rPr>
      <w:rFonts w:ascii="Consolas" w:hAnsi="Consolas"/>
      <w:sz w:val="20"/>
      <w:szCs w:val="20"/>
      <w:lang w:val="en-US"/>
    </w:rPr>
  </w:style>
  <w:style w:type="character" w:customStyle="1" w:styleId="MacroTextChar">
    <w:name w:val="Macro Text Char"/>
    <w:basedOn w:val="DefaultParagraphFont"/>
    <w:link w:val="MacroText"/>
    <w:uiPriority w:val="99"/>
    <w:rsid w:val="00920D86"/>
    <w:rPr>
      <w:rFonts w:ascii="Consolas" w:hAnsi="Consolas"/>
      <w:sz w:val="20"/>
      <w:szCs w:val="20"/>
      <w:lang w:val="en-US"/>
    </w:rPr>
  </w:style>
  <w:style w:type="table" w:styleId="MediumGrid1">
    <w:name w:val="Medium Grid 1"/>
    <w:basedOn w:val="TableNormal"/>
    <w:uiPriority w:val="67"/>
    <w:unhideWhenUsed/>
    <w:rsid w:val="00920D86"/>
    <w:pPr>
      <w:spacing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unhideWhenUsed/>
    <w:rsid w:val="00920D86"/>
    <w:pPr>
      <w:spacing w:line="240" w:lineRule="auto"/>
    </w:pPr>
    <w:tblPr>
      <w:tblStyleRowBandSize w:val="1"/>
      <w:tblStyleColBandSize w:val="1"/>
      <w:tblBorders>
        <w:top w:val="single" w:sz="8" w:space="0" w:color="095CCC" w:themeColor="accent1" w:themeTint="BF"/>
        <w:left w:val="single" w:sz="8" w:space="0" w:color="095CCC" w:themeColor="accent1" w:themeTint="BF"/>
        <w:bottom w:val="single" w:sz="8" w:space="0" w:color="095CCC" w:themeColor="accent1" w:themeTint="BF"/>
        <w:right w:val="single" w:sz="8" w:space="0" w:color="095CCC" w:themeColor="accent1" w:themeTint="BF"/>
        <w:insideH w:val="single" w:sz="8" w:space="0" w:color="095CCC" w:themeColor="accent1" w:themeTint="BF"/>
        <w:insideV w:val="single" w:sz="8" w:space="0" w:color="095CCC" w:themeColor="accent1" w:themeTint="BF"/>
      </w:tblBorders>
    </w:tblPr>
    <w:tcPr>
      <w:shd w:val="clear" w:color="auto" w:fill="A1C7FA" w:themeFill="accent1" w:themeFillTint="3F"/>
    </w:tcPr>
    <w:tblStylePr w:type="firstRow">
      <w:rPr>
        <w:b/>
        <w:bCs/>
      </w:rPr>
    </w:tblStylePr>
    <w:tblStylePr w:type="lastRow">
      <w:rPr>
        <w:b/>
        <w:bCs/>
      </w:rPr>
      <w:tblPr/>
      <w:tcPr>
        <w:tcBorders>
          <w:top w:val="single" w:sz="18" w:space="0" w:color="095CCC" w:themeColor="accent1" w:themeTint="BF"/>
        </w:tcBorders>
      </w:tcPr>
    </w:tblStylePr>
    <w:tblStylePr w:type="firstCol">
      <w:rPr>
        <w:b/>
        <w:bCs/>
      </w:rPr>
    </w:tblStylePr>
    <w:tblStylePr w:type="lastCol">
      <w:rPr>
        <w:b/>
        <w:bCs/>
      </w:rPr>
    </w:tblStylePr>
    <w:tblStylePr w:type="band1Vert">
      <w:tblPr/>
      <w:tcPr>
        <w:shd w:val="clear" w:color="auto" w:fill="428FF6" w:themeFill="accent1" w:themeFillTint="7F"/>
      </w:tcPr>
    </w:tblStylePr>
    <w:tblStylePr w:type="band1Horz">
      <w:tblPr/>
      <w:tcPr>
        <w:shd w:val="clear" w:color="auto" w:fill="428FF6" w:themeFill="accent1" w:themeFillTint="7F"/>
      </w:tcPr>
    </w:tblStylePr>
  </w:style>
  <w:style w:type="table" w:styleId="MediumGrid1-Accent2">
    <w:name w:val="Medium Grid 1 Accent 2"/>
    <w:basedOn w:val="TableNormal"/>
    <w:uiPriority w:val="67"/>
    <w:unhideWhenUsed/>
    <w:rsid w:val="00920D86"/>
    <w:pPr>
      <w:spacing w:line="240" w:lineRule="auto"/>
    </w:pPr>
    <w:tblPr>
      <w:tblStyleRowBandSize w:val="1"/>
      <w:tblStyleColBandSize w:val="1"/>
      <w:tblBorders>
        <w:top w:val="single" w:sz="8" w:space="0" w:color="22AD7B" w:themeColor="accent2" w:themeTint="BF"/>
        <w:left w:val="single" w:sz="8" w:space="0" w:color="22AD7B" w:themeColor="accent2" w:themeTint="BF"/>
        <w:bottom w:val="single" w:sz="8" w:space="0" w:color="22AD7B" w:themeColor="accent2" w:themeTint="BF"/>
        <w:right w:val="single" w:sz="8" w:space="0" w:color="22AD7B" w:themeColor="accent2" w:themeTint="BF"/>
        <w:insideH w:val="single" w:sz="8" w:space="0" w:color="22AD7B" w:themeColor="accent2" w:themeTint="BF"/>
        <w:insideV w:val="single" w:sz="8" w:space="0" w:color="22AD7B" w:themeColor="accent2" w:themeTint="BF"/>
      </w:tblBorders>
    </w:tblPr>
    <w:tcPr>
      <w:shd w:val="clear" w:color="auto" w:fill="ACEED6" w:themeFill="accent2" w:themeFillTint="3F"/>
    </w:tcPr>
    <w:tblStylePr w:type="firstRow">
      <w:rPr>
        <w:b/>
        <w:bCs/>
      </w:rPr>
    </w:tblStylePr>
    <w:tblStylePr w:type="lastRow">
      <w:rPr>
        <w:b/>
        <w:bCs/>
      </w:rPr>
      <w:tblPr/>
      <w:tcPr>
        <w:tcBorders>
          <w:top w:val="single" w:sz="18" w:space="0" w:color="22AD7B" w:themeColor="accent2" w:themeTint="BF"/>
        </w:tcBorders>
      </w:tcPr>
    </w:tblStylePr>
    <w:tblStylePr w:type="firstCol">
      <w:rPr>
        <w:b/>
        <w:bCs/>
      </w:rPr>
    </w:tblStylePr>
    <w:tblStylePr w:type="lastCol">
      <w:rPr>
        <w:b/>
        <w:bCs/>
      </w:rPr>
    </w:tblStylePr>
    <w:tblStylePr w:type="band1Vert">
      <w:tblPr/>
      <w:tcPr>
        <w:shd w:val="clear" w:color="auto" w:fill="58DDAC" w:themeFill="accent2" w:themeFillTint="7F"/>
      </w:tcPr>
    </w:tblStylePr>
    <w:tblStylePr w:type="band1Horz">
      <w:tblPr/>
      <w:tcPr>
        <w:shd w:val="clear" w:color="auto" w:fill="58DDAC" w:themeFill="accent2" w:themeFillTint="7F"/>
      </w:tcPr>
    </w:tblStylePr>
  </w:style>
  <w:style w:type="table" w:styleId="MediumGrid1-Accent3">
    <w:name w:val="Medium Grid 1 Accent 3"/>
    <w:basedOn w:val="TableNormal"/>
    <w:uiPriority w:val="67"/>
    <w:unhideWhenUsed/>
    <w:rsid w:val="00920D86"/>
    <w:pPr>
      <w:spacing w:line="240" w:lineRule="auto"/>
    </w:pPr>
    <w:tblPr>
      <w:tblStyleRowBandSize w:val="1"/>
      <w:tblStyleColBandSize w:val="1"/>
      <w:tblBorders>
        <w:top w:val="single" w:sz="8" w:space="0" w:color="C1DBAF" w:themeColor="accent3" w:themeTint="BF"/>
        <w:left w:val="single" w:sz="8" w:space="0" w:color="C1DBAF" w:themeColor="accent3" w:themeTint="BF"/>
        <w:bottom w:val="single" w:sz="8" w:space="0" w:color="C1DBAF" w:themeColor="accent3" w:themeTint="BF"/>
        <w:right w:val="single" w:sz="8" w:space="0" w:color="C1DBAF" w:themeColor="accent3" w:themeTint="BF"/>
        <w:insideH w:val="single" w:sz="8" w:space="0" w:color="C1DBAF" w:themeColor="accent3" w:themeTint="BF"/>
        <w:insideV w:val="single" w:sz="8" w:space="0" w:color="C1DBAF" w:themeColor="accent3" w:themeTint="BF"/>
      </w:tblBorders>
    </w:tblPr>
    <w:tcPr>
      <w:shd w:val="clear" w:color="auto" w:fill="EAF3E4" w:themeFill="accent3" w:themeFillTint="3F"/>
    </w:tcPr>
    <w:tblStylePr w:type="firstRow">
      <w:rPr>
        <w:b/>
        <w:bCs/>
      </w:rPr>
    </w:tblStylePr>
    <w:tblStylePr w:type="lastRow">
      <w:rPr>
        <w:b/>
        <w:bCs/>
      </w:rPr>
      <w:tblPr/>
      <w:tcPr>
        <w:tcBorders>
          <w:top w:val="single" w:sz="18" w:space="0" w:color="C1DBAF" w:themeColor="accent3" w:themeTint="BF"/>
        </w:tcBorders>
      </w:tcPr>
    </w:tblStylePr>
    <w:tblStylePr w:type="firstCol">
      <w:rPr>
        <w:b/>
        <w:bCs/>
      </w:rPr>
    </w:tblStylePr>
    <w:tblStylePr w:type="lastCol">
      <w:rPr>
        <w:b/>
        <w:bCs/>
      </w:rPr>
    </w:tblStylePr>
    <w:tblStylePr w:type="band1Vert">
      <w:tblPr/>
      <w:tcPr>
        <w:shd w:val="clear" w:color="auto" w:fill="D5E7CA" w:themeFill="accent3" w:themeFillTint="7F"/>
      </w:tcPr>
    </w:tblStylePr>
    <w:tblStylePr w:type="band1Horz">
      <w:tblPr/>
      <w:tcPr>
        <w:shd w:val="clear" w:color="auto" w:fill="D5E7CA" w:themeFill="accent3" w:themeFillTint="7F"/>
      </w:tcPr>
    </w:tblStylePr>
  </w:style>
  <w:style w:type="table" w:styleId="MediumGrid1-Accent4">
    <w:name w:val="Medium Grid 1 Accent 4"/>
    <w:basedOn w:val="TableNormal"/>
    <w:uiPriority w:val="67"/>
    <w:unhideWhenUsed/>
    <w:rsid w:val="00920D86"/>
    <w:pPr>
      <w:spacing w:line="240" w:lineRule="auto"/>
    </w:pPr>
    <w:tblPr>
      <w:tblStyleRowBandSize w:val="1"/>
      <w:tblStyleColBandSize w:val="1"/>
      <w:tblBorders>
        <w:top w:val="single" w:sz="8" w:space="0" w:color="A3447D" w:themeColor="accent4" w:themeTint="BF"/>
        <w:left w:val="single" w:sz="8" w:space="0" w:color="A3447D" w:themeColor="accent4" w:themeTint="BF"/>
        <w:bottom w:val="single" w:sz="8" w:space="0" w:color="A3447D" w:themeColor="accent4" w:themeTint="BF"/>
        <w:right w:val="single" w:sz="8" w:space="0" w:color="A3447D" w:themeColor="accent4" w:themeTint="BF"/>
        <w:insideH w:val="single" w:sz="8" w:space="0" w:color="A3447D" w:themeColor="accent4" w:themeTint="BF"/>
        <w:insideV w:val="single" w:sz="8" w:space="0" w:color="A3447D" w:themeColor="accent4" w:themeTint="BF"/>
      </w:tblBorders>
    </w:tblPr>
    <w:tcPr>
      <w:shd w:val="clear" w:color="auto" w:fill="E4BED4" w:themeFill="accent4" w:themeFillTint="3F"/>
    </w:tcPr>
    <w:tblStylePr w:type="firstRow">
      <w:rPr>
        <w:b/>
        <w:bCs/>
      </w:rPr>
    </w:tblStylePr>
    <w:tblStylePr w:type="lastRow">
      <w:rPr>
        <w:b/>
        <w:bCs/>
      </w:rPr>
      <w:tblPr/>
      <w:tcPr>
        <w:tcBorders>
          <w:top w:val="single" w:sz="18" w:space="0" w:color="A3447D" w:themeColor="accent4" w:themeTint="BF"/>
        </w:tcBorders>
      </w:tcPr>
    </w:tblStylePr>
    <w:tblStylePr w:type="firstCol">
      <w:rPr>
        <w:b/>
        <w:bCs/>
      </w:rPr>
    </w:tblStylePr>
    <w:tblStylePr w:type="lastCol">
      <w:rPr>
        <w:b/>
        <w:bCs/>
      </w:rPr>
    </w:tblStylePr>
    <w:tblStylePr w:type="band1Vert">
      <w:tblPr/>
      <w:tcPr>
        <w:shd w:val="clear" w:color="auto" w:fill="C87CA9" w:themeFill="accent4" w:themeFillTint="7F"/>
      </w:tcPr>
    </w:tblStylePr>
    <w:tblStylePr w:type="band1Horz">
      <w:tblPr/>
      <w:tcPr>
        <w:shd w:val="clear" w:color="auto" w:fill="C87CA9" w:themeFill="accent4" w:themeFillTint="7F"/>
      </w:tcPr>
    </w:tblStylePr>
  </w:style>
  <w:style w:type="table" w:styleId="MediumGrid1-Accent5">
    <w:name w:val="Medium Grid 1 Accent 5"/>
    <w:basedOn w:val="TableNormal"/>
    <w:uiPriority w:val="67"/>
    <w:unhideWhenUsed/>
    <w:rsid w:val="00920D86"/>
    <w:pPr>
      <w:spacing w:line="240" w:lineRule="auto"/>
    </w:pPr>
    <w:tblPr>
      <w:tblStyleRowBandSize w:val="1"/>
      <w:tblStyleColBandSize w:val="1"/>
      <w:tblBorders>
        <w:top w:val="single" w:sz="8" w:space="0" w:color="FFA57F" w:themeColor="accent5" w:themeTint="BF"/>
        <w:left w:val="single" w:sz="8" w:space="0" w:color="FFA57F" w:themeColor="accent5" w:themeTint="BF"/>
        <w:bottom w:val="single" w:sz="8" w:space="0" w:color="FFA57F" w:themeColor="accent5" w:themeTint="BF"/>
        <w:right w:val="single" w:sz="8" w:space="0" w:color="FFA57F" w:themeColor="accent5" w:themeTint="BF"/>
        <w:insideH w:val="single" w:sz="8" w:space="0" w:color="FFA57F" w:themeColor="accent5" w:themeTint="BF"/>
        <w:insideV w:val="single" w:sz="8" w:space="0" w:color="FFA57F" w:themeColor="accent5" w:themeTint="BF"/>
      </w:tblBorders>
    </w:tblPr>
    <w:tcPr>
      <w:shd w:val="clear" w:color="auto" w:fill="FFE1D5" w:themeFill="accent5" w:themeFillTint="3F"/>
    </w:tcPr>
    <w:tblStylePr w:type="firstRow">
      <w:rPr>
        <w:b/>
        <w:bCs/>
      </w:rPr>
    </w:tblStylePr>
    <w:tblStylePr w:type="lastRow">
      <w:rPr>
        <w:b/>
        <w:bCs/>
      </w:rPr>
      <w:tblPr/>
      <w:tcPr>
        <w:tcBorders>
          <w:top w:val="single" w:sz="18" w:space="0" w:color="FFA57F" w:themeColor="accent5" w:themeTint="BF"/>
        </w:tcBorders>
      </w:tcPr>
    </w:tblStylePr>
    <w:tblStylePr w:type="firstCol">
      <w:rPr>
        <w:b/>
        <w:bCs/>
      </w:rPr>
    </w:tblStylePr>
    <w:tblStylePr w:type="lastCol">
      <w:rPr>
        <w:b/>
        <w:bCs/>
      </w:rPr>
    </w:tblStylePr>
    <w:tblStylePr w:type="band1Vert">
      <w:tblPr/>
      <w:tcPr>
        <w:shd w:val="clear" w:color="auto" w:fill="FFC3AA" w:themeFill="accent5" w:themeFillTint="7F"/>
      </w:tcPr>
    </w:tblStylePr>
    <w:tblStylePr w:type="band1Horz">
      <w:tblPr/>
      <w:tcPr>
        <w:shd w:val="clear" w:color="auto" w:fill="FFC3AA" w:themeFill="accent5" w:themeFillTint="7F"/>
      </w:tcPr>
    </w:tblStylePr>
  </w:style>
  <w:style w:type="table" w:styleId="MediumGrid1-Accent6">
    <w:name w:val="Medium Grid 1 Accent 6"/>
    <w:basedOn w:val="TableNormal"/>
    <w:uiPriority w:val="67"/>
    <w:unhideWhenUsed/>
    <w:rsid w:val="00920D86"/>
    <w:pPr>
      <w:spacing w:line="240" w:lineRule="auto"/>
    </w:pPr>
    <w:tblPr>
      <w:tblStyleRowBandSize w:val="1"/>
      <w:tblStyleColBandSize w:val="1"/>
      <w:tblBorders>
        <w:top w:val="single" w:sz="8" w:space="0" w:color="EAE8E1" w:themeColor="accent6" w:themeTint="BF"/>
        <w:left w:val="single" w:sz="8" w:space="0" w:color="EAE8E1" w:themeColor="accent6" w:themeTint="BF"/>
        <w:bottom w:val="single" w:sz="8" w:space="0" w:color="EAE8E1" w:themeColor="accent6" w:themeTint="BF"/>
        <w:right w:val="single" w:sz="8" w:space="0" w:color="EAE8E1" w:themeColor="accent6" w:themeTint="BF"/>
        <w:insideH w:val="single" w:sz="8" w:space="0" w:color="EAE8E1" w:themeColor="accent6" w:themeTint="BF"/>
        <w:insideV w:val="single" w:sz="8" w:space="0" w:color="EAE8E1" w:themeColor="accent6" w:themeTint="BF"/>
      </w:tblBorders>
    </w:tblPr>
    <w:tcPr>
      <w:shd w:val="clear" w:color="auto" w:fill="F8F7F5" w:themeFill="accent6" w:themeFillTint="3F"/>
    </w:tcPr>
    <w:tblStylePr w:type="firstRow">
      <w:rPr>
        <w:b/>
        <w:bCs/>
      </w:rPr>
    </w:tblStylePr>
    <w:tblStylePr w:type="lastRow">
      <w:rPr>
        <w:b/>
        <w:bCs/>
      </w:rPr>
      <w:tblPr/>
      <w:tcPr>
        <w:tcBorders>
          <w:top w:val="single" w:sz="18" w:space="0" w:color="EAE8E1" w:themeColor="accent6" w:themeTint="BF"/>
        </w:tcBorders>
      </w:tcPr>
    </w:tblStylePr>
    <w:tblStylePr w:type="firstCol">
      <w:rPr>
        <w:b/>
        <w:bCs/>
      </w:rPr>
    </w:tblStylePr>
    <w:tblStylePr w:type="lastCol">
      <w:rPr>
        <w:b/>
        <w:bCs/>
      </w:rPr>
    </w:tblStylePr>
    <w:tblStylePr w:type="band1Vert">
      <w:tblPr/>
      <w:tcPr>
        <w:shd w:val="clear" w:color="auto" w:fill="F1EFEB" w:themeFill="accent6" w:themeFillTint="7F"/>
      </w:tcPr>
    </w:tblStylePr>
    <w:tblStylePr w:type="band1Horz">
      <w:tblPr/>
      <w:tcPr>
        <w:shd w:val="clear" w:color="auto" w:fill="F1EFEB" w:themeFill="accent6" w:themeFillTint="7F"/>
      </w:tcPr>
    </w:tblStylePr>
  </w:style>
  <w:style w:type="table" w:styleId="MediumGrid2">
    <w:name w:val="Medium Grid 2"/>
    <w:basedOn w:val="TableNormal"/>
    <w:uiPriority w:val="68"/>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5326E" w:themeColor="accent1"/>
        <w:left w:val="single" w:sz="8" w:space="0" w:color="05326E" w:themeColor="accent1"/>
        <w:bottom w:val="single" w:sz="8" w:space="0" w:color="05326E" w:themeColor="accent1"/>
        <w:right w:val="single" w:sz="8" w:space="0" w:color="05326E" w:themeColor="accent1"/>
        <w:insideH w:val="single" w:sz="8" w:space="0" w:color="05326E" w:themeColor="accent1"/>
        <w:insideV w:val="single" w:sz="8" w:space="0" w:color="05326E" w:themeColor="accent1"/>
      </w:tblBorders>
    </w:tblPr>
    <w:tcPr>
      <w:shd w:val="clear" w:color="auto" w:fill="A1C7FA" w:themeFill="accent1" w:themeFillTint="3F"/>
    </w:tcPr>
    <w:tblStylePr w:type="firstRow">
      <w:rPr>
        <w:b/>
        <w:bCs/>
        <w:color w:val="000000" w:themeColor="text1"/>
      </w:rPr>
      <w:tblPr/>
      <w:tcPr>
        <w:shd w:val="clear" w:color="auto" w:fill="D9E8FD"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3D2FB" w:themeFill="accent1" w:themeFillTint="33"/>
      </w:tcPr>
    </w:tblStylePr>
    <w:tblStylePr w:type="band1Vert">
      <w:tblPr/>
      <w:tcPr>
        <w:shd w:val="clear" w:color="auto" w:fill="428FF6" w:themeFill="accent1" w:themeFillTint="7F"/>
      </w:tcPr>
    </w:tblStylePr>
    <w:tblStylePr w:type="band1Horz">
      <w:tblPr/>
      <w:tcPr>
        <w:tcBorders>
          <w:insideH w:val="single" w:sz="6" w:space="0" w:color="05326E" w:themeColor="accent1"/>
          <w:insideV w:val="single" w:sz="6" w:space="0" w:color="05326E" w:themeColor="accent1"/>
        </w:tcBorders>
        <w:shd w:val="clear" w:color="auto" w:fill="428FF6"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125A40" w:themeColor="accent2"/>
        <w:left w:val="single" w:sz="8" w:space="0" w:color="125A40" w:themeColor="accent2"/>
        <w:bottom w:val="single" w:sz="8" w:space="0" w:color="125A40" w:themeColor="accent2"/>
        <w:right w:val="single" w:sz="8" w:space="0" w:color="125A40" w:themeColor="accent2"/>
        <w:insideH w:val="single" w:sz="8" w:space="0" w:color="125A40" w:themeColor="accent2"/>
        <w:insideV w:val="single" w:sz="8" w:space="0" w:color="125A40" w:themeColor="accent2"/>
      </w:tblBorders>
    </w:tblPr>
    <w:tcPr>
      <w:shd w:val="clear" w:color="auto" w:fill="ACEED6" w:themeFill="accent2" w:themeFillTint="3F"/>
    </w:tcPr>
    <w:tblStylePr w:type="firstRow">
      <w:rPr>
        <w:b/>
        <w:bCs/>
        <w:color w:val="000000" w:themeColor="text1"/>
      </w:rPr>
      <w:tblPr/>
      <w:tcPr>
        <w:shd w:val="clear" w:color="auto" w:fill="DDF8EE"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BF1DD" w:themeFill="accent2" w:themeFillTint="33"/>
      </w:tcPr>
    </w:tblStylePr>
    <w:tblStylePr w:type="band1Vert">
      <w:tblPr/>
      <w:tcPr>
        <w:shd w:val="clear" w:color="auto" w:fill="58DDAC" w:themeFill="accent2" w:themeFillTint="7F"/>
      </w:tcPr>
    </w:tblStylePr>
    <w:tblStylePr w:type="band1Horz">
      <w:tblPr/>
      <w:tcPr>
        <w:tcBorders>
          <w:insideH w:val="single" w:sz="6" w:space="0" w:color="125A40" w:themeColor="accent2"/>
          <w:insideV w:val="single" w:sz="6" w:space="0" w:color="125A40" w:themeColor="accent2"/>
        </w:tcBorders>
        <w:shd w:val="clear" w:color="auto" w:fill="58DDAC"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DD095" w:themeColor="accent3"/>
        <w:left w:val="single" w:sz="8" w:space="0" w:color="ADD095" w:themeColor="accent3"/>
        <w:bottom w:val="single" w:sz="8" w:space="0" w:color="ADD095" w:themeColor="accent3"/>
        <w:right w:val="single" w:sz="8" w:space="0" w:color="ADD095" w:themeColor="accent3"/>
        <w:insideH w:val="single" w:sz="8" w:space="0" w:color="ADD095" w:themeColor="accent3"/>
        <w:insideV w:val="single" w:sz="8" w:space="0" w:color="ADD095" w:themeColor="accent3"/>
      </w:tblBorders>
    </w:tblPr>
    <w:tcPr>
      <w:shd w:val="clear" w:color="auto" w:fill="EAF3E4" w:themeFill="accent3" w:themeFillTint="3F"/>
    </w:tcPr>
    <w:tblStylePr w:type="firstRow">
      <w:rPr>
        <w:b/>
        <w:bCs/>
        <w:color w:val="000000" w:themeColor="text1"/>
      </w:rPr>
      <w:tblPr/>
      <w:tcPr>
        <w:shd w:val="clear" w:color="auto" w:fill="F6FAF4"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EF5E9" w:themeFill="accent3" w:themeFillTint="33"/>
      </w:tcPr>
    </w:tblStylePr>
    <w:tblStylePr w:type="band1Vert">
      <w:tblPr/>
      <w:tcPr>
        <w:shd w:val="clear" w:color="auto" w:fill="D5E7CA" w:themeFill="accent3" w:themeFillTint="7F"/>
      </w:tcPr>
    </w:tblStylePr>
    <w:tblStylePr w:type="band1Horz">
      <w:tblPr/>
      <w:tcPr>
        <w:tcBorders>
          <w:insideH w:val="single" w:sz="6" w:space="0" w:color="ADD095" w:themeColor="accent3"/>
          <w:insideV w:val="single" w:sz="6" w:space="0" w:color="ADD095" w:themeColor="accent3"/>
        </w:tcBorders>
        <w:shd w:val="clear" w:color="auto" w:fill="D5E7CA"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62294B" w:themeColor="accent4"/>
        <w:left w:val="single" w:sz="8" w:space="0" w:color="62294B" w:themeColor="accent4"/>
        <w:bottom w:val="single" w:sz="8" w:space="0" w:color="62294B" w:themeColor="accent4"/>
        <w:right w:val="single" w:sz="8" w:space="0" w:color="62294B" w:themeColor="accent4"/>
        <w:insideH w:val="single" w:sz="8" w:space="0" w:color="62294B" w:themeColor="accent4"/>
        <w:insideV w:val="single" w:sz="8" w:space="0" w:color="62294B" w:themeColor="accent4"/>
      </w:tblBorders>
    </w:tblPr>
    <w:tcPr>
      <w:shd w:val="clear" w:color="auto" w:fill="E4BED4" w:themeFill="accent4" w:themeFillTint="3F"/>
    </w:tcPr>
    <w:tblStylePr w:type="firstRow">
      <w:rPr>
        <w:b/>
        <w:bCs/>
        <w:color w:val="000000" w:themeColor="text1"/>
      </w:rPr>
      <w:tblPr/>
      <w:tcPr>
        <w:shd w:val="clear" w:color="auto" w:fill="F4E5EE"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9CADC" w:themeFill="accent4" w:themeFillTint="33"/>
      </w:tcPr>
    </w:tblStylePr>
    <w:tblStylePr w:type="band1Vert">
      <w:tblPr/>
      <w:tcPr>
        <w:shd w:val="clear" w:color="auto" w:fill="C87CA9" w:themeFill="accent4" w:themeFillTint="7F"/>
      </w:tcPr>
    </w:tblStylePr>
    <w:tblStylePr w:type="band1Horz">
      <w:tblPr/>
      <w:tcPr>
        <w:tcBorders>
          <w:insideH w:val="single" w:sz="6" w:space="0" w:color="62294B" w:themeColor="accent4"/>
          <w:insideV w:val="single" w:sz="6" w:space="0" w:color="62294B" w:themeColor="accent4"/>
        </w:tcBorders>
        <w:shd w:val="clear" w:color="auto" w:fill="C87CA9"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8855" w:themeColor="accent5"/>
        <w:left w:val="single" w:sz="8" w:space="0" w:color="FF8855" w:themeColor="accent5"/>
        <w:bottom w:val="single" w:sz="8" w:space="0" w:color="FF8855" w:themeColor="accent5"/>
        <w:right w:val="single" w:sz="8" w:space="0" w:color="FF8855" w:themeColor="accent5"/>
        <w:insideH w:val="single" w:sz="8" w:space="0" w:color="FF8855" w:themeColor="accent5"/>
        <w:insideV w:val="single" w:sz="8" w:space="0" w:color="FF8855" w:themeColor="accent5"/>
      </w:tblBorders>
    </w:tblPr>
    <w:tcPr>
      <w:shd w:val="clear" w:color="auto" w:fill="FFE1D5" w:themeFill="accent5" w:themeFillTint="3F"/>
    </w:tcPr>
    <w:tblStylePr w:type="firstRow">
      <w:rPr>
        <w:b/>
        <w:bCs/>
        <w:color w:val="000000" w:themeColor="text1"/>
      </w:rPr>
      <w:tblPr/>
      <w:tcPr>
        <w:shd w:val="clear" w:color="auto" w:fill="FFF3EE"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E7DD" w:themeFill="accent5" w:themeFillTint="33"/>
      </w:tcPr>
    </w:tblStylePr>
    <w:tblStylePr w:type="band1Vert">
      <w:tblPr/>
      <w:tcPr>
        <w:shd w:val="clear" w:color="auto" w:fill="FFC3AA" w:themeFill="accent5" w:themeFillTint="7F"/>
      </w:tcPr>
    </w:tblStylePr>
    <w:tblStylePr w:type="band1Horz">
      <w:tblPr/>
      <w:tcPr>
        <w:tcBorders>
          <w:insideH w:val="single" w:sz="6" w:space="0" w:color="FF8855" w:themeColor="accent5"/>
          <w:insideV w:val="single" w:sz="6" w:space="0" w:color="FF8855" w:themeColor="accent5"/>
        </w:tcBorders>
        <w:shd w:val="clear" w:color="auto" w:fill="FFC3A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3E1D8" w:themeColor="accent6"/>
        <w:left w:val="single" w:sz="8" w:space="0" w:color="E3E1D8" w:themeColor="accent6"/>
        <w:bottom w:val="single" w:sz="8" w:space="0" w:color="E3E1D8" w:themeColor="accent6"/>
        <w:right w:val="single" w:sz="8" w:space="0" w:color="E3E1D8" w:themeColor="accent6"/>
        <w:insideH w:val="single" w:sz="8" w:space="0" w:color="E3E1D8" w:themeColor="accent6"/>
        <w:insideV w:val="single" w:sz="8" w:space="0" w:color="E3E1D8" w:themeColor="accent6"/>
      </w:tblBorders>
    </w:tblPr>
    <w:tcPr>
      <w:shd w:val="clear" w:color="auto" w:fill="F8F7F5" w:themeFill="accent6" w:themeFillTint="3F"/>
    </w:tcPr>
    <w:tblStylePr w:type="firstRow">
      <w:rPr>
        <w:b/>
        <w:bCs/>
        <w:color w:val="000000" w:themeColor="text1"/>
      </w:rPr>
      <w:tblPr/>
      <w:tcPr>
        <w:shd w:val="clear" w:color="auto" w:fill="FCFCFB"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9F8F7" w:themeFill="accent6" w:themeFillTint="33"/>
      </w:tcPr>
    </w:tblStylePr>
    <w:tblStylePr w:type="band1Vert">
      <w:tblPr/>
      <w:tcPr>
        <w:shd w:val="clear" w:color="auto" w:fill="F1EFEB" w:themeFill="accent6" w:themeFillTint="7F"/>
      </w:tcPr>
    </w:tblStylePr>
    <w:tblStylePr w:type="band1Horz">
      <w:tblPr/>
      <w:tcPr>
        <w:tcBorders>
          <w:insideH w:val="single" w:sz="6" w:space="0" w:color="E3E1D8" w:themeColor="accent6"/>
          <w:insideV w:val="single" w:sz="6" w:space="0" w:color="E3E1D8" w:themeColor="accent6"/>
        </w:tcBorders>
        <w:shd w:val="clear" w:color="auto" w:fill="F1EFEB"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1C7FA"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5326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5326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5326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5326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428FF6"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428FF6" w:themeFill="accent1" w:themeFillTint="7F"/>
      </w:tcPr>
    </w:tblStylePr>
  </w:style>
  <w:style w:type="table" w:styleId="MediumGrid3-Accent2">
    <w:name w:val="Medium Grid 3 Accent 2"/>
    <w:basedOn w:val="TableNormal"/>
    <w:uiPriority w:val="69"/>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CEED6"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125A4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125A4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125A4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125A4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8DDAC"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8DDAC" w:themeFill="accent2" w:themeFillTint="7F"/>
      </w:tcPr>
    </w:tblStylePr>
  </w:style>
  <w:style w:type="table" w:styleId="MediumGrid3-Accent3">
    <w:name w:val="Medium Grid 3 Accent 3"/>
    <w:basedOn w:val="TableNormal"/>
    <w:uiPriority w:val="69"/>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AF3E4"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DD09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DD09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DD09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DD09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5E7CA"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5E7CA" w:themeFill="accent3" w:themeFillTint="7F"/>
      </w:tcPr>
    </w:tblStylePr>
  </w:style>
  <w:style w:type="table" w:styleId="MediumGrid3-Accent4">
    <w:name w:val="Medium Grid 3 Accent 4"/>
    <w:basedOn w:val="TableNormal"/>
    <w:uiPriority w:val="69"/>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4BED4"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62294B"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62294B"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62294B"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62294B"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87CA9"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87CA9" w:themeFill="accent4" w:themeFillTint="7F"/>
      </w:tcPr>
    </w:tblStylePr>
  </w:style>
  <w:style w:type="table" w:styleId="MediumGrid3-Accent5">
    <w:name w:val="Medium Grid 3 Accent 5"/>
    <w:basedOn w:val="TableNormal"/>
    <w:uiPriority w:val="69"/>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1D5"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885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885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885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885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C3A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C3AA" w:themeFill="accent5" w:themeFillTint="7F"/>
      </w:tcPr>
    </w:tblStylePr>
  </w:style>
  <w:style w:type="table" w:styleId="MediumGrid3-Accent6">
    <w:name w:val="Medium Grid 3 Accent 6"/>
    <w:basedOn w:val="TableNormal"/>
    <w:uiPriority w:val="69"/>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8F7F5"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3E1D8"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3E1D8"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3E1D8"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3E1D8"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1EFEB"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1EFEB" w:themeFill="accent6" w:themeFillTint="7F"/>
      </w:tcPr>
    </w:tblStylePr>
  </w:style>
  <w:style w:type="table" w:styleId="MediumList1">
    <w:name w:val="Medium List 1"/>
    <w:basedOn w:val="TableNormal"/>
    <w:uiPriority w:val="65"/>
    <w:unhideWhenUsed/>
    <w:rsid w:val="00920D86"/>
    <w:pPr>
      <w:spacing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9DF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unhideWhenUsed/>
    <w:rsid w:val="00920D86"/>
    <w:pPr>
      <w:spacing w:line="240" w:lineRule="auto"/>
    </w:pPr>
    <w:rPr>
      <w:color w:val="000000" w:themeColor="text1"/>
    </w:rPr>
    <w:tblPr>
      <w:tblStyleRowBandSize w:val="1"/>
      <w:tblStyleColBandSize w:val="1"/>
      <w:tblBorders>
        <w:top w:val="single" w:sz="8" w:space="0" w:color="05326E" w:themeColor="accent1"/>
        <w:bottom w:val="single" w:sz="8" w:space="0" w:color="05326E" w:themeColor="accent1"/>
      </w:tblBorders>
    </w:tblPr>
    <w:tblStylePr w:type="firstRow">
      <w:rPr>
        <w:rFonts w:asciiTheme="majorHAnsi" w:eastAsiaTheme="majorEastAsia" w:hAnsiTheme="majorHAnsi" w:cstheme="majorBidi"/>
      </w:rPr>
      <w:tblPr/>
      <w:tcPr>
        <w:tcBorders>
          <w:top w:val="nil"/>
          <w:bottom w:val="single" w:sz="8" w:space="0" w:color="05326E" w:themeColor="accent1"/>
        </w:tcBorders>
      </w:tcPr>
    </w:tblStylePr>
    <w:tblStylePr w:type="lastRow">
      <w:rPr>
        <w:b/>
        <w:bCs/>
        <w:color w:val="009DF0" w:themeColor="text2"/>
      </w:rPr>
      <w:tblPr/>
      <w:tcPr>
        <w:tcBorders>
          <w:top w:val="single" w:sz="8" w:space="0" w:color="05326E" w:themeColor="accent1"/>
          <w:bottom w:val="single" w:sz="8" w:space="0" w:color="05326E" w:themeColor="accent1"/>
        </w:tcBorders>
      </w:tcPr>
    </w:tblStylePr>
    <w:tblStylePr w:type="firstCol">
      <w:rPr>
        <w:b/>
        <w:bCs/>
      </w:rPr>
    </w:tblStylePr>
    <w:tblStylePr w:type="lastCol">
      <w:rPr>
        <w:b/>
        <w:bCs/>
      </w:rPr>
      <w:tblPr/>
      <w:tcPr>
        <w:tcBorders>
          <w:top w:val="single" w:sz="8" w:space="0" w:color="05326E" w:themeColor="accent1"/>
          <w:bottom w:val="single" w:sz="8" w:space="0" w:color="05326E" w:themeColor="accent1"/>
        </w:tcBorders>
      </w:tcPr>
    </w:tblStylePr>
    <w:tblStylePr w:type="band1Vert">
      <w:tblPr/>
      <w:tcPr>
        <w:shd w:val="clear" w:color="auto" w:fill="A1C7FA" w:themeFill="accent1" w:themeFillTint="3F"/>
      </w:tcPr>
    </w:tblStylePr>
    <w:tblStylePr w:type="band1Horz">
      <w:tblPr/>
      <w:tcPr>
        <w:shd w:val="clear" w:color="auto" w:fill="A1C7FA" w:themeFill="accent1" w:themeFillTint="3F"/>
      </w:tcPr>
    </w:tblStylePr>
  </w:style>
  <w:style w:type="table" w:styleId="MediumList1-Accent2">
    <w:name w:val="Medium List 1 Accent 2"/>
    <w:basedOn w:val="TableNormal"/>
    <w:uiPriority w:val="65"/>
    <w:unhideWhenUsed/>
    <w:rsid w:val="00920D86"/>
    <w:pPr>
      <w:spacing w:line="240" w:lineRule="auto"/>
    </w:pPr>
    <w:rPr>
      <w:color w:val="000000" w:themeColor="text1"/>
    </w:rPr>
    <w:tblPr>
      <w:tblStyleRowBandSize w:val="1"/>
      <w:tblStyleColBandSize w:val="1"/>
      <w:tblBorders>
        <w:top w:val="single" w:sz="8" w:space="0" w:color="125A40" w:themeColor="accent2"/>
        <w:bottom w:val="single" w:sz="8" w:space="0" w:color="125A40" w:themeColor="accent2"/>
      </w:tblBorders>
    </w:tblPr>
    <w:tblStylePr w:type="firstRow">
      <w:rPr>
        <w:rFonts w:asciiTheme="majorHAnsi" w:eastAsiaTheme="majorEastAsia" w:hAnsiTheme="majorHAnsi" w:cstheme="majorBidi"/>
      </w:rPr>
      <w:tblPr/>
      <w:tcPr>
        <w:tcBorders>
          <w:top w:val="nil"/>
          <w:bottom w:val="single" w:sz="8" w:space="0" w:color="125A40" w:themeColor="accent2"/>
        </w:tcBorders>
      </w:tcPr>
    </w:tblStylePr>
    <w:tblStylePr w:type="lastRow">
      <w:rPr>
        <w:b/>
        <w:bCs/>
        <w:color w:val="009DF0" w:themeColor="text2"/>
      </w:rPr>
      <w:tblPr/>
      <w:tcPr>
        <w:tcBorders>
          <w:top w:val="single" w:sz="8" w:space="0" w:color="125A40" w:themeColor="accent2"/>
          <w:bottom w:val="single" w:sz="8" w:space="0" w:color="125A40" w:themeColor="accent2"/>
        </w:tcBorders>
      </w:tcPr>
    </w:tblStylePr>
    <w:tblStylePr w:type="firstCol">
      <w:rPr>
        <w:b/>
        <w:bCs/>
      </w:rPr>
    </w:tblStylePr>
    <w:tblStylePr w:type="lastCol">
      <w:rPr>
        <w:b/>
        <w:bCs/>
      </w:rPr>
      <w:tblPr/>
      <w:tcPr>
        <w:tcBorders>
          <w:top w:val="single" w:sz="8" w:space="0" w:color="125A40" w:themeColor="accent2"/>
          <w:bottom w:val="single" w:sz="8" w:space="0" w:color="125A40" w:themeColor="accent2"/>
        </w:tcBorders>
      </w:tcPr>
    </w:tblStylePr>
    <w:tblStylePr w:type="band1Vert">
      <w:tblPr/>
      <w:tcPr>
        <w:shd w:val="clear" w:color="auto" w:fill="ACEED6" w:themeFill="accent2" w:themeFillTint="3F"/>
      </w:tcPr>
    </w:tblStylePr>
    <w:tblStylePr w:type="band1Horz">
      <w:tblPr/>
      <w:tcPr>
        <w:shd w:val="clear" w:color="auto" w:fill="ACEED6" w:themeFill="accent2" w:themeFillTint="3F"/>
      </w:tcPr>
    </w:tblStylePr>
  </w:style>
  <w:style w:type="table" w:styleId="MediumList1-Accent3">
    <w:name w:val="Medium List 1 Accent 3"/>
    <w:basedOn w:val="TableNormal"/>
    <w:uiPriority w:val="65"/>
    <w:unhideWhenUsed/>
    <w:rsid w:val="00920D86"/>
    <w:pPr>
      <w:spacing w:line="240" w:lineRule="auto"/>
    </w:pPr>
    <w:rPr>
      <w:color w:val="000000" w:themeColor="text1"/>
    </w:rPr>
    <w:tblPr>
      <w:tblStyleRowBandSize w:val="1"/>
      <w:tblStyleColBandSize w:val="1"/>
      <w:tblBorders>
        <w:top w:val="single" w:sz="8" w:space="0" w:color="ADD095" w:themeColor="accent3"/>
        <w:bottom w:val="single" w:sz="8" w:space="0" w:color="ADD095" w:themeColor="accent3"/>
      </w:tblBorders>
    </w:tblPr>
    <w:tblStylePr w:type="firstRow">
      <w:rPr>
        <w:rFonts w:asciiTheme="majorHAnsi" w:eastAsiaTheme="majorEastAsia" w:hAnsiTheme="majorHAnsi" w:cstheme="majorBidi"/>
      </w:rPr>
      <w:tblPr/>
      <w:tcPr>
        <w:tcBorders>
          <w:top w:val="nil"/>
          <w:bottom w:val="single" w:sz="8" w:space="0" w:color="ADD095" w:themeColor="accent3"/>
        </w:tcBorders>
      </w:tcPr>
    </w:tblStylePr>
    <w:tblStylePr w:type="lastRow">
      <w:rPr>
        <w:b/>
        <w:bCs/>
        <w:color w:val="009DF0" w:themeColor="text2"/>
      </w:rPr>
      <w:tblPr/>
      <w:tcPr>
        <w:tcBorders>
          <w:top w:val="single" w:sz="8" w:space="0" w:color="ADD095" w:themeColor="accent3"/>
          <w:bottom w:val="single" w:sz="8" w:space="0" w:color="ADD095" w:themeColor="accent3"/>
        </w:tcBorders>
      </w:tcPr>
    </w:tblStylePr>
    <w:tblStylePr w:type="firstCol">
      <w:rPr>
        <w:b/>
        <w:bCs/>
      </w:rPr>
    </w:tblStylePr>
    <w:tblStylePr w:type="lastCol">
      <w:rPr>
        <w:b/>
        <w:bCs/>
      </w:rPr>
      <w:tblPr/>
      <w:tcPr>
        <w:tcBorders>
          <w:top w:val="single" w:sz="8" w:space="0" w:color="ADD095" w:themeColor="accent3"/>
          <w:bottom w:val="single" w:sz="8" w:space="0" w:color="ADD095" w:themeColor="accent3"/>
        </w:tcBorders>
      </w:tcPr>
    </w:tblStylePr>
    <w:tblStylePr w:type="band1Vert">
      <w:tblPr/>
      <w:tcPr>
        <w:shd w:val="clear" w:color="auto" w:fill="EAF3E4" w:themeFill="accent3" w:themeFillTint="3F"/>
      </w:tcPr>
    </w:tblStylePr>
    <w:tblStylePr w:type="band1Horz">
      <w:tblPr/>
      <w:tcPr>
        <w:shd w:val="clear" w:color="auto" w:fill="EAF3E4" w:themeFill="accent3" w:themeFillTint="3F"/>
      </w:tcPr>
    </w:tblStylePr>
  </w:style>
  <w:style w:type="table" w:styleId="MediumList1-Accent4">
    <w:name w:val="Medium List 1 Accent 4"/>
    <w:basedOn w:val="TableNormal"/>
    <w:uiPriority w:val="65"/>
    <w:unhideWhenUsed/>
    <w:rsid w:val="00920D86"/>
    <w:pPr>
      <w:spacing w:line="240" w:lineRule="auto"/>
    </w:pPr>
    <w:rPr>
      <w:color w:val="000000" w:themeColor="text1"/>
    </w:rPr>
    <w:tblPr>
      <w:tblStyleRowBandSize w:val="1"/>
      <w:tblStyleColBandSize w:val="1"/>
      <w:tblBorders>
        <w:top w:val="single" w:sz="8" w:space="0" w:color="62294B" w:themeColor="accent4"/>
        <w:bottom w:val="single" w:sz="8" w:space="0" w:color="62294B" w:themeColor="accent4"/>
      </w:tblBorders>
    </w:tblPr>
    <w:tblStylePr w:type="firstRow">
      <w:rPr>
        <w:rFonts w:asciiTheme="majorHAnsi" w:eastAsiaTheme="majorEastAsia" w:hAnsiTheme="majorHAnsi" w:cstheme="majorBidi"/>
      </w:rPr>
      <w:tblPr/>
      <w:tcPr>
        <w:tcBorders>
          <w:top w:val="nil"/>
          <w:bottom w:val="single" w:sz="8" w:space="0" w:color="62294B" w:themeColor="accent4"/>
        </w:tcBorders>
      </w:tcPr>
    </w:tblStylePr>
    <w:tblStylePr w:type="lastRow">
      <w:rPr>
        <w:b/>
        <w:bCs/>
        <w:color w:val="009DF0" w:themeColor="text2"/>
      </w:rPr>
      <w:tblPr/>
      <w:tcPr>
        <w:tcBorders>
          <w:top w:val="single" w:sz="8" w:space="0" w:color="62294B" w:themeColor="accent4"/>
          <w:bottom w:val="single" w:sz="8" w:space="0" w:color="62294B" w:themeColor="accent4"/>
        </w:tcBorders>
      </w:tcPr>
    </w:tblStylePr>
    <w:tblStylePr w:type="firstCol">
      <w:rPr>
        <w:b/>
        <w:bCs/>
      </w:rPr>
    </w:tblStylePr>
    <w:tblStylePr w:type="lastCol">
      <w:rPr>
        <w:b/>
        <w:bCs/>
      </w:rPr>
      <w:tblPr/>
      <w:tcPr>
        <w:tcBorders>
          <w:top w:val="single" w:sz="8" w:space="0" w:color="62294B" w:themeColor="accent4"/>
          <w:bottom w:val="single" w:sz="8" w:space="0" w:color="62294B" w:themeColor="accent4"/>
        </w:tcBorders>
      </w:tcPr>
    </w:tblStylePr>
    <w:tblStylePr w:type="band1Vert">
      <w:tblPr/>
      <w:tcPr>
        <w:shd w:val="clear" w:color="auto" w:fill="E4BED4" w:themeFill="accent4" w:themeFillTint="3F"/>
      </w:tcPr>
    </w:tblStylePr>
    <w:tblStylePr w:type="band1Horz">
      <w:tblPr/>
      <w:tcPr>
        <w:shd w:val="clear" w:color="auto" w:fill="E4BED4" w:themeFill="accent4" w:themeFillTint="3F"/>
      </w:tcPr>
    </w:tblStylePr>
  </w:style>
  <w:style w:type="table" w:styleId="MediumList1-Accent5">
    <w:name w:val="Medium List 1 Accent 5"/>
    <w:basedOn w:val="TableNormal"/>
    <w:uiPriority w:val="65"/>
    <w:unhideWhenUsed/>
    <w:rsid w:val="00920D86"/>
    <w:pPr>
      <w:spacing w:line="240" w:lineRule="auto"/>
    </w:pPr>
    <w:rPr>
      <w:color w:val="000000" w:themeColor="text1"/>
    </w:rPr>
    <w:tblPr>
      <w:tblStyleRowBandSize w:val="1"/>
      <w:tblStyleColBandSize w:val="1"/>
      <w:tblBorders>
        <w:top w:val="single" w:sz="8" w:space="0" w:color="FF8855" w:themeColor="accent5"/>
        <w:bottom w:val="single" w:sz="8" w:space="0" w:color="FF8855" w:themeColor="accent5"/>
      </w:tblBorders>
    </w:tblPr>
    <w:tblStylePr w:type="firstRow">
      <w:rPr>
        <w:rFonts w:asciiTheme="majorHAnsi" w:eastAsiaTheme="majorEastAsia" w:hAnsiTheme="majorHAnsi" w:cstheme="majorBidi"/>
      </w:rPr>
      <w:tblPr/>
      <w:tcPr>
        <w:tcBorders>
          <w:top w:val="nil"/>
          <w:bottom w:val="single" w:sz="8" w:space="0" w:color="FF8855" w:themeColor="accent5"/>
        </w:tcBorders>
      </w:tcPr>
    </w:tblStylePr>
    <w:tblStylePr w:type="lastRow">
      <w:rPr>
        <w:b/>
        <w:bCs/>
        <w:color w:val="009DF0" w:themeColor="text2"/>
      </w:rPr>
      <w:tblPr/>
      <w:tcPr>
        <w:tcBorders>
          <w:top w:val="single" w:sz="8" w:space="0" w:color="FF8855" w:themeColor="accent5"/>
          <w:bottom w:val="single" w:sz="8" w:space="0" w:color="FF8855" w:themeColor="accent5"/>
        </w:tcBorders>
      </w:tcPr>
    </w:tblStylePr>
    <w:tblStylePr w:type="firstCol">
      <w:rPr>
        <w:b/>
        <w:bCs/>
      </w:rPr>
    </w:tblStylePr>
    <w:tblStylePr w:type="lastCol">
      <w:rPr>
        <w:b/>
        <w:bCs/>
      </w:rPr>
      <w:tblPr/>
      <w:tcPr>
        <w:tcBorders>
          <w:top w:val="single" w:sz="8" w:space="0" w:color="FF8855" w:themeColor="accent5"/>
          <w:bottom w:val="single" w:sz="8" w:space="0" w:color="FF8855" w:themeColor="accent5"/>
        </w:tcBorders>
      </w:tcPr>
    </w:tblStylePr>
    <w:tblStylePr w:type="band1Vert">
      <w:tblPr/>
      <w:tcPr>
        <w:shd w:val="clear" w:color="auto" w:fill="FFE1D5" w:themeFill="accent5" w:themeFillTint="3F"/>
      </w:tcPr>
    </w:tblStylePr>
    <w:tblStylePr w:type="band1Horz">
      <w:tblPr/>
      <w:tcPr>
        <w:shd w:val="clear" w:color="auto" w:fill="FFE1D5" w:themeFill="accent5" w:themeFillTint="3F"/>
      </w:tcPr>
    </w:tblStylePr>
  </w:style>
  <w:style w:type="table" w:styleId="MediumList1-Accent6">
    <w:name w:val="Medium List 1 Accent 6"/>
    <w:basedOn w:val="TableNormal"/>
    <w:uiPriority w:val="65"/>
    <w:unhideWhenUsed/>
    <w:rsid w:val="00920D86"/>
    <w:pPr>
      <w:spacing w:line="240" w:lineRule="auto"/>
    </w:pPr>
    <w:rPr>
      <w:color w:val="000000" w:themeColor="text1"/>
    </w:rPr>
    <w:tblPr>
      <w:tblStyleRowBandSize w:val="1"/>
      <w:tblStyleColBandSize w:val="1"/>
      <w:tblBorders>
        <w:top w:val="single" w:sz="8" w:space="0" w:color="E3E1D8" w:themeColor="accent6"/>
        <w:bottom w:val="single" w:sz="8" w:space="0" w:color="E3E1D8" w:themeColor="accent6"/>
      </w:tblBorders>
    </w:tblPr>
    <w:tblStylePr w:type="firstRow">
      <w:rPr>
        <w:rFonts w:asciiTheme="majorHAnsi" w:eastAsiaTheme="majorEastAsia" w:hAnsiTheme="majorHAnsi" w:cstheme="majorBidi"/>
      </w:rPr>
      <w:tblPr/>
      <w:tcPr>
        <w:tcBorders>
          <w:top w:val="nil"/>
          <w:bottom w:val="single" w:sz="8" w:space="0" w:color="E3E1D8" w:themeColor="accent6"/>
        </w:tcBorders>
      </w:tcPr>
    </w:tblStylePr>
    <w:tblStylePr w:type="lastRow">
      <w:rPr>
        <w:b/>
        <w:bCs/>
        <w:color w:val="009DF0" w:themeColor="text2"/>
      </w:rPr>
      <w:tblPr/>
      <w:tcPr>
        <w:tcBorders>
          <w:top w:val="single" w:sz="8" w:space="0" w:color="E3E1D8" w:themeColor="accent6"/>
          <w:bottom w:val="single" w:sz="8" w:space="0" w:color="E3E1D8" w:themeColor="accent6"/>
        </w:tcBorders>
      </w:tcPr>
    </w:tblStylePr>
    <w:tblStylePr w:type="firstCol">
      <w:rPr>
        <w:b/>
        <w:bCs/>
      </w:rPr>
    </w:tblStylePr>
    <w:tblStylePr w:type="lastCol">
      <w:rPr>
        <w:b/>
        <w:bCs/>
      </w:rPr>
      <w:tblPr/>
      <w:tcPr>
        <w:tcBorders>
          <w:top w:val="single" w:sz="8" w:space="0" w:color="E3E1D8" w:themeColor="accent6"/>
          <w:bottom w:val="single" w:sz="8" w:space="0" w:color="E3E1D8" w:themeColor="accent6"/>
        </w:tcBorders>
      </w:tcPr>
    </w:tblStylePr>
    <w:tblStylePr w:type="band1Vert">
      <w:tblPr/>
      <w:tcPr>
        <w:shd w:val="clear" w:color="auto" w:fill="F8F7F5" w:themeFill="accent6" w:themeFillTint="3F"/>
      </w:tcPr>
    </w:tblStylePr>
    <w:tblStylePr w:type="band1Horz">
      <w:tblPr/>
      <w:tcPr>
        <w:shd w:val="clear" w:color="auto" w:fill="F8F7F5" w:themeFill="accent6" w:themeFillTint="3F"/>
      </w:tcPr>
    </w:tblStylePr>
  </w:style>
  <w:style w:type="table" w:styleId="MediumList2">
    <w:name w:val="Medium List 2"/>
    <w:basedOn w:val="TableNormal"/>
    <w:uiPriority w:val="66"/>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5326E" w:themeColor="accent1"/>
        <w:left w:val="single" w:sz="8" w:space="0" w:color="05326E" w:themeColor="accent1"/>
        <w:bottom w:val="single" w:sz="8" w:space="0" w:color="05326E" w:themeColor="accent1"/>
        <w:right w:val="single" w:sz="8" w:space="0" w:color="05326E" w:themeColor="accent1"/>
      </w:tblBorders>
    </w:tblPr>
    <w:tblStylePr w:type="firstRow">
      <w:rPr>
        <w:sz w:val="24"/>
        <w:szCs w:val="24"/>
      </w:rPr>
      <w:tblPr/>
      <w:tcPr>
        <w:tcBorders>
          <w:top w:val="nil"/>
          <w:left w:val="nil"/>
          <w:bottom w:val="single" w:sz="24" w:space="0" w:color="05326E"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5326E" w:themeColor="accent1"/>
          <w:insideH w:val="nil"/>
          <w:insideV w:val="nil"/>
        </w:tcBorders>
        <w:shd w:val="clear" w:color="auto" w:fill="FFFFFF" w:themeFill="background1"/>
      </w:tcPr>
    </w:tblStylePr>
    <w:tblStylePr w:type="lastCol">
      <w:tblPr/>
      <w:tcPr>
        <w:tcBorders>
          <w:top w:val="nil"/>
          <w:left w:val="single" w:sz="8" w:space="0" w:color="05326E"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1C7FA" w:themeFill="accent1" w:themeFillTint="3F"/>
      </w:tcPr>
    </w:tblStylePr>
    <w:tblStylePr w:type="band1Horz">
      <w:tblPr/>
      <w:tcPr>
        <w:tcBorders>
          <w:top w:val="nil"/>
          <w:bottom w:val="nil"/>
          <w:insideH w:val="nil"/>
          <w:insideV w:val="nil"/>
        </w:tcBorders>
        <w:shd w:val="clear" w:color="auto" w:fill="A1C7FA"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125A40" w:themeColor="accent2"/>
        <w:left w:val="single" w:sz="8" w:space="0" w:color="125A40" w:themeColor="accent2"/>
        <w:bottom w:val="single" w:sz="8" w:space="0" w:color="125A40" w:themeColor="accent2"/>
        <w:right w:val="single" w:sz="8" w:space="0" w:color="125A40" w:themeColor="accent2"/>
      </w:tblBorders>
    </w:tblPr>
    <w:tblStylePr w:type="firstRow">
      <w:rPr>
        <w:sz w:val="24"/>
        <w:szCs w:val="24"/>
      </w:rPr>
      <w:tblPr/>
      <w:tcPr>
        <w:tcBorders>
          <w:top w:val="nil"/>
          <w:left w:val="nil"/>
          <w:bottom w:val="single" w:sz="24" w:space="0" w:color="125A40"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125A40" w:themeColor="accent2"/>
          <w:insideH w:val="nil"/>
          <w:insideV w:val="nil"/>
        </w:tcBorders>
        <w:shd w:val="clear" w:color="auto" w:fill="FFFFFF" w:themeFill="background1"/>
      </w:tcPr>
    </w:tblStylePr>
    <w:tblStylePr w:type="lastCol">
      <w:tblPr/>
      <w:tcPr>
        <w:tcBorders>
          <w:top w:val="nil"/>
          <w:left w:val="single" w:sz="8" w:space="0" w:color="125A4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CEED6" w:themeFill="accent2" w:themeFillTint="3F"/>
      </w:tcPr>
    </w:tblStylePr>
    <w:tblStylePr w:type="band1Horz">
      <w:tblPr/>
      <w:tcPr>
        <w:tcBorders>
          <w:top w:val="nil"/>
          <w:bottom w:val="nil"/>
          <w:insideH w:val="nil"/>
          <w:insideV w:val="nil"/>
        </w:tcBorders>
        <w:shd w:val="clear" w:color="auto" w:fill="ACEED6"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DD095" w:themeColor="accent3"/>
        <w:left w:val="single" w:sz="8" w:space="0" w:color="ADD095" w:themeColor="accent3"/>
        <w:bottom w:val="single" w:sz="8" w:space="0" w:color="ADD095" w:themeColor="accent3"/>
        <w:right w:val="single" w:sz="8" w:space="0" w:color="ADD095" w:themeColor="accent3"/>
      </w:tblBorders>
    </w:tblPr>
    <w:tblStylePr w:type="firstRow">
      <w:rPr>
        <w:sz w:val="24"/>
        <w:szCs w:val="24"/>
      </w:rPr>
      <w:tblPr/>
      <w:tcPr>
        <w:tcBorders>
          <w:top w:val="nil"/>
          <w:left w:val="nil"/>
          <w:bottom w:val="single" w:sz="24" w:space="0" w:color="ADD095"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DD095" w:themeColor="accent3"/>
          <w:insideH w:val="nil"/>
          <w:insideV w:val="nil"/>
        </w:tcBorders>
        <w:shd w:val="clear" w:color="auto" w:fill="FFFFFF" w:themeFill="background1"/>
      </w:tcPr>
    </w:tblStylePr>
    <w:tblStylePr w:type="lastCol">
      <w:tblPr/>
      <w:tcPr>
        <w:tcBorders>
          <w:top w:val="nil"/>
          <w:left w:val="single" w:sz="8" w:space="0" w:color="ADD09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AF3E4" w:themeFill="accent3" w:themeFillTint="3F"/>
      </w:tcPr>
    </w:tblStylePr>
    <w:tblStylePr w:type="band1Horz">
      <w:tblPr/>
      <w:tcPr>
        <w:tcBorders>
          <w:top w:val="nil"/>
          <w:bottom w:val="nil"/>
          <w:insideH w:val="nil"/>
          <w:insideV w:val="nil"/>
        </w:tcBorders>
        <w:shd w:val="clear" w:color="auto" w:fill="EAF3E4"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62294B" w:themeColor="accent4"/>
        <w:left w:val="single" w:sz="8" w:space="0" w:color="62294B" w:themeColor="accent4"/>
        <w:bottom w:val="single" w:sz="8" w:space="0" w:color="62294B" w:themeColor="accent4"/>
        <w:right w:val="single" w:sz="8" w:space="0" w:color="62294B" w:themeColor="accent4"/>
      </w:tblBorders>
    </w:tblPr>
    <w:tblStylePr w:type="firstRow">
      <w:rPr>
        <w:sz w:val="24"/>
        <w:szCs w:val="24"/>
      </w:rPr>
      <w:tblPr/>
      <w:tcPr>
        <w:tcBorders>
          <w:top w:val="nil"/>
          <w:left w:val="nil"/>
          <w:bottom w:val="single" w:sz="24" w:space="0" w:color="62294B"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62294B" w:themeColor="accent4"/>
          <w:insideH w:val="nil"/>
          <w:insideV w:val="nil"/>
        </w:tcBorders>
        <w:shd w:val="clear" w:color="auto" w:fill="FFFFFF" w:themeFill="background1"/>
      </w:tcPr>
    </w:tblStylePr>
    <w:tblStylePr w:type="lastCol">
      <w:tblPr/>
      <w:tcPr>
        <w:tcBorders>
          <w:top w:val="nil"/>
          <w:left w:val="single" w:sz="8" w:space="0" w:color="62294B"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4BED4" w:themeFill="accent4" w:themeFillTint="3F"/>
      </w:tcPr>
    </w:tblStylePr>
    <w:tblStylePr w:type="band1Horz">
      <w:tblPr/>
      <w:tcPr>
        <w:tcBorders>
          <w:top w:val="nil"/>
          <w:bottom w:val="nil"/>
          <w:insideH w:val="nil"/>
          <w:insideV w:val="nil"/>
        </w:tcBorders>
        <w:shd w:val="clear" w:color="auto" w:fill="E4BED4"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8855" w:themeColor="accent5"/>
        <w:left w:val="single" w:sz="8" w:space="0" w:color="FF8855" w:themeColor="accent5"/>
        <w:bottom w:val="single" w:sz="8" w:space="0" w:color="FF8855" w:themeColor="accent5"/>
        <w:right w:val="single" w:sz="8" w:space="0" w:color="FF8855" w:themeColor="accent5"/>
      </w:tblBorders>
    </w:tblPr>
    <w:tblStylePr w:type="firstRow">
      <w:rPr>
        <w:sz w:val="24"/>
        <w:szCs w:val="24"/>
      </w:rPr>
      <w:tblPr/>
      <w:tcPr>
        <w:tcBorders>
          <w:top w:val="nil"/>
          <w:left w:val="nil"/>
          <w:bottom w:val="single" w:sz="24" w:space="0" w:color="FF8855"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8855" w:themeColor="accent5"/>
          <w:insideH w:val="nil"/>
          <w:insideV w:val="nil"/>
        </w:tcBorders>
        <w:shd w:val="clear" w:color="auto" w:fill="FFFFFF" w:themeFill="background1"/>
      </w:tcPr>
    </w:tblStylePr>
    <w:tblStylePr w:type="lastCol">
      <w:tblPr/>
      <w:tcPr>
        <w:tcBorders>
          <w:top w:val="nil"/>
          <w:left w:val="single" w:sz="8" w:space="0" w:color="FF885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1D5" w:themeFill="accent5" w:themeFillTint="3F"/>
      </w:tcPr>
    </w:tblStylePr>
    <w:tblStylePr w:type="band1Horz">
      <w:tblPr/>
      <w:tcPr>
        <w:tcBorders>
          <w:top w:val="nil"/>
          <w:bottom w:val="nil"/>
          <w:insideH w:val="nil"/>
          <w:insideV w:val="nil"/>
        </w:tcBorders>
        <w:shd w:val="clear" w:color="auto" w:fill="FFE1D5"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3E1D8" w:themeColor="accent6"/>
        <w:left w:val="single" w:sz="8" w:space="0" w:color="E3E1D8" w:themeColor="accent6"/>
        <w:bottom w:val="single" w:sz="8" w:space="0" w:color="E3E1D8" w:themeColor="accent6"/>
        <w:right w:val="single" w:sz="8" w:space="0" w:color="E3E1D8" w:themeColor="accent6"/>
      </w:tblBorders>
    </w:tblPr>
    <w:tblStylePr w:type="firstRow">
      <w:rPr>
        <w:sz w:val="24"/>
        <w:szCs w:val="24"/>
      </w:rPr>
      <w:tblPr/>
      <w:tcPr>
        <w:tcBorders>
          <w:top w:val="nil"/>
          <w:left w:val="nil"/>
          <w:bottom w:val="single" w:sz="24" w:space="0" w:color="E3E1D8"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3E1D8" w:themeColor="accent6"/>
          <w:insideH w:val="nil"/>
          <w:insideV w:val="nil"/>
        </w:tcBorders>
        <w:shd w:val="clear" w:color="auto" w:fill="FFFFFF" w:themeFill="background1"/>
      </w:tcPr>
    </w:tblStylePr>
    <w:tblStylePr w:type="lastCol">
      <w:tblPr/>
      <w:tcPr>
        <w:tcBorders>
          <w:top w:val="nil"/>
          <w:left w:val="single" w:sz="8" w:space="0" w:color="E3E1D8"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8F7F5" w:themeFill="accent6" w:themeFillTint="3F"/>
      </w:tcPr>
    </w:tblStylePr>
    <w:tblStylePr w:type="band1Horz">
      <w:tblPr/>
      <w:tcPr>
        <w:tcBorders>
          <w:top w:val="nil"/>
          <w:bottom w:val="nil"/>
          <w:insideH w:val="nil"/>
          <w:insideV w:val="nil"/>
        </w:tcBorders>
        <w:shd w:val="clear" w:color="auto" w:fill="F8F7F5"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unhideWhenUsed/>
    <w:rsid w:val="00920D86"/>
    <w:pPr>
      <w:spacing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unhideWhenUsed/>
    <w:rsid w:val="00920D86"/>
    <w:pPr>
      <w:spacing w:line="240" w:lineRule="auto"/>
    </w:pPr>
    <w:tblPr>
      <w:tblStyleRowBandSize w:val="1"/>
      <w:tblStyleColBandSize w:val="1"/>
      <w:tblBorders>
        <w:top w:val="single" w:sz="8" w:space="0" w:color="095CCC" w:themeColor="accent1" w:themeTint="BF"/>
        <w:left w:val="single" w:sz="8" w:space="0" w:color="095CCC" w:themeColor="accent1" w:themeTint="BF"/>
        <w:bottom w:val="single" w:sz="8" w:space="0" w:color="095CCC" w:themeColor="accent1" w:themeTint="BF"/>
        <w:right w:val="single" w:sz="8" w:space="0" w:color="095CCC" w:themeColor="accent1" w:themeTint="BF"/>
        <w:insideH w:val="single" w:sz="8" w:space="0" w:color="095CCC" w:themeColor="accent1" w:themeTint="BF"/>
      </w:tblBorders>
    </w:tblPr>
    <w:tblStylePr w:type="firstRow">
      <w:pPr>
        <w:spacing w:before="0" w:after="0" w:line="240" w:lineRule="auto"/>
      </w:pPr>
      <w:rPr>
        <w:b/>
        <w:bCs/>
        <w:color w:val="FFFFFF" w:themeColor="background1"/>
      </w:rPr>
      <w:tblPr/>
      <w:tcPr>
        <w:tcBorders>
          <w:top w:val="single" w:sz="8" w:space="0" w:color="095CCC" w:themeColor="accent1" w:themeTint="BF"/>
          <w:left w:val="single" w:sz="8" w:space="0" w:color="095CCC" w:themeColor="accent1" w:themeTint="BF"/>
          <w:bottom w:val="single" w:sz="8" w:space="0" w:color="095CCC" w:themeColor="accent1" w:themeTint="BF"/>
          <w:right w:val="single" w:sz="8" w:space="0" w:color="095CCC" w:themeColor="accent1" w:themeTint="BF"/>
          <w:insideH w:val="nil"/>
          <w:insideV w:val="nil"/>
        </w:tcBorders>
        <w:shd w:val="clear" w:color="auto" w:fill="05326E" w:themeFill="accent1"/>
      </w:tcPr>
    </w:tblStylePr>
    <w:tblStylePr w:type="lastRow">
      <w:pPr>
        <w:spacing w:before="0" w:after="0" w:line="240" w:lineRule="auto"/>
      </w:pPr>
      <w:rPr>
        <w:b/>
        <w:bCs/>
      </w:rPr>
      <w:tblPr/>
      <w:tcPr>
        <w:tcBorders>
          <w:top w:val="double" w:sz="6" w:space="0" w:color="095CCC" w:themeColor="accent1" w:themeTint="BF"/>
          <w:left w:val="single" w:sz="8" w:space="0" w:color="095CCC" w:themeColor="accent1" w:themeTint="BF"/>
          <w:bottom w:val="single" w:sz="8" w:space="0" w:color="095CCC" w:themeColor="accent1" w:themeTint="BF"/>
          <w:right w:val="single" w:sz="8" w:space="0" w:color="095CCC" w:themeColor="accent1" w:themeTint="BF"/>
          <w:insideH w:val="nil"/>
          <w:insideV w:val="nil"/>
        </w:tcBorders>
      </w:tcPr>
    </w:tblStylePr>
    <w:tblStylePr w:type="firstCol">
      <w:rPr>
        <w:b/>
        <w:bCs/>
      </w:rPr>
    </w:tblStylePr>
    <w:tblStylePr w:type="lastCol">
      <w:rPr>
        <w:b/>
        <w:bCs/>
      </w:rPr>
    </w:tblStylePr>
    <w:tblStylePr w:type="band1Vert">
      <w:tblPr/>
      <w:tcPr>
        <w:shd w:val="clear" w:color="auto" w:fill="A1C7FA" w:themeFill="accent1" w:themeFillTint="3F"/>
      </w:tcPr>
    </w:tblStylePr>
    <w:tblStylePr w:type="band1Horz">
      <w:tblPr/>
      <w:tcPr>
        <w:tcBorders>
          <w:insideH w:val="nil"/>
          <w:insideV w:val="nil"/>
        </w:tcBorders>
        <w:shd w:val="clear" w:color="auto" w:fill="A1C7FA"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unhideWhenUsed/>
    <w:rsid w:val="00920D86"/>
    <w:pPr>
      <w:spacing w:line="240" w:lineRule="auto"/>
    </w:pPr>
    <w:tblPr>
      <w:tblStyleRowBandSize w:val="1"/>
      <w:tblStyleColBandSize w:val="1"/>
      <w:tblBorders>
        <w:top w:val="single" w:sz="8" w:space="0" w:color="22AD7B" w:themeColor="accent2" w:themeTint="BF"/>
        <w:left w:val="single" w:sz="8" w:space="0" w:color="22AD7B" w:themeColor="accent2" w:themeTint="BF"/>
        <w:bottom w:val="single" w:sz="8" w:space="0" w:color="22AD7B" w:themeColor="accent2" w:themeTint="BF"/>
        <w:right w:val="single" w:sz="8" w:space="0" w:color="22AD7B" w:themeColor="accent2" w:themeTint="BF"/>
        <w:insideH w:val="single" w:sz="8" w:space="0" w:color="22AD7B" w:themeColor="accent2" w:themeTint="BF"/>
      </w:tblBorders>
    </w:tblPr>
    <w:tblStylePr w:type="firstRow">
      <w:pPr>
        <w:spacing w:before="0" w:after="0" w:line="240" w:lineRule="auto"/>
      </w:pPr>
      <w:rPr>
        <w:b/>
        <w:bCs/>
        <w:color w:val="FFFFFF" w:themeColor="background1"/>
      </w:rPr>
      <w:tblPr/>
      <w:tcPr>
        <w:tcBorders>
          <w:top w:val="single" w:sz="8" w:space="0" w:color="22AD7B" w:themeColor="accent2" w:themeTint="BF"/>
          <w:left w:val="single" w:sz="8" w:space="0" w:color="22AD7B" w:themeColor="accent2" w:themeTint="BF"/>
          <w:bottom w:val="single" w:sz="8" w:space="0" w:color="22AD7B" w:themeColor="accent2" w:themeTint="BF"/>
          <w:right w:val="single" w:sz="8" w:space="0" w:color="22AD7B" w:themeColor="accent2" w:themeTint="BF"/>
          <w:insideH w:val="nil"/>
          <w:insideV w:val="nil"/>
        </w:tcBorders>
        <w:shd w:val="clear" w:color="auto" w:fill="125A40" w:themeFill="accent2"/>
      </w:tcPr>
    </w:tblStylePr>
    <w:tblStylePr w:type="lastRow">
      <w:pPr>
        <w:spacing w:before="0" w:after="0" w:line="240" w:lineRule="auto"/>
      </w:pPr>
      <w:rPr>
        <w:b/>
        <w:bCs/>
      </w:rPr>
      <w:tblPr/>
      <w:tcPr>
        <w:tcBorders>
          <w:top w:val="double" w:sz="6" w:space="0" w:color="22AD7B" w:themeColor="accent2" w:themeTint="BF"/>
          <w:left w:val="single" w:sz="8" w:space="0" w:color="22AD7B" w:themeColor="accent2" w:themeTint="BF"/>
          <w:bottom w:val="single" w:sz="8" w:space="0" w:color="22AD7B" w:themeColor="accent2" w:themeTint="BF"/>
          <w:right w:val="single" w:sz="8" w:space="0" w:color="22AD7B" w:themeColor="accent2" w:themeTint="BF"/>
          <w:insideH w:val="nil"/>
          <w:insideV w:val="nil"/>
        </w:tcBorders>
      </w:tcPr>
    </w:tblStylePr>
    <w:tblStylePr w:type="firstCol">
      <w:rPr>
        <w:b/>
        <w:bCs/>
      </w:rPr>
    </w:tblStylePr>
    <w:tblStylePr w:type="lastCol">
      <w:rPr>
        <w:b/>
        <w:bCs/>
      </w:rPr>
    </w:tblStylePr>
    <w:tblStylePr w:type="band1Vert">
      <w:tblPr/>
      <w:tcPr>
        <w:shd w:val="clear" w:color="auto" w:fill="ACEED6" w:themeFill="accent2" w:themeFillTint="3F"/>
      </w:tcPr>
    </w:tblStylePr>
    <w:tblStylePr w:type="band1Horz">
      <w:tblPr/>
      <w:tcPr>
        <w:tcBorders>
          <w:insideH w:val="nil"/>
          <w:insideV w:val="nil"/>
        </w:tcBorders>
        <w:shd w:val="clear" w:color="auto" w:fill="ACEED6"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unhideWhenUsed/>
    <w:rsid w:val="00920D86"/>
    <w:pPr>
      <w:spacing w:line="240" w:lineRule="auto"/>
    </w:pPr>
    <w:tblPr>
      <w:tblStyleRowBandSize w:val="1"/>
      <w:tblStyleColBandSize w:val="1"/>
      <w:tblBorders>
        <w:top w:val="single" w:sz="8" w:space="0" w:color="C1DBAF" w:themeColor="accent3" w:themeTint="BF"/>
        <w:left w:val="single" w:sz="8" w:space="0" w:color="C1DBAF" w:themeColor="accent3" w:themeTint="BF"/>
        <w:bottom w:val="single" w:sz="8" w:space="0" w:color="C1DBAF" w:themeColor="accent3" w:themeTint="BF"/>
        <w:right w:val="single" w:sz="8" w:space="0" w:color="C1DBAF" w:themeColor="accent3" w:themeTint="BF"/>
        <w:insideH w:val="single" w:sz="8" w:space="0" w:color="C1DBAF" w:themeColor="accent3" w:themeTint="BF"/>
      </w:tblBorders>
    </w:tblPr>
    <w:tblStylePr w:type="firstRow">
      <w:pPr>
        <w:spacing w:before="0" w:after="0" w:line="240" w:lineRule="auto"/>
      </w:pPr>
      <w:rPr>
        <w:b/>
        <w:bCs/>
        <w:color w:val="FFFFFF" w:themeColor="background1"/>
      </w:rPr>
      <w:tblPr/>
      <w:tcPr>
        <w:tcBorders>
          <w:top w:val="single" w:sz="8" w:space="0" w:color="C1DBAF" w:themeColor="accent3" w:themeTint="BF"/>
          <w:left w:val="single" w:sz="8" w:space="0" w:color="C1DBAF" w:themeColor="accent3" w:themeTint="BF"/>
          <w:bottom w:val="single" w:sz="8" w:space="0" w:color="C1DBAF" w:themeColor="accent3" w:themeTint="BF"/>
          <w:right w:val="single" w:sz="8" w:space="0" w:color="C1DBAF" w:themeColor="accent3" w:themeTint="BF"/>
          <w:insideH w:val="nil"/>
          <w:insideV w:val="nil"/>
        </w:tcBorders>
        <w:shd w:val="clear" w:color="auto" w:fill="ADD095" w:themeFill="accent3"/>
      </w:tcPr>
    </w:tblStylePr>
    <w:tblStylePr w:type="lastRow">
      <w:pPr>
        <w:spacing w:before="0" w:after="0" w:line="240" w:lineRule="auto"/>
      </w:pPr>
      <w:rPr>
        <w:b/>
        <w:bCs/>
      </w:rPr>
      <w:tblPr/>
      <w:tcPr>
        <w:tcBorders>
          <w:top w:val="double" w:sz="6" w:space="0" w:color="C1DBAF" w:themeColor="accent3" w:themeTint="BF"/>
          <w:left w:val="single" w:sz="8" w:space="0" w:color="C1DBAF" w:themeColor="accent3" w:themeTint="BF"/>
          <w:bottom w:val="single" w:sz="8" w:space="0" w:color="C1DBAF" w:themeColor="accent3" w:themeTint="BF"/>
          <w:right w:val="single" w:sz="8" w:space="0" w:color="C1DBAF" w:themeColor="accent3" w:themeTint="BF"/>
          <w:insideH w:val="nil"/>
          <w:insideV w:val="nil"/>
        </w:tcBorders>
      </w:tcPr>
    </w:tblStylePr>
    <w:tblStylePr w:type="firstCol">
      <w:rPr>
        <w:b/>
        <w:bCs/>
      </w:rPr>
    </w:tblStylePr>
    <w:tblStylePr w:type="lastCol">
      <w:rPr>
        <w:b/>
        <w:bCs/>
      </w:rPr>
    </w:tblStylePr>
    <w:tblStylePr w:type="band1Vert">
      <w:tblPr/>
      <w:tcPr>
        <w:shd w:val="clear" w:color="auto" w:fill="EAF3E4" w:themeFill="accent3" w:themeFillTint="3F"/>
      </w:tcPr>
    </w:tblStylePr>
    <w:tblStylePr w:type="band1Horz">
      <w:tblPr/>
      <w:tcPr>
        <w:tcBorders>
          <w:insideH w:val="nil"/>
          <w:insideV w:val="nil"/>
        </w:tcBorders>
        <w:shd w:val="clear" w:color="auto" w:fill="EAF3E4"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unhideWhenUsed/>
    <w:rsid w:val="00920D86"/>
    <w:pPr>
      <w:spacing w:line="240" w:lineRule="auto"/>
    </w:pPr>
    <w:tblPr>
      <w:tblStyleRowBandSize w:val="1"/>
      <w:tblStyleColBandSize w:val="1"/>
      <w:tblBorders>
        <w:top w:val="single" w:sz="8" w:space="0" w:color="A3447D" w:themeColor="accent4" w:themeTint="BF"/>
        <w:left w:val="single" w:sz="8" w:space="0" w:color="A3447D" w:themeColor="accent4" w:themeTint="BF"/>
        <w:bottom w:val="single" w:sz="8" w:space="0" w:color="A3447D" w:themeColor="accent4" w:themeTint="BF"/>
        <w:right w:val="single" w:sz="8" w:space="0" w:color="A3447D" w:themeColor="accent4" w:themeTint="BF"/>
        <w:insideH w:val="single" w:sz="8" w:space="0" w:color="A3447D" w:themeColor="accent4" w:themeTint="BF"/>
      </w:tblBorders>
    </w:tblPr>
    <w:tblStylePr w:type="firstRow">
      <w:pPr>
        <w:spacing w:before="0" w:after="0" w:line="240" w:lineRule="auto"/>
      </w:pPr>
      <w:rPr>
        <w:b/>
        <w:bCs/>
        <w:color w:val="FFFFFF" w:themeColor="background1"/>
      </w:rPr>
      <w:tblPr/>
      <w:tcPr>
        <w:tcBorders>
          <w:top w:val="single" w:sz="8" w:space="0" w:color="A3447D" w:themeColor="accent4" w:themeTint="BF"/>
          <w:left w:val="single" w:sz="8" w:space="0" w:color="A3447D" w:themeColor="accent4" w:themeTint="BF"/>
          <w:bottom w:val="single" w:sz="8" w:space="0" w:color="A3447D" w:themeColor="accent4" w:themeTint="BF"/>
          <w:right w:val="single" w:sz="8" w:space="0" w:color="A3447D" w:themeColor="accent4" w:themeTint="BF"/>
          <w:insideH w:val="nil"/>
          <w:insideV w:val="nil"/>
        </w:tcBorders>
        <w:shd w:val="clear" w:color="auto" w:fill="62294B" w:themeFill="accent4"/>
      </w:tcPr>
    </w:tblStylePr>
    <w:tblStylePr w:type="lastRow">
      <w:pPr>
        <w:spacing w:before="0" w:after="0" w:line="240" w:lineRule="auto"/>
      </w:pPr>
      <w:rPr>
        <w:b/>
        <w:bCs/>
      </w:rPr>
      <w:tblPr/>
      <w:tcPr>
        <w:tcBorders>
          <w:top w:val="double" w:sz="6" w:space="0" w:color="A3447D" w:themeColor="accent4" w:themeTint="BF"/>
          <w:left w:val="single" w:sz="8" w:space="0" w:color="A3447D" w:themeColor="accent4" w:themeTint="BF"/>
          <w:bottom w:val="single" w:sz="8" w:space="0" w:color="A3447D" w:themeColor="accent4" w:themeTint="BF"/>
          <w:right w:val="single" w:sz="8" w:space="0" w:color="A3447D" w:themeColor="accent4" w:themeTint="BF"/>
          <w:insideH w:val="nil"/>
          <w:insideV w:val="nil"/>
        </w:tcBorders>
      </w:tcPr>
    </w:tblStylePr>
    <w:tblStylePr w:type="firstCol">
      <w:rPr>
        <w:b/>
        <w:bCs/>
      </w:rPr>
    </w:tblStylePr>
    <w:tblStylePr w:type="lastCol">
      <w:rPr>
        <w:b/>
        <w:bCs/>
      </w:rPr>
    </w:tblStylePr>
    <w:tblStylePr w:type="band1Vert">
      <w:tblPr/>
      <w:tcPr>
        <w:shd w:val="clear" w:color="auto" w:fill="E4BED4" w:themeFill="accent4" w:themeFillTint="3F"/>
      </w:tcPr>
    </w:tblStylePr>
    <w:tblStylePr w:type="band1Horz">
      <w:tblPr/>
      <w:tcPr>
        <w:tcBorders>
          <w:insideH w:val="nil"/>
          <w:insideV w:val="nil"/>
        </w:tcBorders>
        <w:shd w:val="clear" w:color="auto" w:fill="E4BED4"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unhideWhenUsed/>
    <w:rsid w:val="00920D86"/>
    <w:pPr>
      <w:spacing w:line="240" w:lineRule="auto"/>
    </w:pPr>
    <w:tblPr>
      <w:tblStyleRowBandSize w:val="1"/>
      <w:tblStyleColBandSize w:val="1"/>
      <w:tblBorders>
        <w:top w:val="single" w:sz="8" w:space="0" w:color="FFA57F" w:themeColor="accent5" w:themeTint="BF"/>
        <w:left w:val="single" w:sz="8" w:space="0" w:color="FFA57F" w:themeColor="accent5" w:themeTint="BF"/>
        <w:bottom w:val="single" w:sz="8" w:space="0" w:color="FFA57F" w:themeColor="accent5" w:themeTint="BF"/>
        <w:right w:val="single" w:sz="8" w:space="0" w:color="FFA57F" w:themeColor="accent5" w:themeTint="BF"/>
        <w:insideH w:val="single" w:sz="8" w:space="0" w:color="FFA57F" w:themeColor="accent5" w:themeTint="BF"/>
      </w:tblBorders>
    </w:tblPr>
    <w:tblStylePr w:type="firstRow">
      <w:pPr>
        <w:spacing w:before="0" w:after="0" w:line="240" w:lineRule="auto"/>
      </w:pPr>
      <w:rPr>
        <w:b/>
        <w:bCs/>
        <w:color w:val="FFFFFF" w:themeColor="background1"/>
      </w:rPr>
      <w:tblPr/>
      <w:tcPr>
        <w:tcBorders>
          <w:top w:val="single" w:sz="8" w:space="0" w:color="FFA57F" w:themeColor="accent5" w:themeTint="BF"/>
          <w:left w:val="single" w:sz="8" w:space="0" w:color="FFA57F" w:themeColor="accent5" w:themeTint="BF"/>
          <w:bottom w:val="single" w:sz="8" w:space="0" w:color="FFA57F" w:themeColor="accent5" w:themeTint="BF"/>
          <w:right w:val="single" w:sz="8" w:space="0" w:color="FFA57F" w:themeColor="accent5" w:themeTint="BF"/>
          <w:insideH w:val="nil"/>
          <w:insideV w:val="nil"/>
        </w:tcBorders>
        <w:shd w:val="clear" w:color="auto" w:fill="FF8855" w:themeFill="accent5"/>
      </w:tcPr>
    </w:tblStylePr>
    <w:tblStylePr w:type="lastRow">
      <w:pPr>
        <w:spacing w:before="0" w:after="0" w:line="240" w:lineRule="auto"/>
      </w:pPr>
      <w:rPr>
        <w:b/>
        <w:bCs/>
      </w:rPr>
      <w:tblPr/>
      <w:tcPr>
        <w:tcBorders>
          <w:top w:val="double" w:sz="6" w:space="0" w:color="FFA57F" w:themeColor="accent5" w:themeTint="BF"/>
          <w:left w:val="single" w:sz="8" w:space="0" w:color="FFA57F" w:themeColor="accent5" w:themeTint="BF"/>
          <w:bottom w:val="single" w:sz="8" w:space="0" w:color="FFA57F" w:themeColor="accent5" w:themeTint="BF"/>
          <w:right w:val="single" w:sz="8" w:space="0" w:color="FFA57F"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E1D5" w:themeFill="accent5" w:themeFillTint="3F"/>
      </w:tcPr>
    </w:tblStylePr>
    <w:tblStylePr w:type="band1Horz">
      <w:tblPr/>
      <w:tcPr>
        <w:tcBorders>
          <w:insideH w:val="nil"/>
          <w:insideV w:val="nil"/>
        </w:tcBorders>
        <w:shd w:val="clear" w:color="auto" w:fill="FFE1D5"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unhideWhenUsed/>
    <w:rsid w:val="00920D86"/>
    <w:pPr>
      <w:spacing w:line="240" w:lineRule="auto"/>
    </w:pPr>
    <w:tblPr>
      <w:tblStyleRowBandSize w:val="1"/>
      <w:tblStyleColBandSize w:val="1"/>
      <w:tblBorders>
        <w:top w:val="single" w:sz="8" w:space="0" w:color="EAE8E1" w:themeColor="accent6" w:themeTint="BF"/>
        <w:left w:val="single" w:sz="8" w:space="0" w:color="EAE8E1" w:themeColor="accent6" w:themeTint="BF"/>
        <w:bottom w:val="single" w:sz="8" w:space="0" w:color="EAE8E1" w:themeColor="accent6" w:themeTint="BF"/>
        <w:right w:val="single" w:sz="8" w:space="0" w:color="EAE8E1" w:themeColor="accent6" w:themeTint="BF"/>
        <w:insideH w:val="single" w:sz="8" w:space="0" w:color="EAE8E1" w:themeColor="accent6" w:themeTint="BF"/>
      </w:tblBorders>
    </w:tblPr>
    <w:tblStylePr w:type="firstRow">
      <w:pPr>
        <w:spacing w:before="0" w:after="0" w:line="240" w:lineRule="auto"/>
      </w:pPr>
      <w:rPr>
        <w:b/>
        <w:bCs/>
        <w:color w:val="FFFFFF" w:themeColor="background1"/>
      </w:rPr>
      <w:tblPr/>
      <w:tcPr>
        <w:tcBorders>
          <w:top w:val="single" w:sz="8" w:space="0" w:color="EAE8E1" w:themeColor="accent6" w:themeTint="BF"/>
          <w:left w:val="single" w:sz="8" w:space="0" w:color="EAE8E1" w:themeColor="accent6" w:themeTint="BF"/>
          <w:bottom w:val="single" w:sz="8" w:space="0" w:color="EAE8E1" w:themeColor="accent6" w:themeTint="BF"/>
          <w:right w:val="single" w:sz="8" w:space="0" w:color="EAE8E1" w:themeColor="accent6" w:themeTint="BF"/>
          <w:insideH w:val="nil"/>
          <w:insideV w:val="nil"/>
        </w:tcBorders>
        <w:shd w:val="clear" w:color="auto" w:fill="E3E1D8" w:themeFill="accent6"/>
      </w:tcPr>
    </w:tblStylePr>
    <w:tblStylePr w:type="lastRow">
      <w:pPr>
        <w:spacing w:before="0" w:after="0" w:line="240" w:lineRule="auto"/>
      </w:pPr>
      <w:rPr>
        <w:b/>
        <w:bCs/>
      </w:rPr>
      <w:tblPr/>
      <w:tcPr>
        <w:tcBorders>
          <w:top w:val="double" w:sz="6" w:space="0" w:color="EAE8E1" w:themeColor="accent6" w:themeTint="BF"/>
          <w:left w:val="single" w:sz="8" w:space="0" w:color="EAE8E1" w:themeColor="accent6" w:themeTint="BF"/>
          <w:bottom w:val="single" w:sz="8" w:space="0" w:color="EAE8E1" w:themeColor="accent6" w:themeTint="BF"/>
          <w:right w:val="single" w:sz="8" w:space="0" w:color="EAE8E1" w:themeColor="accent6" w:themeTint="BF"/>
          <w:insideH w:val="nil"/>
          <w:insideV w:val="nil"/>
        </w:tcBorders>
      </w:tcPr>
    </w:tblStylePr>
    <w:tblStylePr w:type="firstCol">
      <w:rPr>
        <w:b/>
        <w:bCs/>
      </w:rPr>
    </w:tblStylePr>
    <w:tblStylePr w:type="lastCol">
      <w:rPr>
        <w:b/>
        <w:bCs/>
      </w:rPr>
    </w:tblStylePr>
    <w:tblStylePr w:type="band1Vert">
      <w:tblPr/>
      <w:tcPr>
        <w:shd w:val="clear" w:color="auto" w:fill="F8F7F5" w:themeFill="accent6" w:themeFillTint="3F"/>
      </w:tcPr>
    </w:tblStylePr>
    <w:tblStylePr w:type="band1Horz">
      <w:tblPr/>
      <w:tcPr>
        <w:tcBorders>
          <w:insideH w:val="nil"/>
          <w:insideV w:val="nil"/>
        </w:tcBorders>
        <w:shd w:val="clear" w:color="auto" w:fill="F8F7F5"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5326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5326E" w:themeFill="accent1"/>
      </w:tcPr>
    </w:tblStylePr>
    <w:tblStylePr w:type="lastCol">
      <w:rPr>
        <w:b/>
        <w:bCs/>
        <w:color w:val="FFFFFF" w:themeColor="background1"/>
      </w:rPr>
      <w:tblPr/>
      <w:tcPr>
        <w:tcBorders>
          <w:left w:val="nil"/>
          <w:right w:val="nil"/>
          <w:insideH w:val="nil"/>
          <w:insideV w:val="nil"/>
        </w:tcBorders>
        <w:shd w:val="clear" w:color="auto" w:fill="05326E"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25A4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125A40" w:themeFill="accent2"/>
      </w:tcPr>
    </w:tblStylePr>
    <w:tblStylePr w:type="lastCol">
      <w:rPr>
        <w:b/>
        <w:bCs/>
        <w:color w:val="FFFFFF" w:themeColor="background1"/>
      </w:rPr>
      <w:tblPr/>
      <w:tcPr>
        <w:tcBorders>
          <w:left w:val="nil"/>
          <w:right w:val="nil"/>
          <w:insideH w:val="nil"/>
          <w:insideV w:val="nil"/>
        </w:tcBorders>
        <w:shd w:val="clear" w:color="auto" w:fill="125A4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DD09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ADD095" w:themeFill="accent3"/>
      </w:tcPr>
    </w:tblStylePr>
    <w:tblStylePr w:type="lastCol">
      <w:rPr>
        <w:b/>
        <w:bCs/>
        <w:color w:val="FFFFFF" w:themeColor="background1"/>
      </w:rPr>
      <w:tblPr/>
      <w:tcPr>
        <w:tcBorders>
          <w:left w:val="nil"/>
          <w:right w:val="nil"/>
          <w:insideH w:val="nil"/>
          <w:insideV w:val="nil"/>
        </w:tcBorders>
        <w:shd w:val="clear" w:color="auto" w:fill="ADD09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62294B"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62294B" w:themeFill="accent4"/>
      </w:tcPr>
    </w:tblStylePr>
    <w:tblStylePr w:type="lastCol">
      <w:rPr>
        <w:b/>
        <w:bCs/>
        <w:color w:val="FFFFFF" w:themeColor="background1"/>
      </w:rPr>
      <w:tblPr/>
      <w:tcPr>
        <w:tcBorders>
          <w:left w:val="nil"/>
          <w:right w:val="nil"/>
          <w:insideH w:val="nil"/>
          <w:insideV w:val="nil"/>
        </w:tcBorders>
        <w:shd w:val="clear" w:color="auto" w:fill="62294B"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885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F8855" w:themeFill="accent5"/>
      </w:tcPr>
    </w:tblStylePr>
    <w:tblStylePr w:type="lastCol">
      <w:rPr>
        <w:b/>
        <w:bCs/>
        <w:color w:val="FFFFFF" w:themeColor="background1"/>
      </w:rPr>
      <w:tblPr/>
      <w:tcPr>
        <w:tcBorders>
          <w:left w:val="nil"/>
          <w:right w:val="nil"/>
          <w:insideH w:val="nil"/>
          <w:insideV w:val="nil"/>
        </w:tcBorders>
        <w:shd w:val="clear" w:color="auto" w:fill="FF885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3E1D8"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E3E1D8" w:themeFill="accent6"/>
      </w:tcPr>
    </w:tblStylePr>
    <w:tblStylePr w:type="lastCol">
      <w:rPr>
        <w:b/>
        <w:bCs/>
        <w:color w:val="FFFFFF" w:themeColor="background1"/>
      </w:rPr>
      <w:tblPr/>
      <w:tcPr>
        <w:tcBorders>
          <w:left w:val="nil"/>
          <w:right w:val="nil"/>
          <w:insideH w:val="nil"/>
          <w:insideV w:val="nil"/>
        </w:tcBorders>
        <w:shd w:val="clear" w:color="auto" w:fill="E3E1D8"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character" w:styleId="Mention">
    <w:name w:val="Mention"/>
    <w:basedOn w:val="DefaultParagraphFont"/>
    <w:uiPriority w:val="99"/>
    <w:semiHidden/>
    <w:rsid w:val="00920D86"/>
    <w:rPr>
      <w:color w:val="2B579A"/>
      <w:shd w:val="clear" w:color="auto" w:fill="E6E6E6"/>
      <w:lang w:val="en-US"/>
    </w:rPr>
  </w:style>
  <w:style w:type="paragraph" w:styleId="MessageHeader">
    <w:name w:val="Message Header"/>
    <w:basedOn w:val="Normal"/>
    <w:link w:val="MessageHeaderChar"/>
    <w:uiPriority w:val="99"/>
    <w:rsid w:val="00920D86"/>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920D86"/>
    <w:rPr>
      <w:rFonts w:asciiTheme="majorHAnsi" w:eastAsiaTheme="majorEastAsia" w:hAnsiTheme="majorHAnsi" w:cstheme="majorBidi"/>
      <w:sz w:val="24"/>
      <w:szCs w:val="24"/>
      <w:shd w:val="pct20" w:color="auto" w:fill="auto"/>
      <w:lang w:val="en-US"/>
    </w:rPr>
  </w:style>
  <w:style w:type="paragraph" w:styleId="NormalWeb">
    <w:name w:val="Normal (Web)"/>
    <w:aliases w:val=" webb,Normal (Web) Char Char,Normal (Web)1,webb"/>
    <w:basedOn w:val="Normal"/>
    <w:uiPriority w:val="99"/>
    <w:qFormat/>
    <w:rsid w:val="00920D86"/>
    <w:rPr>
      <w:rFonts w:ascii="Times New Roman" w:hAnsi="Times New Roman" w:cs="Times New Roman"/>
      <w:sz w:val="24"/>
      <w:szCs w:val="24"/>
    </w:rPr>
  </w:style>
  <w:style w:type="paragraph" w:styleId="NoteHeading">
    <w:name w:val="Note Heading"/>
    <w:basedOn w:val="Normal"/>
    <w:next w:val="Normal"/>
    <w:link w:val="NoteHeadingChar"/>
    <w:uiPriority w:val="99"/>
    <w:rsid w:val="00920D86"/>
    <w:pPr>
      <w:spacing w:line="240" w:lineRule="auto"/>
    </w:pPr>
  </w:style>
  <w:style w:type="character" w:customStyle="1" w:styleId="NoteHeadingChar">
    <w:name w:val="Note Heading Char"/>
    <w:basedOn w:val="DefaultParagraphFont"/>
    <w:link w:val="NoteHeading"/>
    <w:uiPriority w:val="99"/>
    <w:rsid w:val="00920D86"/>
    <w:rPr>
      <w:lang w:val="en-US"/>
    </w:rPr>
  </w:style>
  <w:style w:type="table" w:styleId="PlainTable1">
    <w:name w:val="Plain Table 1"/>
    <w:basedOn w:val="TableNormal"/>
    <w:uiPriority w:val="41"/>
    <w:rsid w:val="00920D86"/>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920D86"/>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920D86"/>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20D86"/>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920D86"/>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920D86"/>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rsid w:val="00920D86"/>
    <w:rPr>
      <w:rFonts w:ascii="Consolas" w:hAnsi="Consolas"/>
      <w:sz w:val="21"/>
      <w:szCs w:val="21"/>
      <w:lang w:val="en-US"/>
    </w:rPr>
  </w:style>
  <w:style w:type="paragraph" w:styleId="Salutation">
    <w:name w:val="Salutation"/>
    <w:basedOn w:val="Normal"/>
    <w:next w:val="Normal"/>
    <w:link w:val="SalutationChar"/>
    <w:uiPriority w:val="99"/>
    <w:rsid w:val="00920D86"/>
  </w:style>
  <w:style w:type="character" w:customStyle="1" w:styleId="SalutationChar">
    <w:name w:val="Salutation Char"/>
    <w:basedOn w:val="DefaultParagraphFont"/>
    <w:link w:val="Salutation"/>
    <w:uiPriority w:val="99"/>
    <w:rsid w:val="00920D86"/>
    <w:rPr>
      <w:lang w:val="en-US"/>
    </w:rPr>
  </w:style>
  <w:style w:type="character" w:styleId="SmartHyperlink">
    <w:name w:val="Smart Hyperlink"/>
    <w:basedOn w:val="DefaultParagraphFont"/>
    <w:uiPriority w:val="99"/>
    <w:semiHidden/>
    <w:rsid w:val="00920D86"/>
    <w:rPr>
      <w:u w:val="dotted"/>
      <w:lang w:val="en-US"/>
    </w:rPr>
  </w:style>
  <w:style w:type="table" w:styleId="Table3Deffects1">
    <w:name w:val="Table 3D effects 1"/>
    <w:basedOn w:val="TableNormal"/>
    <w:uiPriority w:val="99"/>
    <w:unhideWhenUsed/>
    <w:rsid w:val="00920D86"/>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unhideWhenUsed/>
    <w:rsid w:val="00920D86"/>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unhideWhenUsed/>
    <w:rsid w:val="00920D86"/>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nhideWhenUsed/>
    <w:rsid w:val="00920D86"/>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unhideWhenUsed/>
    <w:rsid w:val="00920D86"/>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unhideWhenUsed/>
    <w:rsid w:val="00920D86"/>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unhideWhenUsed/>
    <w:rsid w:val="00920D86"/>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unhideWhenUsed/>
    <w:rsid w:val="00920D86"/>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unhideWhenUsed/>
    <w:rsid w:val="00920D86"/>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unhideWhenUsed/>
    <w:rsid w:val="00920D86"/>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unhideWhenUsed/>
    <w:rsid w:val="00920D86"/>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unhideWhenUsed/>
    <w:rsid w:val="00920D86"/>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unhideWhenUsed/>
    <w:rsid w:val="00920D86"/>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unhideWhenUsed/>
    <w:rsid w:val="00920D86"/>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unhideWhenUsed/>
    <w:rsid w:val="00920D86"/>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unhideWhenUsed/>
    <w:rsid w:val="00920D8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nhideWhenUsed/>
    <w:rsid w:val="00920D86"/>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unhideWhenUsed/>
    <w:rsid w:val="00920D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unhideWhenUsed/>
    <w:rsid w:val="00920D86"/>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unhideWhenUsed/>
    <w:rsid w:val="00920D86"/>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unhideWhenUsed/>
    <w:rsid w:val="00920D86"/>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unhideWhenUsed/>
    <w:rsid w:val="00920D86"/>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unhideWhenUsed/>
    <w:rsid w:val="00920D86"/>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unhideWhenUsed/>
    <w:rsid w:val="00920D86"/>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unhideWhenUsed/>
    <w:rsid w:val="00920D86"/>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920D86"/>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unhideWhenUsed/>
    <w:rsid w:val="00920D86"/>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unhideWhenUsed/>
    <w:rsid w:val="00920D86"/>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unhideWhenUsed/>
    <w:rsid w:val="00920D86"/>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unhideWhenUsed/>
    <w:rsid w:val="00920D86"/>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unhideWhenUsed/>
    <w:rsid w:val="00920D86"/>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unhideWhenUsed/>
    <w:rsid w:val="00920D86"/>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unhideWhenUsed/>
    <w:rsid w:val="00920D86"/>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unhideWhenUsed/>
    <w:rsid w:val="00920D86"/>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nhideWhenUsed/>
    <w:rsid w:val="00920D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unhideWhenUsed/>
    <w:rsid w:val="00920D8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unhideWhenUsed/>
    <w:rsid w:val="00920D86"/>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unhideWhenUsed/>
    <w:rsid w:val="00920D86"/>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unhideWhenUsed/>
    <w:rsid w:val="00920D86"/>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unhideWhenUsed/>
    <w:rsid w:val="00920D86"/>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unhideWhenUsed/>
    <w:rsid w:val="00920D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nhideWhenUsed/>
    <w:rsid w:val="00920D86"/>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nhideWhenUsed/>
    <w:rsid w:val="00920D86"/>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nhideWhenUsed/>
    <w:rsid w:val="00920D86"/>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UnresolvedMention">
    <w:name w:val="Unresolved Mention"/>
    <w:basedOn w:val="DefaultParagraphFont"/>
    <w:uiPriority w:val="99"/>
    <w:semiHidden/>
    <w:rsid w:val="00920D86"/>
    <w:rPr>
      <w:color w:val="808080"/>
      <w:shd w:val="clear" w:color="auto" w:fill="E6E6E6"/>
      <w:lang w:val="en-US"/>
    </w:rPr>
  </w:style>
  <w:style w:type="paragraph" w:customStyle="1" w:styleId="DocumentInfo">
    <w:name w:val="Document Info"/>
    <w:basedOn w:val="Normal"/>
    <w:uiPriority w:val="6"/>
    <w:semiHidden/>
    <w:rsid w:val="00920D86"/>
    <w:pPr>
      <w:spacing w:line="200" w:lineRule="atLeast"/>
    </w:pPr>
    <w:rPr>
      <w:sz w:val="14"/>
    </w:rPr>
  </w:style>
  <w:style w:type="paragraph" w:customStyle="1" w:styleId="DearRow">
    <w:name w:val="DearRow"/>
    <w:basedOn w:val="Normal"/>
    <w:uiPriority w:val="99"/>
    <w:semiHidden/>
    <w:rsid w:val="00920D86"/>
    <w:pPr>
      <w:spacing w:after="40"/>
      <w:contextualSpacing/>
    </w:pPr>
    <w:rPr>
      <w:rFonts w:eastAsia="Times New Roman" w:cs="Times New Roman"/>
    </w:rPr>
  </w:style>
  <w:style w:type="paragraph" w:customStyle="1" w:styleId="Template-CompanyInfo">
    <w:name w:val="Template - Company Info"/>
    <w:basedOn w:val="Template"/>
    <w:uiPriority w:val="8"/>
    <w:semiHidden/>
    <w:rsid w:val="00920D86"/>
    <w:rPr>
      <w:sz w:val="12"/>
    </w:rPr>
  </w:style>
  <w:style w:type="paragraph" w:customStyle="1" w:styleId="Template-FilePath">
    <w:name w:val="Template - File Path"/>
    <w:basedOn w:val="Template"/>
    <w:uiPriority w:val="8"/>
    <w:semiHidden/>
    <w:rsid w:val="00920D86"/>
    <w:pPr>
      <w:spacing w:line="160" w:lineRule="atLeast"/>
    </w:pPr>
    <w:rPr>
      <w:sz w:val="10"/>
    </w:rPr>
  </w:style>
  <w:style w:type="paragraph" w:customStyle="1" w:styleId="Template-DocId">
    <w:name w:val="Template - Doc Id"/>
    <w:basedOn w:val="Template"/>
    <w:uiPriority w:val="8"/>
    <w:semiHidden/>
    <w:rsid w:val="00920D86"/>
    <w:rPr>
      <w:sz w:val="12"/>
    </w:rPr>
  </w:style>
  <w:style w:type="table" w:customStyle="1" w:styleId="Ramboll-Table">
    <w:name w:val="Ramboll - Table"/>
    <w:basedOn w:val="TableNormal"/>
    <w:uiPriority w:val="99"/>
    <w:rsid w:val="00920D86"/>
    <w:pPr>
      <w:spacing w:before="20" w:after="20" w:line="200" w:lineRule="atLeast"/>
      <w:ind w:left="57" w:right="113"/>
    </w:pPr>
    <w:rPr>
      <w:sz w:val="14"/>
    </w:rPr>
    <w:tblPr>
      <w:tblStyleColBandSize w:val="1"/>
      <w:tblBorders>
        <w:bottom w:val="single" w:sz="4" w:space="0" w:color="6D6E71"/>
        <w:insideH w:val="single" w:sz="2" w:space="0" w:color="CAC9BC"/>
      </w:tblBorders>
      <w:tblCellMar>
        <w:left w:w="0" w:type="dxa"/>
        <w:right w:w="0" w:type="dxa"/>
      </w:tblCellMar>
    </w:tblPr>
    <w:tblStylePr w:type="firstRow">
      <w:rPr>
        <w:color w:val="auto"/>
      </w:rPr>
      <w:tblPr/>
      <w:tcPr>
        <w:tcBorders>
          <w:bottom w:val="single" w:sz="4" w:space="0" w:color="6D6E71"/>
        </w:tcBorders>
        <w:shd w:val="clear" w:color="auto" w:fill="F1F1ED"/>
      </w:tcPr>
    </w:tblStylePr>
    <w:tblStylePr w:type="band2Vert">
      <w:tblPr/>
      <w:tcPr>
        <w:shd w:val="clear" w:color="auto" w:fill="F1F1ED"/>
      </w:tcPr>
    </w:tblStylePr>
  </w:style>
  <w:style w:type="paragraph" w:customStyle="1" w:styleId="DocumentInfo-Bold">
    <w:name w:val="Document Info - Bold"/>
    <w:basedOn w:val="DocumentInfo"/>
    <w:uiPriority w:val="6"/>
    <w:semiHidden/>
    <w:rsid w:val="00920D86"/>
    <w:rPr>
      <w:b/>
    </w:rPr>
  </w:style>
  <w:style w:type="character" w:customStyle="1" w:styleId="TOC4Char">
    <w:name w:val="TOC 4 Char"/>
    <w:basedOn w:val="DefaultParagraphFont"/>
    <w:link w:val="TOC4"/>
    <w:uiPriority w:val="39"/>
    <w:rsid w:val="00920D86"/>
    <w:rPr>
      <w:rFonts w:asciiTheme="minorHAnsi" w:hAnsiTheme="minorHAnsi"/>
      <w:sz w:val="20"/>
      <w:szCs w:val="20"/>
      <w:lang w:val="en-US"/>
    </w:rPr>
  </w:style>
  <w:style w:type="paragraph" w:customStyle="1" w:styleId="Documentdataleadtext">
    <w:name w:val="Document data leadtext"/>
    <w:basedOn w:val="Normal"/>
    <w:uiPriority w:val="8"/>
    <w:semiHidden/>
    <w:rsid w:val="00920D86"/>
    <w:rPr>
      <w:rFonts w:eastAsia="Times New Roman" w:cs="Times New Roman"/>
      <w:sz w:val="14"/>
    </w:rPr>
  </w:style>
  <w:style w:type="paragraph" w:customStyle="1" w:styleId="Documentdatatext">
    <w:name w:val="Document data text"/>
    <w:basedOn w:val="Normal"/>
    <w:uiPriority w:val="8"/>
    <w:semiHidden/>
    <w:rsid w:val="00920D86"/>
    <w:rPr>
      <w:rFonts w:eastAsia="Times New Roman" w:cs="Times New Roman"/>
      <w:b/>
    </w:rPr>
  </w:style>
  <w:style w:type="paragraph" w:customStyle="1" w:styleId="FrontpageHeading1">
    <w:name w:val="Frontpage Heading 1"/>
    <w:basedOn w:val="Normal"/>
    <w:link w:val="FrontpageHeading1Char"/>
    <w:uiPriority w:val="8"/>
    <w:rsid w:val="00053E7C"/>
    <w:pPr>
      <w:spacing w:after="500" w:line="1080" w:lineRule="exact"/>
      <w:contextualSpacing/>
    </w:pPr>
    <w:rPr>
      <w:rFonts w:eastAsia="Times New Roman" w:cs="Times New Roman"/>
      <w:color w:val="FFFFFF"/>
      <w:sz w:val="102"/>
    </w:rPr>
  </w:style>
  <w:style w:type="paragraph" w:customStyle="1" w:styleId="H1-NOTTOC">
    <w:name w:val="H1 - NOT TOC"/>
    <w:basedOn w:val="Heading1"/>
    <w:next w:val="Normal"/>
    <w:uiPriority w:val="4"/>
    <w:rsid w:val="00920D86"/>
    <w:pPr>
      <w:numPr>
        <w:numId w:val="1"/>
      </w:numPr>
      <w:outlineLvl w:val="9"/>
    </w:pPr>
  </w:style>
  <w:style w:type="character" w:customStyle="1" w:styleId="FrontpageHeading1Char">
    <w:name w:val="Frontpage Heading 1 Char"/>
    <w:basedOn w:val="DefaultParagraphFont"/>
    <w:link w:val="FrontpageHeading1"/>
    <w:uiPriority w:val="8"/>
    <w:rsid w:val="00053E7C"/>
    <w:rPr>
      <w:rFonts w:eastAsia="Times New Roman" w:cs="Times New Roman"/>
      <w:color w:val="FFFFFF"/>
      <w:sz w:val="102"/>
      <w:lang w:val="en-US"/>
    </w:rPr>
  </w:style>
  <w:style w:type="character" w:customStyle="1" w:styleId="Caption-Header">
    <w:name w:val="Caption - Header"/>
    <w:basedOn w:val="DefaultParagraphFont"/>
    <w:uiPriority w:val="6"/>
    <w:qFormat/>
    <w:rsid w:val="00920D86"/>
    <w:rPr>
      <w:rFonts w:ascii="Verdana" w:hAnsi="Verdana" w:cs="Times New Roman"/>
      <w:color w:val="009DE0"/>
      <w:sz w:val="13"/>
      <w:lang w:val="en-US"/>
    </w:rPr>
  </w:style>
  <w:style w:type="paragraph" w:customStyle="1" w:styleId="Template-ReftoFrontpageheading2">
    <w:name w:val="Template - Ref to Frontpage heading 2"/>
    <w:basedOn w:val="Normal"/>
    <w:link w:val="Template-ReftoFrontpageheading2Char"/>
    <w:semiHidden/>
    <w:qFormat/>
    <w:rsid w:val="00920D86"/>
    <w:pPr>
      <w:tabs>
        <w:tab w:val="left" w:pos="198"/>
      </w:tabs>
      <w:spacing w:line="280" w:lineRule="atLeast"/>
    </w:pPr>
    <w:rPr>
      <w:rFonts w:eastAsia="Times New Roman" w:cs="Times New Roman"/>
      <w:b/>
      <w:caps/>
      <w:color w:val="009DE0"/>
      <w:sz w:val="22"/>
      <w:szCs w:val="24"/>
    </w:rPr>
  </w:style>
  <w:style w:type="character" w:customStyle="1" w:styleId="Template-ReftoFrontpageheading2Char">
    <w:name w:val="Template - Ref to Frontpage heading 2 Char"/>
    <w:basedOn w:val="DefaultParagraphFont"/>
    <w:link w:val="Template-ReftoFrontpageheading2"/>
    <w:semiHidden/>
    <w:rsid w:val="00920D86"/>
    <w:rPr>
      <w:rFonts w:eastAsia="Times New Roman" w:cs="Times New Roman"/>
      <w:b/>
      <w:caps/>
      <w:noProof/>
      <w:color w:val="009DE0"/>
      <w:sz w:val="22"/>
      <w:szCs w:val="24"/>
      <w:lang w:val="en-US"/>
    </w:rPr>
  </w:style>
  <w:style w:type="paragraph" w:customStyle="1" w:styleId="RevisionData">
    <w:name w:val="Revision Data"/>
    <w:basedOn w:val="Normal"/>
    <w:uiPriority w:val="7"/>
    <w:semiHidden/>
    <w:rsid w:val="00920D86"/>
    <w:rPr>
      <w:rFonts w:eastAsia="Times New Roman" w:cs="Times New Roman"/>
      <w:sz w:val="14"/>
    </w:rPr>
  </w:style>
  <w:style w:type="paragraph" w:customStyle="1" w:styleId="RevisionDataText">
    <w:name w:val="Revision Data Text"/>
    <w:basedOn w:val="Normal"/>
    <w:uiPriority w:val="7"/>
    <w:semiHidden/>
    <w:rsid w:val="00920D86"/>
    <w:rPr>
      <w:rFonts w:eastAsia="Times New Roman" w:cs="Times New Roman"/>
      <w:b/>
    </w:rPr>
  </w:style>
  <w:style w:type="paragraph" w:customStyle="1" w:styleId="Optional1">
    <w:name w:val="Optional 1"/>
    <w:basedOn w:val="RevisionDataText"/>
    <w:uiPriority w:val="7"/>
    <w:semiHidden/>
    <w:rsid w:val="00920D86"/>
  </w:style>
  <w:style w:type="paragraph" w:customStyle="1" w:styleId="Optional2">
    <w:name w:val="Optional 2"/>
    <w:basedOn w:val="RevisionDataText"/>
    <w:uiPriority w:val="7"/>
    <w:semiHidden/>
    <w:rsid w:val="00920D86"/>
  </w:style>
  <w:style w:type="paragraph" w:customStyle="1" w:styleId="Normal-Optional1leadtext">
    <w:name w:val="Normal - Optional 1 leadtext"/>
    <w:basedOn w:val="Documentdataleadtext"/>
    <w:semiHidden/>
    <w:qFormat/>
    <w:rsid w:val="00920D86"/>
  </w:style>
  <w:style w:type="paragraph" w:customStyle="1" w:styleId="Optional2leadtext">
    <w:name w:val="Optional 2 leadtext"/>
    <w:basedOn w:val="Normal-Optional1leadtext"/>
    <w:uiPriority w:val="7"/>
    <w:semiHidden/>
    <w:rsid w:val="00920D86"/>
  </w:style>
  <w:style w:type="paragraph" w:customStyle="1" w:styleId="Template-Disclaimer">
    <w:name w:val="Template - Disclaimer"/>
    <w:basedOn w:val="Normal"/>
    <w:uiPriority w:val="8"/>
    <w:semiHidden/>
    <w:rsid w:val="00920D86"/>
    <w:pPr>
      <w:spacing w:line="200" w:lineRule="atLeast"/>
    </w:pPr>
    <w:rPr>
      <w:sz w:val="14"/>
    </w:rPr>
  </w:style>
  <w:style w:type="paragraph" w:customStyle="1" w:styleId="FactBoxHeading1">
    <w:name w:val="Fact Box Heading 1"/>
    <w:basedOn w:val="Normal"/>
    <w:next w:val="Normal"/>
    <w:uiPriority w:val="7"/>
    <w:rsid w:val="00920D86"/>
    <w:pPr>
      <w:spacing w:line="320" w:lineRule="atLeast"/>
    </w:pPr>
    <w:rPr>
      <w:rFonts w:eastAsia="Times New Roman" w:cs="Times New Roman"/>
      <w:b/>
      <w:color w:val="FFFFFF"/>
      <w:sz w:val="30"/>
    </w:rPr>
  </w:style>
  <w:style w:type="paragraph" w:customStyle="1" w:styleId="FactBoxHeading3">
    <w:name w:val="Fact Box Heading 3"/>
    <w:basedOn w:val="Normal"/>
    <w:next w:val="FactBoxBodytext"/>
    <w:uiPriority w:val="7"/>
    <w:rsid w:val="00920D86"/>
    <w:pPr>
      <w:spacing w:after="100" w:line="220" w:lineRule="atLeast"/>
    </w:pPr>
    <w:rPr>
      <w:rFonts w:eastAsia="Times New Roman" w:cs="Times New Roman"/>
      <w:b/>
      <w:color w:val="FFFFFF"/>
    </w:rPr>
  </w:style>
  <w:style w:type="paragraph" w:customStyle="1" w:styleId="FactBoxBodytext">
    <w:name w:val="Fact Box Body text"/>
    <w:basedOn w:val="Normal"/>
    <w:uiPriority w:val="7"/>
    <w:rsid w:val="00920D86"/>
    <w:pPr>
      <w:spacing w:after="120" w:line="280" w:lineRule="atLeast"/>
      <w:contextualSpacing/>
    </w:pPr>
    <w:rPr>
      <w:rFonts w:eastAsia="Times New Roman" w:cs="Times New Roman"/>
      <w:color w:val="FFFFFF"/>
    </w:rPr>
  </w:style>
  <w:style w:type="paragraph" w:customStyle="1" w:styleId="Caption-Text">
    <w:name w:val="Caption - Text"/>
    <w:basedOn w:val="Normal"/>
    <w:next w:val="Normal"/>
    <w:qFormat/>
    <w:rsid w:val="00920D86"/>
    <w:pPr>
      <w:spacing w:after="260" w:line="200" w:lineRule="atLeast"/>
    </w:pPr>
    <w:rPr>
      <w:rFonts w:eastAsia="Times New Roman" w:cs="Times New Roman"/>
      <w:sz w:val="14"/>
    </w:rPr>
  </w:style>
  <w:style w:type="paragraph" w:customStyle="1" w:styleId="SupplementNumber">
    <w:name w:val="Supplement Number"/>
    <w:basedOn w:val="Normal"/>
    <w:next w:val="Supplementtitle"/>
    <w:uiPriority w:val="7"/>
    <w:semiHidden/>
    <w:rsid w:val="00920D86"/>
    <w:pPr>
      <w:keepNext/>
      <w:keepLines/>
      <w:tabs>
        <w:tab w:val="num" w:pos="1209"/>
      </w:tabs>
      <w:spacing w:before="2400" w:line="280" w:lineRule="exact"/>
      <w:outlineLvl w:val="6"/>
    </w:pPr>
    <w:rPr>
      <w:rFonts w:eastAsia="Times New Roman" w:cs="Times New Roman"/>
      <w:b/>
      <w:caps/>
      <w:color w:val="009DE0"/>
      <w:sz w:val="22"/>
    </w:rPr>
  </w:style>
  <w:style w:type="paragraph" w:customStyle="1" w:styleId="Supplementtitle">
    <w:name w:val="Supplement title"/>
    <w:basedOn w:val="SupplementNumber"/>
    <w:next w:val="Normal"/>
    <w:uiPriority w:val="7"/>
    <w:semiHidden/>
    <w:rsid w:val="00920D86"/>
    <w:pPr>
      <w:keepNext w:val="0"/>
      <w:keepLines w:val="0"/>
      <w:numPr>
        <w:numId w:val="13"/>
      </w:numPr>
      <w:spacing w:before="0"/>
      <w:outlineLvl w:val="7"/>
    </w:pPr>
  </w:style>
  <w:style w:type="paragraph" w:customStyle="1" w:styleId="TOCHeading-Indent">
    <w:name w:val="TOC Heading - Indent"/>
    <w:basedOn w:val="TOCHeading"/>
    <w:uiPriority w:val="39"/>
    <w:semiHidden/>
    <w:rsid w:val="00920D86"/>
    <w:pPr>
      <w:ind w:left="-567"/>
    </w:pPr>
  </w:style>
  <w:style w:type="paragraph" w:customStyle="1" w:styleId="FactBoxHeading2">
    <w:name w:val="Fact Box Heading 2"/>
    <w:basedOn w:val="Normal"/>
    <w:uiPriority w:val="7"/>
    <w:rsid w:val="00920D86"/>
    <w:pPr>
      <w:spacing w:after="160"/>
    </w:pPr>
    <w:rPr>
      <w:rFonts w:eastAsia="Times New Roman" w:cs="Times New Roman"/>
      <w:b/>
      <w:color w:val="FFFFFF"/>
      <w:sz w:val="22"/>
    </w:rPr>
  </w:style>
  <w:style w:type="paragraph" w:customStyle="1" w:styleId="FrontpageInfo">
    <w:name w:val="Frontpage Info"/>
    <w:basedOn w:val="Normal"/>
    <w:uiPriority w:val="8"/>
    <w:rsid w:val="00053E7C"/>
    <w:pPr>
      <w:spacing w:line="360" w:lineRule="atLeast"/>
    </w:pPr>
    <w:rPr>
      <w:color w:val="FFFFFF"/>
      <w:sz w:val="30"/>
    </w:rPr>
  </w:style>
  <w:style w:type="paragraph" w:customStyle="1" w:styleId="H2-NOTTOC">
    <w:name w:val="H2 - NOT TOC"/>
    <w:basedOn w:val="Heading2"/>
    <w:next w:val="Normal"/>
    <w:uiPriority w:val="4"/>
    <w:rsid w:val="00920D86"/>
    <w:pPr>
      <w:numPr>
        <w:numId w:val="1"/>
      </w:numPr>
      <w:outlineLvl w:val="9"/>
    </w:pPr>
  </w:style>
  <w:style w:type="paragraph" w:customStyle="1" w:styleId="H3-NOTTOC">
    <w:name w:val="H3 - NOT TOC"/>
    <w:basedOn w:val="Heading3"/>
    <w:next w:val="Normal"/>
    <w:uiPriority w:val="4"/>
    <w:rsid w:val="00920D86"/>
    <w:pPr>
      <w:numPr>
        <w:numId w:val="1"/>
      </w:numPr>
      <w:outlineLvl w:val="9"/>
    </w:pPr>
  </w:style>
  <w:style w:type="paragraph" w:customStyle="1" w:styleId="H4-NOTTOC">
    <w:name w:val="H4 - NOT TOC"/>
    <w:basedOn w:val="Heading4"/>
    <w:next w:val="Normal"/>
    <w:uiPriority w:val="4"/>
    <w:rsid w:val="00920D86"/>
    <w:pPr>
      <w:numPr>
        <w:numId w:val="1"/>
      </w:numPr>
      <w:outlineLvl w:val="9"/>
    </w:pPr>
  </w:style>
  <w:style w:type="paragraph" w:customStyle="1" w:styleId="Titlepage">
    <w:name w:val="Titlepage"/>
    <w:basedOn w:val="Subtitle"/>
    <w:uiPriority w:val="8"/>
    <w:semiHidden/>
    <w:qFormat/>
    <w:rsid w:val="00920D86"/>
    <w:pPr>
      <w:framePr w:wrap="around" w:vAnchor="page" w:hAnchor="page" w:x="1163" w:y="4310"/>
      <w:numPr>
        <w:ilvl w:val="0"/>
      </w:numPr>
      <w:contextualSpacing w:val="0"/>
    </w:pPr>
    <w:rPr>
      <w:rFonts w:eastAsia="Times New Roman" w:cs="Times New Roman"/>
      <w:b/>
      <w:iCs w:val="0"/>
      <w:color w:val="009DF0" w:themeColor="text2"/>
    </w:rPr>
  </w:style>
  <w:style w:type="paragraph" w:customStyle="1" w:styleId="Headnote">
    <w:name w:val="Head note"/>
    <w:basedOn w:val="Normal"/>
    <w:uiPriority w:val="2"/>
    <w:rsid w:val="00920D86"/>
    <w:pPr>
      <w:spacing w:after="280" w:line="280" w:lineRule="atLeast"/>
    </w:pPr>
    <w:rPr>
      <w:rFonts w:eastAsia="Times New Roman" w:cs="Times New Roman"/>
      <w:b/>
      <w:color w:val="4D4D4D"/>
      <w:sz w:val="21"/>
    </w:rPr>
  </w:style>
  <w:style w:type="paragraph" w:customStyle="1" w:styleId="FigureHeading">
    <w:name w:val="Figure Heading"/>
    <w:basedOn w:val="Normal"/>
    <w:uiPriority w:val="5"/>
    <w:rsid w:val="00920D86"/>
    <w:rPr>
      <w:b/>
      <w:color w:val="009DF0" w:themeColor="text2"/>
    </w:rPr>
  </w:style>
  <w:style w:type="paragraph" w:customStyle="1" w:styleId="OrgName">
    <w:name w:val="Org Name"/>
    <w:basedOn w:val="Normal"/>
    <w:uiPriority w:val="5"/>
    <w:rsid w:val="00920D86"/>
    <w:pPr>
      <w:spacing w:line="200" w:lineRule="atLeast"/>
    </w:pPr>
    <w:rPr>
      <w:rFonts w:eastAsia="Times New Roman" w:cs="Times New Roman"/>
      <w:b/>
      <w:color w:val="FFFFFF"/>
      <w:sz w:val="16"/>
    </w:rPr>
  </w:style>
  <w:style w:type="paragraph" w:customStyle="1" w:styleId="BackpageWeb">
    <w:name w:val="Backpage Web"/>
    <w:basedOn w:val="Normal"/>
    <w:uiPriority w:val="8"/>
    <w:rsid w:val="00E37AEE"/>
    <w:pPr>
      <w:spacing w:line="290" w:lineRule="atLeast"/>
    </w:pPr>
    <w:rPr>
      <w:color w:val="009DF0" w:themeColor="text2"/>
      <w:sz w:val="24"/>
    </w:rPr>
  </w:style>
  <w:style w:type="character" w:customStyle="1" w:styleId="normaltextrun">
    <w:name w:val="normaltextrun"/>
    <w:basedOn w:val="DefaultParagraphFont"/>
    <w:rsid w:val="00D0462B"/>
  </w:style>
  <w:style w:type="paragraph" w:customStyle="1" w:styleId="text1">
    <w:name w:val="text1"/>
    <w:basedOn w:val="Normal"/>
    <w:qFormat/>
    <w:rsid w:val="00B24F01"/>
    <w:pPr>
      <w:spacing w:before="60" w:after="60" w:line="240" w:lineRule="auto"/>
      <w:ind w:left="851"/>
      <w:jc w:val="both"/>
    </w:pPr>
    <w:rPr>
      <w:rFonts w:eastAsia="Times New Roman" w:cs="Times New Roman"/>
      <w:szCs w:val="24"/>
      <w:lang w:val="en-GB" w:eastAsia="fr-FR"/>
    </w:rPr>
  </w:style>
  <w:style w:type="character" w:customStyle="1" w:styleId="ListParagraphChar">
    <w:name w:val="List Paragraph Char"/>
    <w:aliases w:val="body 2 Char,List Paragraph1 Char,List Paragraph11 Char,bullets Char,Arial Char,Normal bullet 2 Char,Header bold Char,List_Paragraph Char,Multilevel para_II Char,Paragraph Char,Citation List Char,ANNEX Char,Bullet Char,bullet Char"/>
    <w:link w:val="ListParagraph"/>
    <w:uiPriority w:val="34"/>
    <w:qFormat/>
    <w:locked/>
    <w:rsid w:val="00B24F01"/>
    <w:rPr>
      <w:lang w:val="en-US"/>
    </w:rPr>
  </w:style>
  <w:style w:type="character" w:customStyle="1" w:styleId="NoSpacingChar">
    <w:name w:val="No Spacing Char"/>
    <w:link w:val="NoSpacing"/>
    <w:uiPriority w:val="1"/>
    <w:rsid w:val="00B24F01"/>
    <w:rPr>
      <w:lang w:val="en-US"/>
    </w:rPr>
  </w:style>
  <w:style w:type="paragraph" w:styleId="Revision">
    <w:name w:val="Revision"/>
    <w:hidden/>
    <w:uiPriority w:val="99"/>
    <w:semiHidden/>
    <w:rsid w:val="00312E5E"/>
    <w:pPr>
      <w:spacing w:line="240" w:lineRule="auto"/>
    </w:pPr>
    <w:rPr>
      <w:lang w:val="en-US"/>
    </w:rPr>
  </w:style>
  <w:style w:type="paragraph" w:customStyle="1" w:styleId="StyleHeading2Before0ptAfter0pt">
    <w:name w:val="Style Heading 2 + Before:  0 pt After:  0 pt"/>
    <w:basedOn w:val="Heading2"/>
    <w:autoRedefine/>
    <w:uiPriority w:val="99"/>
    <w:qFormat/>
    <w:rsid w:val="004A4053"/>
    <w:pPr>
      <w:numPr>
        <w:ilvl w:val="0"/>
        <w:numId w:val="19"/>
      </w:numPr>
      <w:suppressAutoHyphens w:val="0"/>
      <w:spacing w:before="40" w:line="240" w:lineRule="auto"/>
      <w:contextualSpacing w:val="0"/>
      <w:jc w:val="both"/>
    </w:pPr>
    <w:rPr>
      <w:rFonts w:asciiTheme="majorHAnsi" w:hAnsiTheme="majorHAnsi"/>
      <w:bCs w:val="0"/>
      <w:color w:val="032552" w:themeColor="accent1" w:themeShade="BF"/>
      <w:sz w:val="26"/>
      <w:lang w:eastAsia="ro-RO"/>
    </w:rPr>
  </w:style>
  <w:style w:type="paragraph" w:customStyle="1" w:styleId="al">
    <w:name w:val="a_l"/>
    <w:basedOn w:val="Normal"/>
    <w:qFormat/>
    <w:rsid w:val="000139DD"/>
    <w:pPr>
      <w:spacing w:before="100" w:beforeAutospacing="1" w:after="100" w:afterAutospacing="1" w:line="240" w:lineRule="auto"/>
    </w:pPr>
    <w:rPr>
      <w:rFonts w:ascii="Times New Roman" w:eastAsia="Times New Roman" w:hAnsi="Times New Roman" w:cs="Times New Roman"/>
      <w:sz w:val="24"/>
      <w:szCs w:val="24"/>
      <w:lang w:eastAsia="ro-RO"/>
    </w:rPr>
  </w:style>
  <w:style w:type="paragraph" w:customStyle="1" w:styleId="Default">
    <w:name w:val="Default"/>
    <w:link w:val="DefaultChar"/>
    <w:qFormat/>
    <w:rsid w:val="00690440"/>
    <w:pPr>
      <w:autoSpaceDE w:val="0"/>
      <w:autoSpaceDN w:val="0"/>
      <w:adjustRightInd w:val="0"/>
      <w:spacing w:after="200" w:line="276" w:lineRule="auto"/>
    </w:pPr>
    <w:rPr>
      <w:rFonts w:ascii="Arial" w:eastAsia="Times New Roman" w:hAnsi="Arial" w:cs="Arial"/>
      <w:color w:val="000000"/>
      <w:sz w:val="24"/>
      <w:szCs w:val="24"/>
      <w:lang w:val="en-US"/>
    </w:rPr>
  </w:style>
  <w:style w:type="paragraph" w:customStyle="1" w:styleId="E1">
    <w:name w:val="E1"/>
    <w:basedOn w:val="Normal"/>
    <w:link w:val="E1Zchn"/>
    <w:qFormat/>
    <w:rsid w:val="00690440"/>
    <w:pPr>
      <w:overflowPunct w:val="0"/>
      <w:autoSpaceDE w:val="0"/>
      <w:autoSpaceDN w:val="0"/>
      <w:adjustRightInd w:val="0"/>
      <w:spacing w:after="160" w:line="320" w:lineRule="atLeast"/>
      <w:ind w:left="851"/>
      <w:textAlignment w:val="baseline"/>
    </w:pPr>
    <w:rPr>
      <w:rFonts w:eastAsia="Times New Roman" w:cs="Times New Roman"/>
      <w:sz w:val="22"/>
      <w:szCs w:val="22"/>
      <w:lang w:val="de-DE" w:eastAsia="de-DE"/>
    </w:rPr>
  </w:style>
  <w:style w:type="character" w:customStyle="1" w:styleId="E1Zchn">
    <w:name w:val="E1 Zchn"/>
    <w:link w:val="E1"/>
    <w:rsid w:val="00690440"/>
    <w:rPr>
      <w:rFonts w:eastAsia="Times New Roman" w:cs="Times New Roman"/>
      <w:sz w:val="22"/>
      <w:szCs w:val="22"/>
      <w:lang w:val="de-DE" w:eastAsia="de-DE"/>
    </w:rPr>
  </w:style>
  <w:style w:type="paragraph" w:customStyle="1" w:styleId="Normal1">
    <w:name w:val="Normal1"/>
    <w:basedOn w:val="Normal"/>
    <w:rsid w:val="00690440"/>
    <w:pPr>
      <w:tabs>
        <w:tab w:val="num" w:pos="3480"/>
      </w:tabs>
      <w:overflowPunct w:val="0"/>
      <w:autoSpaceDE w:val="0"/>
      <w:autoSpaceDN w:val="0"/>
      <w:adjustRightInd w:val="0"/>
      <w:spacing w:after="200" w:line="276" w:lineRule="auto"/>
      <w:ind w:left="3480" w:hanging="360"/>
      <w:textAlignment w:val="baseline"/>
    </w:pPr>
    <w:rPr>
      <w:rFonts w:eastAsia="Times New Roman" w:cs="Times New Roman"/>
      <w:sz w:val="22"/>
      <w:szCs w:val="20"/>
      <w:lang w:eastAsia="ro-RO"/>
    </w:rPr>
  </w:style>
  <w:style w:type="paragraph" w:customStyle="1" w:styleId="normal2">
    <w:name w:val="normal2"/>
    <w:basedOn w:val="BodyText2"/>
    <w:qFormat/>
    <w:rsid w:val="00690440"/>
    <w:pPr>
      <w:overflowPunct w:val="0"/>
      <w:autoSpaceDE w:val="0"/>
      <w:autoSpaceDN w:val="0"/>
      <w:adjustRightInd w:val="0"/>
      <w:spacing w:after="240" w:line="240" w:lineRule="auto"/>
    </w:pPr>
    <w:rPr>
      <w:rFonts w:ascii="Times New Roman" w:eastAsia="Times New Roman" w:hAnsi="Times New Roman" w:cs="Times New Roman"/>
      <w:sz w:val="22"/>
      <w:szCs w:val="20"/>
      <w:lang w:eastAsia="ro-RO"/>
    </w:rPr>
  </w:style>
  <w:style w:type="paragraph" w:customStyle="1" w:styleId="Normal10">
    <w:name w:val="Normal 1"/>
    <w:basedOn w:val="Normal"/>
    <w:autoRedefine/>
    <w:qFormat/>
    <w:rsid w:val="00690440"/>
    <w:pPr>
      <w:widowControl w:val="0"/>
      <w:snapToGrid w:val="0"/>
      <w:spacing w:after="120" w:line="300" w:lineRule="atLeast"/>
    </w:pPr>
    <w:rPr>
      <w:rFonts w:eastAsia="Times New Roman" w:cs="Arial"/>
      <w:b/>
      <w:bCs/>
      <w:sz w:val="22"/>
      <w:szCs w:val="20"/>
      <w:lang w:eastAsia="ro-RO"/>
    </w:rPr>
  </w:style>
  <w:style w:type="paragraph" w:customStyle="1" w:styleId="fter12normal">
    <w:name w:val="fter 12 normal"/>
    <w:basedOn w:val="Normal"/>
    <w:qFormat/>
    <w:rsid w:val="00690440"/>
    <w:pPr>
      <w:widowControl w:val="0"/>
      <w:spacing w:after="240" w:line="276" w:lineRule="auto"/>
      <w:outlineLvl w:val="0"/>
    </w:pPr>
    <w:rPr>
      <w:rFonts w:ascii="Times New Roman" w:eastAsia="Times New Roman" w:hAnsi="Times New Roman" w:cs="Times New Roman"/>
      <w:bCs/>
      <w:snapToGrid w:val="0"/>
      <w:sz w:val="22"/>
      <w:szCs w:val="20"/>
      <w:lang w:eastAsia="ro-RO"/>
    </w:rPr>
  </w:style>
  <w:style w:type="paragraph" w:customStyle="1" w:styleId="Style3">
    <w:name w:val="Style3"/>
    <w:basedOn w:val="Normal"/>
    <w:link w:val="Style3Char"/>
    <w:qFormat/>
    <w:rsid w:val="00690440"/>
    <w:pPr>
      <w:numPr>
        <w:numId w:val="30"/>
      </w:numPr>
      <w:overflowPunct w:val="0"/>
      <w:autoSpaceDE w:val="0"/>
      <w:autoSpaceDN w:val="0"/>
      <w:adjustRightInd w:val="0"/>
      <w:spacing w:after="200" w:line="276" w:lineRule="auto"/>
      <w:textAlignment w:val="baseline"/>
      <w:outlineLvl w:val="0"/>
    </w:pPr>
    <w:rPr>
      <w:rFonts w:ascii="Times New Roman" w:eastAsia="Times New Roman" w:hAnsi="Times New Roman" w:cs="Times New Roman"/>
      <w:bCs/>
      <w:sz w:val="22"/>
      <w:szCs w:val="20"/>
      <w:lang w:eastAsia="ro-RO"/>
    </w:rPr>
  </w:style>
  <w:style w:type="paragraph" w:customStyle="1" w:styleId="normalsmezerou">
    <w:name w:val="normal s mezerou"/>
    <w:basedOn w:val="Normal"/>
    <w:qFormat/>
    <w:rsid w:val="00690440"/>
    <w:pPr>
      <w:widowControl w:val="0"/>
      <w:spacing w:after="240" w:line="240" w:lineRule="atLeast"/>
      <w:outlineLvl w:val="0"/>
    </w:pPr>
    <w:rPr>
      <w:rFonts w:ascii="Times New Roman" w:eastAsia="Times New Roman" w:hAnsi="Times New Roman" w:cs="Times New Roman"/>
      <w:bCs/>
      <w:snapToGrid w:val="0"/>
      <w:sz w:val="22"/>
      <w:szCs w:val="20"/>
      <w:lang w:eastAsia="ro-RO"/>
    </w:rPr>
  </w:style>
  <w:style w:type="paragraph" w:customStyle="1" w:styleId="Stil2">
    <w:name w:val="Stil2"/>
    <w:basedOn w:val="Normal"/>
    <w:link w:val="Stil2Char"/>
    <w:qFormat/>
    <w:rsid w:val="00690440"/>
    <w:pPr>
      <w:spacing w:after="200" w:line="276" w:lineRule="auto"/>
    </w:pPr>
    <w:rPr>
      <w:rFonts w:eastAsia="Times New Roman" w:cs="Times New Roman"/>
      <w:sz w:val="24"/>
      <w:szCs w:val="22"/>
      <w:lang w:val="x-none" w:eastAsia="ro-RO"/>
    </w:rPr>
  </w:style>
  <w:style w:type="character" w:customStyle="1" w:styleId="Stil2Char">
    <w:name w:val="Stil2 Char"/>
    <w:link w:val="Stil2"/>
    <w:rsid w:val="00690440"/>
    <w:rPr>
      <w:rFonts w:eastAsia="Times New Roman" w:cs="Times New Roman"/>
      <w:sz w:val="24"/>
      <w:szCs w:val="22"/>
      <w:lang w:val="x-none" w:eastAsia="ro-RO"/>
    </w:rPr>
  </w:style>
  <w:style w:type="paragraph" w:customStyle="1" w:styleId="Stil1">
    <w:name w:val="Stil1"/>
    <w:basedOn w:val="Normal"/>
    <w:qFormat/>
    <w:rsid w:val="00690440"/>
    <w:pPr>
      <w:tabs>
        <w:tab w:val="num" w:pos="567"/>
      </w:tabs>
      <w:spacing w:after="200" w:line="276" w:lineRule="auto"/>
      <w:ind w:left="567" w:hanging="567"/>
    </w:pPr>
    <w:rPr>
      <w:rFonts w:eastAsia="SimSun" w:cs="Times New Roman"/>
      <w:b/>
      <w:sz w:val="40"/>
      <w:szCs w:val="20"/>
      <w:lang w:eastAsia="ro-RO"/>
    </w:rPr>
  </w:style>
  <w:style w:type="character" w:customStyle="1" w:styleId="tpa1">
    <w:name w:val="tpa1"/>
    <w:basedOn w:val="DefaultParagraphFont"/>
    <w:rsid w:val="00690440"/>
  </w:style>
  <w:style w:type="character" w:customStyle="1" w:styleId="Stil2Caracter">
    <w:name w:val="Stil2 Caracter"/>
    <w:rsid w:val="00690440"/>
    <w:rPr>
      <w:rFonts w:ascii="Arial" w:hAnsi="Arial"/>
      <w:sz w:val="24"/>
      <w:szCs w:val="24"/>
      <w:lang w:val="en-US" w:eastAsia="ro-RO" w:bidi="ar-SA"/>
    </w:rPr>
  </w:style>
  <w:style w:type="character" w:customStyle="1" w:styleId="tab">
    <w:name w:val="tab"/>
    <w:basedOn w:val="DefaultParagraphFont"/>
    <w:rsid w:val="00690440"/>
  </w:style>
  <w:style w:type="character" w:customStyle="1" w:styleId="NormalIndentChar">
    <w:name w:val="Normal Indent Char"/>
    <w:aliases w:val="Char Char Char Char Char Char Char,Char3 Char,Normal Indent Char Char Char,Normal Indent Char1 Char Char,Normal Indent Char1 Char1, Char Char Char Char Char Char Char, Char Char,Normal Indent Char Char Char Char Char Char Char"/>
    <w:link w:val="NormalIndent"/>
    <w:rsid w:val="00690440"/>
    <w:rPr>
      <w:noProof/>
      <w:lang w:val="ro-RO"/>
    </w:rPr>
  </w:style>
  <w:style w:type="paragraph" w:customStyle="1" w:styleId="Style1">
    <w:name w:val="Style1"/>
    <w:basedOn w:val="Heading3"/>
    <w:link w:val="Style1Char"/>
    <w:autoRedefine/>
    <w:qFormat/>
    <w:rsid w:val="00690440"/>
    <w:pPr>
      <w:numPr>
        <w:ilvl w:val="0"/>
        <w:numId w:val="0"/>
      </w:numPr>
      <w:spacing w:before="200" w:line="276" w:lineRule="auto"/>
      <w:contextualSpacing w:val="0"/>
    </w:pPr>
    <w:rPr>
      <w:rFonts w:eastAsia="Times New Roman" w:cs="Times New Roman"/>
      <w:b/>
      <w:color w:val="4F81BD"/>
      <w:sz w:val="22"/>
      <w:szCs w:val="22"/>
      <w:lang w:eastAsia="ro-RO"/>
    </w:rPr>
  </w:style>
  <w:style w:type="paragraph" w:customStyle="1" w:styleId="Normal-Documentdataleadtext">
    <w:name w:val="Normal - Document data leadtext"/>
    <w:basedOn w:val="Normal"/>
    <w:qFormat/>
    <w:rsid w:val="00690440"/>
    <w:pPr>
      <w:spacing w:after="200" w:line="240" w:lineRule="atLeast"/>
    </w:pPr>
    <w:rPr>
      <w:rFonts w:eastAsia="Times New Roman" w:cs="Times New Roman"/>
      <w:sz w:val="14"/>
      <w:szCs w:val="22"/>
      <w:lang w:eastAsia="da-DK"/>
    </w:rPr>
  </w:style>
  <w:style w:type="paragraph" w:customStyle="1" w:styleId="Normal-Documentdatatext">
    <w:name w:val="Normal - Document data text"/>
    <w:basedOn w:val="Normal"/>
    <w:uiPriority w:val="3"/>
    <w:semiHidden/>
    <w:qFormat/>
    <w:rsid w:val="00690440"/>
    <w:pPr>
      <w:spacing w:after="200" w:line="240" w:lineRule="atLeast"/>
    </w:pPr>
    <w:rPr>
      <w:rFonts w:eastAsia="Times New Roman" w:cs="Times New Roman"/>
      <w:b/>
      <w:szCs w:val="22"/>
      <w:lang w:eastAsia="da-DK"/>
    </w:rPr>
  </w:style>
  <w:style w:type="paragraph" w:customStyle="1" w:styleId="Normal-Ref">
    <w:name w:val="Normal - Ref"/>
    <w:basedOn w:val="Normal"/>
    <w:semiHidden/>
    <w:qFormat/>
    <w:rsid w:val="00690440"/>
    <w:pPr>
      <w:spacing w:after="200" w:line="240" w:lineRule="atLeast"/>
    </w:pPr>
    <w:rPr>
      <w:rFonts w:eastAsia="Times New Roman" w:cs="Times New Roman"/>
      <w:szCs w:val="22"/>
      <w:lang w:eastAsia="da-DK"/>
    </w:rPr>
  </w:style>
  <w:style w:type="paragraph" w:customStyle="1" w:styleId="Standaardzonderwitregel">
    <w:name w:val="Standaard zonder witregel"/>
    <w:basedOn w:val="Normal"/>
    <w:next w:val="Normal"/>
    <w:qFormat/>
    <w:rsid w:val="00690440"/>
    <w:pPr>
      <w:spacing w:after="200" w:line="240" w:lineRule="atLeast"/>
    </w:pPr>
    <w:rPr>
      <w:rFonts w:eastAsia="Times New Roman" w:cs="Times New Roman"/>
      <w:sz w:val="21"/>
      <w:szCs w:val="20"/>
      <w:lang w:eastAsia="ro-RO"/>
    </w:rPr>
  </w:style>
  <w:style w:type="paragraph" w:customStyle="1" w:styleId="Listparagraf">
    <w:name w:val="Listă paragraf"/>
    <w:basedOn w:val="Normal"/>
    <w:uiPriority w:val="34"/>
    <w:qFormat/>
    <w:rsid w:val="00690440"/>
    <w:pPr>
      <w:spacing w:after="200" w:line="276" w:lineRule="auto"/>
      <w:ind w:left="720"/>
      <w:contextualSpacing/>
    </w:pPr>
    <w:rPr>
      <w:rFonts w:ascii="Calibri" w:eastAsia="Calibri" w:hAnsi="Calibri" w:cs="Times New Roman"/>
      <w:sz w:val="20"/>
      <w:szCs w:val="22"/>
      <w:lang w:val="en-US" w:eastAsia="ro-RO"/>
    </w:rPr>
  </w:style>
  <w:style w:type="character" w:customStyle="1" w:styleId="CaptionChar">
    <w:name w:val="Caption Char"/>
    <w:aliases w:val="Caracter Caracter Char,Map Char Char1,Map Char1,Map Char Char Char Char Char Char,Caption Char Char Car Car Char,Caption Char Char Car Car Car Char,Map Char Char Char Car Car Char,Caption Char Char Char,Map Char Char Char1,Titlu Tabel Char"/>
    <w:link w:val="Caption"/>
    <w:uiPriority w:val="35"/>
    <w:qFormat/>
    <w:locked/>
    <w:rsid w:val="00690440"/>
    <w:rPr>
      <w:b/>
      <w:bCs/>
      <w:noProof/>
      <w:color w:val="009DF0" w:themeColor="text2"/>
      <w:sz w:val="14"/>
      <w:lang w:val="ro-RO"/>
    </w:rPr>
  </w:style>
  <w:style w:type="numbering" w:customStyle="1" w:styleId="TabelBumbi12">
    <w:name w:val="Tabel Bumbi12"/>
    <w:rsid w:val="00690440"/>
    <w:pPr>
      <w:numPr>
        <w:numId w:val="2"/>
      </w:numPr>
    </w:pPr>
  </w:style>
  <w:style w:type="paragraph" w:customStyle="1" w:styleId="Listparagraf1">
    <w:name w:val="Listă paragraf1"/>
    <w:basedOn w:val="Normal"/>
    <w:uiPriority w:val="34"/>
    <w:qFormat/>
    <w:rsid w:val="00690440"/>
    <w:pPr>
      <w:spacing w:after="200" w:line="276" w:lineRule="auto"/>
      <w:ind w:left="720"/>
      <w:contextualSpacing/>
    </w:pPr>
    <w:rPr>
      <w:rFonts w:ascii="Calibri" w:eastAsia="Calibri" w:hAnsi="Calibri" w:cs="Times New Roman"/>
      <w:sz w:val="20"/>
      <w:szCs w:val="22"/>
      <w:lang w:val="en-US" w:eastAsia="ro-RO"/>
    </w:rPr>
  </w:style>
  <w:style w:type="character" w:customStyle="1" w:styleId="FontStyle199">
    <w:name w:val="Font Style199"/>
    <w:uiPriority w:val="99"/>
    <w:rsid w:val="00690440"/>
    <w:rPr>
      <w:rFonts w:ascii="Verdana" w:hAnsi="Verdana" w:cs="Verdana"/>
      <w:sz w:val="16"/>
      <w:szCs w:val="16"/>
    </w:rPr>
  </w:style>
  <w:style w:type="character" w:customStyle="1" w:styleId="labeldatatext">
    <w:name w:val="labeldatatext"/>
    <w:rsid w:val="00690440"/>
  </w:style>
  <w:style w:type="character" w:customStyle="1" w:styleId="Heading2Char1">
    <w:name w:val="Heading 2 Char1"/>
    <w:aliases w:val="Section Char Char2,L2 Char Char2,Section head Char Char2,SH Char Char3,Section Char3,L2 Char3,Section head Char3,SH Char2,Arial 12 Fett Kursiv Char,ASAPHeading 2 Char,Chapter Title Char,R&amp;S - Titre 2 Char,tt Char,Fonctionnalité Char"/>
    <w:uiPriority w:val="99"/>
    <w:rsid w:val="00690440"/>
    <w:rPr>
      <w:rFonts w:ascii="Verdana" w:hAnsi="Verdana"/>
      <w:b/>
      <w:bCs/>
      <w:i/>
      <w:noProof/>
      <w:sz w:val="18"/>
      <w:szCs w:val="18"/>
      <w:lang w:val="x-none"/>
    </w:rPr>
  </w:style>
  <w:style w:type="numbering" w:customStyle="1" w:styleId="NoList1">
    <w:name w:val="No List1"/>
    <w:next w:val="NoList"/>
    <w:uiPriority w:val="99"/>
    <w:semiHidden/>
    <w:unhideWhenUsed/>
    <w:rsid w:val="00690440"/>
  </w:style>
  <w:style w:type="character" w:customStyle="1" w:styleId="ListBulletChar">
    <w:name w:val="List Bullet Char"/>
    <w:link w:val="ListBullet"/>
    <w:uiPriority w:val="99"/>
    <w:rsid w:val="00690440"/>
    <w:rPr>
      <w:lang w:val="ro-RO"/>
    </w:rPr>
  </w:style>
  <w:style w:type="paragraph" w:customStyle="1" w:styleId="Tabletext">
    <w:name w:val="Table text"/>
    <w:basedOn w:val="Normal"/>
    <w:next w:val="Normal"/>
    <w:link w:val="TabletextChar"/>
    <w:autoRedefine/>
    <w:qFormat/>
    <w:rsid w:val="00690440"/>
    <w:pPr>
      <w:tabs>
        <w:tab w:val="left" w:pos="415"/>
        <w:tab w:val="right" w:leader="dot" w:pos="9900"/>
      </w:tabs>
      <w:autoSpaceDE w:val="0"/>
      <w:autoSpaceDN w:val="0"/>
      <w:adjustRightInd w:val="0"/>
      <w:spacing w:before="120" w:after="200" w:line="264" w:lineRule="auto"/>
      <w:jc w:val="center"/>
    </w:pPr>
    <w:rPr>
      <w:rFonts w:eastAsia="Times New Roman" w:cs="Times New Roman"/>
      <w:szCs w:val="16"/>
      <w:lang w:val="it-IT" w:eastAsia="x-none"/>
    </w:rPr>
  </w:style>
  <w:style w:type="character" w:customStyle="1" w:styleId="TabletextChar">
    <w:name w:val="Table text Char"/>
    <w:link w:val="Tabletext"/>
    <w:rsid w:val="00690440"/>
    <w:rPr>
      <w:rFonts w:eastAsia="Times New Roman" w:cs="Times New Roman"/>
      <w:szCs w:val="16"/>
      <w:lang w:val="it-IT" w:eastAsia="x-none"/>
    </w:rPr>
  </w:style>
  <w:style w:type="paragraph" w:customStyle="1" w:styleId="subtitlu">
    <w:name w:val="subtitlu"/>
    <w:basedOn w:val="BodyText"/>
    <w:link w:val="subtitluChar"/>
    <w:qFormat/>
    <w:rsid w:val="00690440"/>
    <w:pPr>
      <w:tabs>
        <w:tab w:val="left" w:pos="0"/>
        <w:tab w:val="left" w:pos="426"/>
        <w:tab w:val="right" w:leader="dot" w:pos="9900"/>
      </w:tabs>
      <w:autoSpaceDE w:val="0"/>
      <w:autoSpaceDN w:val="0"/>
      <w:adjustRightInd w:val="0"/>
      <w:spacing w:before="120" w:line="260" w:lineRule="exact"/>
    </w:pPr>
    <w:rPr>
      <w:rFonts w:eastAsia="Calibri" w:cs="Times New Roman"/>
      <w:b/>
      <w:i/>
      <w:iCs/>
      <w:sz w:val="20"/>
      <w:szCs w:val="20"/>
      <w:lang w:val="it-IT" w:eastAsia="en-GB"/>
    </w:rPr>
  </w:style>
  <w:style w:type="character" w:customStyle="1" w:styleId="subtitluChar">
    <w:name w:val="subtitlu Char"/>
    <w:link w:val="subtitlu"/>
    <w:rsid w:val="00690440"/>
    <w:rPr>
      <w:rFonts w:eastAsia="Calibri" w:cs="Times New Roman"/>
      <w:b/>
      <w:i/>
      <w:iCs/>
      <w:sz w:val="20"/>
      <w:szCs w:val="20"/>
      <w:lang w:val="it-IT" w:eastAsia="en-GB"/>
    </w:rPr>
  </w:style>
  <w:style w:type="paragraph" w:customStyle="1" w:styleId="bodytextitalic">
    <w:name w:val="body text+italic"/>
    <w:basedOn w:val="BodyText"/>
    <w:link w:val="bodytextitalicChar"/>
    <w:qFormat/>
    <w:rsid w:val="00690440"/>
    <w:pPr>
      <w:tabs>
        <w:tab w:val="left" w:pos="0"/>
        <w:tab w:val="left" w:pos="426"/>
        <w:tab w:val="right" w:leader="dot" w:pos="9900"/>
      </w:tabs>
      <w:autoSpaceDE w:val="0"/>
      <w:autoSpaceDN w:val="0"/>
      <w:adjustRightInd w:val="0"/>
      <w:spacing w:before="120" w:line="260" w:lineRule="exact"/>
    </w:pPr>
    <w:rPr>
      <w:rFonts w:eastAsia="Calibri" w:cs="Times New Roman"/>
      <w:i/>
      <w:iCs/>
      <w:szCs w:val="20"/>
      <w:lang w:val="it-IT" w:eastAsia="x-none"/>
    </w:rPr>
  </w:style>
  <w:style w:type="paragraph" w:customStyle="1" w:styleId="tabletextsubtitlu">
    <w:name w:val="table text subtitlu"/>
    <w:basedOn w:val="Tabletext"/>
    <w:qFormat/>
    <w:rsid w:val="00690440"/>
    <w:rPr>
      <w:b/>
    </w:rPr>
  </w:style>
  <w:style w:type="paragraph" w:customStyle="1" w:styleId="TitleTable">
    <w:name w:val="Title Table"/>
    <w:basedOn w:val="Normal"/>
    <w:next w:val="BodyText"/>
    <w:autoRedefine/>
    <w:qFormat/>
    <w:rsid w:val="00690440"/>
    <w:pPr>
      <w:tabs>
        <w:tab w:val="left" w:pos="415"/>
        <w:tab w:val="left" w:pos="4860"/>
        <w:tab w:val="right" w:leader="dot" w:pos="9900"/>
      </w:tabs>
      <w:autoSpaceDE w:val="0"/>
      <w:autoSpaceDN w:val="0"/>
      <w:adjustRightInd w:val="0"/>
      <w:spacing w:before="80" w:after="80" w:line="260" w:lineRule="exact"/>
      <w:ind w:left="144"/>
    </w:pPr>
    <w:rPr>
      <w:rFonts w:eastAsia="Times New Roman" w:cs="Arial"/>
      <w:b/>
      <w:i/>
      <w:szCs w:val="16"/>
      <w:lang w:eastAsia="ro-RO"/>
    </w:rPr>
  </w:style>
  <w:style w:type="paragraph" w:customStyle="1" w:styleId="Titlefigures">
    <w:name w:val="Title figures"/>
    <w:basedOn w:val="Normal"/>
    <w:next w:val="Normal"/>
    <w:autoRedefine/>
    <w:qFormat/>
    <w:rsid w:val="00690440"/>
    <w:pPr>
      <w:tabs>
        <w:tab w:val="left" w:pos="180"/>
        <w:tab w:val="left" w:pos="415"/>
        <w:tab w:val="left" w:pos="5580"/>
        <w:tab w:val="right" w:leader="dot" w:pos="9900"/>
      </w:tabs>
      <w:autoSpaceDE w:val="0"/>
      <w:autoSpaceDN w:val="0"/>
      <w:adjustRightInd w:val="0"/>
      <w:spacing w:before="120" w:after="200" w:line="360" w:lineRule="auto"/>
      <w:jc w:val="center"/>
    </w:pPr>
    <w:rPr>
      <w:rFonts w:eastAsia="Times New Roman" w:cs="Arial"/>
      <w:b/>
      <w:i/>
      <w:szCs w:val="16"/>
      <w:lang w:eastAsia="ro-RO"/>
    </w:rPr>
  </w:style>
  <w:style w:type="paragraph" w:customStyle="1" w:styleId="Titlecharts">
    <w:name w:val="Title charts"/>
    <w:basedOn w:val="Titlefigures"/>
    <w:qFormat/>
    <w:rsid w:val="00690440"/>
  </w:style>
  <w:style w:type="paragraph" w:customStyle="1" w:styleId="ListBullet1">
    <w:name w:val="List Bullet 1"/>
    <w:basedOn w:val="ListBullet"/>
    <w:link w:val="ListBullet1Char"/>
    <w:autoRedefine/>
    <w:qFormat/>
    <w:rsid w:val="00690440"/>
    <w:pPr>
      <w:numPr>
        <w:numId w:val="32"/>
      </w:numPr>
      <w:spacing w:before="120" w:after="200" w:line="260" w:lineRule="exact"/>
      <w:contextualSpacing w:val="0"/>
    </w:pPr>
    <w:rPr>
      <w:rFonts w:eastAsia="Times New Roman" w:cs="Times New Roman"/>
      <w:sz w:val="20"/>
      <w:szCs w:val="20"/>
      <w:lang w:eastAsia="x-none"/>
    </w:rPr>
  </w:style>
  <w:style w:type="paragraph" w:customStyle="1" w:styleId="Style2">
    <w:name w:val="Style2"/>
    <w:basedOn w:val="ListBullet1"/>
    <w:link w:val="Style2Char"/>
    <w:qFormat/>
    <w:rsid w:val="00690440"/>
  </w:style>
  <w:style w:type="character" w:customStyle="1" w:styleId="EndnoteTextChar1">
    <w:name w:val="Endnote Text Char1"/>
    <w:uiPriority w:val="99"/>
    <w:rsid w:val="00690440"/>
    <w:rPr>
      <w:rFonts w:ascii="Arial" w:hAnsi="Arial"/>
      <w:lang w:val="en-GB"/>
    </w:rPr>
  </w:style>
  <w:style w:type="paragraph" w:customStyle="1" w:styleId="numbering">
    <w:name w:val="numbering"/>
    <w:basedOn w:val="BodyText"/>
    <w:link w:val="numberingChar"/>
    <w:autoRedefine/>
    <w:qFormat/>
    <w:rsid w:val="00690440"/>
    <w:pPr>
      <w:numPr>
        <w:numId w:val="33"/>
      </w:numPr>
      <w:tabs>
        <w:tab w:val="left" w:pos="0"/>
        <w:tab w:val="left" w:pos="426"/>
        <w:tab w:val="right" w:leader="dot" w:pos="9900"/>
      </w:tabs>
      <w:autoSpaceDE w:val="0"/>
      <w:autoSpaceDN w:val="0"/>
      <w:adjustRightInd w:val="0"/>
      <w:spacing w:before="120" w:line="260" w:lineRule="exact"/>
    </w:pPr>
    <w:rPr>
      <w:rFonts w:eastAsia="Calibri" w:cs="Times New Roman"/>
      <w:iCs/>
      <w:sz w:val="20"/>
      <w:szCs w:val="20"/>
      <w:lang w:val="da-DK" w:eastAsia="en-GB"/>
    </w:rPr>
  </w:style>
  <w:style w:type="paragraph" w:customStyle="1" w:styleId="StyleListBulletBoldItalic">
    <w:name w:val="Style List Bullet + Bold Italic"/>
    <w:basedOn w:val="ListBullet"/>
    <w:link w:val="StyleListBulletBoldItalicChar"/>
    <w:qFormat/>
    <w:rsid w:val="00690440"/>
    <w:pPr>
      <w:numPr>
        <w:numId w:val="0"/>
      </w:numPr>
      <w:tabs>
        <w:tab w:val="num" w:pos="720"/>
      </w:tabs>
      <w:spacing w:before="120" w:after="200" w:line="260" w:lineRule="exact"/>
      <w:ind w:left="720" w:hanging="360"/>
      <w:contextualSpacing w:val="0"/>
    </w:pPr>
    <w:rPr>
      <w:rFonts w:eastAsia="Times New Roman" w:cs="Times New Roman"/>
      <w:b/>
      <w:bCs/>
      <w:i/>
      <w:iCs/>
      <w:sz w:val="20"/>
      <w:szCs w:val="20"/>
      <w:lang w:eastAsia="x-none"/>
    </w:rPr>
  </w:style>
  <w:style w:type="character" w:customStyle="1" w:styleId="StyleListBulletBoldItalicChar">
    <w:name w:val="Style List Bullet + Bold Italic Char"/>
    <w:link w:val="StyleListBulletBoldItalic"/>
    <w:rsid w:val="00690440"/>
    <w:rPr>
      <w:rFonts w:eastAsia="Times New Roman" w:cs="Times New Roman"/>
      <w:b/>
      <w:bCs/>
      <w:i/>
      <w:iCs/>
      <w:sz w:val="20"/>
      <w:szCs w:val="20"/>
      <w:lang w:val="ro-RO" w:eastAsia="x-none"/>
    </w:rPr>
  </w:style>
  <w:style w:type="paragraph" w:customStyle="1" w:styleId="bodytextbold">
    <w:name w:val="body text bold"/>
    <w:basedOn w:val="BodyText"/>
    <w:link w:val="bodytextboldChar"/>
    <w:qFormat/>
    <w:rsid w:val="00690440"/>
    <w:pPr>
      <w:tabs>
        <w:tab w:val="left" w:pos="0"/>
        <w:tab w:val="left" w:pos="426"/>
        <w:tab w:val="right" w:leader="dot" w:pos="9900"/>
      </w:tabs>
      <w:autoSpaceDE w:val="0"/>
      <w:autoSpaceDN w:val="0"/>
      <w:adjustRightInd w:val="0"/>
      <w:spacing w:before="120" w:line="260" w:lineRule="exact"/>
    </w:pPr>
    <w:rPr>
      <w:rFonts w:eastAsia="Calibri" w:cs="Times New Roman"/>
      <w:b/>
      <w:iCs/>
      <w:szCs w:val="20"/>
      <w:lang w:val="it-IT" w:eastAsia="x-none"/>
    </w:rPr>
  </w:style>
  <w:style w:type="paragraph" w:customStyle="1" w:styleId="listbulletcifre">
    <w:name w:val="list bullet cifre"/>
    <w:basedOn w:val="ListBullet"/>
    <w:qFormat/>
    <w:rsid w:val="00690440"/>
    <w:pPr>
      <w:numPr>
        <w:numId w:val="31"/>
      </w:numPr>
      <w:spacing w:before="120" w:after="200" w:line="260" w:lineRule="exact"/>
      <w:contextualSpacing w:val="0"/>
    </w:pPr>
    <w:rPr>
      <w:rFonts w:eastAsia="Times New Roman" w:cs="Times New Roman"/>
      <w:b/>
      <w:sz w:val="20"/>
      <w:szCs w:val="20"/>
      <w:lang w:eastAsia="x-none"/>
    </w:rPr>
  </w:style>
  <w:style w:type="character" w:customStyle="1" w:styleId="bodytextitalicChar">
    <w:name w:val="body text+italic Char"/>
    <w:link w:val="bodytextitalic"/>
    <w:rsid w:val="00690440"/>
    <w:rPr>
      <w:rFonts w:eastAsia="Calibri" w:cs="Times New Roman"/>
      <w:i/>
      <w:iCs/>
      <w:szCs w:val="20"/>
      <w:lang w:val="it-IT" w:eastAsia="x-none"/>
    </w:rPr>
  </w:style>
  <w:style w:type="character" w:customStyle="1" w:styleId="bodytextboldChar">
    <w:name w:val="body text bold Char"/>
    <w:link w:val="bodytextbold"/>
    <w:rsid w:val="00690440"/>
    <w:rPr>
      <w:rFonts w:eastAsia="Calibri" w:cs="Times New Roman"/>
      <w:b/>
      <w:iCs/>
      <w:szCs w:val="20"/>
      <w:lang w:val="it-IT" w:eastAsia="x-none"/>
    </w:rPr>
  </w:style>
  <w:style w:type="paragraph" w:customStyle="1" w:styleId="tabletextjustified">
    <w:name w:val="table text justified"/>
    <w:basedOn w:val="Tabletext"/>
    <w:qFormat/>
    <w:rsid w:val="00690440"/>
    <w:pPr>
      <w:jc w:val="left"/>
    </w:pPr>
  </w:style>
  <w:style w:type="table" w:customStyle="1" w:styleId="TableGrid10">
    <w:name w:val="Table Grid1"/>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12ptBoldJustified">
    <w:name w:val="Style 12 pt Bold Justified"/>
    <w:basedOn w:val="Normal"/>
    <w:qFormat/>
    <w:rsid w:val="00690440"/>
    <w:pPr>
      <w:tabs>
        <w:tab w:val="left" w:pos="415"/>
        <w:tab w:val="right" w:leader="dot" w:pos="9900"/>
      </w:tabs>
      <w:autoSpaceDE w:val="0"/>
      <w:autoSpaceDN w:val="0"/>
      <w:adjustRightInd w:val="0"/>
      <w:spacing w:before="120" w:after="200" w:line="360" w:lineRule="auto"/>
    </w:pPr>
    <w:rPr>
      <w:rFonts w:eastAsia="Times New Roman" w:cs="Times New Roman"/>
      <w:b/>
      <w:bCs/>
      <w:sz w:val="20"/>
      <w:szCs w:val="20"/>
      <w:lang w:eastAsia="ro-RO"/>
    </w:rPr>
  </w:style>
  <w:style w:type="paragraph" w:customStyle="1" w:styleId="listbulletbold">
    <w:name w:val="list bullet bold"/>
    <w:basedOn w:val="ListBullet"/>
    <w:qFormat/>
    <w:rsid w:val="00690440"/>
    <w:pPr>
      <w:numPr>
        <w:numId w:val="0"/>
      </w:numPr>
      <w:tabs>
        <w:tab w:val="num" w:pos="612"/>
      </w:tabs>
      <w:spacing w:before="120" w:after="200" w:line="260" w:lineRule="exact"/>
      <w:ind w:left="612" w:hanging="360"/>
      <w:contextualSpacing w:val="0"/>
    </w:pPr>
    <w:rPr>
      <w:rFonts w:eastAsia="Calibri" w:cs="Times New Roman"/>
      <w:b/>
      <w:sz w:val="20"/>
      <w:szCs w:val="20"/>
      <w:lang w:val="en-US" w:eastAsia="x-none"/>
    </w:rPr>
  </w:style>
  <w:style w:type="character" w:customStyle="1" w:styleId="shorttext">
    <w:name w:val="short_text"/>
    <w:rsid w:val="00690440"/>
  </w:style>
  <w:style w:type="paragraph" w:customStyle="1" w:styleId="NormalIndent6">
    <w:name w:val="Normal Indent6"/>
    <w:basedOn w:val="Normal"/>
    <w:uiPriority w:val="99"/>
    <w:qFormat/>
    <w:rsid w:val="00690440"/>
    <w:pPr>
      <w:spacing w:after="120" w:line="276" w:lineRule="auto"/>
      <w:ind w:left="1086"/>
    </w:pPr>
    <w:rPr>
      <w:rFonts w:ascii="Garamond" w:eastAsia="SimSun" w:hAnsi="Garamond" w:cs="Garamond"/>
      <w:sz w:val="22"/>
      <w:szCs w:val="22"/>
      <w:lang w:eastAsia="en-GB"/>
    </w:rPr>
  </w:style>
  <w:style w:type="paragraph" w:customStyle="1" w:styleId="StyleLatinArial11ptJustifiedLinespacing15lines">
    <w:name w:val="Style (Latin) Arial 11 pt Justified Line spacing:  1.5 lines"/>
    <w:basedOn w:val="Normal"/>
    <w:uiPriority w:val="99"/>
    <w:qFormat/>
    <w:rsid w:val="00690440"/>
    <w:pPr>
      <w:spacing w:after="200" w:line="360" w:lineRule="auto"/>
    </w:pPr>
    <w:rPr>
      <w:rFonts w:eastAsia="Calibri" w:cs="Arial"/>
      <w:sz w:val="22"/>
      <w:szCs w:val="22"/>
      <w:lang w:val="en-US" w:eastAsia="ro-RO"/>
    </w:rPr>
  </w:style>
  <w:style w:type="paragraph" w:customStyle="1" w:styleId="Char1">
    <w:name w:val="Char1"/>
    <w:basedOn w:val="Normal"/>
    <w:qFormat/>
    <w:rsid w:val="00690440"/>
    <w:pPr>
      <w:spacing w:after="160" w:line="240" w:lineRule="exact"/>
    </w:pPr>
    <w:rPr>
      <w:rFonts w:eastAsia="Times New Roman" w:cs="Times New Roman"/>
      <w:sz w:val="20"/>
      <w:szCs w:val="20"/>
      <w:lang w:val="en-US" w:eastAsia="ro-RO"/>
    </w:rPr>
  </w:style>
  <w:style w:type="paragraph" w:customStyle="1" w:styleId="Style">
    <w:name w:val="Style"/>
    <w:link w:val="StyleChar"/>
    <w:qFormat/>
    <w:rsid w:val="00690440"/>
    <w:pPr>
      <w:widowControl w:val="0"/>
      <w:autoSpaceDE w:val="0"/>
      <w:autoSpaceDN w:val="0"/>
      <w:adjustRightInd w:val="0"/>
      <w:spacing w:after="200" w:line="276" w:lineRule="auto"/>
    </w:pPr>
    <w:rPr>
      <w:rFonts w:ascii="Arial" w:eastAsia="Times New Roman" w:hAnsi="Arial" w:cs="Times New Roman"/>
      <w:sz w:val="24"/>
      <w:szCs w:val="24"/>
      <w:lang w:val="ro-RO" w:eastAsia="ro-RO"/>
    </w:rPr>
  </w:style>
  <w:style w:type="character" w:customStyle="1" w:styleId="StyleChar">
    <w:name w:val="Style Char"/>
    <w:link w:val="Style"/>
    <w:rsid w:val="00690440"/>
    <w:rPr>
      <w:rFonts w:ascii="Arial" w:eastAsia="Times New Roman" w:hAnsi="Arial" w:cs="Times New Roman"/>
      <w:sz w:val="24"/>
      <w:szCs w:val="24"/>
      <w:lang w:val="ro-RO" w:eastAsia="ro-RO"/>
    </w:rPr>
  </w:style>
  <w:style w:type="paragraph" w:customStyle="1" w:styleId="Basic">
    <w:name w:val="Basic"/>
    <w:basedOn w:val="Normal"/>
    <w:qFormat/>
    <w:rsid w:val="00690440"/>
    <w:pPr>
      <w:spacing w:before="60" w:after="60" w:line="280" w:lineRule="atLeast"/>
    </w:pPr>
    <w:rPr>
      <w:rFonts w:eastAsia="Times New Roman" w:cs="Times New Roman"/>
      <w:sz w:val="20"/>
      <w:szCs w:val="22"/>
      <w:lang w:eastAsia="de-DE"/>
    </w:rPr>
  </w:style>
  <w:style w:type="paragraph" w:customStyle="1" w:styleId="CharChar">
    <w:name w:val="Char Char"/>
    <w:basedOn w:val="Normal"/>
    <w:rsid w:val="00690440"/>
    <w:pPr>
      <w:spacing w:after="200" w:line="276" w:lineRule="auto"/>
    </w:pPr>
    <w:rPr>
      <w:rFonts w:ascii="Times New Roman" w:eastAsia="Times New Roman" w:hAnsi="Times New Roman" w:cs="Times New Roman"/>
      <w:sz w:val="24"/>
      <w:szCs w:val="22"/>
      <w:lang w:val="pl-PL" w:eastAsia="pl-PL"/>
    </w:rPr>
  </w:style>
  <w:style w:type="paragraph" w:customStyle="1" w:styleId="Heading61">
    <w:name w:val="Heading 61"/>
    <w:basedOn w:val="Heading5"/>
    <w:next w:val="Normal"/>
    <w:link w:val="heading6Char0"/>
    <w:autoRedefine/>
    <w:qFormat/>
    <w:rsid w:val="00690440"/>
    <w:pPr>
      <w:tabs>
        <w:tab w:val="num" w:pos="1020"/>
        <w:tab w:val="left" w:pos="1310"/>
        <w:tab w:val="left" w:pos="4962"/>
      </w:tabs>
      <w:autoSpaceDE w:val="0"/>
      <w:autoSpaceDN w:val="0"/>
      <w:adjustRightInd w:val="0"/>
      <w:spacing w:before="240" w:after="120" w:line="276" w:lineRule="auto"/>
      <w:ind w:left="1020" w:hanging="1020"/>
      <w:contextualSpacing w:val="0"/>
    </w:pPr>
    <w:rPr>
      <w:rFonts w:ascii="Arial Bold" w:eastAsia="Times New Roman" w:hAnsi="Arial Bold" w:cs="Times New Roman"/>
      <w:bCs/>
      <w:color w:val="243F60"/>
      <w:sz w:val="20"/>
      <w:szCs w:val="16"/>
      <w:u w:val="none"/>
      <w:lang w:eastAsia="ro-RO"/>
    </w:rPr>
  </w:style>
  <w:style w:type="character" w:customStyle="1" w:styleId="heading6Char0">
    <w:name w:val="heading 6 Char"/>
    <w:link w:val="Heading61"/>
    <w:rsid w:val="00690440"/>
    <w:rPr>
      <w:rFonts w:ascii="Arial Bold" w:eastAsia="Times New Roman" w:hAnsi="Arial Bold" w:cs="Times New Roman"/>
      <w:bCs/>
      <w:color w:val="243F60"/>
      <w:sz w:val="20"/>
      <w:szCs w:val="16"/>
      <w:lang w:val="ro-RO" w:eastAsia="ro-RO"/>
    </w:rPr>
  </w:style>
  <w:style w:type="paragraph" w:customStyle="1" w:styleId="Style4">
    <w:name w:val="Style4"/>
    <w:basedOn w:val="Heading6"/>
    <w:link w:val="Style4Char"/>
    <w:qFormat/>
    <w:rsid w:val="00690440"/>
    <w:pPr>
      <w:numPr>
        <w:ilvl w:val="0"/>
        <w:numId w:val="0"/>
      </w:numPr>
      <w:tabs>
        <w:tab w:val="left" w:pos="1310"/>
        <w:tab w:val="left" w:pos="4962"/>
      </w:tabs>
      <w:autoSpaceDE w:val="0"/>
      <w:autoSpaceDN w:val="0"/>
      <w:adjustRightInd w:val="0"/>
      <w:spacing w:before="240" w:after="60" w:line="260" w:lineRule="exact"/>
      <w:contextualSpacing w:val="0"/>
    </w:pPr>
    <w:rPr>
      <w:rFonts w:ascii="Arial Bold" w:eastAsia="Times New Roman" w:hAnsi="Arial Bold" w:cs="Times New Roman"/>
      <w:i/>
      <w:color w:val="243F60"/>
      <w:sz w:val="20"/>
      <w:szCs w:val="20"/>
      <w:lang w:eastAsia="x-none"/>
    </w:rPr>
  </w:style>
  <w:style w:type="paragraph" w:customStyle="1" w:styleId="Style5">
    <w:name w:val="Style5"/>
    <w:basedOn w:val="Heading6"/>
    <w:link w:val="Style5Char"/>
    <w:qFormat/>
    <w:rsid w:val="00690440"/>
    <w:pPr>
      <w:numPr>
        <w:ilvl w:val="0"/>
        <w:numId w:val="0"/>
      </w:numPr>
      <w:tabs>
        <w:tab w:val="left" w:pos="1310"/>
        <w:tab w:val="left" w:pos="4962"/>
      </w:tabs>
      <w:autoSpaceDE w:val="0"/>
      <w:autoSpaceDN w:val="0"/>
      <w:adjustRightInd w:val="0"/>
      <w:spacing w:before="240" w:after="60" w:line="260" w:lineRule="exact"/>
      <w:contextualSpacing w:val="0"/>
    </w:pPr>
    <w:rPr>
      <w:rFonts w:ascii="Arial Bold" w:eastAsia="Times New Roman" w:hAnsi="Arial Bold" w:cs="Times New Roman"/>
      <w:i/>
      <w:color w:val="243F60"/>
      <w:sz w:val="20"/>
      <w:szCs w:val="20"/>
      <w:lang w:eastAsia="x-none"/>
    </w:rPr>
  </w:style>
  <w:style w:type="character" w:customStyle="1" w:styleId="Style4Char">
    <w:name w:val="Style4 Char"/>
    <w:link w:val="Style4"/>
    <w:rsid w:val="00690440"/>
    <w:rPr>
      <w:rFonts w:ascii="Arial Bold" w:eastAsia="Times New Roman" w:hAnsi="Arial Bold" w:cs="Times New Roman"/>
      <w:b/>
      <w:i/>
      <w:iCs/>
      <w:color w:val="243F60"/>
      <w:sz w:val="20"/>
      <w:szCs w:val="20"/>
      <w:lang w:val="ro-RO" w:eastAsia="x-none"/>
    </w:rPr>
  </w:style>
  <w:style w:type="paragraph" w:customStyle="1" w:styleId="pfeilaufzhlungszeichen">
    <w:name w:val="pfeil aufzählungszeichen"/>
    <w:basedOn w:val="Normal"/>
    <w:uiPriority w:val="99"/>
    <w:qFormat/>
    <w:rsid w:val="00690440"/>
    <w:pPr>
      <w:numPr>
        <w:numId w:val="40"/>
      </w:numPr>
      <w:autoSpaceDE w:val="0"/>
      <w:autoSpaceDN w:val="0"/>
      <w:adjustRightInd w:val="0"/>
      <w:spacing w:before="60" w:after="200" w:line="276" w:lineRule="auto"/>
    </w:pPr>
    <w:rPr>
      <w:rFonts w:ascii="Calibri" w:eastAsia="Calibri" w:hAnsi="Calibri" w:cs="Arial"/>
      <w:sz w:val="24"/>
      <w:szCs w:val="22"/>
      <w:lang w:val="en-US" w:eastAsia="ro-RO"/>
    </w:rPr>
  </w:style>
  <w:style w:type="character" w:customStyle="1" w:styleId="Style5Char">
    <w:name w:val="Style5 Char"/>
    <w:link w:val="Style5"/>
    <w:rsid w:val="00690440"/>
    <w:rPr>
      <w:rFonts w:ascii="Arial Bold" w:eastAsia="Times New Roman" w:hAnsi="Arial Bold" w:cs="Times New Roman"/>
      <w:b/>
      <w:i/>
      <w:iCs/>
      <w:color w:val="243F60"/>
      <w:sz w:val="20"/>
      <w:szCs w:val="20"/>
      <w:lang w:val="ro-RO" w:eastAsia="x-none"/>
    </w:rPr>
  </w:style>
  <w:style w:type="character" w:customStyle="1" w:styleId="a">
    <w:name w:val="a"/>
    <w:rsid w:val="00690440"/>
  </w:style>
  <w:style w:type="character" w:customStyle="1" w:styleId="l6">
    <w:name w:val="l6"/>
    <w:rsid w:val="00690440"/>
  </w:style>
  <w:style w:type="character" w:customStyle="1" w:styleId="BulletCharChar">
    <w:name w:val="Bullet Char Char"/>
    <w:rsid w:val="00690440"/>
    <w:rPr>
      <w:rFonts w:ascii="Garamond" w:hAnsi="Garamond"/>
      <w:sz w:val="22"/>
      <w:lang w:val="x-none" w:eastAsia="en-GB"/>
    </w:rPr>
  </w:style>
  <w:style w:type="paragraph" w:customStyle="1" w:styleId="TTabel">
    <w:name w:val="T_Tabel"/>
    <w:basedOn w:val="Normal"/>
    <w:next w:val="Normal"/>
    <w:link w:val="TTabelChar"/>
    <w:qFormat/>
    <w:rsid w:val="00690440"/>
    <w:pPr>
      <w:spacing w:before="120" w:after="120" w:line="276" w:lineRule="auto"/>
    </w:pPr>
    <w:rPr>
      <w:rFonts w:ascii="Times New Roman" w:eastAsia="Times New Roman" w:hAnsi="Times New Roman" w:cs="Times New Roman"/>
      <w:b/>
      <w:sz w:val="22"/>
      <w:szCs w:val="22"/>
      <w:lang w:val="x-none" w:eastAsia="x-none"/>
    </w:rPr>
  </w:style>
  <w:style w:type="character" w:customStyle="1" w:styleId="TTabelChar">
    <w:name w:val="T_Tabel Char"/>
    <w:link w:val="TTabel"/>
    <w:rsid w:val="00690440"/>
    <w:rPr>
      <w:rFonts w:ascii="Times New Roman" w:eastAsia="Times New Roman" w:hAnsi="Times New Roman" w:cs="Times New Roman"/>
      <w:b/>
      <w:sz w:val="22"/>
      <w:szCs w:val="22"/>
      <w:lang w:val="x-none" w:eastAsia="x-none"/>
    </w:rPr>
  </w:style>
  <w:style w:type="character" w:customStyle="1" w:styleId="MainHeadingCharChar">
    <w:name w:val="Main Heading Char Char"/>
    <w:locked/>
    <w:rsid w:val="00690440"/>
    <w:rPr>
      <w:rFonts w:ascii="Arial" w:hAnsi="Arial" w:cs="Arial"/>
      <w:b/>
      <w:bCs/>
      <w:caps/>
      <w:noProof w:val="0"/>
      <w:color w:val="1F497D"/>
      <w:kern w:val="32"/>
      <w:sz w:val="28"/>
      <w:szCs w:val="28"/>
      <w:lang w:val="en-GB" w:eastAsia="en-US" w:bidi="ar-SA"/>
    </w:rPr>
  </w:style>
  <w:style w:type="character" w:customStyle="1" w:styleId="Heading2CharChar">
    <w:name w:val="Heading 2 Char Char"/>
    <w:aliases w:val="Section Char Char,L2 Char Char,Section head Char Char,SH Char Char,Section Char1,L2 Char1,Section head Char1,SH Char Char1"/>
    <w:locked/>
    <w:rsid w:val="00690440"/>
    <w:rPr>
      <w:rFonts w:ascii="Calibri" w:eastAsia="Times New Roman" w:hAnsi="Calibri" w:cs="Arial"/>
      <w:b/>
      <w:iCs/>
      <w:noProof w:val="0"/>
      <w:color w:val="292526"/>
      <w:sz w:val="28"/>
      <w:szCs w:val="28"/>
      <w:lang w:val="en-GB" w:eastAsia="en-GB"/>
    </w:rPr>
  </w:style>
  <w:style w:type="character" w:customStyle="1" w:styleId="Heading3CharChar">
    <w:name w:val="Heading 3 Char Char"/>
    <w:aliases w:val="Section SubHeading Char Char,L3 Char Char,Section SubHeading Char1,L3 Char Char1,Heading 3 Char1,L3 Char2,Sous-titre (3) Char1,h3 Char1,PA Minor Section Char1,Minor Char1,3 Char1,numbered indent 3 Char1,ni3 Char1,Level 1 - 1 Char1"/>
    <w:uiPriority w:val="9"/>
    <w:locked/>
    <w:rsid w:val="00690440"/>
    <w:rPr>
      <w:rFonts w:ascii="Calibri" w:eastAsia="Times New Roman" w:hAnsi="Calibri" w:cs="Arial"/>
      <w:bCs/>
      <w:sz w:val="24"/>
      <w:szCs w:val="24"/>
      <w:u w:val="single"/>
      <w:lang w:val="en-GB" w:eastAsia="en-GB"/>
    </w:rPr>
  </w:style>
  <w:style w:type="character" w:customStyle="1" w:styleId="Heading4Char2Char">
    <w:name w:val="Heading 4 Char2 Char"/>
    <w:aliases w:val="Heading 4 Char Char2 Char,Heading 4 Char1 Char Char1 Char,Heading 4 Char Char Char Char1 Char,Heading 4 Char1 Char1 Char,Heading 4 Char Char Char1 Char,Heading 4 Char1 Char Char Char Char,Heading 4 Char Char Char Char Char Char"/>
    <w:locked/>
    <w:rsid w:val="00690440"/>
    <w:rPr>
      <w:rFonts w:ascii="Calibri" w:hAnsi="Calibri"/>
      <w:bCs/>
      <w:sz w:val="24"/>
      <w:szCs w:val="24"/>
      <w:u w:val="single"/>
    </w:rPr>
  </w:style>
  <w:style w:type="character" w:customStyle="1" w:styleId="CharChar17">
    <w:name w:val="Char Char17"/>
    <w:locked/>
    <w:rsid w:val="00690440"/>
    <w:rPr>
      <w:rFonts w:ascii="Calibri" w:hAnsi="Calibri"/>
      <w:bCs/>
      <w:i/>
      <w:iCs/>
      <w:sz w:val="24"/>
      <w:szCs w:val="26"/>
    </w:rPr>
  </w:style>
  <w:style w:type="character" w:customStyle="1" w:styleId="CharChar16">
    <w:name w:val="Char Char16"/>
    <w:locked/>
    <w:rsid w:val="00690440"/>
    <w:rPr>
      <w:rFonts w:ascii="Calibri" w:hAnsi="Calibri"/>
      <w:bCs/>
      <w:i/>
      <w:sz w:val="24"/>
      <w:szCs w:val="24"/>
    </w:rPr>
  </w:style>
  <w:style w:type="character" w:customStyle="1" w:styleId="CharChar15">
    <w:name w:val="Char Char15"/>
    <w:locked/>
    <w:rsid w:val="00690440"/>
    <w:rPr>
      <w:rFonts w:ascii="Calibri" w:hAnsi="Calibri"/>
      <w:sz w:val="24"/>
      <w:szCs w:val="24"/>
    </w:rPr>
  </w:style>
  <w:style w:type="character" w:customStyle="1" w:styleId="CharChar14">
    <w:name w:val="Char Char14"/>
    <w:locked/>
    <w:rsid w:val="00690440"/>
    <w:rPr>
      <w:rFonts w:ascii="Calibri" w:hAnsi="Calibri"/>
      <w:i/>
      <w:iCs/>
      <w:sz w:val="24"/>
      <w:szCs w:val="24"/>
    </w:rPr>
  </w:style>
  <w:style w:type="character" w:customStyle="1" w:styleId="CharChar13">
    <w:name w:val="Char Char13"/>
    <w:locked/>
    <w:rsid w:val="00690440"/>
    <w:rPr>
      <w:rFonts w:ascii="Cambria" w:eastAsia="Times New Roman" w:hAnsi="Cambria"/>
      <w:sz w:val="22"/>
      <w:szCs w:val="22"/>
    </w:rPr>
  </w:style>
  <w:style w:type="character" w:customStyle="1" w:styleId="CharChar12">
    <w:name w:val="Char Char12"/>
    <w:locked/>
    <w:rsid w:val="00690440"/>
    <w:rPr>
      <w:rFonts w:ascii="Cambria" w:hAnsi="Cambria" w:cs="Times New Roman"/>
      <w:b/>
      <w:bCs/>
      <w:noProof w:val="0"/>
      <w:kern w:val="28"/>
      <w:sz w:val="32"/>
      <w:szCs w:val="32"/>
      <w:lang w:val="en-US" w:eastAsia="en-US"/>
    </w:rPr>
  </w:style>
  <w:style w:type="character" w:customStyle="1" w:styleId="CharChar11">
    <w:name w:val="Char Char11"/>
    <w:locked/>
    <w:rsid w:val="00690440"/>
    <w:rPr>
      <w:rFonts w:ascii="Cambria" w:hAnsi="Cambria" w:cs="Times New Roman"/>
      <w:noProof w:val="0"/>
      <w:sz w:val="24"/>
      <w:szCs w:val="24"/>
      <w:lang w:val="en-US" w:eastAsia="en-US"/>
    </w:rPr>
  </w:style>
  <w:style w:type="paragraph" w:customStyle="1" w:styleId="Formatvorlage2">
    <w:name w:val="Formatvorlage2"/>
    <w:basedOn w:val="Heading2"/>
    <w:qFormat/>
    <w:rsid w:val="00690440"/>
    <w:pPr>
      <w:numPr>
        <w:ilvl w:val="0"/>
        <w:numId w:val="0"/>
      </w:numPr>
      <w:suppressAutoHyphens w:val="0"/>
      <w:spacing w:before="240" w:after="240" w:line="280" w:lineRule="exact"/>
      <w:contextualSpacing w:val="0"/>
    </w:pPr>
    <w:rPr>
      <w:rFonts w:ascii="Calibri" w:eastAsia="Times New Roman" w:hAnsi="Calibri" w:cs="Times New Roman"/>
      <w:b/>
      <w:bCs w:val="0"/>
      <w:iCs/>
      <w:color w:val="292526"/>
      <w:sz w:val="28"/>
      <w:szCs w:val="28"/>
      <w:lang w:val="en-GB" w:eastAsia="en-GB"/>
    </w:rPr>
  </w:style>
  <w:style w:type="character" w:customStyle="1" w:styleId="Formatvorlage2Zchn">
    <w:name w:val="Formatvorlage2 Zchn"/>
    <w:locked/>
    <w:rsid w:val="00690440"/>
  </w:style>
  <w:style w:type="paragraph" w:customStyle="1" w:styleId="Formatvorlage3">
    <w:name w:val="Formatvorlage3"/>
    <w:basedOn w:val="Heading3"/>
    <w:qFormat/>
    <w:rsid w:val="00690440"/>
    <w:pPr>
      <w:keepLines w:val="0"/>
      <w:numPr>
        <w:ilvl w:val="0"/>
        <w:numId w:val="0"/>
      </w:numPr>
      <w:spacing w:before="200" w:line="280" w:lineRule="exact"/>
      <w:contextualSpacing w:val="0"/>
    </w:pPr>
    <w:rPr>
      <w:rFonts w:ascii="Calibri" w:eastAsia="Times New Roman" w:hAnsi="Calibri" w:cs="Times New Roman"/>
      <w:color w:val="4F81BD"/>
      <w:sz w:val="24"/>
      <w:szCs w:val="24"/>
      <w:u w:val="single"/>
      <w:lang w:val="en-GB" w:eastAsia="en-GB"/>
    </w:rPr>
  </w:style>
  <w:style w:type="character" w:customStyle="1" w:styleId="Formatvorlage3Zchn">
    <w:name w:val="Formatvorlage3 Zchn"/>
    <w:locked/>
    <w:rsid w:val="00690440"/>
  </w:style>
  <w:style w:type="paragraph" w:customStyle="1" w:styleId="Formatvorlage4">
    <w:name w:val="Formatvorlage4"/>
    <w:basedOn w:val="Heading1"/>
    <w:qFormat/>
    <w:rsid w:val="00690440"/>
    <w:pPr>
      <w:numPr>
        <w:numId w:val="0"/>
      </w:numPr>
      <w:suppressAutoHyphens w:val="0"/>
      <w:spacing w:before="240" w:after="60" w:line="280" w:lineRule="exact"/>
      <w:contextualSpacing w:val="0"/>
    </w:pPr>
    <w:rPr>
      <w:rFonts w:ascii="Arial" w:eastAsia="Times New Roman" w:hAnsi="Arial" w:cs="Times New Roman"/>
      <w:b/>
      <w:color w:val="1F497D"/>
      <w:kern w:val="32"/>
      <w:lang w:eastAsia="x-none"/>
    </w:rPr>
  </w:style>
  <w:style w:type="character" w:customStyle="1" w:styleId="Formatvorlage4Zchn">
    <w:name w:val="Formatvorlage4 Zchn"/>
    <w:locked/>
    <w:rsid w:val="00690440"/>
  </w:style>
  <w:style w:type="paragraph" w:customStyle="1" w:styleId="oddl-nadpis">
    <w:name w:val="oddíl-nadpis"/>
    <w:basedOn w:val="Normal"/>
    <w:qFormat/>
    <w:rsid w:val="00690440"/>
    <w:pPr>
      <w:keepNext/>
      <w:widowControl w:val="0"/>
      <w:tabs>
        <w:tab w:val="left" w:pos="567"/>
      </w:tabs>
      <w:spacing w:before="240" w:after="200" w:line="240" w:lineRule="exact"/>
    </w:pPr>
    <w:rPr>
      <w:rFonts w:eastAsia="Times New Roman" w:cs="Arial"/>
      <w:b/>
      <w:bCs/>
      <w:sz w:val="24"/>
      <w:szCs w:val="22"/>
      <w:lang w:val="cs-CZ" w:eastAsia="ro-RO"/>
    </w:rPr>
  </w:style>
  <w:style w:type="character" w:customStyle="1" w:styleId="pfeilaufzhlungszeichenZchn">
    <w:name w:val="pfeil aufzählungszeichen Zchn"/>
    <w:uiPriority w:val="99"/>
    <w:locked/>
    <w:rsid w:val="00690440"/>
    <w:rPr>
      <w:rFonts w:ascii="Calibri" w:hAnsi="Calibri" w:cs="Arial"/>
      <w:sz w:val="24"/>
      <w:szCs w:val="24"/>
    </w:rPr>
  </w:style>
  <w:style w:type="character" w:customStyle="1" w:styleId="CharChar10">
    <w:name w:val="Char Char10"/>
    <w:semiHidden/>
    <w:locked/>
    <w:rsid w:val="00690440"/>
    <w:rPr>
      <w:rFonts w:ascii="Tahoma" w:hAnsi="Tahoma" w:cs="Tahoma"/>
      <w:noProof w:val="0"/>
      <w:sz w:val="16"/>
      <w:szCs w:val="16"/>
      <w:lang w:val="en-US" w:eastAsia="en-US"/>
    </w:rPr>
  </w:style>
  <w:style w:type="character" w:customStyle="1" w:styleId="CharChar9">
    <w:name w:val="Char Char9"/>
    <w:semiHidden/>
    <w:locked/>
    <w:rsid w:val="00690440"/>
    <w:rPr>
      <w:rFonts w:ascii="Calibri" w:hAnsi="Calibri" w:cs="Times New Roman"/>
      <w:noProof w:val="0"/>
      <w:lang w:val="en-US" w:eastAsia="en-US"/>
    </w:rPr>
  </w:style>
  <w:style w:type="character" w:customStyle="1" w:styleId="CharChar8">
    <w:name w:val="Char Char8"/>
    <w:locked/>
    <w:rsid w:val="00690440"/>
    <w:rPr>
      <w:rFonts w:ascii="Arial" w:hAnsi="Arial" w:cs="Times New Roman"/>
      <w:noProof w:val="0"/>
      <w:spacing w:val="-5"/>
      <w:sz w:val="22"/>
      <w:lang w:val="fr-FR" w:eastAsia="de-DE"/>
    </w:rPr>
  </w:style>
  <w:style w:type="paragraph" w:customStyle="1" w:styleId="xl35">
    <w:name w:val="xl35"/>
    <w:basedOn w:val="Normal"/>
    <w:qFormat/>
    <w:rsid w:val="00690440"/>
    <w:pPr>
      <w:pBdr>
        <w:left w:val="single" w:sz="4" w:space="0" w:color="auto"/>
        <w:right w:val="single" w:sz="4" w:space="0" w:color="auto"/>
      </w:pBdr>
      <w:spacing w:before="100" w:beforeAutospacing="1" w:after="100" w:afterAutospacing="1" w:line="276" w:lineRule="auto"/>
      <w:jc w:val="center"/>
    </w:pPr>
    <w:rPr>
      <w:rFonts w:eastAsia="Calibri" w:cs="Arial"/>
      <w:sz w:val="24"/>
      <w:szCs w:val="22"/>
      <w:lang w:val="de-AT" w:eastAsia="de-DE"/>
    </w:rPr>
  </w:style>
  <w:style w:type="character" w:customStyle="1" w:styleId="CharChar7">
    <w:name w:val="Char Char7"/>
    <w:locked/>
    <w:rsid w:val="00690440"/>
    <w:rPr>
      <w:rFonts w:ascii="Arial" w:hAnsi="Arial" w:cs="Arial"/>
      <w:noProof w:val="0"/>
      <w:color w:val="292526"/>
      <w:sz w:val="24"/>
      <w:szCs w:val="24"/>
      <w:lang w:val="en-GB" w:eastAsia="en-GB"/>
    </w:rPr>
  </w:style>
  <w:style w:type="character" w:customStyle="1" w:styleId="CharChar6">
    <w:name w:val="Char Char6"/>
    <w:semiHidden/>
    <w:locked/>
    <w:rsid w:val="00690440"/>
    <w:rPr>
      <w:rFonts w:ascii="Calibri" w:hAnsi="Calibri" w:cs="Times New Roman"/>
      <w:noProof w:val="0"/>
      <w:sz w:val="24"/>
      <w:szCs w:val="24"/>
      <w:lang w:val="en-US" w:eastAsia="en-US"/>
    </w:rPr>
  </w:style>
  <w:style w:type="paragraph" w:customStyle="1" w:styleId="CaracterCaracterCharCaracterCaracterCharCaracterCaracterCharCaracterCaracterCharCaracterCaracter1CharCharCharCharCaracterCaracterCaracterCaracter">
    <w:name w:val="Caracter Caracter Char Caracter Caracter Char Caracter Caracter Char Caracter Caracter Char Caracter Caracter1 Char Char Char Char Caracter Caracter Caracter Caracter"/>
    <w:basedOn w:val="Normal"/>
    <w:qFormat/>
    <w:rsid w:val="00690440"/>
    <w:pPr>
      <w:spacing w:after="200" w:line="276" w:lineRule="auto"/>
    </w:pPr>
    <w:rPr>
      <w:rFonts w:eastAsia="Times New Roman" w:cs="Times New Roman"/>
      <w:sz w:val="24"/>
      <w:szCs w:val="22"/>
      <w:lang w:val="pl-PL" w:eastAsia="pl-PL"/>
    </w:rPr>
  </w:style>
  <w:style w:type="paragraph" w:customStyle="1" w:styleId="CaracterCaracterCharCaracterCaracterCharCaracterCaracterCharCaracterCaracterCharCaracterCaracter1CharCharCharCharCaracterCaracterCaracterCaracter1">
    <w:name w:val="Caracter Caracter Char Caracter Caracter Char Caracter Caracter Char Caracter Caracter Char Caracter Caracter1 Char Char Char Char Caracter Caracter Caracter Caracter1"/>
    <w:basedOn w:val="Normal"/>
    <w:qFormat/>
    <w:rsid w:val="00690440"/>
    <w:pPr>
      <w:spacing w:after="200" w:line="276" w:lineRule="auto"/>
    </w:pPr>
    <w:rPr>
      <w:rFonts w:eastAsia="Times New Roman" w:cs="Times New Roman"/>
      <w:sz w:val="24"/>
      <w:szCs w:val="22"/>
      <w:lang w:val="pl-PL" w:eastAsia="pl-PL"/>
    </w:rPr>
  </w:style>
  <w:style w:type="paragraph" w:customStyle="1" w:styleId="Tiret2">
    <w:name w:val="Tiret 2"/>
    <w:basedOn w:val="Normal"/>
    <w:qFormat/>
    <w:rsid w:val="00690440"/>
    <w:pPr>
      <w:spacing w:before="120" w:after="120" w:line="276" w:lineRule="auto"/>
      <w:ind w:left="720" w:hanging="360"/>
    </w:pPr>
    <w:rPr>
      <w:rFonts w:ascii="Times New Roman" w:eastAsia="Times New Roman" w:hAnsi="Times New Roman" w:cs="Times New Roman"/>
      <w:sz w:val="24"/>
      <w:szCs w:val="20"/>
      <w:lang w:eastAsia="ko-KR"/>
    </w:rPr>
  </w:style>
  <w:style w:type="paragraph" w:customStyle="1" w:styleId="Point4">
    <w:name w:val="Point 4"/>
    <w:basedOn w:val="Normal"/>
    <w:qFormat/>
    <w:rsid w:val="00690440"/>
    <w:pPr>
      <w:spacing w:before="120" w:after="120" w:line="276" w:lineRule="auto"/>
      <w:ind w:left="3118" w:hanging="567"/>
    </w:pPr>
    <w:rPr>
      <w:rFonts w:ascii="Times New Roman" w:eastAsia="Times New Roman" w:hAnsi="Times New Roman" w:cs="Times New Roman"/>
      <w:sz w:val="24"/>
      <w:szCs w:val="20"/>
      <w:lang w:eastAsia="ko-KR"/>
    </w:rPr>
  </w:style>
  <w:style w:type="paragraph" w:customStyle="1" w:styleId="Text2">
    <w:name w:val="Text 2"/>
    <w:basedOn w:val="Normal"/>
    <w:link w:val="Text2Char"/>
    <w:qFormat/>
    <w:rsid w:val="00F67FCF"/>
    <w:pPr>
      <w:numPr>
        <w:numId w:val="41"/>
      </w:numPr>
      <w:spacing w:before="120" w:after="120" w:line="276" w:lineRule="auto"/>
    </w:pPr>
    <w:rPr>
      <w:rFonts w:ascii="Times New Roman" w:eastAsia="Times New Roman" w:hAnsi="Times New Roman" w:cs="Times New Roman"/>
      <w:sz w:val="24"/>
      <w:szCs w:val="20"/>
      <w:lang w:eastAsia="ko-KR"/>
    </w:rPr>
  </w:style>
  <w:style w:type="paragraph" w:customStyle="1" w:styleId="WW-BodyText3">
    <w:name w:val="WW-Body Text 3"/>
    <w:basedOn w:val="Normal"/>
    <w:qFormat/>
    <w:rsid w:val="00690440"/>
    <w:pPr>
      <w:suppressAutoHyphens/>
      <w:spacing w:before="120" w:after="200" w:line="360" w:lineRule="auto"/>
    </w:pPr>
    <w:rPr>
      <w:rFonts w:eastAsia="Times New Roman" w:cs="Times New Roman"/>
      <w:sz w:val="24"/>
      <w:szCs w:val="20"/>
      <w:lang w:eastAsia="de-AT"/>
    </w:rPr>
  </w:style>
  <w:style w:type="character" w:customStyle="1" w:styleId="CharChar5">
    <w:name w:val="Char Char5"/>
    <w:locked/>
    <w:rsid w:val="00690440"/>
    <w:rPr>
      <w:rFonts w:eastAsia="MS Mincho" w:cs="Times New Roman"/>
      <w:noProof w:val="0"/>
      <w:sz w:val="16"/>
      <w:szCs w:val="16"/>
      <w:lang w:val="en-GB" w:eastAsia="ja-JP"/>
    </w:rPr>
  </w:style>
  <w:style w:type="paragraph" w:customStyle="1" w:styleId="berschrift1">
    <w:name w:val="überschrift 1"/>
    <w:basedOn w:val="Heading1"/>
    <w:qFormat/>
    <w:rsid w:val="00690440"/>
    <w:pPr>
      <w:numPr>
        <w:numId w:val="0"/>
      </w:numPr>
      <w:suppressAutoHyphens w:val="0"/>
      <w:spacing w:before="240" w:after="60" w:line="280" w:lineRule="exact"/>
      <w:contextualSpacing w:val="0"/>
    </w:pPr>
    <w:rPr>
      <w:rFonts w:ascii="Arial" w:eastAsia="Times New Roman" w:hAnsi="Arial" w:cs="Times New Roman"/>
      <w:b/>
      <w:color w:val="1F497D"/>
      <w:kern w:val="32"/>
      <w:lang w:eastAsia="x-none"/>
    </w:rPr>
  </w:style>
  <w:style w:type="character" w:customStyle="1" w:styleId="berschrift1Zchn">
    <w:name w:val="überschrift 1 Zchn"/>
    <w:locked/>
    <w:rsid w:val="00690440"/>
  </w:style>
  <w:style w:type="character" w:customStyle="1" w:styleId="CharChar4">
    <w:name w:val="Char Char4"/>
    <w:locked/>
    <w:rsid w:val="00690440"/>
    <w:rPr>
      <w:rFonts w:ascii="Calibri" w:hAnsi="Calibri" w:cs="Times New Roman"/>
      <w:noProof w:val="0"/>
      <w:sz w:val="24"/>
      <w:szCs w:val="24"/>
      <w:lang w:val="en-US" w:eastAsia="en-US"/>
    </w:rPr>
  </w:style>
  <w:style w:type="character" w:customStyle="1" w:styleId="CharChar3">
    <w:name w:val="Char Char3"/>
    <w:locked/>
    <w:rsid w:val="00690440"/>
    <w:rPr>
      <w:rFonts w:ascii="Calibri" w:hAnsi="Calibri" w:cs="Times New Roman"/>
      <w:noProof w:val="0"/>
      <w:sz w:val="24"/>
      <w:szCs w:val="24"/>
      <w:lang w:val="en-US" w:eastAsia="en-US"/>
    </w:rPr>
  </w:style>
  <w:style w:type="paragraph" w:customStyle="1" w:styleId="StyleHeading1MainHeading95pt">
    <w:name w:val="Style Heading 1Main Heading + 9.5 pt"/>
    <w:basedOn w:val="Heading1"/>
    <w:qFormat/>
    <w:rsid w:val="00690440"/>
    <w:pPr>
      <w:numPr>
        <w:numId w:val="42"/>
      </w:numPr>
      <w:suppressAutoHyphens w:val="0"/>
      <w:spacing w:before="240" w:after="60" w:line="280" w:lineRule="exact"/>
      <w:contextualSpacing w:val="0"/>
    </w:pPr>
    <w:rPr>
      <w:rFonts w:ascii="Arial" w:eastAsia="Times New Roman" w:hAnsi="Arial" w:cs="Times New Roman"/>
      <w:b/>
      <w:color w:val="1F497D"/>
      <w:kern w:val="32"/>
      <w:sz w:val="19"/>
      <w:lang w:eastAsia="x-none"/>
    </w:rPr>
  </w:style>
  <w:style w:type="paragraph" w:customStyle="1" w:styleId="StyleHeading1MainHeadingLatinCalibri">
    <w:name w:val="Style Heading 1Main Heading + (Latin) Calibri"/>
    <w:basedOn w:val="Heading1"/>
    <w:qFormat/>
    <w:rsid w:val="00690440"/>
    <w:pPr>
      <w:numPr>
        <w:numId w:val="0"/>
      </w:numPr>
      <w:suppressAutoHyphens w:val="0"/>
      <w:spacing w:before="240" w:after="60" w:line="280" w:lineRule="exact"/>
      <w:contextualSpacing w:val="0"/>
    </w:pPr>
    <w:rPr>
      <w:rFonts w:ascii="Calibri" w:eastAsia="Times New Roman" w:hAnsi="Calibri" w:cs="Times New Roman"/>
      <w:b/>
      <w:color w:val="1F497D"/>
      <w:kern w:val="32"/>
      <w:lang w:eastAsia="x-none"/>
    </w:rPr>
  </w:style>
  <w:style w:type="character" w:customStyle="1" w:styleId="StyleHeading1MainHeadingLatinCalibriCharChar">
    <w:name w:val="Style Heading 1Main Heading + (Latin) Calibri Char Char"/>
    <w:rsid w:val="00690440"/>
    <w:rPr>
      <w:rFonts w:ascii="Calibri" w:eastAsia="Times New Roman" w:hAnsi="Calibri" w:cs="Arial"/>
      <w:b/>
      <w:bCs/>
      <w:caps/>
      <w:noProof w:val="0"/>
      <w:color w:val="1F497D"/>
      <w:kern w:val="32"/>
      <w:sz w:val="28"/>
      <w:szCs w:val="28"/>
      <w:lang w:val="en-GB" w:eastAsia="en-US" w:bidi="ar-SA"/>
    </w:rPr>
  </w:style>
  <w:style w:type="paragraph" w:customStyle="1" w:styleId="berarbeitung">
    <w:name w:val="Überarbeitung"/>
    <w:hidden/>
    <w:semiHidden/>
    <w:qFormat/>
    <w:rsid w:val="00690440"/>
    <w:pPr>
      <w:spacing w:after="200" w:line="276" w:lineRule="auto"/>
    </w:pPr>
    <w:rPr>
      <w:rFonts w:ascii="Calibri" w:eastAsia="Calibri" w:hAnsi="Calibri" w:cs="Times New Roman"/>
      <w:sz w:val="24"/>
      <w:szCs w:val="24"/>
      <w:lang w:val="en-US"/>
    </w:rPr>
  </w:style>
  <w:style w:type="paragraph" w:customStyle="1" w:styleId="Formatvorlage1">
    <w:name w:val="Formatvorlage1"/>
    <w:basedOn w:val="StyleHeading1MainHeadingLatinCalibri"/>
    <w:qFormat/>
    <w:rsid w:val="00690440"/>
    <w:pPr>
      <w:spacing w:after="120"/>
    </w:pPr>
  </w:style>
  <w:style w:type="character" w:customStyle="1" w:styleId="Formatvorlage1Zchn">
    <w:name w:val="Formatvorlage1 Zchn"/>
    <w:rsid w:val="00690440"/>
  </w:style>
  <w:style w:type="paragraph" w:customStyle="1" w:styleId="Inhaltsverzeichnisberschrift">
    <w:name w:val="Inhaltsverzeichnisüberschrift"/>
    <w:basedOn w:val="Heading1"/>
    <w:next w:val="Normal"/>
    <w:qFormat/>
    <w:rsid w:val="00690440"/>
    <w:pPr>
      <w:numPr>
        <w:numId w:val="0"/>
      </w:numPr>
      <w:suppressAutoHyphens w:val="0"/>
      <w:spacing w:before="480" w:after="0" w:line="276" w:lineRule="auto"/>
      <w:contextualSpacing w:val="0"/>
      <w:outlineLvl w:val="9"/>
    </w:pPr>
    <w:rPr>
      <w:rFonts w:ascii="Cambria" w:eastAsia="Times New Roman" w:hAnsi="Cambria" w:cs="Times New Roman"/>
      <w:b/>
      <w:caps/>
      <w:color w:val="365F91"/>
      <w:lang w:val="de-DE" w:eastAsia="x-none"/>
    </w:rPr>
  </w:style>
  <w:style w:type="character" w:customStyle="1" w:styleId="StyleHeading1MainHeadingLatinCalibriZchn">
    <w:name w:val="Style Heading 1Main Heading + (Latin) Calibri Zchn"/>
    <w:rsid w:val="00690440"/>
    <w:rPr>
      <w:rFonts w:ascii="Calibri" w:eastAsia="Times New Roman" w:hAnsi="Calibri" w:cs="Arial"/>
      <w:b/>
      <w:bCs/>
      <w:caps/>
      <w:noProof w:val="0"/>
      <w:color w:val="1F497D"/>
      <w:kern w:val="32"/>
      <w:sz w:val="28"/>
      <w:szCs w:val="28"/>
      <w:lang w:val="en-GB" w:eastAsia="en-US" w:bidi="ar-SA"/>
    </w:rPr>
  </w:style>
  <w:style w:type="character" w:customStyle="1" w:styleId="CharChar2">
    <w:name w:val="Char Char2"/>
    <w:semiHidden/>
    <w:rsid w:val="00690440"/>
    <w:rPr>
      <w:rFonts w:ascii="Calibri" w:hAnsi="Calibri"/>
      <w:noProof w:val="0"/>
      <w:lang w:val="en-US" w:eastAsia="en-US"/>
    </w:rPr>
  </w:style>
  <w:style w:type="paragraph" w:customStyle="1" w:styleId="StyleStyleHeading1MainHeadingLatinCalibriLatinArial">
    <w:name w:val="Style Style Heading 1Main Heading + (Latin) Calibri + (Latin) Arial"/>
    <w:basedOn w:val="StyleHeading1MainHeadingLatinCalibri"/>
    <w:qFormat/>
    <w:rsid w:val="00690440"/>
    <w:pPr>
      <w:tabs>
        <w:tab w:val="num" w:pos="0"/>
      </w:tabs>
      <w:ind w:left="432" w:hanging="432"/>
    </w:pPr>
    <w:rPr>
      <w:rFonts w:ascii="Arial" w:hAnsi="Arial"/>
    </w:rPr>
  </w:style>
  <w:style w:type="paragraph" w:customStyle="1" w:styleId="Text">
    <w:name w:val="Text"/>
    <w:basedOn w:val="Normal"/>
    <w:next w:val="Normal"/>
    <w:link w:val="TextChar"/>
    <w:rsid w:val="00690440"/>
    <w:pPr>
      <w:spacing w:before="120" w:after="200" w:line="276" w:lineRule="auto"/>
      <w:ind w:left="1152"/>
    </w:pPr>
    <w:rPr>
      <w:rFonts w:ascii="Times New Roman" w:eastAsia="Times New Roman" w:hAnsi="Times New Roman" w:cs="Times New Roman"/>
      <w:sz w:val="22"/>
      <w:szCs w:val="22"/>
      <w:lang w:val="x-none" w:eastAsia="x-none"/>
    </w:rPr>
  </w:style>
  <w:style w:type="paragraph" w:customStyle="1" w:styleId="CharCharCharChar1Char">
    <w:name w:val="Char Char Char Char1 Char"/>
    <w:basedOn w:val="Normal"/>
    <w:semiHidden/>
    <w:qFormat/>
    <w:rsid w:val="00690440"/>
    <w:pPr>
      <w:spacing w:after="200" w:line="276" w:lineRule="auto"/>
    </w:pPr>
    <w:rPr>
      <w:rFonts w:ascii="Times New Roman" w:eastAsia="Times New Roman" w:hAnsi="Times New Roman" w:cs="Times New Roman"/>
      <w:sz w:val="24"/>
      <w:szCs w:val="22"/>
      <w:lang w:val="pl-PL" w:eastAsia="pl-PL"/>
    </w:rPr>
  </w:style>
  <w:style w:type="paragraph" w:customStyle="1" w:styleId="TParagraf123">
    <w:name w:val="T_Paragraf_1.2.3."/>
    <w:basedOn w:val="Normal"/>
    <w:qFormat/>
    <w:rsid w:val="00690440"/>
    <w:pPr>
      <w:spacing w:before="120" w:after="120" w:line="276" w:lineRule="auto"/>
      <w:ind w:left="504"/>
    </w:pPr>
    <w:rPr>
      <w:rFonts w:ascii="Times New Roman" w:eastAsia="Times New Roman" w:hAnsi="Times New Roman" w:cs="Times New Roman"/>
      <w:b/>
      <w:sz w:val="22"/>
      <w:szCs w:val="22"/>
      <w:lang w:val="en-US" w:eastAsia="ro-RO"/>
    </w:rPr>
  </w:style>
  <w:style w:type="paragraph" w:customStyle="1" w:styleId="t-figure">
    <w:name w:val="t-figure"/>
    <w:basedOn w:val="Normal"/>
    <w:qFormat/>
    <w:rsid w:val="00690440"/>
    <w:pPr>
      <w:spacing w:after="200" w:line="276" w:lineRule="auto"/>
      <w:jc w:val="center"/>
    </w:pPr>
    <w:rPr>
      <w:rFonts w:eastAsia="Times New Roman" w:cs="Arial"/>
      <w:b/>
      <w:bCs/>
      <w:sz w:val="24"/>
      <w:szCs w:val="22"/>
      <w:lang w:val="en-US" w:eastAsia="ro-RO"/>
    </w:rPr>
  </w:style>
  <w:style w:type="paragraph" w:customStyle="1" w:styleId="ExplicatieFoto">
    <w:name w:val="Explicatie Foto"/>
    <w:basedOn w:val="Normal"/>
    <w:next w:val="Normal"/>
    <w:link w:val="ExplicatieFotoChar"/>
    <w:qFormat/>
    <w:rsid w:val="00690440"/>
    <w:pPr>
      <w:spacing w:before="120" w:after="200" w:line="276" w:lineRule="auto"/>
      <w:jc w:val="right"/>
    </w:pPr>
    <w:rPr>
      <w:rFonts w:ascii="Times New Roman" w:eastAsia="Times New Roman" w:hAnsi="Times New Roman" w:cs="Times New Roman"/>
      <w:b/>
      <w:szCs w:val="22"/>
      <w:lang w:val="x-none" w:eastAsia="x-none"/>
    </w:rPr>
  </w:style>
  <w:style w:type="paragraph" w:customStyle="1" w:styleId="CaracterCaracterCaracter">
    <w:name w:val="Caracter Caracter Caracter"/>
    <w:basedOn w:val="Normal"/>
    <w:qFormat/>
    <w:rsid w:val="00690440"/>
    <w:pPr>
      <w:spacing w:after="200" w:line="276" w:lineRule="auto"/>
    </w:pPr>
    <w:rPr>
      <w:rFonts w:ascii="Times New Roman" w:eastAsia="Times New Roman" w:hAnsi="Times New Roman" w:cs="Times New Roman"/>
      <w:sz w:val="24"/>
      <w:szCs w:val="22"/>
      <w:lang w:val="pl-PL" w:eastAsia="pl-PL"/>
    </w:rPr>
  </w:style>
  <w:style w:type="character" w:customStyle="1" w:styleId="bbtext">
    <w:name w:val="bbtext"/>
    <w:rsid w:val="00690440"/>
  </w:style>
  <w:style w:type="character" w:customStyle="1" w:styleId="textstyle0">
    <w:name w:val="textstyle0"/>
    <w:rsid w:val="00690440"/>
  </w:style>
  <w:style w:type="paragraph" w:customStyle="1" w:styleId="Heading">
    <w:name w:val="Heading"/>
    <w:basedOn w:val="Normal"/>
    <w:next w:val="BodyText"/>
    <w:qFormat/>
    <w:rsid w:val="00690440"/>
    <w:pPr>
      <w:keepNext/>
      <w:widowControl w:val="0"/>
      <w:suppressAutoHyphens/>
      <w:autoSpaceDE w:val="0"/>
      <w:spacing w:before="240" w:after="120" w:line="360" w:lineRule="atLeast"/>
      <w:textAlignment w:val="baseline"/>
    </w:pPr>
    <w:rPr>
      <w:rFonts w:eastAsia="MS Mincho" w:cs="Tahoma"/>
      <w:kern w:val="1"/>
      <w:sz w:val="28"/>
      <w:szCs w:val="28"/>
      <w:lang w:val="en-US" w:eastAsia="ro-RO" w:bidi="en-US"/>
    </w:rPr>
  </w:style>
  <w:style w:type="paragraph" w:customStyle="1" w:styleId="TCapitol1">
    <w:name w:val="T_Capitol_1"/>
    <w:basedOn w:val="Normal"/>
    <w:qFormat/>
    <w:rsid w:val="00690440"/>
    <w:pPr>
      <w:spacing w:before="240" w:after="120" w:line="276" w:lineRule="auto"/>
    </w:pPr>
    <w:rPr>
      <w:rFonts w:ascii="Times New Roman" w:eastAsia="Times New Roman" w:hAnsi="Times New Roman" w:cs="Times New Roman"/>
      <w:b/>
      <w:sz w:val="24"/>
      <w:szCs w:val="22"/>
      <w:lang w:val="en-US" w:eastAsia="ro-RO"/>
    </w:rPr>
  </w:style>
  <w:style w:type="character" w:customStyle="1" w:styleId="TextChar">
    <w:name w:val="Text Char"/>
    <w:link w:val="Text"/>
    <w:rsid w:val="00690440"/>
    <w:rPr>
      <w:rFonts w:ascii="Times New Roman" w:eastAsia="Times New Roman" w:hAnsi="Times New Roman" w:cs="Times New Roman"/>
      <w:sz w:val="22"/>
      <w:szCs w:val="22"/>
      <w:lang w:val="x-none" w:eastAsia="x-none"/>
    </w:rPr>
  </w:style>
  <w:style w:type="paragraph" w:customStyle="1" w:styleId="Caracter">
    <w:name w:val="Caracter"/>
    <w:basedOn w:val="Normal"/>
    <w:qFormat/>
    <w:rsid w:val="00690440"/>
    <w:pPr>
      <w:spacing w:after="200" w:line="276" w:lineRule="auto"/>
    </w:pPr>
    <w:rPr>
      <w:rFonts w:ascii="Times New Roman" w:eastAsia="Times New Roman" w:hAnsi="Times New Roman" w:cs="Times New Roman"/>
      <w:sz w:val="24"/>
      <w:szCs w:val="22"/>
      <w:lang w:val="pl-PL" w:eastAsia="pl-PL"/>
    </w:rPr>
  </w:style>
  <w:style w:type="numbering" w:customStyle="1" w:styleId="Bumbi-">
    <w:name w:val="Bumbi -"/>
    <w:rsid w:val="00F67FCF"/>
    <w:pPr>
      <w:numPr>
        <w:numId w:val="43"/>
      </w:numPr>
    </w:pPr>
  </w:style>
  <w:style w:type="paragraph" w:customStyle="1" w:styleId="TSubcapitol12">
    <w:name w:val="T_Subcapitol_1.2."/>
    <w:basedOn w:val="Normal"/>
    <w:qFormat/>
    <w:rsid w:val="00690440"/>
    <w:pPr>
      <w:numPr>
        <w:ilvl w:val="1"/>
      </w:numPr>
      <w:tabs>
        <w:tab w:val="num" w:pos="420"/>
      </w:tabs>
      <w:spacing w:before="120" w:after="120" w:line="276" w:lineRule="auto"/>
      <w:ind w:left="418" w:hanging="418"/>
    </w:pPr>
    <w:rPr>
      <w:rFonts w:ascii="Times New Roman" w:eastAsia="Times New Roman" w:hAnsi="Times New Roman" w:cs="Times New Roman"/>
      <w:b/>
      <w:sz w:val="24"/>
      <w:szCs w:val="22"/>
      <w:lang w:val="en-US" w:eastAsia="ro-RO"/>
    </w:rPr>
  </w:style>
  <w:style w:type="paragraph" w:customStyle="1" w:styleId="western">
    <w:name w:val="western"/>
    <w:basedOn w:val="Normal"/>
    <w:qFormat/>
    <w:rsid w:val="00690440"/>
    <w:pPr>
      <w:spacing w:before="100" w:beforeAutospacing="1" w:after="100" w:afterAutospacing="1" w:line="276" w:lineRule="auto"/>
    </w:pPr>
    <w:rPr>
      <w:rFonts w:ascii="Times New Roman" w:eastAsia="Times New Roman" w:hAnsi="Times New Roman" w:cs="Times New Roman"/>
      <w:sz w:val="24"/>
      <w:szCs w:val="22"/>
      <w:lang w:val="en-US" w:eastAsia="ro-RO"/>
    </w:rPr>
  </w:style>
  <w:style w:type="paragraph" w:customStyle="1" w:styleId="StilBalk112nkkiYanaYaslaSol0cmlksatr0c">
    <w:name w:val="Stil Başlık 1 + 12 nk İki Yana Yasla Sol:  0 cm İlk satır:  0 c..."/>
    <w:basedOn w:val="Heading1"/>
    <w:autoRedefine/>
    <w:qFormat/>
    <w:rsid w:val="00690440"/>
    <w:pPr>
      <w:keepNext w:val="0"/>
      <w:numPr>
        <w:numId w:val="0"/>
      </w:numPr>
      <w:suppressAutoHyphens w:val="0"/>
      <w:spacing w:before="0" w:after="0" w:line="360" w:lineRule="auto"/>
      <w:contextualSpacing w:val="0"/>
      <w:outlineLvl w:val="9"/>
    </w:pPr>
    <w:rPr>
      <w:rFonts w:ascii="Times New Roman" w:eastAsia="Times New Roman" w:hAnsi="Times New Roman" w:cs="Times New Roman"/>
      <w:b/>
      <w:i/>
      <w:iCs/>
      <w:caps/>
      <w:color w:val="365F91"/>
      <w:sz w:val="24"/>
      <w:szCs w:val="24"/>
      <w:lang w:eastAsia="x-none"/>
    </w:rPr>
  </w:style>
  <w:style w:type="paragraph" w:customStyle="1" w:styleId="font5">
    <w:name w:val="font5"/>
    <w:basedOn w:val="Normal"/>
    <w:qFormat/>
    <w:rsid w:val="00690440"/>
    <w:pPr>
      <w:spacing w:before="100" w:beforeAutospacing="1" w:after="100" w:afterAutospacing="1" w:line="276" w:lineRule="auto"/>
    </w:pPr>
    <w:rPr>
      <w:rFonts w:ascii="Tahoma" w:eastAsia="Times New Roman" w:hAnsi="Tahoma" w:cs="Tahoma"/>
      <w:b/>
      <w:bCs/>
      <w:color w:val="000000"/>
      <w:sz w:val="16"/>
      <w:szCs w:val="16"/>
      <w:lang w:val="en-US" w:eastAsia="ro-RO"/>
    </w:rPr>
  </w:style>
  <w:style w:type="paragraph" w:customStyle="1" w:styleId="font6">
    <w:name w:val="font6"/>
    <w:basedOn w:val="Normal"/>
    <w:qFormat/>
    <w:rsid w:val="00690440"/>
    <w:pPr>
      <w:spacing w:before="100" w:beforeAutospacing="1" w:after="100" w:afterAutospacing="1" w:line="276" w:lineRule="auto"/>
    </w:pPr>
    <w:rPr>
      <w:rFonts w:ascii="Tahoma" w:eastAsia="Times New Roman" w:hAnsi="Tahoma" w:cs="Tahoma"/>
      <w:color w:val="000000"/>
      <w:sz w:val="16"/>
      <w:szCs w:val="16"/>
      <w:lang w:val="en-US" w:eastAsia="ro-RO"/>
    </w:rPr>
  </w:style>
  <w:style w:type="paragraph" w:customStyle="1" w:styleId="xl65">
    <w:name w:val="xl65"/>
    <w:basedOn w:val="Normal"/>
    <w:qFormat/>
    <w:rsid w:val="00690440"/>
    <w:pPr>
      <w:pBdr>
        <w:top w:val="single" w:sz="8" w:space="0" w:color="auto"/>
        <w:left w:val="single" w:sz="8" w:space="0" w:color="auto"/>
        <w:bottom w:val="single" w:sz="4" w:space="0" w:color="auto"/>
        <w:right w:val="single" w:sz="4" w:space="0" w:color="auto"/>
      </w:pBdr>
      <w:shd w:val="clear" w:color="auto" w:fill="C0C0C0"/>
      <w:spacing w:before="100" w:beforeAutospacing="1" w:after="100" w:afterAutospacing="1" w:line="276" w:lineRule="auto"/>
      <w:textAlignment w:val="center"/>
    </w:pPr>
    <w:rPr>
      <w:rFonts w:eastAsia="Times New Roman" w:cs="Arial"/>
      <w:b/>
      <w:bCs/>
      <w:sz w:val="20"/>
      <w:szCs w:val="20"/>
      <w:lang w:val="en-US" w:eastAsia="ro-RO"/>
    </w:rPr>
  </w:style>
  <w:style w:type="paragraph" w:customStyle="1" w:styleId="xl66">
    <w:name w:val="xl66"/>
    <w:basedOn w:val="Normal"/>
    <w:qFormat/>
    <w:rsid w:val="00690440"/>
    <w:pPr>
      <w:pBdr>
        <w:top w:val="single" w:sz="8" w:space="0" w:color="auto"/>
        <w:left w:val="single" w:sz="4" w:space="0" w:color="auto"/>
        <w:bottom w:val="single" w:sz="4" w:space="0" w:color="auto"/>
      </w:pBdr>
      <w:shd w:val="clear" w:color="auto" w:fill="C0C0C0"/>
      <w:spacing w:before="100" w:beforeAutospacing="1" w:after="100" w:afterAutospacing="1" w:line="276" w:lineRule="auto"/>
    </w:pPr>
    <w:rPr>
      <w:rFonts w:eastAsia="Times New Roman" w:cs="Arial"/>
      <w:b/>
      <w:bCs/>
      <w:sz w:val="20"/>
      <w:szCs w:val="20"/>
      <w:lang w:val="en-US" w:eastAsia="ro-RO"/>
    </w:rPr>
  </w:style>
  <w:style w:type="paragraph" w:customStyle="1" w:styleId="xl67">
    <w:name w:val="xl67"/>
    <w:basedOn w:val="Normal"/>
    <w:qFormat/>
    <w:rsid w:val="00690440"/>
    <w:pPr>
      <w:pBdr>
        <w:top w:val="single" w:sz="8" w:space="0" w:color="auto"/>
        <w:bottom w:val="single" w:sz="4" w:space="0" w:color="auto"/>
        <w:right w:val="single" w:sz="8" w:space="0" w:color="auto"/>
      </w:pBdr>
      <w:shd w:val="clear" w:color="auto" w:fill="C0C0C0"/>
      <w:spacing w:before="100" w:beforeAutospacing="1" w:after="100" w:afterAutospacing="1" w:line="276" w:lineRule="auto"/>
    </w:pPr>
    <w:rPr>
      <w:rFonts w:eastAsia="Times New Roman" w:cs="Arial"/>
      <w:b/>
      <w:bCs/>
      <w:sz w:val="20"/>
      <w:szCs w:val="20"/>
      <w:lang w:val="en-US" w:eastAsia="ro-RO"/>
    </w:rPr>
  </w:style>
  <w:style w:type="paragraph" w:customStyle="1" w:styleId="xl68">
    <w:name w:val="xl68"/>
    <w:basedOn w:val="Normal"/>
    <w:qFormat/>
    <w:rsid w:val="00690440"/>
    <w:pPr>
      <w:pBdr>
        <w:top w:val="single" w:sz="8" w:space="0" w:color="auto"/>
        <w:left w:val="single" w:sz="8" w:space="0" w:color="auto"/>
        <w:bottom w:val="single" w:sz="4" w:space="0" w:color="auto"/>
        <w:right w:val="single" w:sz="4" w:space="0" w:color="auto"/>
      </w:pBdr>
      <w:shd w:val="clear" w:color="auto" w:fill="C0C0C0"/>
      <w:spacing w:before="100" w:beforeAutospacing="1" w:after="100" w:afterAutospacing="1" w:line="276" w:lineRule="auto"/>
      <w:jc w:val="center"/>
    </w:pPr>
    <w:rPr>
      <w:rFonts w:eastAsia="Times New Roman" w:cs="Arial"/>
      <w:b/>
      <w:bCs/>
      <w:sz w:val="20"/>
      <w:szCs w:val="20"/>
      <w:lang w:val="en-US" w:eastAsia="ro-RO"/>
    </w:rPr>
  </w:style>
  <w:style w:type="paragraph" w:customStyle="1" w:styleId="xl69">
    <w:name w:val="xl69"/>
    <w:basedOn w:val="Normal"/>
    <w:qFormat/>
    <w:rsid w:val="00690440"/>
    <w:pPr>
      <w:pBdr>
        <w:top w:val="single" w:sz="4" w:space="0" w:color="auto"/>
        <w:left w:val="single" w:sz="8" w:space="0" w:color="auto"/>
        <w:bottom w:val="single" w:sz="4" w:space="0" w:color="auto"/>
      </w:pBdr>
      <w:shd w:val="clear" w:color="auto" w:fill="C0C0C0"/>
      <w:spacing w:before="100" w:beforeAutospacing="1" w:after="100" w:afterAutospacing="1" w:line="276" w:lineRule="auto"/>
      <w:textAlignment w:val="center"/>
    </w:pPr>
    <w:rPr>
      <w:rFonts w:eastAsia="Times New Roman" w:cs="Arial"/>
      <w:b/>
      <w:bCs/>
      <w:sz w:val="20"/>
      <w:szCs w:val="20"/>
      <w:lang w:val="en-US" w:eastAsia="ro-RO"/>
    </w:rPr>
  </w:style>
  <w:style w:type="paragraph" w:customStyle="1" w:styleId="xl70">
    <w:name w:val="xl70"/>
    <w:basedOn w:val="Normal"/>
    <w:qFormat/>
    <w:rsid w:val="00690440"/>
    <w:pPr>
      <w:pBdr>
        <w:top w:val="single" w:sz="4" w:space="0" w:color="auto"/>
        <w:left w:val="single" w:sz="8" w:space="0" w:color="auto"/>
        <w:bottom w:val="single" w:sz="4" w:space="0" w:color="auto"/>
        <w:right w:val="single" w:sz="4" w:space="0" w:color="auto"/>
      </w:pBdr>
      <w:shd w:val="clear" w:color="auto" w:fill="C0C0C0"/>
      <w:spacing w:before="100" w:beforeAutospacing="1" w:after="100" w:afterAutospacing="1" w:line="276" w:lineRule="auto"/>
      <w:textAlignment w:val="center"/>
    </w:pPr>
    <w:rPr>
      <w:rFonts w:eastAsia="Times New Roman" w:cs="Arial"/>
      <w:b/>
      <w:bCs/>
      <w:sz w:val="20"/>
      <w:szCs w:val="20"/>
      <w:lang w:val="en-US" w:eastAsia="ro-RO"/>
    </w:rPr>
  </w:style>
  <w:style w:type="paragraph" w:customStyle="1" w:styleId="xl71">
    <w:name w:val="xl71"/>
    <w:basedOn w:val="Normal"/>
    <w:qFormat/>
    <w:rsid w:val="0069044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76" w:lineRule="auto"/>
      <w:jc w:val="center"/>
    </w:pPr>
    <w:rPr>
      <w:rFonts w:ascii="Arial Unicode MS" w:eastAsia="Times New Roman" w:hAnsi="Arial Unicode MS" w:cs="Times New Roman"/>
      <w:sz w:val="24"/>
      <w:szCs w:val="22"/>
      <w:lang w:val="en-US" w:eastAsia="ro-RO"/>
    </w:rPr>
  </w:style>
  <w:style w:type="paragraph" w:customStyle="1" w:styleId="xl72">
    <w:name w:val="xl72"/>
    <w:basedOn w:val="Normal"/>
    <w:qFormat/>
    <w:rsid w:val="00690440"/>
    <w:pPr>
      <w:pBdr>
        <w:top w:val="single" w:sz="4" w:space="0" w:color="auto"/>
        <w:left w:val="single" w:sz="4" w:space="0" w:color="auto"/>
        <w:bottom w:val="single" w:sz="4" w:space="0" w:color="auto"/>
        <w:right w:val="single" w:sz="8" w:space="0" w:color="auto"/>
      </w:pBdr>
      <w:shd w:val="clear" w:color="auto" w:fill="C0C0C0"/>
      <w:spacing w:before="100" w:beforeAutospacing="1" w:after="100" w:afterAutospacing="1" w:line="276" w:lineRule="auto"/>
      <w:jc w:val="center"/>
    </w:pPr>
    <w:rPr>
      <w:rFonts w:ascii="Arial Unicode MS" w:eastAsia="Times New Roman" w:hAnsi="Arial Unicode MS" w:cs="Times New Roman"/>
      <w:sz w:val="24"/>
      <w:szCs w:val="22"/>
      <w:lang w:val="en-US" w:eastAsia="ro-RO"/>
    </w:rPr>
  </w:style>
  <w:style w:type="paragraph" w:customStyle="1" w:styleId="xl73">
    <w:name w:val="xl73"/>
    <w:basedOn w:val="Normal"/>
    <w:qFormat/>
    <w:rsid w:val="00690440"/>
    <w:pPr>
      <w:pBdr>
        <w:top w:val="single" w:sz="4" w:space="0" w:color="auto"/>
        <w:left w:val="single" w:sz="8" w:space="0" w:color="auto"/>
        <w:bottom w:val="single" w:sz="4" w:space="0" w:color="auto"/>
        <w:right w:val="single" w:sz="4" w:space="0" w:color="auto"/>
      </w:pBdr>
      <w:shd w:val="clear" w:color="auto" w:fill="C0C0C0"/>
      <w:spacing w:before="100" w:beforeAutospacing="1" w:after="100" w:afterAutospacing="1" w:line="276" w:lineRule="auto"/>
      <w:jc w:val="center"/>
    </w:pPr>
    <w:rPr>
      <w:rFonts w:ascii="Arial Unicode MS" w:eastAsia="Times New Roman" w:hAnsi="Arial Unicode MS" w:cs="Times New Roman"/>
      <w:sz w:val="24"/>
      <w:szCs w:val="22"/>
      <w:lang w:val="en-US" w:eastAsia="ro-RO"/>
    </w:rPr>
  </w:style>
  <w:style w:type="paragraph" w:customStyle="1" w:styleId="xl74">
    <w:name w:val="xl74"/>
    <w:basedOn w:val="Normal"/>
    <w:qFormat/>
    <w:rsid w:val="0069044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75">
    <w:name w:val="xl75"/>
    <w:basedOn w:val="Normal"/>
    <w:qFormat/>
    <w:rsid w:val="00690440"/>
    <w:pPr>
      <w:pBdr>
        <w:top w:val="single" w:sz="4" w:space="0" w:color="auto"/>
        <w:left w:val="single" w:sz="4" w:space="0" w:color="auto"/>
        <w:bottom w:val="single" w:sz="4" w:space="0" w:color="auto"/>
        <w:right w:val="single" w:sz="8" w:space="0" w:color="auto"/>
      </w:pBdr>
      <w:shd w:val="clear" w:color="auto" w:fill="C0C0C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76">
    <w:name w:val="xl76"/>
    <w:basedOn w:val="Normal"/>
    <w:qFormat/>
    <w:rsid w:val="00690440"/>
    <w:pPr>
      <w:pBdr>
        <w:top w:val="single" w:sz="4" w:space="0" w:color="auto"/>
        <w:left w:val="single" w:sz="8" w:space="0" w:color="auto"/>
        <w:bottom w:val="single" w:sz="4" w:space="0" w:color="auto"/>
        <w:right w:val="single" w:sz="4" w:space="0" w:color="auto"/>
      </w:pBdr>
      <w:shd w:val="clear" w:color="auto" w:fill="C0C0C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77">
    <w:name w:val="xl77"/>
    <w:basedOn w:val="Normal"/>
    <w:qFormat/>
    <w:rsid w:val="00690440"/>
    <w:pPr>
      <w:pBdr>
        <w:top w:val="single" w:sz="4" w:space="0" w:color="auto"/>
        <w:left w:val="single" w:sz="8" w:space="0" w:color="auto"/>
        <w:bottom w:val="single" w:sz="4" w:space="0" w:color="auto"/>
      </w:pBdr>
      <w:spacing w:before="100" w:beforeAutospacing="1" w:after="100" w:afterAutospacing="1" w:line="276" w:lineRule="auto"/>
      <w:textAlignment w:val="center"/>
    </w:pPr>
    <w:rPr>
      <w:rFonts w:ascii="Times New Roman" w:eastAsia="Times New Roman" w:hAnsi="Times New Roman" w:cs="Times New Roman"/>
      <w:color w:val="000080"/>
      <w:sz w:val="24"/>
      <w:szCs w:val="22"/>
      <w:lang w:val="en-US" w:eastAsia="ro-RO"/>
    </w:rPr>
  </w:style>
  <w:style w:type="paragraph" w:customStyle="1" w:styleId="xl78">
    <w:name w:val="xl78"/>
    <w:basedOn w:val="Normal"/>
    <w:qFormat/>
    <w:rsid w:val="00690440"/>
    <w:pPr>
      <w:pBdr>
        <w:top w:val="single" w:sz="4" w:space="0" w:color="auto"/>
        <w:left w:val="single" w:sz="8" w:space="0" w:color="auto"/>
        <w:bottom w:val="single" w:sz="4" w:space="0" w:color="auto"/>
        <w:right w:val="single" w:sz="4" w:space="0" w:color="auto"/>
      </w:pBdr>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79">
    <w:name w:val="xl79"/>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80">
    <w:name w:val="xl80"/>
    <w:basedOn w:val="Normal"/>
    <w:qFormat/>
    <w:rsid w:val="00690440"/>
    <w:pPr>
      <w:pBdr>
        <w:top w:val="single" w:sz="4" w:space="0" w:color="auto"/>
        <w:left w:val="single" w:sz="4" w:space="0" w:color="auto"/>
        <w:bottom w:val="single" w:sz="4" w:space="0" w:color="auto"/>
        <w:right w:val="single" w:sz="8" w:space="0" w:color="auto"/>
      </w:pBdr>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81">
    <w:name w:val="xl81"/>
    <w:basedOn w:val="Normal"/>
    <w:qFormat/>
    <w:rsid w:val="00690440"/>
    <w:pPr>
      <w:pBdr>
        <w:top w:val="single" w:sz="4" w:space="0" w:color="auto"/>
        <w:left w:val="single" w:sz="4" w:space="0" w:color="auto"/>
        <w:bottom w:val="single" w:sz="4" w:space="0" w:color="auto"/>
        <w:right w:val="single" w:sz="8" w:space="0" w:color="auto"/>
      </w:pBdr>
      <w:shd w:val="clear" w:color="auto" w:fill="C0C0C0"/>
      <w:spacing w:before="100" w:beforeAutospacing="1" w:after="100" w:afterAutospacing="1" w:line="276" w:lineRule="auto"/>
    </w:pPr>
    <w:rPr>
      <w:rFonts w:eastAsia="Times New Roman" w:cs="Arial"/>
      <w:b/>
      <w:bCs/>
      <w:sz w:val="20"/>
      <w:szCs w:val="20"/>
      <w:lang w:val="en-US" w:eastAsia="ro-RO"/>
    </w:rPr>
  </w:style>
  <w:style w:type="paragraph" w:customStyle="1" w:styleId="xl82">
    <w:name w:val="xl82"/>
    <w:basedOn w:val="Normal"/>
    <w:qFormat/>
    <w:rsid w:val="00690440"/>
    <w:pPr>
      <w:pBdr>
        <w:top w:val="single" w:sz="4" w:space="0" w:color="auto"/>
        <w:left w:val="single" w:sz="4" w:space="0" w:color="auto"/>
        <w:bottom w:val="single" w:sz="4" w:space="0" w:color="auto"/>
        <w:right w:val="single" w:sz="8" w:space="0" w:color="auto"/>
      </w:pBdr>
      <w:shd w:val="clear" w:color="auto" w:fill="C0C0C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83">
    <w:name w:val="xl83"/>
    <w:basedOn w:val="Normal"/>
    <w:qFormat/>
    <w:rsid w:val="00690440"/>
    <w:pPr>
      <w:pBdr>
        <w:top w:val="single" w:sz="4" w:space="0" w:color="auto"/>
        <w:left w:val="single" w:sz="8" w:space="0" w:color="auto"/>
        <w:bottom w:val="single" w:sz="4" w:space="0" w:color="auto"/>
      </w:pBdr>
      <w:shd w:val="clear" w:color="auto" w:fill="00FFFF"/>
      <w:spacing w:before="100" w:beforeAutospacing="1" w:after="100" w:afterAutospacing="1" w:line="276" w:lineRule="auto"/>
      <w:textAlignment w:val="center"/>
    </w:pPr>
    <w:rPr>
      <w:rFonts w:ascii="Arial Unicode MS" w:eastAsia="Times New Roman" w:hAnsi="Arial Unicode MS" w:cs="Times New Roman"/>
      <w:sz w:val="24"/>
      <w:szCs w:val="22"/>
      <w:lang w:val="en-US" w:eastAsia="ro-RO"/>
    </w:rPr>
  </w:style>
  <w:style w:type="paragraph" w:customStyle="1" w:styleId="xl84">
    <w:name w:val="xl84"/>
    <w:basedOn w:val="Normal"/>
    <w:qFormat/>
    <w:rsid w:val="00690440"/>
    <w:pPr>
      <w:pBdr>
        <w:top w:val="single" w:sz="4" w:space="0" w:color="auto"/>
        <w:left w:val="single" w:sz="4" w:space="0" w:color="auto"/>
        <w:bottom w:val="single" w:sz="4" w:space="0" w:color="auto"/>
        <w:right w:val="single" w:sz="8" w:space="0" w:color="auto"/>
      </w:pBdr>
      <w:shd w:val="clear" w:color="auto" w:fill="00FFFF"/>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85">
    <w:name w:val="xl85"/>
    <w:basedOn w:val="Normal"/>
    <w:qFormat/>
    <w:rsid w:val="00690440"/>
    <w:pPr>
      <w:pBdr>
        <w:top w:val="single" w:sz="4" w:space="0" w:color="auto"/>
        <w:left w:val="single" w:sz="8" w:space="0" w:color="auto"/>
        <w:bottom w:val="single" w:sz="4" w:space="0" w:color="auto"/>
      </w:pBdr>
      <w:spacing w:before="100" w:beforeAutospacing="1" w:after="100" w:afterAutospacing="1" w:line="276" w:lineRule="auto"/>
      <w:textAlignment w:val="center"/>
    </w:pPr>
    <w:rPr>
      <w:rFonts w:ascii="Arial Unicode MS" w:eastAsia="Times New Roman" w:hAnsi="Arial Unicode MS" w:cs="Times New Roman"/>
      <w:sz w:val="24"/>
      <w:szCs w:val="22"/>
      <w:lang w:val="en-US" w:eastAsia="ro-RO"/>
    </w:rPr>
  </w:style>
  <w:style w:type="paragraph" w:customStyle="1" w:styleId="xl86">
    <w:name w:val="xl86"/>
    <w:basedOn w:val="Normal"/>
    <w:qFormat/>
    <w:rsid w:val="00690440"/>
    <w:pPr>
      <w:pBdr>
        <w:top w:val="single" w:sz="4" w:space="0" w:color="auto"/>
        <w:left w:val="single" w:sz="8" w:space="0" w:color="auto"/>
        <w:bottom w:val="single" w:sz="4" w:space="0" w:color="auto"/>
      </w:pBdr>
      <w:spacing w:before="100" w:beforeAutospacing="1" w:after="100" w:afterAutospacing="1" w:line="276" w:lineRule="auto"/>
      <w:textAlignment w:val="center"/>
    </w:pPr>
    <w:rPr>
      <w:rFonts w:ascii="Times New Roman" w:eastAsia="Times New Roman" w:hAnsi="Times New Roman" w:cs="Times New Roman"/>
      <w:sz w:val="24"/>
      <w:szCs w:val="22"/>
      <w:lang w:val="en-US" w:eastAsia="ro-RO"/>
    </w:rPr>
  </w:style>
  <w:style w:type="paragraph" w:customStyle="1" w:styleId="xl87">
    <w:name w:val="xl87"/>
    <w:basedOn w:val="Normal"/>
    <w:qFormat/>
    <w:rsid w:val="00690440"/>
    <w:pPr>
      <w:pBdr>
        <w:top w:val="single" w:sz="4" w:space="0" w:color="auto"/>
        <w:left w:val="single" w:sz="8" w:space="0" w:color="auto"/>
        <w:bottom w:val="single" w:sz="4" w:space="0" w:color="auto"/>
      </w:pBdr>
      <w:shd w:val="clear" w:color="auto" w:fill="C0C0C0"/>
      <w:spacing w:before="100" w:beforeAutospacing="1" w:after="100" w:afterAutospacing="1" w:line="276" w:lineRule="auto"/>
      <w:textAlignment w:val="center"/>
    </w:pPr>
    <w:rPr>
      <w:rFonts w:ascii="Arial Unicode MS" w:eastAsia="Times New Roman" w:hAnsi="Arial Unicode MS" w:cs="Times New Roman"/>
      <w:sz w:val="24"/>
      <w:szCs w:val="22"/>
      <w:lang w:val="en-US" w:eastAsia="ro-RO"/>
    </w:rPr>
  </w:style>
  <w:style w:type="paragraph" w:customStyle="1" w:styleId="xl88">
    <w:name w:val="xl88"/>
    <w:basedOn w:val="Normal"/>
    <w:qFormat/>
    <w:rsid w:val="00690440"/>
    <w:pPr>
      <w:pBdr>
        <w:top w:val="single" w:sz="4" w:space="0" w:color="auto"/>
        <w:left w:val="single" w:sz="8" w:space="0" w:color="auto"/>
        <w:bottom w:val="single" w:sz="4" w:space="0" w:color="auto"/>
      </w:pBdr>
      <w:shd w:val="clear" w:color="auto" w:fill="FFFF00"/>
      <w:spacing w:before="100" w:beforeAutospacing="1" w:after="100" w:afterAutospacing="1" w:line="276" w:lineRule="auto"/>
      <w:textAlignment w:val="center"/>
    </w:pPr>
    <w:rPr>
      <w:rFonts w:ascii="Arial Unicode MS" w:eastAsia="Times New Roman" w:hAnsi="Arial Unicode MS" w:cs="Times New Roman"/>
      <w:sz w:val="24"/>
      <w:szCs w:val="22"/>
      <w:lang w:val="en-US" w:eastAsia="ro-RO"/>
    </w:rPr>
  </w:style>
  <w:style w:type="paragraph" w:customStyle="1" w:styleId="xl89">
    <w:name w:val="xl89"/>
    <w:basedOn w:val="Normal"/>
    <w:qFormat/>
    <w:rsid w:val="00690440"/>
    <w:pPr>
      <w:pBdr>
        <w:top w:val="single" w:sz="4" w:space="0" w:color="auto"/>
        <w:left w:val="single" w:sz="4" w:space="0" w:color="auto"/>
        <w:bottom w:val="single" w:sz="4" w:space="0" w:color="auto"/>
        <w:right w:val="single" w:sz="8" w:space="0" w:color="auto"/>
      </w:pBdr>
      <w:shd w:val="clear" w:color="auto" w:fill="FFFF0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90">
    <w:name w:val="xl90"/>
    <w:basedOn w:val="Normal"/>
    <w:qFormat/>
    <w:rsid w:val="00690440"/>
    <w:pPr>
      <w:pBdr>
        <w:top w:val="single" w:sz="4" w:space="0" w:color="auto"/>
        <w:left w:val="single" w:sz="8" w:space="0" w:color="auto"/>
        <w:bottom w:val="single" w:sz="4" w:space="0" w:color="auto"/>
      </w:pBdr>
      <w:shd w:val="clear" w:color="auto" w:fill="FF0000"/>
      <w:spacing w:before="100" w:beforeAutospacing="1" w:after="100" w:afterAutospacing="1" w:line="276" w:lineRule="auto"/>
      <w:textAlignment w:val="center"/>
    </w:pPr>
    <w:rPr>
      <w:rFonts w:ascii="Times New Roman" w:eastAsia="Times New Roman" w:hAnsi="Times New Roman" w:cs="Times New Roman"/>
      <w:sz w:val="24"/>
      <w:szCs w:val="22"/>
      <w:lang w:val="en-US" w:eastAsia="ro-RO"/>
    </w:rPr>
  </w:style>
  <w:style w:type="paragraph" w:customStyle="1" w:styleId="xl91">
    <w:name w:val="xl91"/>
    <w:basedOn w:val="Normal"/>
    <w:qFormat/>
    <w:rsid w:val="00690440"/>
    <w:pPr>
      <w:pBdr>
        <w:top w:val="single" w:sz="4" w:space="0" w:color="auto"/>
        <w:left w:val="single" w:sz="4" w:space="0" w:color="auto"/>
        <w:bottom w:val="single" w:sz="4" w:space="0" w:color="auto"/>
        <w:right w:val="single" w:sz="8" w:space="0" w:color="auto"/>
      </w:pBdr>
      <w:shd w:val="clear" w:color="auto" w:fill="FF0000"/>
      <w:spacing w:before="100" w:beforeAutospacing="1" w:after="100" w:afterAutospacing="1" w:line="276" w:lineRule="auto"/>
    </w:pPr>
    <w:rPr>
      <w:rFonts w:eastAsia="Times New Roman" w:cs="Arial"/>
      <w:sz w:val="20"/>
      <w:szCs w:val="20"/>
      <w:lang w:val="en-US" w:eastAsia="ro-RO"/>
    </w:rPr>
  </w:style>
  <w:style w:type="paragraph" w:customStyle="1" w:styleId="xl92">
    <w:name w:val="xl92"/>
    <w:basedOn w:val="Normal"/>
    <w:qFormat/>
    <w:rsid w:val="00690440"/>
    <w:pPr>
      <w:pBdr>
        <w:top w:val="single" w:sz="4" w:space="0" w:color="auto"/>
        <w:left w:val="single" w:sz="8" w:space="0" w:color="auto"/>
        <w:bottom w:val="single" w:sz="8" w:space="0" w:color="auto"/>
      </w:pBdr>
      <w:shd w:val="clear" w:color="auto" w:fill="FFFF00"/>
      <w:spacing w:before="100" w:beforeAutospacing="1" w:after="100" w:afterAutospacing="1" w:line="276" w:lineRule="auto"/>
      <w:textAlignment w:val="center"/>
    </w:pPr>
    <w:rPr>
      <w:rFonts w:ascii="Arial Unicode MS" w:eastAsia="Times New Roman" w:hAnsi="Arial Unicode MS" w:cs="Times New Roman"/>
      <w:sz w:val="24"/>
      <w:szCs w:val="22"/>
      <w:lang w:val="en-US" w:eastAsia="ro-RO"/>
    </w:rPr>
  </w:style>
  <w:style w:type="paragraph" w:customStyle="1" w:styleId="xl93">
    <w:name w:val="xl93"/>
    <w:basedOn w:val="Normal"/>
    <w:qFormat/>
    <w:rsid w:val="00690440"/>
    <w:pPr>
      <w:pBdr>
        <w:top w:val="single" w:sz="4" w:space="0" w:color="auto"/>
        <w:left w:val="single" w:sz="4" w:space="0" w:color="auto"/>
        <w:bottom w:val="single" w:sz="8" w:space="0" w:color="auto"/>
        <w:right w:val="single" w:sz="8" w:space="0" w:color="auto"/>
      </w:pBdr>
      <w:shd w:val="clear" w:color="auto" w:fill="FFFF0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94">
    <w:name w:val="xl94"/>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95">
    <w:name w:val="xl95"/>
    <w:basedOn w:val="Normal"/>
    <w:qFormat/>
    <w:rsid w:val="00690440"/>
    <w:pPr>
      <w:pBdr>
        <w:top w:val="single" w:sz="4" w:space="0" w:color="auto"/>
        <w:left w:val="single" w:sz="8" w:space="0" w:color="auto"/>
        <w:bottom w:val="single" w:sz="4" w:space="0" w:color="auto"/>
        <w:right w:val="single" w:sz="4" w:space="0" w:color="auto"/>
      </w:pBdr>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96">
    <w:name w:val="xl96"/>
    <w:basedOn w:val="Normal"/>
    <w:qFormat/>
    <w:rsid w:val="00690440"/>
    <w:pPr>
      <w:pBdr>
        <w:top w:val="single" w:sz="4" w:space="0" w:color="auto"/>
        <w:left w:val="single" w:sz="8" w:space="0" w:color="auto"/>
        <w:bottom w:val="single" w:sz="4" w:space="0" w:color="auto"/>
        <w:right w:val="single" w:sz="4" w:space="0" w:color="auto"/>
      </w:pBdr>
      <w:shd w:val="clear" w:color="auto" w:fill="C0C0C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97">
    <w:name w:val="xl97"/>
    <w:basedOn w:val="Normal"/>
    <w:qFormat/>
    <w:rsid w:val="0069044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76" w:lineRule="auto"/>
    </w:pPr>
    <w:rPr>
      <w:rFonts w:eastAsia="Times New Roman" w:cs="Arial"/>
      <w:b/>
      <w:bCs/>
      <w:sz w:val="20"/>
      <w:szCs w:val="20"/>
      <w:lang w:val="en-US" w:eastAsia="ro-RO"/>
    </w:rPr>
  </w:style>
  <w:style w:type="paragraph" w:customStyle="1" w:styleId="xl98">
    <w:name w:val="xl98"/>
    <w:basedOn w:val="Normal"/>
    <w:qFormat/>
    <w:rsid w:val="0069044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99">
    <w:name w:val="xl99"/>
    <w:basedOn w:val="Normal"/>
    <w:qFormat/>
    <w:rsid w:val="00690440"/>
    <w:pPr>
      <w:pBdr>
        <w:top w:val="single" w:sz="4" w:space="0" w:color="auto"/>
        <w:left w:val="single" w:sz="8" w:space="0" w:color="auto"/>
        <w:bottom w:val="single" w:sz="4" w:space="0" w:color="auto"/>
        <w:right w:val="single" w:sz="4" w:space="0" w:color="auto"/>
      </w:pBdr>
      <w:shd w:val="clear" w:color="auto" w:fill="00FFFF"/>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100">
    <w:name w:val="xl100"/>
    <w:basedOn w:val="Normal"/>
    <w:qFormat/>
    <w:rsid w:val="00690440"/>
    <w:pPr>
      <w:pBdr>
        <w:top w:val="single" w:sz="4" w:space="0" w:color="auto"/>
        <w:left w:val="single" w:sz="4" w:space="0" w:color="auto"/>
        <w:bottom w:val="single" w:sz="4" w:space="0" w:color="auto"/>
        <w:right w:val="single" w:sz="4" w:space="0" w:color="auto"/>
      </w:pBdr>
      <w:shd w:val="clear" w:color="auto" w:fill="00FFFF"/>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101">
    <w:name w:val="xl101"/>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eastAsia="Times New Roman" w:cs="Arial"/>
      <w:sz w:val="20"/>
      <w:szCs w:val="20"/>
      <w:lang w:val="en-US" w:eastAsia="ro-RO"/>
    </w:rPr>
  </w:style>
  <w:style w:type="paragraph" w:customStyle="1" w:styleId="xl102">
    <w:name w:val="xl102"/>
    <w:basedOn w:val="Normal"/>
    <w:qFormat/>
    <w:rsid w:val="00690440"/>
    <w:pPr>
      <w:pBdr>
        <w:top w:val="single" w:sz="4" w:space="0" w:color="auto"/>
        <w:left w:val="single" w:sz="8" w:space="0" w:color="auto"/>
        <w:bottom w:val="single" w:sz="4" w:space="0" w:color="auto"/>
        <w:right w:val="single" w:sz="4" w:space="0" w:color="auto"/>
      </w:pBdr>
      <w:shd w:val="clear" w:color="auto" w:fill="FFFF0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103">
    <w:name w:val="xl103"/>
    <w:basedOn w:val="Normal"/>
    <w:qFormat/>
    <w:rsid w:val="0069044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104">
    <w:name w:val="xl104"/>
    <w:basedOn w:val="Normal"/>
    <w:qFormat/>
    <w:rsid w:val="00690440"/>
    <w:pPr>
      <w:pBdr>
        <w:top w:val="single" w:sz="4" w:space="0" w:color="auto"/>
        <w:left w:val="single" w:sz="8" w:space="0" w:color="auto"/>
        <w:bottom w:val="single" w:sz="4" w:space="0" w:color="auto"/>
        <w:right w:val="single" w:sz="4" w:space="0" w:color="auto"/>
      </w:pBdr>
      <w:shd w:val="clear" w:color="auto" w:fill="FF0000"/>
      <w:spacing w:before="100" w:beforeAutospacing="1" w:after="100" w:afterAutospacing="1" w:line="276" w:lineRule="auto"/>
    </w:pPr>
    <w:rPr>
      <w:rFonts w:eastAsia="Times New Roman" w:cs="Arial"/>
      <w:sz w:val="20"/>
      <w:szCs w:val="20"/>
      <w:lang w:val="en-US" w:eastAsia="ro-RO"/>
    </w:rPr>
  </w:style>
  <w:style w:type="paragraph" w:customStyle="1" w:styleId="xl105">
    <w:name w:val="xl105"/>
    <w:basedOn w:val="Normal"/>
    <w:qFormat/>
    <w:rsid w:val="00690440"/>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76" w:lineRule="auto"/>
    </w:pPr>
    <w:rPr>
      <w:rFonts w:eastAsia="Times New Roman" w:cs="Arial"/>
      <w:sz w:val="20"/>
      <w:szCs w:val="20"/>
      <w:lang w:val="en-US" w:eastAsia="ro-RO"/>
    </w:rPr>
  </w:style>
  <w:style w:type="paragraph" w:customStyle="1" w:styleId="xl106">
    <w:name w:val="xl106"/>
    <w:basedOn w:val="Normal"/>
    <w:qFormat/>
    <w:rsid w:val="00690440"/>
    <w:pPr>
      <w:pBdr>
        <w:top w:val="single" w:sz="4" w:space="0" w:color="auto"/>
        <w:left w:val="single" w:sz="8" w:space="0" w:color="auto"/>
        <w:bottom w:val="single" w:sz="8" w:space="0" w:color="auto"/>
        <w:right w:val="single" w:sz="4" w:space="0" w:color="auto"/>
      </w:pBdr>
      <w:shd w:val="clear" w:color="auto" w:fill="FFFF0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107">
    <w:name w:val="xl107"/>
    <w:basedOn w:val="Normal"/>
    <w:qFormat/>
    <w:rsid w:val="00690440"/>
    <w:pPr>
      <w:pBdr>
        <w:top w:val="single" w:sz="4" w:space="0" w:color="auto"/>
        <w:left w:val="single" w:sz="4" w:space="0" w:color="auto"/>
        <w:bottom w:val="single" w:sz="8" w:space="0" w:color="auto"/>
        <w:right w:val="single" w:sz="4" w:space="0" w:color="auto"/>
      </w:pBdr>
      <w:shd w:val="clear" w:color="auto" w:fill="FFFF0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109">
    <w:name w:val="xl109"/>
    <w:basedOn w:val="Normal"/>
    <w:qFormat/>
    <w:rsid w:val="00690440"/>
    <w:pPr>
      <w:shd w:val="clear" w:color="auto" w:fill="FF0000"/>
      <w:spacing w:before="100" w:beforeAutospacing="1" w:after="100" w:afterAutospacing="1" w:line="276" w:lineRule="auto"/>
    </w:pPr>
    <w:rPr>
      <w:rFonts w:eastAsia="Times New Roman" w:cs="Arial"/>
      <w:sz w:val="20"/>
      <w:szCs w:val="20"/>
      <w:lang w:val="en-US" w:eastAsia="ro-RO"/>
    </w:rPr>
  </w:style>
  <w:style w:type="paragraph" w:customStyle="1" w:styleId="xl110">
    <w:name w:val="xl110"/>
    <w:basedOn w:val="Normal"/>
    <w:qFormat/>
    <w:rsid w:val="00690440"/>
    <w:pPr>
      <w:pBdr>
        <w:top w:val="single" w:sz="8" w:space="0" w:color="auto"/>
        <w:left w:val="single" w:sz="8" w:space="0" w:color="auto"/>
        <w:bottom w:val="single" w:sz="4" w:space="0" w:color="auto"/>
      </w:pBdr>
      <w:shd w:val="clear" w:color="auto" w:fill="C0C0C0"/>
      <w:spacing w:before="100" w:beforeAutospacing="1" w:after="100" w:afterAutospacing="1" w:line="276" w:lineRule="auto"/>
      <w:textAlignment w:val="center"/>
    </w:pPr>
    <w:rPr>
      <w:rFonts w:eastAsia="Times New Roman" w:cs="Arial"/>
      <w:b/>
      <w:bCs/>
      <w:sz w:val="20"/>
      <w:szCs w:val="20"/>
      <w:lang w:val="en-US" w:eastAsia="ro-RO"/>
    </w:rPr>
  </w:style>
  <w:style w:type="paragraph" w:customStyle="1" w:styleId="style7">
    <w:name w:val="style7"/>
    <w:basedOn w:val="Normal"/>
    <w:qFormat/>
    <w:rsid w:val="00690440"/>
    <w:pPr>
      <w:spacing w:before="100" w:beforeAutospacing="1" w:after="100" w:afterAutospacing="1" w:line="276" w:lineRule="auto"/>
    </w:pPr>
    <w:rPr>
      <w:rFonts w:ascii="Times New Roman" w:eastAsia="Times New Roman" w:hAnsi="Times New Roman" w:cs="Times New Roman"/>
      <w:color w:val="000000"/>
      <w:sz w:val="24"/>
      <w:szCs w:val="22"/>
      <w:lang w:val="en-US" w:eastAsia="ro-RO"/>
    </w:rPr>
  </w:style>
  <w:style w:type="character" w:customStyle="1" w:styleId="scris1">
    <w:name w:val="scris1"/>
    <w:rsid w:val="00690440"/>
    <w:rPr>
      <w:rFonts w:ascii="Verdana" w:hAnsi="Verdana" w:hint="default"/>
      <w:strike w:val="0"/>
      <w:dstrike w:val="0"/>
      <w:color w:val="000000"/>
      <w:sz w:val="18"/>
      <w:szCs w:val="18"/>
      <w:u w:val="none"/>
      <w:effect w:val="none"/>
    </w:rPr>
  </w:style>
  <w:style w:type="numbering" w:customStyle="1" w:styleId="Bumbi">
    <w:name w:val="Bumbi"/>
    <w:rsid w:val="00F67FCF"/>
  </w:style>
  <w:style w:type="numbering" w:customStyle="1" w:styleId="BumbiABC">
    <w:name w:val="Bumbi ABC"/>
    <w:rsid w:val="00F67FCF"/>
    <w:pPr>
      <w:numPr>
        <w:numId w:val="46"/>
      </w:numPr>
    </w:pPr>
  </w:style>
  <w:style w:type="paragraph" w:customStyle="1" w:styleId="xl22">
    <w:name w:val="xl22"/>
    <w:basedOn w:val="Normal"/>
    <w:qFormat/>
    <w:rsid w:val="00690440"/>
    <w:pPr>
      <w:pBdr>
        <w:top w:val="single" w:sz="8" w:space="0" w:color="auto"/>
        <w:left w:val="single" w:sz="8"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23">
    <w:name w:val="xl23"/>
    <w:basedOn w:val="Normal"/>
    <w:qFormat/>
    <w:rsid w:val="00690440"/>
    <w:pPr>
      <w:pBdr>
        <w:top w:val="single" w:sz="8" w:space="0" w:color="auto"/>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24">
    <w:name w:val="xl24"/>
    <w:basedOn w:val="Normal"/>
    <w:qFormat/>
    <w:rsid w:val="00690440"/>
    <w:pPr>
      <w:pBdr>
        <w:top w:val="single" w:sz="8"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25">
    <w:name w:val="xl25"/>
    <w:basedOn w:val="Normal"/>
    <w:qFormat/>
    <w:rsid w:val="00690440"/>
    <w:pPr>
      <w:pBdr>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26">
    <w:name w:val="xl26"/>
    <w:basedOn w:val="Normal"/>
    <w:qFormat/>
    <w:rsid w:val="00690440"/>
    <w:pPr>
      <w:pBdr>
        <w:left w:val="single" w:sz="8"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27">
    <w:name w:val="xl27"/>
    <w:basedOn w:val="Normal"/>
    <w:qFormat/>
    <w:rsid w:val="00690440"/>
    <w:pPr>
      <w:pBdr>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28">
    <w:name w:val="xl28"/>
    <w:basedOn w:val="Normal"/>
    <w:qFormat/>
    <w:rsid w:val="00690440"/>
    <w:pPr>
      <w:pBdr>
        <w:top w:val="single" w:sz="8" w:space="0" w:color="auto"/>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29">
    <w:name w:val="xl29"/>
    <w:basedOn w:val="Normal"/>
    <w:qFormat/>
    <w:rsid w:val="00690440"/>
    <w:pPr>
      <w:pBdr>
        <w:left w:val="single" w:sz="8"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0">
    <w:name w:val="xl30"/>
    <w:basedOn w:val="Normal"/>
    <w:qFormat/>
    <w:rsid w:val="00690440"/>
    <w:pPr>
      <w:pBdr>
        <w:top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1">
    <w:name w:val="xl31"/>
    <w:basedOn w:val="Normal"/>
    <w:qFormat/>
    <w:rsid w:val="00690440"/>
    <w:pPr>
      <w:pBdr>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2">
    <w:name w:val="xl32"/>
    <w:basedOn w:val="Normal"/>
    <w:qFormat/>
    <w:rsid w:val="00690440"/>
    <w:pPr>
      <w:pBdr>
        <w:lef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3">
    <w:name w:val="xl33"/>
    <w:basedOn w:val="Normal"/>
    <w:qFormat/>
    <w:rsid w:val="00690440"/>
    <w:pPr>
      <w:pBdr>
        <w:left w:val="single" w:sz="8" w:space="0" w:color="auto"/>
        <w:bottom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4">
    <w:name w:val="xl34"/>
    <w:basedOn w:val="Normal"/>
    <w:qFormat/>
    <w:rsid w:val="00690440"/>
    <w:pPr>
      <w:pBdr>
        <w:lef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6">
    <w:name w:val="xl36"/>
    <w:basedOn w:val="Normal"/>
    <w:qFormat/>
    <w:rsid w:val="00690440"/>
    <w:pPr>
      <w:pBdr>
        <w:top w:val="single" w:sz="8" w:space="0" w:color="auto"/>
        <w:lef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7">
    <w:name w:val="xl37"/>
    <w:basedOn w:val="Normal"/>
    <w:qFormat/>
    <w:rsid w:val="00690440"/>
    <w:pPr>
      <w:pBdr>
        <w:top w:val="single" w:sz="8" w:space="0" w:color="auto"/>
        <w:left w:val="single" w:sz="8"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8">
    <w:name w:val="xl38"/>
    <w:basedOn w:val="Normal"/>
    <w:qFormat/>
    <w:rsid w:val="00690440"/>
    <w:pPr>
      <w:pBdr>
        <w:top w:val="single" w:sz="8" w:space="0" w:color="auto"/>
        <w:left w:val="single" w:sz="4"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9">
    <w:name w:val="xl39"/>
    <w:basedOn w:val="Normal"/>
    <w:qFormat/>
    <w:rsid w:val="00690440"/>
    <w:pPr>
      <w:pBdr>
        <w:top w:val="single" w:sz="8" w:space="0" w:color="auto"/>
        <w:left w:val="single" w:sz="8"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0">
    <w:name w:val="xl40"/>
    <w:basedOn w:val="Normal"/>
    <w:qFormat/>
    <w:rsid w:val="00690440"/>
    <w:pPr>
      <w:pBdr>
        <w:top w:val="single" w:sz="8" w:space="0" w:color="auto"/>
        <w:left w:val="single" w:sz="8"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1">
    <w:name w:val="xl41"/>
    <w:basedOn w:val="Normal"/>
    <w:qFormat/>
    <w:rsid w:val="00690440"/>
    <w:pPr>
      <w:pBdr>
        <w:top w:val="single" w:sz="8" w:space="0" w:color="auto"/>
        <w:left w:val="single" w:sz="8"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2">
    <w:name w:val="xl42"/>
    <w:basedOn w:val="Normal"/>
    <w:qFormat/>
    <w:rsid w:val="00690440"/>
    <w:pPr>
      <w:pBdr>
        <w:top w:val="single" w:sz="8" w:space="0" w:color="auto"/>
        <w:left w:val="single" w:sz="4"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3">
    <w:name w:val="xl43"/>
    <w:basedOn w:val="Normal"/>
    <w:qFormat/>
    <w:rsid w:val="00690440"/>
    <w:pPr>
      <w:pBdr>
        <w:top w:val="single" w:sz="4" w:space="0" w:color="auto"/>
        <w:left w:val="single" w:sz="8"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4">
    <w:name w:val="xl44"/>
    <w:basedOn w:val="Normal"/>
    <w:qFormat/>
    <w:rsid w:val="00690440"/>
    <w:pPr>
      <w:pBdr>
        <w:top w:val="single" w:sz="4" w:space="0" w:color="auto"/>
        <w:left w:val="single" w:sz="4"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5">
    <w:name w:val="xl45"/>
    <w:basedOn w:val="Normal"/>
    <w:qFormat/>
    <w:rsid w:val="00690440"/>
    <w:pPr>
      <w:pBdr>
        <w:top w:val="single" w:sz="4" w:space="0" w:color="auto"/>
        <w:left w:val="single" w:sz="8"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6">
    <w:name w:val="xl46"/>
    <w:basedOn w:val="Normal"/>
    <w:qFormat/>
    <w:rsid w:val="00690440"/>
    <w:pPr>
      <w:pBdr>
        <w:top w:val="single" w:sz="4" w:space="0" w:color="auto"/>
        <w:left w:val="single" w:sz="8"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7">
    <w:name w:val="xl47"/>
    <w:basedOn w:val="Normal"/>
    <w:qFormat/>
    <w:rsid w:val="00690440"/>
    <w:pPr>
      <w:pBdr>
        <w:left w:val="single" w:sz="8"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8">
    <w:name w:val="xl48"/>
    <w:basedOn w:val="Normal"/>
    <w:qFormat/>
    <w:rsid w:val="00690440"/>
    <w:pPr>
      <w:pBdr>
        <w:top w:val="single" w:sz="4" w:space="0" w:color="auto"/>
        <w:left w:val="single" w:sz="4"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9">
    <w:name w:val="xl49"/>
    <w:basedOn w:val="Normal"/>
    <w:qFormat/>
    <w:rsid w:val="00690440"/>
    <w:pPr>
      <w:pBdr>
        <w:top w:val="single" w:sz="4" w:space="0" w:color="auto"/>
        <w:left w:val="single" w:sz="8"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0">
    <w:name w:val="xl50"/>
    <w:basedOn w:val="Normal"/>
    <w:qFormat/>
    <w:rsid w:val="00690440"/>
    <w:pPr>
      <w:pBdr>
        <w:top w:val="single" w:sz="4" w:space="0" w:color="auto"/>
        <w:left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1">
    <w:name w:val="xl51"/>
    <w:basedOn w:val="Normal"/>
    <w:qFormat/>
    <w:rsid w:val="00690440"/>
    <w:pPr>
      <w:pBdr>
        <w:top w:val="single" w:sz="4" w:space="0" w:color="auto"/>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2">
    <w:name w:val="xl52"/>
    <w:basedOn w:val="Normal"/>
    <w:qFormat/>
    <w:rsid w:val="00690440"/>
    <w:pPr>
      <w:pBdr>
        <w:top w:val="single" w:sz="4" w:space="0" w:color="auto"/>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3">
    <w:name w:val="xl53"/>
    <w:basedOn w:val="Normal"/>
    <w:qFormat/>
    <w:rsid w:val="00690440"/>
    <w:pPr>
      <w:pBdr>
        <w:left w:val="single" w:sz="8" w:space="0" w:color="auto"/>
        <w:bottom w:val="single" w:sz="8"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4">
    <w:name w:val="xl54"/>
    <w:basedOn w:val="Normal"/>
    <w:qFormat/>
    <w:rsid w:val="00690440"/>
    <w:pPr>
      <w:pBdr>
        <w:top w:val="single" w:sz="4" w:space="0" w:color="auto"/>
        <w:left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5">
    <w:name w:val="xl55"/>
    <w:basedOn w:val="Normal"/>
    <w:qFormat/>
    <w:rsid w:val="00690440"/>
    <w:pPr>
      <w:pBdr>
        <w:top w:val="single" w:sz="8"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6">
    <w:name w:val="xl56"/>
    <w:basedOn w:val="Normal"/>
    <w:qFormat/>
    <w:rsid w:val="00690440"/>
    <w:pPr>
      <w:pBdr>
        <w:top w:val="single" w:sz="8"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7">
    <w:name w:val="xl57"/>
    <w:basedOn w:val="Normal"/>
    <w:qFormat/>
    <w:rsid w:val="00690440"/>
    <w:pPr>
      <w:pBdr>
        <w:top w:val="single" w:sz="8"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8">
    <w:name w:val="xl58"/>
    <w:basedOn w:val="Normal"/>
    <w:qFormat/>
    <w:rsid w:val="00690440"/>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9">
    <w:name w:val="xl59"/>
    <w:basedOn w:val="Normal"/>
    <w:qFormat/>
    <w:rsid w:val="00690440"/>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60">
    <w:name w:val="xl60"/>
    <w:basedOn w:val="Normal"/>
    <w:qFormat/>
    <w:rsid w:val="00690440"/>
    <w:pPr>
      <w:pBdr>
        <w:top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61">
    <w:name w:val="xl61"/>
    <w:basedOn w:val="Normal"/>
    <w:qFormat/>
    <w:rsid w:val="00690440"/>
    <w:pPr>
      <w:pBdr>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62">
    <w:name w:val="xl62"/>
    <w:basedOn w:val="Normal"/>
    <w:qFormat/>
    <w:rsid w:val="00690440"/>
    <w:pPr>
      <w:pBdr>
        <w:top w:val="single" w:sz="4" w:space="0" w:color="auto"/>
        <w:left w:val="single" w:sz="8" w:space="0" w:color="auto"/>
        <w:bottom w:val="single" w:sz="8"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63">
    <w:name w:val="xl63"/>
    <w:basedOn w:val="Normal"/>
    <w:qFormat/>
    <w:rsid w:val="00690440"/>
    <w:pPr>
      <w:pBdr>
        <w:top w:val="single" w:sz="4" w:space="0" w:color="auto"/>
        <w:left w:val="single" w:sz="4" w:space="0" w:color="auto"/>
        <w:bottom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64">
    <w:name w:val="xl64"/>
    <w:basedOn w:val="Normal"/>
    <w:qFormat/>
    <w:rsid w:val="00690440"/>
    <w:pPr>
      <w:pBdr>
        <w:top w:val="single" w:sz="4" w:space="0" w:color="auto"/>
        <w:left w:val="single" w:sz="8"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08">
    <w:name w:val="xl108"/>
    <w:basedOn w:val="Normal"/>
    <w:qFormat/>
    <w:rsid w:val="00690440"/>
    <w:pPr>
      <w:pBdr>
        <w:top w:val="single" w:sz="8"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1">
    <w:name w:val="xl111"/>
    <w:basedOn w:val="Normal"/>
    <w:qFormat/>
    <w:rsid w:val="00690440"/>
    <w:pPr>
      <w:pBdr>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2">
    <w:name w:val="xl112"/>
    <w:basedOn w:val="Normal"/>
    <w:qFormat/>
    <w:rsid w:val="00690440"/>
    <w:pPr>
      <w:pBdr>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3">
    <w:name w:val="xl113"/>
    <w:basedOn w:val="Normal"/>
    <w:qFormat/>
    <w:rsid w:val="00690440"/>
    <w:pPr>
      <w:pBdr>
        <w:top w:val="single" w:sz="8" w:space="0" w:color="auto"/>
        <w:left w:val="single" w:sz="8"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4">
    <w:name w:val="xl114"/>
    <w:basedOn w:val="Normal"/>
    <w:qFormat/>
    <w:rsid w:val="00690440"/>
    <w:pPr>
      <w:pBdr>
        <w:top w:val="single" w:sz="4" w:space="0" w:color="auto"/>
        <w:left w:val="single" w:sz="4"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5">
    <w:name w:val="xl115"/>
    <w:basedOn w:val="Normal"/>
    <w:qFormat/>
    <w:rsid w:val="00690440"/>
    <w:pPr>
      <w:pBdr>
        <w:top w:val="single" w:sz="4" w:space="0" w:color="auto"/>
        <w:bottom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6">
    <w:name w:val="xl116"/>
    <w:basedOn w:val="Normal"/>
    <w:qFormat/>
    <w:rsid w:val="00690440"/>
    <w:pPr>
      <w:pBdr>
        <w:top w:val="single" w:sz="8" w:space="0" w:color="auto"/>
        <w:left w:val="single" w:sz="8" w:space="0" w:color="auto"/>
        <w:bottom w:val="single" w:sz="8"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7">
    <w:name w:val="xl117"/>
    <w:basedOn w:val="Normal"/>
    <w:qFormat/>
    <w:rsid w:val="00690440"/>
    <w:pPr>
      <w:pBdr>
        <w:top w:val="single" w:sz="8" w:space="0" w:color="auto"/>
        <w:left w:val="single" w:sz="4"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8">
    <w:name w:val="xl118"/>
    <w:basedOn w:val="Normal"/>
    <w:qFormat/>
    <w:rsid w:val="00690440"/>
    <w:pPr>
      <w:pBdr>
        <w:top w:val="single" w:sz="8" w:space="0" w:color="auto"/>
        <w:bottom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9">
    <w:name w:val="xl119"/>
    <w:basedOn w:val="Normal"/>
    <w:qFormat/>
    <w:rsid w:val="00690440"/>
    <w:pPr>
      <w:pBdr>
        <w:top w:val="single" w:sz="8" w:space="0" w:color="auto"/>
        <w:bottom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20">
    <w:name w:val="xl120"/>
    <w:basedOn w:val="Normal"/>
    <w:qFormat/>
    <w:rsid w:val="00690440"/>
    <w:pPr>
      <w:pBdr>
        <w:top w:val="single" w:sz="8"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21">
    <w:name w:val="xl121"/>
    <w:basedOn w:val="Normal"/>
    <w:qFormat/>
    <w:rsid w:val="00690440"/>
    <w:pPr>
      <w:pBdr>
        <w:left w:val="single" w:sz="4"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22">
    <w:name w:val="xl122"/>
    <w:basedOn w:val="Normal"/>
    <w:qFormat/>
    <w:rsid w:val="00690440"/>
    <w:pPr>
      <w:pBdr>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23">
    <w:name w:val="xl123"/>
    <w:basedOn w:val="Normal"/>
    <w:qFormat/>
    <w:rsid w:val="00690440"/>
    <w:pPr>
      <w:pBdr>
        <w:top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24">
    <w:name w:val="xl124"/>
    <w:basedOn w:val="Normal"/>
    <w:qFormat/>
    <w:rsid w:val="00690440"/>
    <w:pPr>
      <w:pBdr>
        <w:top w:val="single" w:sz="8" w:space="0" w:color="auto"/>
        <w:left w:val="single" w:sz="8" w:space="0" w:color="auto"/>
        <w:bottom w:val="single" w:sz="4" w:space="0" w:color="auto"/>
        <w:right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25">
    <w:name w:val="xl125"/>
    <w:basedOn w:val="Normal"/>
    <w:qFormat/>
    <w:rsid w:val="00690440"/>
    <w:pPr>
      <w:pBdr>
        <w:top w:val="single" w:sz="8" w:space="0" w:color="auto"/>
        <w:left w:val="single" w:sz="4" w:space="0" w:color="auto"/>
        <w:bottom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26">
    <w:name w:val="xl126"/>
    <w:basedOn w:val="Normal"/>
    <w:qFormat/>
    <w:rsid w:val="00690440"/>
    <w:pPr>
      <w:pBdr>
        <w:top w:val="single" w:sz="8" w:space="0" w:color="auto"/>
        <w:bottom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27">
    <w:name w:val="xl127"/>
    <w:basedOn w:val="Normal"/>
    <w:qFormat/>
    <w:rsid w:val="00690440"/>
    <w:pPr>
      <w:pBdr>
        <w:top w:val="single" w:sz="8" w:space="0" w:color="auto"/>
        <w:left w:val="single" w:sz="8" w:space="0" w:color="auto"/>
        <w:bottom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28">
    <w:name w:val="xl128"/>
    <w:basedOn w:val="Normal"/>
    <w:qFormat/>
    <w:rsid w:val="00690440"/>
    <w:pPr>
      <w:pBdr>
        <w:top w:val="single" w:sz="8" w:space="0" w:color="auto"/>
        <w:bottom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29">
    <w:name w:val="xl129"/>
    <w:basedOn w:val="Normal"/>
    <w:qFormat/>
    <w:rsid w:val="00690440"/>
    <w:pPr>
      <w:pBdr>
        <w:top w:val="single" w:sz="8" w:space="0" w:color="auto"/>
        <w:left w:val="single" w:sz="8"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0">
    <w:name w:val="xl130"/>
    <w:basedOn w:val="Normal"/>
    <w:qFormat/>
    <w:rsid w:val="00690440"/>
    <w:pPr>
      <w:pBdr>
        <w:top w:val="single" w:sz="4" w:space="0" w:color="auto"/>
        <w:left w:val="single" w:sz="8" w:space="0" w:color="auto"/>
        <w:bottom w:val="single" w:sz="4" w:space="0" w:color="auto"/>
        <w:right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1">
    <w:name w:val="xl131"/>
    <w:basedOn w:val="Normal"/>
    <w:qFormat/>
    <w:rsid w:val="00690440"/>
    <w:pPr>
      <w:pBdr>
        <w:top w:val="single" w:sz="4" w:space="0" w:color="auto"/>
        <w:left w:val="single" w:sz="4" w:space="0" w:color="auto"/>
        <w:bottom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2">
    <w:name w:val="xl132"/>
    <w:basedOn w:val="Normal"/>
    <w:qFormat/>
    <w:rsid w:val="00690440"/>
    <w:pPr>
      <w:pBdr>
        <w:top w:val="single" w:sz="4" w:space="0" w:color="auto"/>
        <w:bottom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3">
    <w:name w:val="xl133"/>
    <w:basedOn w:val="Normal"/>
    <w:qFormat/>
    <w:rsid w:val="00690440"/>
    <w:pPr>
      <w:pBdr>
        <w:top w:val="single" w:sz="4" w:space="0" w:color="auto"/>
        <w:left w:val="single" w:sz="8" w:space="0" w:color="auto"/>
        <w:bottom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4">
    <w:name w:val="xl134"/>
    <w:basedOn w:val="Normal"/>
    <w:qFormat/>
    <w:rsid w:val="00690440"/>
    <w:pPr>
      <w:pBdr>
        <w:top w:val="single" w:sz="4" w:space="0" w:color="auto"/>
        <w:bottom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5">
    <w:name w:val="xl135"/>
    <w:basedOn w:val="Normal"/>
    <w:qFormat/>
    <w:rsid w:val="00690440"/>
    <w:pPr>
      <w:pBdr>
        <w:left w:val="single" w:sz="8"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6">
    <w:name w:val="xl136"/>
    <w:basedOn w:val="Normal"/>
    <w:qFormat/>
    <w:rsid w:val="00690440"/>
    <w:pPr>
      <w:pBdr>
        <w:top w:val="single" w:sz="4" w:space="0" w:color="auto"/>
        <w:left w:val="single" w:sz="8" w:space="0" w:color="auto"/>
        <w:right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7">
    <w:name w:val="xl137"/>
    <w:basedOn w:val="Normal"/>
    <w:qFormat/>
    <w:rsid w:val="00690440"/>
    <w:pPr>
      <w:pBdr>
        <w:top w:val="single" w:sz="4" w:space="0" w:color="auto"/>
        <w:left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8">
    <w:name w:val="xl138"/>
    <w:basedOn w:val="Normal"/>
    <w:qFormat/>
    <w:rsid w:val="00690440"/>
    <w:pPr>
      <w:pBdr>
        <w:top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9">
    <w:name w:val="xl139"/>
    <w:basedOn w:val="Normal"/>
    <w:qFormat/>
    <w:rsid w:val="00690440"/>
    <w:pPr>
      <w:pBdr>
        <w:top w:val="single" w:sz="4" w:space="0" w:color="auto"/>
        <w:left w:val="single" w:sz="8"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40">
    <w:name w:val="xl140"/>
    <w:basedOn w:val="Normal"/>
    <w:qFormat/>
    <w:rsid w:val="00690440"/>
    <w:pPr>
      <w:pBdr>
        <w:top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41">
    <w:name w:val="xl141"/>
    <w:basedOn w:val="Normal"/>
    <w:qFormat/>
    <w:rsid w:val="00690440"/>
    <w:pPr>
      <w:pBdr>
        <w:left w:val="single" w:sz="8" w:space="0" w:color="auto"/>
        <w:bottom w:val="single" w:sz="8"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42">
    <w:name w:val="xl142"/>
    <w:basedOn w:val="Normal"/>
    <w:qFormat/>
    <w:rsid w:val="00690440"/>
    <w:pPr>
      <w:pBdr>
        <w:top w:val="single" w:sz="8" w:space="0" w:color="auto"/>
        <w:left w:val="single" w:sz="8"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43">
    <w:name w:val="xl143"/>
    <w:basedOn w:val="Normal"/>
    <w:qFormat/>
    <w:rsid w:val="00690440"/>
    <w:pPr>
      <w:pBdr>
        <w:bottom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44">
    <w:name w:val="xl144"/>
    <w:basedOn w:val="Normal"/>
    <w:qFormat/>
    <w:rsid w:val="00690440"/>
    <w:pPr>
      <w:pBdr>
        <w:top w:val="single" w:sz="4" w:space="0" w:color="auto"/>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45">
    <w:name w:val="xl145"/>
    <w:basedOn w:val="Normal"/>
    <w:qFormat/>
    <w:rsid w:val="00690440"/>
    <w:pPr>
      <w:pBdr>
        <w:left w:val="single" w:sz="8"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46">
    <w:name w:val="xl146"/>
    <w:basedOn w:val="Normal"/>
    <w:qFormat/>
    <w:rsid w:val="00690440"/>
    <w:pPr>
      <w:pBdr>
        <w:top w:val="single" w:sz="8" w:space="0" w:color="auto"/>
        <w:bottom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47">
    <w:name w:val="xl147"/>
    <w:basedOn w:val="Normal"/>
    <w:qFormat/>
    <w:rsid w:val="00690440"/>
    <w:pPr>
      <w:pBdr>
        <w:top w:val="single" w:sz="4" w:space="0" w:color="auto"/>
        <w:bottom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48">
    <w:name w:val="xl148"/>
    <w:basedOn w:val="Normal"/>
    <w:qFormat/>
    <w:rsid w:val="00690440"/>
    <w:pPr>
      <w:pBdr>
        <w:top w:val="single" w:sz="8" w:space="0" w:color="auto"/>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49">
    <w:name w:val="xl149"/>
    <w:basedOn w:val="Normal"/>
    <w:qFormat/>
    <w:rsid w:val="00690440"/>
    <w:pPr>
      <w:pBdr>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50">
    <w:name w:val="xl150"/>
    <w:basedOn w:val="Normal"/>
    <w:qFormat/>
    <w:rsid w:val="00690440"/>
    <w:pPr>
      <w:pBdr>
        <w:left w:val="single" w:sz="8"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51">
    <w:name w:val="xl151"/>
    <w:basedOn w:val="Normal"/>
    <w:qFormat/>
    <w:rsid w:val="00690440"/>
    <w:pPr>
      <w:pBdr>
        <w:top w:val="single" w:sz="8" w:space="0" w:color="auto"/>
        <w:left w:val="single" w:sz="8" w:space="0" w:color="auto"/>
        <w:right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52">
    <w:name w:val="xl152"/>
    <w:basedOn w:val="Normal"/>
    <w:qFormat/>
    <w:rsid w:val="00690440"/>
    <w:pPr>
      <w:pBdr>
        <w:top w:val="single" w:sz="8" w:space="0" w:color="auto"/>
        <w:left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53">
    <w:name w:val="xl153"/>
    <w:basedOn w:val="Normal"/>
    <w:qFormat/>
    <w:rsid w:val="00690440"/>
    <w:pPr>
      <w:pBdr>
        <w:top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54">
    <w:name w:val="xl154"/>
    <w:basedOn w:val="Normal"/>
    <w:qFormat/>
    <w:rsid w:val="00690440"/>
    <w:pPr>
      <w:pBdr>
        <w:top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55">
    <w:name w:val="xl155"/>
    <w:basedOn w:val="Normal"/>
    <w:qFormat/>
    <w:rsid w:val="00690440"/>
    <w:pPr>
      <w:pBdr>
        <w:top w:val="single" w:sz="4" w:space="0" w:color="auto"/>
        <w:left w:val="single" w:sz="8" w:space="0" w:color="auto"/>
        <w:bottom w:val="single" w:sz="8" w:space="0" w:color="auto"/>
        <w:right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56">
    <w:name w:val="xl156"/>
    <w:basedOn w:val="Normal"/>
    <w:qFormat/>
    <w:rsid w:val="00690440"/>
    <w:pPr>
      <w:pBdr>
        <w:top w:val="single" w:sz="4" w:space="0" w:color="auto"/>
        <w:left w:val="single" w:sz="4" w:space="0" w:color="auto"/>
        <w:bottom w:val="single" w:sz="8"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57">
    <w:name w:val="xl157"/>
    <w:basedOn w:val="Normal"/>
    <w:qFormat/>
    <w:rsid w:val="00690440"/>
    <w:pPr>
      <w:pBdr>
        <w:top w:val="single" w:sz="4" w:space="0" w:color="auto"/>
        <w:bottom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58">
    <w:name w:val="xl158"/>
    <w:basedOn w:val="Normal"/>
    <w:qFormat/>
    <w:rsid w:val="00690440"/>
    <w:pPr>
      <w:pBdr>
        <w:top w:val="single" w:sz="4" w:space="0" w:color="auto"/>
        <w:left w:val="single" w:sz="8" w:space="0" w:color="auto"/>
        <w:bottom w:val="single" w:sz="8"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59">
    <w:name w:val="xl159"/>
    <w:basedOn w:val="Normal"/>
    <w:qFormat/>
    <w:rsid w:val="00690440"/>
    <w:pPr>
      <w:pBdr>
        <w:top w:val="single" w:sz="4" w:space="0" w:color="auto"/>
        <w:bottom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character" w:customStyle="1" w:styleId="ExplicatieFotoChar">
    <w:name w:val="Explicatie Foto Char"/>
    <w:link w:val="ExplicatieFoto"/>
    <w:rsid w:val="00690440"/>
    <w:rPr>
      <w:rFonts w:ascii="Times New Roman" w:eastAsia="Times New Roman" w:hAnsi="Times New Roman" w:cs="Times New Roman"/>
      <w:b/>
      <w:szCs w:val="22"/>
      <w:lang w:val="x-none" w:eastAsia="x-none"/>
    </w:rPr>
  </w:style>
  <w:style w:type="numbering" w:customStyle="1" w:styleId="BumbiIIIIII">
    <w:name w:val="Bumbi I II III"/>
    <w:rsid w:val="00F67FCF"/>
    <w:pPr>
      <w:numPr>
        <w:numId w:val="50"/>
      </w:numPr>
    </w:pPr>
  </w:style>
  <w:style w:type="numbering" w:customStyle="1" w:styleId="CurrentList1">
    <w:name w:val="Current List1"/>
    <w:rsid w:val="00F67FCF"/>
    <w:pPr>
      <w:numPr>
        <w:numId w:val="52"/>
      </w:numPr>
    </w:pPr>
  </w:style>
  <w:style w:type="numbering" w:styleId="111111">
    <w:name w:val="Outline List 2"/>
    <w:aliases w:val="10 / 10.1 / 10.1.1.1"/>
    <w:basedOn w:val="NoList"/>
    <w:rsid w:val="00F67FCF"/>
    <w:pPr>
      <w:numPr>
        <w:numId w:val="47"/>
      </w:numPr>
    </w:pPr>
  </w:style>
  <w:style w:type="character" w:customStyle="1" w:styleId="apple-converted-space">
    <w:name w:val="apple-converted-space"/>
    <w:rsid w:val="00690440"/>
  </w:style>
  <w:style w:type="character" w:customStyle="1" w:styleId="apple-style-span">
    <w:name w:val="apple-style-span"/>
    <w:rsid w:val="00690440"/>
  </w:style>
  <w:style w:type="character" w:customStyle="1" w:styleId="FontStyle15">
    <w:name w:val="Font Style15"/>
    <w:rsid w:val="00690440"/>
    <w:rPr>
      <w:rFonts w:ascii="Arial" w:hAnsi="Arial" w:cs="Arial"/>
      <w:sz w:val="20"/>
      <w:szCs w:val="20"/>
    </w:rPr>
  </w:style>
  <w:style w:type="character" w:customStyle="1" w:styleId="FontStyle22">
    <w:name w:val="Font Style22"/>
    <w:rsid w:val="00690440"/>
    <w:rPr>
      <w:rFonts w:ascii="Georgia" w:hAnsi="Georgia" w:cs="Georgia"/>
      <w:i/>
      <w:iCs/>
      <w:spacing w:val="20"/>
      <w:sz w:val="22"/>
      <w:szCs w:val="22"/>
    </w:rPr>
  </w:style>
  <w:style w:type="paragraph" w:customStyle="1" w:styleId="CaracterCharCharCharChar">
    <w:name w:val="Caracter Char Char Char Char"/>
    <w:basedOn w:val="Normal"/>
    <w:qFormat/>
    <w:rsid w:val="00690440"/>
    <w:pPr>
      <w:spacing w:after="200" w:line="276" w:lineRule="auto"/>
    </w:pPr>
    <w:rPr>
      <w:rFonts w:ascii="Times New Roman" w:eastAsia="Times New Roman" w:hAnsi="Times New Roman" w:cs="Times New Roman"/>
      <w:sz w:val="24"/>
      <w:szCs w:val="22"/>
      <w:lang w:val="pl-PL" w:eastAsia="pl-PL"/>
    </w:rPr>
  </w:style>
  <w:style w:type="paragraph" w:customStyle="1" w:styleId="WW-Default">
    <w:name w:val="WW-Default"/>
    <w:qFormat/>
    <w:rsid w:val="00690440"/>
    <w:pPr>
      <w:suppressAutoHyphens/>
      <w:autoSpaceDE w:val="0"/>
      <w:spacing w:after="200" w:line="276" w:lineRule="auto"/>
    </w:pPr>
    <w:rPr>
      <w:rFonts w:eastAsia="Times New Roman" w:cs="Times New Roman"/>
      <w:color w:val="000000"/>
      <w:sz w:val="24"/>
      <w:szCs w:val="24"/>
      <w:lang w:val="en-US" w:eastAsia="ar-SA"/>
    </w:rPr>
  </w:style>
  <w:style w:type="character" w:customStyle="1" w:styleId="WW8Num25z3">
    <w:name w:val="WW8Num25z3"/>
    <w:rsid w:val="00690440"/>
    <w:rPr>
      <w:rFonts w:ascii="Symbol" w:hAnsi="Symbol"/>
    </w:rPr>
  </w:style>
  <w:style w:type="character" w:customStyle="1" w:styleId="HeaderTitleCharChar">
    <w:name w:val="Header Title Char Char"/>
    <w:rsid w:val="00690440"/>
    <w:rPr>
      <w:rFonts w:ascii="Calibri" w:eastAsia="Calibri" w:hAnsi="Calibri"/>
      <w:sz w:val="24"/>
      <w:szCs w:val="24"/>
      <w:lang w:val="en-US" w:eastAsia="ar-SA" w:bidi="ar-SA"/>
    </w:rPr>
  </w:style>
  <w:style w:type="paragraph" w:customStyle="1" w:styleId="Normal0">
    <w:name w:val="`Normal"/>
    <w:basedOn w:val="Normal"/>
    <w:qFormat/>
    <w:rsid w:val="00690440"/>
    <w:pPr>
      <w:spacing w:after="200" w:line="360" w:lineRule="auto"/>
      <w:ind w:left="57" w:firstLine="1134"/>
    </w:pPr>
    <w:rPr>
      <w:rFonts w:eastAsia="Times New Roman" w:cs="Times New Roman"/>
      <w:sz w:val="24"/>
      <w:szCs w:val="20"/>
      <w:lang w:eastAsia="ro-RO"/>
    </w:rPr>
  </w:style>
  <w:style w:type="paragraph" w:customStyle="1" w:styleId="CharCharCharChar">
    <w:name w:val="Char Char Char Char"/>
    <w:basedOn w:val="Normal"/>
    <w:uiPriority w:val="99"/>
    <w:rsid w:val="00690440"/>
    <w:pPr>
      <w:spacing w:after="200" w:line="276" w:lineRule="auto"/>
    </w:pPr>
    <w:rPr>
      <w:rFonts w:ascii="Times New Roman" w:eastAsia="Times New Roman" w:hAnsi="Times New Roman" w:cs="Times New Roman"/>
      <w:sz w:val="24"/>
      <w:szCs w:val="22"/>
      <w:lang w:val="pl-PL" w:eastAsia="pl-PL"/>
    </w:rPr>
  </w:style>
  <w:style w:type="paragraph" w:customStyle="1" w:styleId="CharCharCharChar1CharChar1">
    <w:name w:val="Char Char Char Char1 Char Char1"/>
    <w:basedOn w:val="Normal"/>
    <w:qFormat/>
    <w:rsid w:val="00690440"/>
    <w:pPr>
      <w:spacing w:before="120" w:after="200" w:line="276" w:lineRule="auto"/>
    </w:pPr>
    <w:rPr>
      <w:rFonts w:ascii="Times New Roman" w:eastAsia="Times New Roman" w:hAnsi="Times New Roman" w:cs="Times New Roman"/>
      <w:sz w:val="24"/>
      <w:szCs w:val="22"/>
      <w:lang w:val="pl-PL" w:eastAsia="pl-PL"/>
    </w:rPr>
  </w:style>
  <w:style w:type="character" w:customStyle="1" w:styleId="longtext">
    <w:name w:val="long_text"/>
    <w:rsid w:val="00690440"/>
  </w:style>
  <w:style w:type="numbering" w:customStyle="1" w:styleId="NoList11">
    <w:name w:val="No List11"/>
    <w:next w:val="NoList"/>
    <w:uiPriority w:val="99"/>
    <w:semiHidden/>
    <w:unhideWhenUsed/>
    <w:rsid w:val="00690440"/>
  </w:style>
  <w:style w:type="table" w:customStyle="1" w:styleId="TableElegant1">
    <w:name w:val="Table Elegant1"/>
    <w:basedOn w:val="TableNormal"/>
    <w:next w:val="TableElegant"/>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1">
    <w:name w:val="Table Web 21"/>
    <w:basedOn w:val="TableNormal"/>
    <w:next w:val="TableWeb2"/>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CommentTextChar1">
    <w:name w:val="Comment Text Char1"/>
    <w:semiHidden/>
    <w:rsid w:val="00690440"/>
    <w:rPr>
      <w:rFonts w:ascii="Arial" w:hAnsi="Arial"/>
      <w:lang w:val="ro-RO"/>
    </w:rPr>
  </w:style>
  <w:style w:type="character" w:customStyle="1" w:styleId="CommentSubjectChar1">
    <w:name w:val="Comment Subject Char1"/>
    <w:uiPriority w:val="99"/>
    <w:rsid w:val="00690440"/>
    <w:rPr>
      <w:rFonts w:ascii="Arial" w:hAnsi="Arial"/>
      <w:b/>
      <w:bCs/>
      <w:lang w:val="ro-RO"/>
    </w:rPr>
  </w:style>
  <w:style w:type="numbering" w:customStyle="1" w:styleId="NoList2">
    <w:name w:val="No List2"/>
    <w:next w:val="NoList"/>
    <w:uiPriority w:val="99"/>
    <w:semiHidden/>
    <w:unhideWhenUsed/>
    <w:rsid w:val="00690440"/>
  </w:style>
  <w:style w:type="table" w:customStyle="1" w:styleId="TableElegant2">
    <w:name w:val="Table Elegant2"/>
    <w:basedOn w:val="TableNormal"/>
    <w:next w:val="TableElegant"/>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2">
    <w:name w:val="Table Web 22"/>
    <w:basedOn w:val="TableNormal"/>
    <w:next w:val="TableWeb2"/>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20">
    <w:name w:val="Table Grid2"/>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Bumbi-1">
    <w:name w:val="Bumbi -1"/>
    <w:rsid w:val="00690440"/>
  </w:style>
  <w:style w:type="numbering" w:customStyle="1" w:styleId="Bumbi1">
    <w:name w:val="Bumbi1"/>
    <w:rsid w:val="00690440"/>
  </w:style>
  <w:style w:type="numbering" w:customStyle="1" w:styleId="BumbiABC10">
    <w:name w:val="Bumbi ABC1"/>
    <w:rsid w:val="00690440"/>
  </w:style>
  <w:style w:type="numbering" w:customStyle="1" w:styleId="BumbiIIIIII1">
    <w:name w:val="Bumbi I II III1"/>
    <w:rsid w:val="00690440"/>
  </w:style>
  <w:style w:type="table" w:customStyle="1" w:styleId="TableClassic11">
    <w:name w:val="Table Classic 11"/>
    <w:basedOn w:val="TableNormal"/>
    <w:next w:val="TableClassic1"/>
    <w:semiHidden/>
    <w:rsid w:val="00690440"/>
    <w:pPr>
      <w:spacing w:line="240" w:lineRule="auto"/>
    </w:pPr>
    <w:rPr>
      <w:rFonts w:eastAsia="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CurrentList11">
    <w:name w:val="Current List11"/>
    <w:rsid w:val="00690440"/>
  </w:style>
  <w:style w:type="numbering" w:customStyle="1" w:styleId="10101101111">
    <w:name w:val="10 / 10.1 / 10.1.1.11"/>
    <w:basedOn w:val="NoList"/>
    <w:next w:val="111111"/>
    <w:rsid w:val="00690440"/>
  </w:style>
  <w:style w:type="table" w:customStyle="1" w:styleId="TableWeb11">
    <w:name w:val="Table Web 11"/>
    <w:basedOn w:val="TableNormal"/>
    <w:next w:val="TableWeb1"/>
    <w:rsid w:val="00690440"/>
    <w:pPr>
      <w:spacing w:line="280" w:lineRule="exact"/>
    </w:pPr>
    <w:rPr>
      <w:rFonts w:eastAsia="Calibri"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1">
    <w:name w:val="Table Web 31"/>
    <w:basedOn w:val="TableNormal"/>
    <w:next w:val="TableWeb3"/>
    <w:rsid w:val="00690440"/>
    <w:pPr>
      <w:spacing w:line="280" w:lineRule="exact"/>
    </w:pPr>
    <w:rPr>
      <w:rFonts w:eastAsia="Calibri"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NoList111">
    <w:name w:val="No List111"/>
    <w:next w:val="NoList"/>
    <w:uiPriority w:val="99"/>
    <w:semiHidden/>
    <w:unhideWhenUsed/>
    <w:rsid w:val="00690440"/>
  </w:style>
  <w:style w:type="table" w:customStyle="1" w:styleId="TableElegant11">
    <w:name w:val="Table Elegant11"/>
    <w:basedOn w:val="TableNormal"/>
    <w:next w:val="TableElegant"/>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11">
    <w:name w:val="Table Web 211"/>
    <w:basedOn w:val="TableNormal"/>
    <w:next w:val="TableWeb2"/>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11">
    <w:name w:val="Table Grid11"/>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
    <w:name w:val="No List3"/>
    <w:next w:val="NoList"/>
    <w:uiPriority w:val="99"/>
    <w:semiHidden/>
    <w:unhideWhenUsed/>
    <w:rsid w:val="00690440"/>
  </w:style>
  <w:style w:type="character" w:customStyle="1" w:styleId="Heading1Char1">
    <w:name w:val="Heading 1 Char1"/>
    <w:aliases w:val="Main Heading Char1,62 Char1,68 Char1,Hauptüberschr. Char1,Heading 1 Char2 Char1,Heading 1 Char1 Char Char1,Chap Char Char Char1,Heading 1 Char Char1 Char Char1,h1 Char Char Char1,h11 Char Char Char1,h12 Char Char Char1"/>
    <w:rsid w:val="00690440"/>
    <w:rPr>
      <w:rFonts w:ascii="Cambria" w:eastAsia="Times New Roman" w:hAnsi="Cambria" w:cs="Times New Roman"/>
      <w:b/>
      <w:bCs/>
      <w:color w:val="365F91"/>
      <w:sz w:val="28"/>
      <w:szCs w:val="28"/>
      <w:lang w:val="ro-RO"/>
    </w:rPr>
  </w:style>
  <w:style w:type="character" w:customStyle="1" w:styleId="FootnoteTextChar1">
    <w:name w:val="Footnote Text Char1"/>
    <w:aliases w:val="Char Char Char Char2"/>
    <w:semiHidden/>
    <w:rsid w:val="00690440"/>
    <w:rPr>
      <w:rFonts w:ascii="Arial" w:hAnsi="Arial"/>
      <w:lang w:val="ro-RO"/>
    </w:rPr>
  </w:style>
  <w:style w:type="character" w:customStyle="1" w:styleId="HeaderChar1">
    <w:name w:val="Header Char1"/>
    <w:aliases w:val="Header1 Char1,Header Title Char1,Header 1 Char1,Encabezado 2 Char1,encabezado Char1,Header Title Car Car Char1,Header Title Car Char1,En-tête client Char1,Fejléc4 Char1,Header Title Char Char Char1,E.e Char1,TussenBladHeader Char1,hd Ch"/>
    <w:rsid w:val="00690440"/>
    <w:rPr>
      <w:rFonts w:ascii="Arial" w:hAnsi="Arial"/>
      <w:szCs w:val="22"/>
      <w:lang w:val="ro-RO"/>
    </w:rPr>
  </w:style>
  <w:style w:type="character" w:customStyle="1" w:styleId="FooterChar1">
    <w:name w:val="Footer Char1"/>
    <w:aliases w:val="Fußzeile-2 Char1,Bas de page Char1,eersteregel Char1,EPZ_O_Footer Char1,EPZ_U_Footer Char1,EPZ_P_Footer Char1,EPZ_R_Footer Char1,Footer Char Char,Bas de page Char Char"/>
    <w:rsid w:val="00690440"/>
    <w:rPr>
      <w:rFonts w:ascii="Arial" w:hAnsi="Arial"/>
      <w:szCs w:val="22"/>
      <w:lang w:val="ro-RO"/>
    </w:rPr>
  </w:style>
  <w:style w:type="paragraph" w:customStyle="1" w:styleId="CharCharCharChar3">
    <w:name w:val="Char Char Char Char3"/>
    <w:basedOn w:val="Normal"/>
    <w:uiPriority w:val="99"/>
    <w:qFormat/>
    <w:rsid w:val="00690440"/>
    <w:pPr>
      <w:spacing w:after="200" w:line="276" w:lineRule="auto"/>
    </w:pPr>
    <w:rPr>
      <w:rFonts w:ascii="Times New Roman" w:eastAsia="Times New Roman" w:hAnsi="Times New Roman" w:cs="Times New Roman"/>
      <w:sz w:val="24"/>
      <w:szCs w:val="22"/>
      <w:lang w:val="pl-PL" w:eastAsia="pl-PL"/>
    </w:rPr>
  </w:style>
  <w:style w:type="character" w:customStyle="1" w:styleId="CharChar19">
    <w:name w:val="Char Char19"/>
    <w:semiHidden/>
    <w:rsid w:val="00690440"/>
    <w:rPr>
      <w:rFonts w:ascii="Calibri" w:hAnsi="Calibri" w:cs="Calibri" w:hint="default"/>
      <w:noProof w:val="0"/>
      <w:sz w:val="24"/>
      <w:szCs w:val="24"/>
      <w:lang w:val="en-US" w:eastAsia="en-US"/>
    </w:rPr>
  </w:style>
  <w:style w:type="table" w:customStyle="1" w:styleId="TableClassic12">
    <w:name w:val="Table Classic 12"/>
    <w:basedOn w:val="TableNormal"/>
    <w:next w:val="TableClassic1"/>
    <w:semiHidden/>
    <w:unhideWhenUsed/>
    <w:rsid w:val="00690440"/>
    <w:pPr>
      <w:spacing w:line="240" w:lineRule="auto"/>
    </w:pPr>
    <w:rPr>
      <w:rFonts w:eastAsia="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semiHidden/>
    <w:unhideWhenUsed/>
    <w:rsid w:val="00690440"/>
    <w:pPr>
      <w:spacing w:line="264" w:lineRule="auto"/>
      <w:jc w:val="center"/>
    </w:pPr>
    <w:rPr>
      <w:rFonts w:eastAsia="Times New Roman" w:cs="Times New Roman"/>
      <w:sz w:val="20"/>
      <w:szCs w:val="20"/>
      <w:lang w:val="ro-RO" w:eastAsia="ro-RO"/>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12">
    <w:name w:val="Table Web 12"/>
    <w:basedOn w:val="TableNormal"/>
    <w:next w:val="TableWeb1"/>
    <w:semiHidden/>
    <w:unhideWhenUsed/>
    <w:rsid w:val="00690440"/>
    <w:pPr>
      <w:spacing w:line="280" w:lineRule="exact"/>
    </w:pPr>
    <w:rPr>
      <w:rFonts w:eastAsia="Calibri" w:cs="Times New Roman"/>
      <w:sz w:val="20"/>
      <w:szCs w:val="20"/>
      <w:lang w:val="ro-RO" w:eastAsia="ro-RO"/>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23">
    <w:name w:val="Table Web 23"/>
    <w:basedOn w:val="TableNormal"/>
    <w:next w:val="TableWeb2"/>
    <w:semiHidden/>
    <w:unhideWhenUsed/>
    <w:rsid w:val="00690440"/>
    <w:pPr>
      <w:spacing w:line="264" w:lineRule="auto"/>
      <w:jc w:val="both"/>
    </w:pPr>
    <w:rPr>
      <w:rFonts w:eastAsia="Times New Roman" w:cs="Times New Roman"/>
      <w:sz w:val="20"/>
      <w:szCs w:val="20"/>
      <w:lang w:val="ro-RO" w:eastAsia="ro-RO"/>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2">
    <w:name w:val="Table Web 32"/>
    <w:basedOn w:val="TableNormal"/>
    <w:next w:val="TableWeb3"/>
    <w:semiHidden/>
    <w:unhideWhenUsed/>
    <w:rsid w:val="00690440"/>
    <w:pPr>
      <w:spacing w:line="280" w:lineRule="exact"/>
    </w:pPr>
    <w:rPr>
      <w:rFonts w:eastAsia="Calibri" w:cs="Times New Roman"/>
      <w:sz w:val="20"/>
      <w:szCs w:val="20"/>
      <w:lang w:val="ro-RO" w:eastAsia="ro-RO"/>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30">
    <w:name w:val="Table Grid3"/>
    <w:basedOn w:val="TableNormal"/>
    <w:next w:val="TableGrid"/>
    <w:rsid w:val="00690440"/>
    <w:pPr>
      <w:spacing w:line="240" w:lineRule="auto"/>
    </w:pPr>
    <w:rPr>
      <w:rFonts w:ascii="Calibri" w:eastAsia="Calibri" w:hAnsi="Calibri" w:cs="Times New Roman"/>
      <w:sz w:val="20"/>
      <w:szCs w:val="20"/>
      <w:lang w:val="ro-RO" w:eastAsia="ro-RO"/>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Elegant12">
    <w:name w:val="Table Elegant12"/>
    <w:basedOn w:val="TableNormal"/>
    <w:rsid w:val="00690440"/>
    <w:pPr>
      <w:spacing w:line="264" w:lineRule="auto"/>
      <w:jc w:val="center"/>
    </w:pPr>
    <w:rPr>
      <w:rFonts w:eastAsia="Times New Roman" w:cs="Times New Roman"/>
      <w:sz w:val="20"/>
      <w:szCs w:val="20"/>
      <w:lang w:val="ro-RO" w:eastAsia="ro-RO"/>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2">
    <w:name w:val="Table Web 212"/>
    <w:basedOn w:val="TableNormal"/>
    <w:rsid w:val="00690440"/>
    <w:pPr>
      <w:spacing w:line="264" w:lineRule="auto"/>
      <w:jc w:val="both"/>
    </w:pPr>
    <w:rPr>
      <w:rFonts w:eastAsia="Times New Roman" w:cs="Times New Roman"/>
      <w:sz w:val="20"/>
      <w:szCs w:val="20"/>
      <w:lang w:val="ro-RO" w:eastAsia="ro-RO"/>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2">
    <w:name w:val="Table Grid12"/>
    <w:basedOn w:val="TableNormal"/>
    <w:rsid w:val="00690440"/>
    <w:pPr>
      <w:spacing w:line="240" w:lineRule="auto"/>
    </w:pPr>
    <w:rPr>
      <w:rFonts w:ascii="Calibri" w:eastAsia="Calibri" w:hAnsi="Calibri" w:cs="Times New Roman"/>
      <w:sz w:val="20"/>
      <w:szCs w:val="20"/>
      <w:lang w:val="ro-RO" w:eastAsia="ro-RO"/>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Elegant21">
    <w:name w:val="Table Elegant21"/>
    <w:basedOn w:val="TableNormal"/>
    <w:rsid w:val="00690440"/>
    <w:pPr>
      <w:spacing w:line="264" w:lineRule="auto"/>
      <w:jc w:val="center"/>
    </w:pPr>
    <w:rPr>
      <w:rFonts w:eastAsia="Times New Roman" w:cs="Times New Roman"/>
      <w:sz w:val="20"/>
      <w:szCs w:val="20"/>
      <w:lang w:val="ro-RO" w:eastAsia="ro-RO"/>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21">
    <w:name w:val="Table Web 221"/>
    <w:basedOn w:val="TableNormal"/>
    <w:rsid w:val="00690440"/>
    <w:pPr>
      <w:spacing w:line="264" w:lineRule="auto"/>
      <w:jc w:val="both"/>
    </w:pPr>
    <w:rPr>
      <w:rFonts w:eastAsia="Times New Roman" w:cs="Times New Roman"/>
      <w:sz w:val="20"/>
      <w:szCs w:val="20"/>
      <w:lang w:val="ro-RO" w:eastAsia="ro-RO"/>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21">
    <w:name w:val="Table Grid21"/>
    <w:basedOn w:val="TableNormal"/>
    <w:rsid w:val="00690440"/>
    <w:pPr>
      <w:spacing w:line="240" w:lineRule="auto"/>
    </w:pPr>
    <w:rPr>
      <w:rFonts w:ascii="Calibri" w:eastAsia="Calibri" w:hAnsi="Calibri" w:cs="Times New Roman"/>
      <w:sz w:val="20"/>
      <w:szCs w:val="20"/>
      <w:lang w:val="ro-RO" w:eastAsia="ro-RO"/>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Classic111">
    <w:name w:val="Table Classic 111"/>
    <w:basedOn w:val="TableNormal"/>
    <w:semiHidden/>
    <w:rsid w:val="00690440"/>
    <w:pPr>
      <w:spacing w:line="240" w:lineRule="auto"/>
    </w:pPr>
    <w:rPr>
      <w:rFonts w:eastAsia="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11">
    <w:name w:val="Table Web 111"/>
    <w:basedOn w:val="TableNormal"/>
    <w:rsid w:val="00690440"/>
    <w:pPr>
      <w:spacing w:line="280" w:lineRule="exact"/>
    </w:pPr>
    <w:rPr>
      <w:rFonts w:eastAsia="Calibri" w:cs="Times New Roman"/>
      <w:sz w:val="20"/>
      <w:szCs w:val="20"/>
      <w:lang w:val="ro-RO" w:eastAsia="ro-RO"/>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1">
    <w:name w:val="Table Web 311"/>
    <w:basedOn w:val="TableNormal"/>
    <w:rsid w:val="00690440"/>
    <w:pPr>
      <w:spacing w:line="280" w:lineRule="exact"/>
    </w:pPr>
    <w:rPr>
      <w:rFonts w:eastAsia="Calibri" w:cs="Times New Roman"/>
      <w:sz w:val="20"/>
      <w:szCs w:val="20"/>
      <w:lang w:val="ro-RO" w:eastAsia="ro-RO"/>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11">
    <w:name w:val="Table Elegant111"/>
    <w:basedOn w:val="TableNormal"/>
    <w:rsid w:val="00690440"/>
    <w:pPr>
      <w:spacing w:line="264" w:lineRule="auto"/>
      <w:jc w:val="center"/>
    </w:pPr>
    <w:rPr>
      <w:rFonts w:eastAsia="Times New Roman" w:cs="Times New Roman"/>
      <w:sz w:val="20"/>
      <w:szCs w:val="20"/>
      <w:lang w:val="ro-RO" w:eastAsia="ro-RO"/>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11">
    <w:name w:val="Table Web 2111"/>
    <w:basedOn w:val="TableNormal"/>
    <w:rsid w:val="00690440"/>
    <w:pPr>
      <w:spacing w:line="264" w:lineRule="auto"/>
      <w:jc w:val="both"/>
    </w:pPr>
    <w:rPr>
      <w:rFonts w:eastAsia="Times New Roman" w:cs="Times New Roman"/>
      <w:sz w:val="20"/>
      <w:szCs w:val="20"/>
      <w:lang w:val="ro-RO" w:eastAsia="ro-RO"/>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11">
    <w:name w:val="Table Grid111"/>
    <w:basedOn w:val="TableNormal"/>
    <w:rsid w:val="00690440"/>
    <w:pPr>
      <w:spacing w:line="240" w:lineRule="auto"/>
    </w:pPr>
    <w:rPr>
      <w:rFonts w:ascii="Calibri" w:eastAsia="Calibri" w:hAnsi="Calibri" w:cs="Times New Roman"/>
      <w:sz w:val="20"/>
      <w:szCs w:val="20"/>
      <w:lang w:val="ro-RO" w:eastAsia="ro-RO"/>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1011011111">
    <w:name w:val="10 / 10.1 / 10.1.1.111"/>
    <w:rsid w:val="00F67FCF"/>
    <w:pPr>
      <w:numPr>
        <w:numId w:val="30"/>
      </w:numPr>
    </w:pPr>
  </w:style>
  <w:style w:type="numbering" w:customStyle="1" w:styleId="Bumbi11">
    <w:name w:val="Bumbi11"/>
    <w:rsid w:val="00F67FCF"/>
    <w:pPr>
      <w:numPr>
        <w:numId w:val="37"/>
      </w:numPr>
    </w:pPr>
  </w:style>
  <w:style w:type="numbering" w:customStyle="1" w:styleId="BumbiABC11">
    <w:name w:val="Bumbi ABC11"/>
    <w:rsid w:val="00F67FCF"/>
    <w:pPr>
      <w:numPr>
        <w:numId w:val="53"/>
      </w:numPr>
    </w:pPr>
  </w:style>
  <w:style w:type="numbering" w:customStyle="1" w:styleId="BumbiIIIIII11">
    <w:name w:val="Bumbi I II III11"/>
    <w:rsid w:val="00690440"/>
  </w:style>
  <w:style w:type="numbering" w:customStyle="1" w:styleId="CurrentList111">
    <w:name w:val="Current List111"/>
    <w:rsid w:val="00690440"/>
    <w:pPr>
      <w:numPr>
        <w:numId w:val="55"/>
      </w:numPr>
    </w:pPr>
  </w:style>
  <w:style w:type="numbering" w:customStyle="1" w:styleId="Bumbi-11">
    <w:name w:val="Bumbi -11"/>
    <w:rsid w:val="00690440"/>
  </w:style>
  <w:style w:type="numbering" w:customStyle="1" w:styleId="NoList4">
    <w:name w:val="No List4"/>
    <w:next w:val="NoList"/>
    <w:uiPriority w:val="99"/>
    <w:semiHidden/>
    <w:unhideWhenUsed/>
    <w:rsid w:val="00690440"/>
  </w:style>
  <w:style w:type="table" w:customStyle="1" w:styleId="TableElegant4">
    <w:name w:val="Table Elegant4"/>
    <w:basedOn w:val="TableNormal"/>
    <w:next w:val="TableElegant"/>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4">
    <w:name w:val="Table Web 24"/>
    <w:basedOn w:val="TableNormal"/>
    <w:next w:val="TableWeb2"/>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40">
    <w:name w:val="Table Grid4"/>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Classic13">
    <w:name w:val="Table Classic 13"/>
    <w:basedOn w:val="TableNormal"/>
    <w:next w:val="TableClassic1"/>
    <w:semiHidden/>
    <w:rsid w:val="00690440"/>
    <w:pPr>
      <w:spacing w:line="240" w:lineRule="auto"/>
    </w:pPr>
    <w:rPr>
      <w:rFonts w:eastAsia="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3">
    <w:name w:val="Table Web 13"/>
    <w:basedOn w:val="TableNormal"/>
    <w:next w:val="TableWeb1"/>
    <w:rsid w:val="00690440"/>
    <w:pPr>
      <w:spacing w:line="280" w:lineRule="exact"/>
    </w:pPr>
    <w:rPr>
      <w:rFonts w:eastAsia="Calibri"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3">
    <w:name w:val="Table Web 33"/>
    <w:basedOn w:val="TableNormal"/>
    <w:next w:val="TableWeb3"/>
    <w:rsid w:val="00690440"/>
    <w:pPr>
      <w:spacing w:line="280" w:lineRule="exact"/>
    </w:pPr>
    <w:rPr>
      <w:rFonts w:eastAsia="Calibri"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NoList12">
    <w:name w:val="No List12"/>
    <w:next w:val="NoList"/>
    <w:uiPriority w:val="99"/>
    <w:semiHidden/>
    <w:unhideWhenUsed/>
    <w:rsid w:val="00690440"/>
  </w:style>
  <w:style w:type="table" w:customStyle="1" w:styleId="TableElegant13">
    <w:name w:val="Table Elegant13"/>
    <w:basedOn w:val="TableNormal"/>
    <w:next w:val="TableElegant"/>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13">
    <w:name w:val="Table Web 213"/>
    <w:basedOn w:val="TableNormal"/>
    <w:next w:val="TableWeb2"/>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13">
    <w:name w:val="Table Grid13"/>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
    <w:name w:val="No List21"/>
    <w:next w:val="NoList"/>
    <w:uiPriority w:val="99"/>
    <w:semiHidden/>
    <w:unhideWhenUsed/>
    <w:rsid w:val="00690440"/>
  </w:style>
  <w:style w:type="table" w:customStyle="1" w:styleId="TableElegant22">
    <w:name w:val="Table Elegant22"/>
    <w:basedOn w:val="TableNormal"/>
    <w:next w:val="TableElegant"/>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22">
    <w:name w:val="Table Web 222"/>
    <w:basedOn w:val="TableNormal"/>
    <w:next w:val="TableWeb2"/>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22">
    <w:name w:val="Table Grid22"/>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Bumbi-12">
    <w:name w:val="Bumbi -12"/>
    <w:rsid w:val="00690440"/>
  </w:style>
  <w:style w:type="numbering" w:customStyle="1" w:styleId="Bumbi12">
    <w:name w:val="Bumbi12"/>
    <w:rsid w:val="00690440"/>
  </w:style>
  <w:style w:type="numbering" w:customStyle="1" w:styleId="BumbiABC12">
    <w:name w:val="Bumbi ABC12"/>
    <w:rsid w:val="00690440"/>
  </w:style>
  <w:style w:type="numbering" w:customStyle="1" w:styleId="BumbiIIIIII12">
    <w:name w:val="Bumbi I II III12"/>
    <w:rsid w:val="00690440"/>
  </w:style>
  <w:style w:type="table" w:customStyle="1" w:styleId="TableClassic112">
    <w:name w:val="Table Classic 112"/>
    <w:basedOn w:val="TableNormal"/>
    <w:next w:val="TableClassic1"/>
    <w:semiHidden/>
    <w:rsid w:val="00690440"/>
    <w:pPr>
      <w:spacing w:line="240" w:lineRule="auto"/>
    </w:pPr>
    <w:rPr>
      <w:rFonts w:eastAsia="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CurrentList112">
    <w:name w:val="Current List112"/>
    <w:rsid w:val="00690440"/>
  </w:style>
  <w:style w:type="numbering" w:customStyle="1" w:styleId="101011011112">
    <w:name w:val="10 / 10.1 / 10.1.1.112"/>
    <w:basedOn w:val="NoList"/>
    <w:next w:val="111111"/>
    <w:rsid w:val="00690440"/>
  </w:style>
  <w:style w:type="table" w:customStyle="1" w:styleId="TableWeb112">
    <w:name w:val="Table Web 112"/>
    <w:basedOn w:val="TableNormal"/>
    <w:next w:val="TableWeb1"/>
    <w:rsid w:val="00690440"/>
    <w:pPr>
      <w:spacing w:line="280" w:lineRule="exact"/>
    </w:pPr>
    <w:rPr>
      <w:rFonts w:eastAsia="Calibri"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12">
    <w:name w:val="Table Web 312"/>
    <w:basedOn w:val="TableNormal"/>
    <w:next w:val="TableWeb3"/>
    <w:rsid w:val="00690440"/>
    <w:pPr>
      <w:spacing w:line="280" w:lineRule="exact"/>
    </w:pPr>
    <w:rPr>
      <w:rFonts w:eastAsia="Calibri"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NoList1111">
    <w:name w:val="No List1111"/>
    <w:next w:val="NoList"/>
    <w:uiPriority w:val="99"/>
    <w:semiHidden/>
    <w:unhideWhenUsed/>
    <w:rsid w:val="00690440"/>
  </w:style>
  <w:style w:type="table" w:customStyle="1" w:styleId="TableElegant112">
    <w:name w:val="Table Elegant112"/>
    <w:basedOn w:val="TableNormal"/>
    <w:next w:val="TableElegant"/>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112">
    <w:name w:val="Table Web 2112"/>
    <w:basedOn w:val="TableNormal"/>
    <w:next w:val="TableWeb2"/>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112">
    <w:name w:val="Table Grid112"/>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1">
    <w:name w:val="No List31"/>
    <w:next w:val="NoList"/>
    <w:uiPriority w:val="99"/>
    <w:semiHidden/>
    <w:unhideWhenUsed/>
    <w:rsid w:val="00690440"/>
  </w:style>
  <w:style w:type="table" w:customStyle="1" w:styleId="TableClassic121">
    <w:name w:val="Table Classic 121"/>
    <w:basedOn w:val="TableNormal"/>
    <w:next w:val="TableClassic1"/>
    <w:semiHidden/>
    <w:unhideWhenUsed/>
    <w:rsid w:val="00690440"/>
    <w:pPr>
      <w:spacing w:line="240" w:lineRule="auto"/>
    </w:pPr>
    <w:rPr>
      <w:rFonts w:eastAsia="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Elegant31">
    <w:name w:val="Table Elegant31"/>
    <w:basedOn w:val="TableNormal"/>
    <w:next w:val="TableElegant"/>
    <w:semiHidden/>
    <w:unhideWhenUsed/>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121">
    <w:name w:val="Table Web 121"/>
    <w:basedOn w:val="TableNormal"/>
    <w:next w:val="TableWeb1"/>
    <w:semiHidden/>
    <w:unhideWhenUsed/>
    <w:rsid w:val="00690440"/>
    <w:pPr>
      <w:spacing w:line="280" w:lineRule="exact"/>
    </w:pPr>
    <w:rPr>
      <w:rFonts w:eastAsia="Calibri"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231">
    <w:name w:val="Table Web 231"/>
    <w:basedOn w:val="TableNormal"/>
    <w:next w:val="TableWeb2"/>
    <w:semiHidden/>
    <w:unhideWhenUsed/>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21">
    <w:name w:val="Table Web 321"/>
    <w:basedOn w:val="TableNormal"/>
    <w:next w:val="TableWeb3"/>
    <w:semiHidden/>
    <w:unhideWhenUsed/>
    <w:rsid w:val="00690440"/>
    <w:pPr>
      <w:spacing w:line="280" w:lineRule="exact"/>
    </w:pPr>
    <w:rPr>
      <w:rFonts w:eastAsia="Calibri"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31">
    <w:name w:val="Table Grid31"/>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Elegant121">
    <w:name w:val="Table Elegant121"/>
    <w:basedOn w:val="TableNormal"/>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21">
    <w:name w:val="Table Web 2121"/>
    <w:basedOn w:val="TableNormal"/>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21">
    <w:name w:val="Table Grid121"/>
    <w:basedOn w:val="TableNormal"/>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Elegant211">
    <w:name w:val="Table Elegant211"/>
    <w:basedOn w:val="TableNormal"/>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211">
    <w:name w:val="Table Web 2211"/>
    <w:basedOn w:val="TableNormal"/>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211">
    <w:name w:val="Table Grid211"/>
    <w:basedOn w:val="TableNormal"/>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Classic1111">
    <w:name w:val="Table Classic 1111"/>
    <w:basedOn w:val="TableNormal"/>
    <w:semiHidden/>
    <w:rsid w:val="00690440"/>
    <w:pPr>
      <w:spacing w:line="240" w:lineRule="auto"/>
    </w:pPr>
    <w:rPr>
      <w:rFonts w:eastAsia="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111">
    <w:name w:val="Table Web 1111"/>
    <w:basedOn w:val="TableNormal"/>
    <w:rsid w:val="00690440"/>
    <w:pPr>
      <w:spacing w:line="280" w:lineRule="exact"/>
    </w:pPr>
    <w:rPr>
      <w:rFonts w:eastAsia="Calibri"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11">
    <w:name w:val="Table Web 3111"/>
    <w:basedOn w:val="TableNormal"/>
    <w:rsid w:val="00690440"/>
    <w:pPr>
      <w:spacing w:line="280" w:lineRule="exact"/>
    </w:pPr>
    <w:rPr>
      <w:rFonts w:eastAsia="Calibri"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111">
    <w:name w:val="Table Elegant1111"/>
    <w:basedOn w:val="TableNormal"/>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111">
    <w:name w:val="Table Web 21111"/>
    <w:basedOn w:val="TableNormal"/>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111">
    <w:name w:val="Table Grid1111"/>
    <w:basedOn w:val="TableNormal"/>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font7">
    <w:name w:val="font7"/>
    <w:basedOn w:val="Normal"/>
    <w:qFormat/>
    <w:rsid w:val="00690440"/>
    <w:pPr>
      <w:spacing w:before="100" w:beforeAutospacing="1" w:after="100" w:afterAutospacing="1" w:line="276" w:lineRule="auto"/>
    </w:pPr>
    <w:rPr>
      <w:rFonts w:ascii="Times New Roman" w:eastAsia="Times New Roman" w:hAnsi="Times New Roman" w:cs="Times New Roman"/>
      <w:color w:val="000000"/>
      <w:sz w:val="14"/>
      <w:szCs w:val="14"/>
      <w:lang w:eastAsia="ro-RO"/>
    </w:rPr>
  </w:style>
  <w:style w:type="paragraph" w:customStyle="1" w:styleId="font8">
    <w:name w:val="font8"/>
    <w:basedOn w:val="Normal"/>
    <w:qFormat/>
    <w:rsid w:val="00690440"/>
    <w:pPr>
      <w:spacing w:before="100" w:beforeAutospacing="1" w:after="100" w:afterAutospacing="1" w:line="276" w:lineRule="auto"/>
    </w:pPr>
    <w:rPr>
      <w:rFonts w:ascii="Times New Roman" w:eastAsia="Times New Roman" w:hAnsi="Times New Roman" w:cs="Times New Roman"/>
      <w:color w:val="000000"/>
      <w:sz w:val="14"/>
      <w:szCs w:val="14"/>
      <w:lang w:eastAsia="ro-RO"/>
    </w:rPr>
  </w:style>
  <w:style w:type="numbering" w:customStyle="1" w:styleId="TabelBumbi1">
    <w:name w:val="Tabel Bumbi1"/>
    <w:rsid w:val="00F67FCF"/>
    <w:pPr>
      <w:numPr>
        <w:numId w:val="45"/>
      </w:numPr>
    </w:pPr>
  </w:style>
  <w:style w:type="numbering" w:customStyle="1" w:styleId="NoList5">
    <w:name w:val="No List5"/>
    <w:next w:val="NoList"/>
    <w:uiPriority w:val="99"/>
    <w:semiHidden/>
    <w:unhideWhenUsed/>
    <w:rsid w:val="00690440"/>
  </w:style>
  <w:style w:type="table" w:customStyle="1" w:styleId="TableGrid50">
    <w:name w:val="Table Grid5"/>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Bumbi-2">
    <w:name w:val="Bumbi -2"/>
    <w:rsid w:val="00F67FCF"/>
    <w:pPr>
      <w:numPr>
        <w:numId w:val="39"/>
      </w:numPr>
    </w:pPr>
  </w:style>
  <w:style w:type="numbering" w:customStyle="1" w:styleId="Bumbi2">
    <w:name w:val="Bumbi2"/>
    <w:rsid w:val="00F67FCF"/>
    <w:pPr>
      <w:numPr>
        <w:numId w:val="40"/>
      </w:numPr>
    </w:pPr>
  </w:style>
  <w:style w:type="numbering" w:customStyle="1" w:styleId="BumbiABC2">
    <w:name w:val="Bumbi ABC2"/>
    <w:rsid w:val="00F67FCF"/>
    <w:pPr>
      <w:numPr>
        <w:numId w:val="41"/>
      </w:numPr>
    </w:pPr>
  </w:style>
  <w:style w:type="numbering" w:customStyle="1" w:styleId="BumbiIIIIII2">
    <w:name w:val="Bumbi I II III2"/>
    <w:rsid w:val="00F67FCF"/>
    <w:pPr>
      <w:numPr>
        <w:numId w:val="42"/>
      </w:numPr>
    </w:pPr>
  </w:style>
  <w:style w:type="numbering" w:customStyle="1" w:styleId="CurrentList12">
    <w:name w:val="Current List12"/>
    <w:rsid w:val="00F67FCF"/>
    <w:pPr>
      <w:numPr>
        <w:numId w:val="38"/>
      </w:numPr>
    </w:pPr>
  </w:style>
  <w:style w:type="numbering" w:customStyle="1" w:styleId="10101101112">
    <w:name w:val="10 / 10.1 / 10.1.1.12"/>
    <w:basedOn w:val="NoList"/>
    <w:next w:val="111111"/>
    <w:rsid w:val="00F67FCF"/>
    <w:pPr>
      <w:numPr>
        <w:numId w:val="44"/>
      </w:numPr>
    </w:pPr>
  </w:style>
  <w:style w:type="numbering" w:customStyle="1" w:styleId="NoList13">
    <w:name w:val="No List13"/>
    <w:next w:val="NoList"/>
    <w:uiPriority w:val="99"/>
    <w:semiHidden/>
    <w:unhideWhenUsed/>
    <w:rsid w:val="00690440"/>
  </w:style>
  <w:style w:type="numbering" w:customStyle="1" w:styleId="NoList22">
    <w:name w:val="No List22"/>
    <w:next w:val="NoList"/>
    <w:uiPriority w:val="99"/>
    <w:semiHidden/>
    <w:unhideWhenUsed/>
    <w:rsid w:val="00690440"/>
  </w:style>
  <w:style w:type="numbering" w:customStyle="1" w:styleId="Bumbi-13">
    <w:name w:val="Bumbi -13"/>
    <w:rsid w:val="00690440"/>
  </w:style>
  <w:style w:type="numbering" w:customStyle="1" w:styleId="Bumbi13">
    <w:name w:val="Bumbi13"/>
    <w:rsid w:val="00690440"/>
  </w:style>
  <w:style w:type="numbering" w:customStyle="1" w:styleId="BumbiABC13">
    <w:name w:val="Bumbi ABC13"/>
    <w:rsid w:val="00690440"/>
  </w:style>
  <w:style w:type="numbering" w:customStyle="1" w:styleId="BumbiIIIIII13">
    <w:name w:val="Bumbi I II III13"/>
    <w:rsid w:val="00690440"/>
  </w:style>
  <w:style w:type="numbering" w:customStyle="1" w:styleId="CurrentList113">
    <w:name w:val="Current List113"/>
    <w:rsid w:val="00690440"/>
  </w:style>
  <w:style w:type="numbering" w:customStyle="1" w:styleId="101011011113">
    <w:name w:val="10 / 10.1 / 10.1.1.113"/>
    <w:basedOn w:val="NoList"/>
    <w:next w:val="111111"/>
    <w:rsid w:val="00690440"/>
  </w:style>
  <w:style w:type="numbering" w:customStyle="1" w:styleId="NoList112">
    <w:name w:val="No List112"/>
    <w:next w:val="NoList"/>
    <w:uiPriority w:val="99"/>
    <w:semiHidden/>
    <w:unhideWhenUsed/>
    <w:rsid w:val="00690440"/>
  </w:style>
  <w:style w:type="numbering" w:customStyle="1" w:styleId="NoList32">
    <w:name w:val="No List32"/>
    <w:next w:val="NoList"/>
    <w:uiPriority w:val="99"/>
    <w:semiHidden/>
    <w:unhideWhenUsed/>
    <w:rsid w:val="00690440"/>
  </w:style>
  <w:style w:type="numbering" w:customStyle="1" w:styleId="1010110111111">
    <w:name w:val="10 / 10.1 / 10.1.1.1111"/>
    <w:rsid w:val="00F67FCF"/>
    <w:pPr>
      <w:numPr>
        <w:numId w:val="31"/>
      </w:numPr>
    </w:pPr>
  </w:style>
  <w:style w:type="numbering" w:customStyle="1" w:styleId="Bumbi111">
    <w:name w:val="Bumbi111"/>
    <w:rsid w:val="00F67FCF"/>
    <w:pPr>
      <w:numPr>
        <w:numId w:val="36"/>
      </w:numPr>
    </w:pPr>
  </w:style>
  <w:style w:type="numbering" w:customStyle="1" w:styleId="BumbiABC111">
    <w:name w:val="Bumbi ABC111"/>
    <w:rsid w:val="00F67FCF"/>
    <w:pPr>
      <w:numPr>
        <w:numId w:val="33"/>
      </w:numPr>
    </w:pPr>
  </w:style>
  <w:style w:type="numbering" w:customStyle="1" w:styleId="BumbiIIIIII111">
    <w:name w:val="Bumbi I II III111"/>
    <w:rsid w:val="00F67FCF"/>
    <w:pPr>
      <w:numPr>
        <w:numId w:val="48"/>
      </w:numPr>
    </w:pPr>
  </w:style>
  <w:style w:type="numbering" w:customStyle="1" w:styleId="CurrentList1111">
    <w:name w:val="Current List1111"/>
    <w:rsid w:val="00F67FCF"/>
    <w:pPr>
      <w:numPr>
        <w:numId w:val="34"/>
      </w:numPr>
    </w:pPr>
  </w:style>
  <w:style w:type="numbering" w:customStyle="1" w:styleId="Bumbi-111">
    <w:name w:val="Bumbi -111"/>
    <w:rsid w:val="00F67FCF"/>
    <w:pPr>
      <w:numPr>
        <w:numId w:val="35"/>
      </w:numPr>
    </w:pPr>
  </w:style>
  <w:style w:type="numbering" w:customStyle="1" w:styleId="NoList41">
    <w:name w:val="No List41"/>
    <w:next w:val="NoList"/>
    <w:uiPriority w:val="99"/>
    <w:semiHidden/>
    <w:unhideWhenUsed/>
    <w:rsid w:val="00690440"/>
  </w:style>
  <w:style w:type="numbering" w:customStyle="1" w:styleId="NoList121">
    <w:name w:val="No List121"/>
    <w:next w:val="NoList"/>
    <w:uiPriority w:val="99"/>
    <w:semiHidden/>
    <w:unhideWhenUsed/>
    <w:rsid w:val="00690440"/>
  </w:style>
  <w:style w:type="numbering" w:customStyle="1" w:styleId="NoList211">
    <w:name w:val="No List211"/>
    <w:next w:val="NoList"/>
    <w:uiPriority w:val="99"/>
    <w:semiHidden/>
    <w:unhideWhenUsed/>
    <w:rsid w:val="00690440"/>
  </w:style>
  <w:style w:type="numbering" w:customStyle="1" w:styleId="Bumbi-121">
    <w:name w:val="Bumbi -121"/>
    <w:rsid w:val="00690440"/>
  </w:style>
  <w:style w:type="numbering" w:customStyle="1" w:styleId="Bumbi121">
    <w:name w:val="Bumbi121"/>
    <w:rsid w:val="00690440"/>
  </w:style>
  <w:style w:type="numbering" w:customStyle="1" w:styleId="BumbiABC121">
    <w:name w:val="Bumbi ABC121"/>
    <w:rsid w:val="00690440"/>
  </w:style>
  <w:style w:type="numbering" w:customStyle="1" w:styleId="BumbiIIIIII121">
    <w:name w:val="Bumbi I II III121"/>
    <w:rsid w:val="00690440"/>
  </w:style>
  <w:style w:type="numbering" w:customStyle="1" w:styleId="CurrentList1121">
    <w:name w:val="Current List1121"/>
    <w:rsid w:val="00690440"/>
  </w:style>
  <w:style w:type="numbering" w:customStyle="1" w:styleId="1010110111121">
    <w:name w:val="10 / 10.1 / 10.1.1.1121"/>
    <w:basedOn w:val="NoList"/>
    <w:next w:val="111111"/>
    <w:rsid w:val="00690440"/>
  </w:style>
  <w:style w:type="numbering" w:customStyle="1" w:styleId="NoList1112">
    <w:name w:val="No List1112"/>
    <w:next w:val="NoList"/>
    <w:uiPriority w:val="99"/>
    <w:semiHidden/>
    <w:unhideWhenUsed/>
    <w:rsid w:val="00690440"/>
  </w:style>
  <w:style w:type="numbering" w:customStyle="1" w:styleId="NoList311">
    <w:name w:val="No List311"/>
    <w:next w:val="NoList"/>
    <w:uiPriority w:val="99"/>
    <w:semiHidden/>
    <w:unhideWhenUsed/>
    <w:rsid w:val="00690440"/>
  </w:style>
  <w:style w:type="character" w:customStyle="1" w:styleId="ln2tparagraf">
    <w:name w:val="ln2tparagraf"/>
    <w:basedOn w:val="DefaultParagraphFont"/>
    <w:rsid w:val="00690440"/>
  </w:style>
  <w:style w:type="paragraph" w:customStyle="1" w:styleId="CharCharCharChar4">
    <w:name w:val="Char Char Char Char4"/>
    <w:basedOn w:val="Normal"/>
    <w:qFormat/>
    <w:rsid w:val="00690440"/>
    <w:pPr>
      <w:spacing w:after="200" w:line="276" w:lineRule="auto"/>
      <w:ind w:left="300"/>
    </w:pPr>
    <w:rPr>
      <w:rFonts w:ascii="Times New Roman" w:eastAsia="Times New Roman" w:hAnsi="Times New Roman" w:cs="Times New Roman"/>
      <w:sz w:val="24"/>
      <w:szCs w:val="22"/>
      <w:lang w:val="pl-PL" w:eastAsia="pl-PL"/>
    </w:rPr>
  </w:style>
  <w:style w:type="character" w:customStyle="1" w:styleId="E1CaracterCaracterCaracter">
    <w:name w:val="E1 Caracter Caracter Caracter"/>
    <w:link w:val="E1CaracterCaracter"/>
    <w:locked/>
    <w:rsid w:val="00690440"/>
    <w:rPr>
      <w:rFonts w:ascii="Arial" w:hAnsi="Arial" w:cs="Arial"/>
    </w:rPr>
  </w:style>
  <w:style w:type="paragraph" w:customStyle="1" w:styleId="E1CaracterCaracter">
    <w:name w:val="E1 Caracter Caracter"/>
    <w:basedOn w:val="Normal"/>
    <w:link w:val="E1CaracterCaracterCaracter"/>
    <w:rsid w:val="00690440"/>
    <w:pPr>
      <w:overflowPunct w:val="0"/>
      <w:autoSpaceDE w:val="0"/>
      <w:autoSpaceDN w:val="0"/>
      <w:spacing w:after="160" w:line="320" w:lineRule="atLeast"/>
      <w:ind w:left="851"/>
    </w:pPr>
    <w:rPr>
      <w:rFonts w:ascii="Arial" w:hAnsi="Arial" w:cs="Arial"/>
      <w:lang w:val="da-DK"/>
    </w:rPr>
  </w:style>
  <w:style w:type="paragraph" w:customStyle="1" w:styleId="msonormal0">
    <w:name w:val="msonormal"/>
    <w:basedOn w:val="Normal"/>
    <w:qFormat/>
    <w:rsid w:val="00690440"/>
    <w:pPr>
      <w:spacing w:before="100" w:beforeAutospacing="1" w:after="100" w:afterAutospacing="1" w:line="276" w:lineRule="auto"/>
    </w:pPr>
    <w:rPr>
      <w:rFonts w:ascii="Times New Roman" w:eastAsia="Times New Roman" w:hAnsi="Times New Roman" w:cs="Times New Roman"/>
      <w:sz w:val="24"/>
      <w:szCs w:val="22"/>
      <w:lang w:val="en-US" w:eastAsia="ro-RO"/>
    </w:rPr>
  </w:style>
  <w:style w:type="paragraph" w:customStyle="1" w:styleId="font9">
    <w:name w:val="font9"/>
    <w:basedOn w:val="Normal"/>
    <w:qFormat/>
    <w:rsid w:val="00690440"/>
    <w:pPr>
      <w:spacing w:before="100" w:beforeAutospacing="1" w:after="100" w:afterAutospacing="1" w:line="276" w:lineRule="auto"/>
    </w:pPr>
    <w:rPr>
      <w:rFonts w:ascii="Garamond" w:eastAsia="Times New Roman" w:hAnsi="Garamond" w:cs="Times New Roman"/>
      <w:b/>
      <w:bCs/>
      <w:color w:val="000000"/>
      <w:sz w:val="20"/>
      <w:szCs w:val="20"/>
      <w:lang w:val="en-US" w:eastAsia="ro-RO"/>
    </w:rPr>
  </w:style>
  <w:style w:type="paragraph" w:customStyle="1" w:styleId="font10">
    <w:name w:val="font10"/>
    <w:basedOn w:val="Normal"/>
    <w:qFormat/>
    <w:rsid w:val="00690440"/>
    <w:pPr>
      <w:spacing w:before="100" w:beforeAutospacing="1" w:after="100" w:afterAutospacing="1" w:line="276" w:lineRule="auto"/>
    </w:pPr>
    <w:rPr>
      <w:rFonts w:ascii="Garamond" w:eastAsia="Times New Roman" w:hAnsi="Garamond" w:cs="Times New Roman"/>
      <w:b/>
      <w:bCs/>
      <w:color w:val="000000"/>
      <w:sz w:val="20"/>
      <w:szCs w:val="20"/>
      <w:lang w:eastAsia="en-GB"/>
    </w:rPr>
  </w:style>
  <w:style w:type="paragraph" w:customStyle="1" w:styleId="xl160">
    <w:name w:val="xl160"/>
    <w:basedOn w:val="Normal"/>
    <w:qFormat/>
    <w:rsid w:val="00690440"/>
    <w:pPr>
      <w:pBdr>
        <w:top w:val="single" w:sz="4" w:space="0" w:color="auto"/>
        <w:bottom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b/>
      <w:bCs/>
      <w:color w:val="0000FF"/>
      <w:sz w:val="24"/>
      <w:szCs w:val="22"/>
      <w:lang w:eastAsia="en-GB"/>
    </w:rPr>
  </w:style>
  <w:style w:type="paragraph" w:customStyle="1" w:styleId="xl161">
    <w:name w:val="xl161"/>
    <w:basedOn w:val="Normal"/>
    <w:qFormat/>
    <w:rsid w:val="00690440"/>
    <w:pPr>
      <w:pBdr>
        <w:top w:val="single" w:sz="4" w:space="0" w:color="auto"/>
        <w:bottom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162">
    <w:name w:val="xl162"/>
    <w:basedOn w:val="Normal"/>
    <w:qFormat/>
    <w:rsid w:val="00690440"/>
    <w:pPr>
      <w:pBdr>
        <w:top w:val="single" w:sz="4" w:space="0" w:color="auto"/>
        <w:bottom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163">
    <w:name w:val="xl163"/>
    <w:basedOn w:val="Normal"/>
    <w:qFormat/>
    <w:rsid w:val="00690440"/>
    <w:pPr>
      <w:pBdr>
        <w:left w:val="single" w:sz="4" w:space="0" w:color="auto"/>
        <w:right w:val="single" w:sz="4" w:space="0" w:color="auto"/>
      </w:pBdr>
      <w:spacing w:before="100" w:beforeAutospacing="1" w:after="100" w:afterAutospacing="1" w:line="276" w:lineRule="auto"/>
      <w:textAlignment w:val="center"/>
    </w:pPr>
    <w:rPr>
      <w:rFonts w:ascii="Garamond" w:eastAsia="Times New Roman" w:hAnsi="Garamond" w:cs="Times New Roman"/>
      <w:sz w:val="24"/>
      <w:szCs w:val="22"/>
      <w:lang w:eastAsia="en-GB"/>
    </w:rPr>
  </w:style>
  <w:style w:type="paragraph" w:customStyle="1" w:styleId="xl164">
    <w:name w:val="xl164"/>
    <w:basedOn w:val="Normal"/>
    <w:qFormat/>
    <w:rsid w:val="00690440"/>
    <w:pPr>
      <w:pBdr>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color w:val="0000FF"/>
      <w:sz w:val="24"/>
      <w:szCs w:val="22"/>
      <w:lang w:eastAsia="en-GB"/>
    </w:rPr>
  </w:style>
  <w:style w:type="paragraph" w:customStyle="1" w:styleId="xl165">
    <w:name w:val="xl165"/>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color w:val="0066CC"/>
      <w:sz w:val="24"/>
      <w:szCs w:val="22"/>
      <w:lang w:eastAsia="en-GB"/>
    </w:rPr>
  </w:style>
  <w:style w:type="paragraph" w:customStyle="1" w:styleId="xl166">
    <w:name w:val="xl166"/>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color w:val="003366"/>
      <w:sz w:val="24"/>
      <w:szCs w:val="22"/>
      <w:lang w:eastAsia="en-GB"/>
    </w:rPr>
  </w:style>
  <w:style w:type="paragraph" w:customStyle="1" w:styleId="xl167">
    <w:name w:val="xl167"/>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sz w:val="24"/>
      <w:szCs w:val="22"/>
      <w:lang w:eastAsia="en-GB"/>
    </w:rPr>
  </w:style>
  <w:style w:type="paragraph" w:customStyle="1" w:styleId="xl168">
    <w:name w:val="xl168"/>
    <w:basedOn w:val="Normal"/>
    <w:qFormat/>
    <w:rsid w:val="00690440"/>
    <w:pPr>
      <w:pBdr>
        <w:top w:val="single" w:sz="4" w:space="0" w:color="auto"/>
        <w:left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169">
    <w:name w:val="xl169"/>
    <w:basedOn w:val="Normal"/>
    <w:qFormat/>
    <w:rsid w:val="00690440"/>
    <w:pPr>
      <w:pBdr>
        <w:left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170">
    <w:name w:val="xl170"/>
    <w:basedOn w:val="Normal"/>
    <w:qFormat/>
    <w:rsid w:val="00690440"/>
    <w:pPr>
      <w:pBdr>
        <w:left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sz w:val="24"/>
      <w:szCs w:val="22"/>
      <w:lang w:eastAsia="en-GB"/>
    </w:rPr>
  </w:style>
  <w:style w:type="paragraph" w:customStyle="1" w:styleId="xl171">
    <w:name w:val="xl171"/>
    <w:basedOn w:val="Normal"/>
    <w:qFormat/>
    <w:rsid w:val="00690440"/>
    <w:pPr>
      <w:pBdr>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172">
    <w:name w:val="xl172"/>
    <w:basedOn w:val="Normal"/>
    <w:qFormat/>
    <w:rsid w:val="00690440"/>
    <w:pPr>
      <w:pBdr>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sz w:val="24"/>
      <w:szCs w:val="22"/>
      <w:lang w:eastAsia="en-GB"/>
    </w:rPr>
  </w:style>
  <w:style w:type="paragraph" w:customStyle="1" w:styleId="xl173">
    <w:name w:val="xl173"/>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pPr>
    <w:rPr>
      <w:rFonts w:ascii="Garamond" w:eastAsia="Times New Roman" w:hAnsi="Garamond" w:cs="Times New Roman"/>
      <w:sz w:val="24"/>
      <w:szCs w:val="22"/>
      <w:lang w:eastAsia="en-GB"/>
    </w:rPr>
  </w:style>
  <w:style w:type="paragraph" w:customStyle="1" w:styleId="xl174">
    <w:name w:val="xl174"/>
    <w:basedOn w:val="Normal"/>
    <w:qFormat/>
    <w:rsid w:val="00690440"/>
    <w:pPr>
      <w:pBdr>
        <w:top w:val="single" w:sz="4" w:space="0" w:color="auto"/>
        <w:left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175">
    <w:name w:val="xl175"/>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176">
    <w:name w:val="xl176"/>
    <w:basedOn w:val="Normal"/>
    <w:qFormat/>
    <w:rsid w:val="00690440"/>
    <w:pPr>
      <w:pBdr>
        <w:top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177">
    <w:name w:val="xl177"/>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color w:val="0000FF"/>
      <w:sz w:val="24"/>
      <w:szCs w:val="22"/>
      <w:lang w:eastAsia="en-GB"/>
    </w:rPr>
  </w:style>
  <w:style w:type="paragraph" w:customStyle="1" w:styleId="xl178">
    <w:name w:val="xl178"/>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color w:val="0066CC"/>
      <w:sz w:val="24"/>
      <w:szCs w:val="22"/>
      <w:lang w:eastAsia="en-GB"/>
    </w:rPr>
  </w:style>
  <w:style w:type="paragraph" w:customStyle="1" w:styleId="xl179">
    <w:name w:val="xl179"/>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sz w:val="24"/>
      <w:szCs w:val="22"/>
      <w:lang w:eastAsia="en-GB"/>
    </w:rPr>
  </w:style>
  <w:style w:type="paragraph" w:customStyle="1" w:styleId="xl180">
    <w:name w:val="xl180"/>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color w:val="0000FF"/>
      <w:sz w:val="24"/>
      <w:szCs w:val="22"/>
      <w:lang w:eastAsia="en-GB"/>
    </w:rPr>
  </w:style>
  <w:style w:type="paragraph" w:customStyle="1" w:styleId="xl181">
    <w:name w:val="xl181"/>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color w:val="0066CC"/>
      <w:sz w:val="24"/>
      <w:szCs w:val="22"/>
      <w:lang w:eastAsia="en-GB"/>
    </w:rPr>
  </w:style>
  <w:style w:type="paragraph" w:customStyle="1" w:styleId="xl182">
    <w:name w:val="xl182"/>
    <w:basedOn w:val="Normal"/>
    <w:qFormat/>
    <w:rsid w:val="00690440"/>
    <w:pPr>
      <w:pBdr>
        <w:left w:val="single" w:sz="4" w:space="0" w:color="auto"/>
        <w:bottom w:val="single" w:sz="4" w:space="0" w:color="auto"/>
        <w:right w:val="single" w:sz="4" w:space="0" w:color="auto"/>
      </w:pBdr>
      <w:spacing w:before="100" w:beforeAutospacing="1" w:after="100" w:afterAutospacing="1" w:line="276" w:lineRule="auto"/>
      <w:textAlignment w:val="center"/>
    </w:pPr>
    <w:rPr>
      <w:rFonts w:ascii="Garamond" w:eastAsia="Times New Roman" w:hAnsi="Garamond" w:cs="Times New Roman"/>
      <w:b/>
      <w:bCs/>
      <w:sz w:val="24"/>
      <w:szCs w:val="22"/>
      <w:lang w:eastAsia="en-GB"/>
    </w:rPr>
  </w:style>
  <w:style w:type="paragraph" w:customStyle="1" w:styleId="xl183">
    <w:name w:val="xl183"/>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b/>
      <w:bCs/>
      <w:color w:val="0066CC"/>
      <w:sz w:val="24"/>
      <w:szCs w:val="22"/>
      <w:lang w:eastAsia="en-GB"/>
    </w:rPr>
  </w:style>
  <w:style w:type="paragraph" w:customStyle="1" w:styleId="xl184">
    <w:name w:val="xl184"/>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b/>
      <w:bCs/>
      <w:color w:val="0000FF"/>
      <w:sz w:val="24"/>
      <w:szCs w:val="22"/>
      <w:lang w:eastAsia="en-GB"/>
    </w:rPr>
  </w:style>
  <w:style w:type="paragraph" w:customStyle="1" w:styleId="xl185">
    <w:name w:val="xl185"/>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186">
    <w:name w:val="xl186"/>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center"/>
    </w:pPr>
    <w:rPr>
      <w:rFonts w:ascii="Garamond" w:eastAsia="Times New Roman" w:hAnsi="Garamond" w:cs="Times New Roman"/>
      <w:color w:val="000000"/>
      <w:sz w:val="24"/>
      <w:szCs w:val="22"/>
      <w:lang w:eastAsia="en-GB"/>
    </w:rPr>
  </w:style>
  <w:style w:type="paragraph" w:customStyle="1" w:styleId="xl187">
    <w:name w:val="xl187"/>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188">
    <w:name w:val="xl188"/>
    <w:basedOn w:val="Normal"/>
    <w:qFormat/>
    <w:rsid w:val="00690440"/>
    <w:pPr>
      <w:pBdr>
        <w:top w:val="single" w:sz="4" w:space="0" w:color="auto"/>
        <w:left w:val="single" w:sz="4" w:space="0" w:color="auto"/>
        <w:bottom w:val="single" w:sz="4" w:space="0" w:color="auto"/>
        <w:right w:val="single" w:sz="4" w:space="0" w:color="auto"/>
      </w:pBdr>
      <w:shd w:val="clear" w:color="000000" w:fill="00CCFF"/>
      <w:spacing w:before="100" w:beforeAutospacing="1" w:after="100" w:afterAutospacing="1" w:line="276" w:lineRule="auto"/>
      <w:textAlignment w:val="center"/>
    </w:pPr>
    <w:rPr>
      <w:rFonts w:ascii="Garamond" w:eastAsia="Times New Roman" w:hAnsi="Garamond" w:cs="Times New Roman"/>
      <w:b/>
      <w:bCs/>
      <w:sz w:val="24"/>
      <w:szCs w:val="22"/>
      <w:lang w:eastAsia="en-GB"/>
    </w:rPr>
  </w:style>
  <w:style w:type="paragraph" w:customStyle="1" w:styleId="xl189">
    <w:name w:val="xl189"/>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pPr>
    <w:rPr>
      <w:rFonts w:ascii="Garamond" w:eastAsia="Times New Roman" w:hAnsi="Garamond" w:cs="Times New Roman"/>
      <w:sz w:val="24"/>
      <w:szCs w:val="22"/>
      <w:lang w:eastAsia="en-GB"/>
    </w:rPr>
  </w:style>
  <w:style w:type="paragraph" w:customStyle="1" w:styleId="xl190">
    <w:name w:val="xl190"/>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sz w:val="24"/>
      <w:szCs w:val="22"/>
      <w:lang w:eastAsia="en-GB"/>
    </w:rPr>
  </w:style>
  <w:style w:type="paragraph" w:customStyle="1" w:styleId="xl191">
    <w:name w:val="xl191"/>
    <w:basedOn w:val="Normal"/>
    <w:qFormat/>
    <w:rsid w:val="00690440"/>
    <w:pPr>
      <w:pBdr>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sz w:val="24"/>
      <w:szCs w:val="22"/>
      <w:lang w:eastAsia="en-GB"/>
    </w:rPr>
  </w:style>
  <w:style w:type="paragraph" w:customStyle="1" w:styleId="xl192">
    <w:name w:val="xl192"/>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color w:val="0000FF"/>
      <w:sz w:val="24"/>
      <w:szCs w:val="22"/>
      <w:lang w:eastAsia="en-GB"/>
    </w:rPr>
  </w:style>
  <w:style w:type="paragraph" w:customStyle="1" w:styleId="xl193">
    <w:name w:val="xl193"/>
    <w:basedOn w:val="Normal"/>
    <w:qFormat/>
    <w:rsid w:val="00690440"/>
    <w:pPr>
      <w:spacing w:before="100" w:beforeAutospacing="1" w:after="100" w:afterAutospacing="1" w:line="276" w:lineRule="auto"/>
    </w:pPr>
    <w:rPr>
      <w:rFonts w:ascii="Garamond" w:eastAsia="Times New Roman" w:hAnsi="Garamond" w:cs="Times New Roman"/>
      <w:color w:val="003366"/>
      <w:sz w:val="24"/>
      <w:szCs w:val="22"/>
      <w:lang w:eastAsia="en-GB"/>
    </w:rPr>
  </w:style>
  <w:style w:type="paragraph" w:customStyle="1" w:styleId="xl194">
    <w:name w:val="xl194"/>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color w:val="003366"/>
      <w:sz w:val="24"/>
      <w:szCs w:val="22"/>
      <w:lang w:eastAsia="en-GB"/>
    </w:rPr>
  </w:style>
  <w:style w:type="paragraph" w:customStyle="1" w:styleId="xl195">
    <w:name w:val="xl195"/>
    <w:basedOn w:val="Normal"/>
    <w:qFormat/>
    <w:rsid w:val="00690440"/>
    <w:pPr>
      <w:pBdr>
        <w:top w:val="single" w:sz="4" w:space="0" w:color="auto"/>
        <w:bottom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b/>
      <w:bCs/>
      <w:color w:val="0000FF"/>
      <w:sz w:val="24"/>
      <w:szCs w:val="22"/>
      <w:lang w:eastAsia="en-GB"/>
    </w:rPr>
  </w:style>
  <w:style w:type="paragraph" w:customStyle="1" w:styleId="xl196">
    <w:name w:val="xl196"/>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sz w:val="24"/>
      <w:szCs w:val="22"/>
      <w:lang w:eastAsia="en-GB"/>
    </w:rPr>
  </w:style>
  <w:style w:type="paragraph" w:customStyle="1" w:styleId="xl197">
    <w:name w:val="xl197"/>
    <w:basedOn w:val="Normal"/>
    <w:qFormat/>
    <w:rsid w:val="00690440"/>
    <w:pPr>
      <w:pBdr>
        <w:top w:val="single" w:sz="4" w:space="0" w:color="auto"/>
        <w:left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sz w:val="24"/>
      <w:szCs w:val="22"/>
      <w:lang w:eastAsia="en-GB"/>
    </w:rPr>
  </w:style>
  <w:style w:type="paragraph" w:customStyle="1" w:styleId="xl198">
    <w:name w:val="xl198"/>
    <w:basedOn w:val="Normal"/>
    <w:qFormat/>
    <w:rsid w:val="00690440"/>
    <w:pPr>
      <w:pBdr>
        <w:left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sz w:val="24"/>
      <w:szCs w:val="22"/>
      <w:lang w:eastAsia="en-GB"/>
    </w:rPr>
  </w:style>
  <w:style w:type="paragraph" w:customStyle="1" w:styleId="xl199">
    <w:name w:val="xl199"/>
    <w:basedOn w:val="Normal"/>
    <w:qFormat/>
    <w:rsid w:val="00690440"/>
    <w:pPr>
      <w:pBdr>
        <w:top w:val="single" w:sz="4" w:space="0" w:color="auto"/>
        <w:left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b/>
      <w:bCs/>
      <w:sz w:val="24"/>
      <w:szCs w:val="22"/>
      <w:lang w:eastAsia="en-GB"/>
    </w:rPr>
  </w:style>
  <w:style w:type="paragraph" w:customStyle="1" w:styleId="xl200">
    <w:name w:val="xl200"/>
    <w:basedOn w:val="Normal"/>
    <w:qFormat/>
    <w:rsid w:val="00690440"/>
    <w:pPr>
      <w:pBdr>
        <w:top w:val="single" w:sz="4" w:space="0" w:color="auto"/>
        <w:left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b/>
      <w:bCs/>
      <w:color w:val="0066CC"/>
      <w:sz w:val="24"/>
      <w:szCs w:val="22"/>
      <w:lang w:eastAsia="en-GB"/>
    </w:rPr>
  </w:style>
  <w:style w:type="paragraph" w:customStyle="1" w:styleId="xl201">
    <w:name w:val="xl201"/>
    <w:basedOn w:val="Normal"/>
    <w:qFormat/>
    <w:rsid w:val="00690440"/>
    <w:pPr>
      <w:pBdr>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sz w:val="24"/>
      <w:szCs w:val="22"/>
      <w:lang w:eastAsia="en-GB"/>
    </w:rPr>
  </w:style>
  <w:style w:type="paragraph" w:customStyle="1" w:styleId="xl202">
    <w:name w:val="xl202"/>
    <w:basedOn w:val="Normal"/>
    <w:qFormat/>
    <w:rsid w:val="00690440"/>
    <w:pPr>
      <w:pBdr>
        <w:top w:val="single" w:sz="4" w:space="0" w:color="auto"/>
        <w:left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color w:val="003366"/>
      <w:sz w:val="24"/>
      <w:szCs w:val="22"/>
      <w:lang w:eastAsia="en-GB"/>
    </w:rPr>
  </w:style>
  <w:style w:type="paragraph" w:customStyle="1" w:styleId="xl203">
    <w:name w:val="xl203"/>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color w:val="0066CC"/>
      <w:sz w:val="24"/>
      <w:szCs w:val="22"/>
      <w:lang w:eastAsia="en-GB"/>
    </w:rPr>
  </w:style>
  <w:style w:type="paragraph" w:customStyle="1" w:styleId="xl204">
    <w:name w:val="xl204"/>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205">
    <w:name w:val="xl205"/>
    <w:basedOn w:val="Normal"/>
    <w:qFormat/>
    <w:rsid w:val="00690440"/>
    <w:pPr>
      <w:pBdr>
        <w:top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206">
    <w:name w:val="xl206"/>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color w:val="0000FF"/>
      <w:sz w:val="24"/>
      <w:szCs w:val="22"/>
      <w:lang w:eastAsia="en-GB"/>
    </w:rPr>
  </w:style>
  <w:style w:type="paragraph" w:customStyle="1" w:styleId="xl207">
    <w:name w:val="xl207"/>
    <w:basedOn w:val="Normal"/>
    <w:qFormat/>
    <w:rsid w:val="0069044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line="276" w:lineRule="auto"/>
      <w:textAlignment w:val="center"/>
    </w:pPr>
    <w:rPr>
      <w:rFonts w:ascii="Garamond" w:eastAsia="Times New Roman" w:hAnsi="Garamond" w:cs="Times New Roman"/>
      <w:b/>
      <w:bCs/>
      <w:sz w:val="24"/>
      <w:szCs w:val="22"/>
      <w:lang w:eastAsia="en-GB"/>
    </w:rPr>
  </w:style>
  <w:style w:type="paragraph" w:customStyle="1" w:styleId="xl208">
    <w:name w:val="xl208"/>
    <w:basedOn w:val="Normal"/>
    <w:qFormat/>
    <w:rsid w:val="00690440"/>
    <w:pPr>
      <w:shd w:val="clear" w:color="000000" w:fill="FFFFFF"/>
      <w:spacing w:before="100" w:beforeAutospacing="1" w:after="100" w:afterAutospacing="1" w:line="276" w:lineRule="auto"/>
    </w:pPr>
    <w:rPr>
      <w:rFonts w:ascii="Garamond" w:eastAsia="Times New Roman" w:hAnsi="Garamond" w:cs="Times New Roman"/>
      <w:sz w:val="24"/>
      <w:szCs w:val="22"/>
      <w:lang w:eastAsia="en-GB"/>
    </w:rPr>
  </w:style>
  <w:style w:type="paragraph" w:customStyle="1" w:styleId="xl209">
    <w:name w:val="xl209"/>
    <w:basedOn w:val="Normal"/>
    <w:qFormat/>
    <w:rsid w:val="00690440"/>
    <w:pPr>
      <w:pBdr>
        <w:top w:val="single" w:sz="4" w:space="0" w:color="auto"/>
        <w:left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210">
    <w:name w:val="xl210"/>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211">
    <w:name w:val="xl211"/>
    <w:basedOn w:val="Normal"/>
    <w:qFormat/>
    <w:rsid w:val="00690440"/>
    <w:pPr>
      <w:pBdr>
        <w:top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212">
    <w:name w:val="xl212"/>
    <w:basedOn w:val="Normal"/>
    <w:qFormat/>
    <w:rsid w:val="00690440"/>
    <w:pPr>
      <w:pBdr>
        <w:top w:val="single" w:sz="4" w:space="0" w:color="auto"/>
        <w:left w:val="single" w:sz="4" w:space="0" w:color="auto"/>
      </w:pBdr>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213">
    <w:name w:val="xl213"/>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0000FF"/>
      <w:sz w:val="24"/>
      <w:szCs w:val="22"/>
      <w:lang w:eastAsia="en-GB"/>
    </w:rPr>
  </w:style>
  <w:style w:type="paragraph" w:customStyle="1" w:styleId="xl214">
    <w:name w:val="xl214"/>
    <w:basedOn w:val="Normal"/>
    <w:qFormat/>
    <w:rsid w:val="00690440"/>
    <w:pPr>
      <w:pBdr>
        <w:top w:val="single" w:sz="4" w:space="0" w:color="auto"/>
        <w:left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215">
    <w:name w:val="xl215"/>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003366"/>
      <w:sz w:val="24"/>
      <w:szCs w:val="22"/>
      <w:lang w:eastAsia="en-GB"/>
    </w:rPr>
  </w:style>
  <w:style w:type="paragraph" w:customStyle="1" w:styleId="xl216">
    <w:name w:val="xl216"/>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0066CC"/>
      <w:sz w:val="24"/>
      <w:szCs w:val="22"/>
      <w:lang w:eastAsia="en-GB"/>
    </w:rPr>
  </w:style>
  <w:style w:type="paragraph" w:customStyle="1" w:styleId="xl217">
    <w:name w:val="xl217"/>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218">
    <w:name w:val="xl218"/>
    <w:basedOn w:val="Normal"/>
    <w:qFormat/>
    <w:rsid w:val="00690440"/>
    <w:pPr>
      <w:pBdr>
        <w:top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219">
    <w:name w:val="xl219"/>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Garamond" w:eastAsia="Times New Roman" w:hAnsi="Garamond" w:cs="Times New Roman"/>
      <w:sz w:val="24"/>
      <w:szCs w:val="22"/>
      <w:lang w:eastAsia="en-GB"/>
    </w:rPr>
  </w:style>
  <w:style w:type="paragraph" w:customStyle="1" w:styleId="xl220">
    <w:name w:val="xl220"/>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Garamond" w:eastAsia="Times New Roman" w:hAnsi="Garamond" w:cs="Times New Roman"/>
      <w:color w:val="0000FF"/>
      <w:sz w:val="24"/>
      <w:szCs w:val="22"/>
      <w:lang w:eastAsia="en-GB"/>
    </w:rPr>
  </w:style>
  <w:style w:type="paragraph" w:customStyle="1" w:styleId="xl221">
    <w:name w:val="xl221"/>
    <w:basedOn w:val="Normal"/>
    <w:qFormat/>
    <w:rsid w:val="00690440"/>
    <w:pPr>
      <w:spacing w:before="100" w:beforeAutospacing="1" w:after="100" w:afterAutospacing="1" w:line="276" w:lineRule="auto"/>
    </w:pPr>
    <w:rPr>
      <w:rFonts w:ascii="Garamond" w:eastAsia="Times New Roman" w:hAnsi="Garamond" w:cs="Times New Roman"/>
      <w:sz w:val="24"/>
      <w:szCs w:val="22"/>
      <w:lang w:eastAsia="en-GB"/>
    </w:rPr>
  </w:style>
  <w:style w:type="paragraph" w:customStyle="1" w:styleId="xl222">
    <w:name w:val="xl222"/>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223">
    <w:name w:val="xl223"/>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color w:val="0000FF"/>
      <w:sz w:val="24"/>
      <w:szCs w:val="22"/>
      <w:lang w:eastAsia="en-GB"/>
    </w:rPr>
  </w:style>
  <w:style w:type="paragraph" w:customStyle="1" w:styleId="xl224">
    <w:name w:val="xl224"/>
    <w:basedOn w:val="Normal"/>
    <w:qFormat/>
    <w:rsid w:val="00690440"/>
    <w:pPr>
      <w:spacing w:before="100" w:beforeAutospacing="1" w:after="100" w:afterAutospacing="1" w:line="276" w:lineRule="auto"/>
    </w:pPr>
    <w:rPr>
      <w:rFonts w:ascii="Garamond" w:eastAsia="Times New Roman" w:hAnsi="Garamond" w:cs="Times New Roman"/>
      <w:color w:val="0066CC"/>
      <w:sz w:val="24"/>
      <w:szCs w:val="22"/>
      <w:lang w:eastAsia="en-GB"/>
    </w:rPr>
  </w:style>
  <w:style w:type="paragraph" w:customStyle="1" w:styleId="xl225">
    <w:name w:val="xl225"/>
    <w:basedOn w:val="Normal"/>
    <w:qFormat/>
    <w:rsid w:val="00690440"/>
    <w:pPr>
      <w:pBdr>
        <w:top w:val="single" w:sz="4" w:space="0" w:color="auto"/>
        <w:left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8"/>
      <w:szCs w:val="28"/>
      <w:lang w:eastAsia="en-GB"/>
    </w:rPr>
  </w:style>
  <w:style w:type="paragraph" w:customStyle="1" w:styleId="xl226">
    <w:name w:val="xl226"/>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003366"/>
      <w:sz w:val="28"/>
      <w:szCs w:val="28"/>
      <w:lang w:eastAsia="en-GB"/>
    </w:rPr>
  </w:style>
  <w:style w:type="paragraph" w:customStyle="1" w:styleId="xl227">
    <w:name w:val="xl227"/>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0066CC"/>
      <w:sz w:val="28"/>
      <w:szCs w:val="28"/>
      <w:lang w:eastAsia="en-GB"/>
    </w:rPr>
  </w:style>
  <w:style w:type="paragraph" w:customStyle="1" w:styleId="xl228">
    <w:name w:val="xl228"/>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8"/>
      <w:szCs w:val="28"/>
      <w:lang w:eastAsia="en-GB"/>
    </w:rPr>
  </w:style>
  <w:style w:type="paragraph" w:customStyle="1" w:styleId="xl229">
    <w:name w:val="xl229"/>
    <w:basedOn w:val="Normal"/>
    <w:qFormat/>
    <w:rsid w:val="00690440"/>
    <w:pPr>
      <w:pBdr>
        <w:top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8"/>
      <w:szCs w:val="28"/>
      <w:lang w:eastAsia="en-GB"/>
    </w:rPr>
  </w:style>
  <w:style w:type="paragraph" w:customStyle="1" w:styleId="xl230">
    <w:name w:val="xl230"/>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0000FF"/>
      <w:sz w:val="28"/>
      <w:szCs w:val="28"/>
      <w:lang w:eastAsia="en-GB"/>
    </w:rPr>
  </w:style>
  <w:style w:type="paragraph" w:customStyle="1" w:styleId="xl231">
    <w:name w:val="xl231"/>
    <w:basedOn w:val="Normal"/>
    <w:qFormat/>
    <w:rsid w:val="00690440"/>
    <w:pPr>
      <w:pBdr>
        <w:top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sz w:val="24"/>
      <w:szCs w:val="22"/>
      <w:lang w:eastAsia="en-GB"/>
    </w:rPr>
  </w:style>
  <w:style w:type="paragraph" w:customStyle="1" w:styleId="xl232">
    <w:name w:val="xl232"/>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Garamond" w:eastAsia="Times New Roman" w:hAnsi="Garamond" w:cs="Times New Roman"/>
      <w:color w:val="0066CC"/>
      <w:sz w:val="24"/>
      <w:szCs w:val="22"/>
      <w:lang w:eastAsia="en-GB"/>
    </w:rPr>
  </w:style>
  <w:style w:type="paragraph" w:customStyle="1" w:styleId="xl233">
    <w:name w:val="xl233"/>
    <w:basedOn w:val="Normal"/>
    <w:qFormat/>
    <w:rsid w:val="00690440"/>
    <w:pPr>
      <w:spacing w:before="100" w:beforeAutospacing="1" w:after="100" w:afterAutospacing="1" w:line="276" w:lineRule="auto"/>
      <w:textAlignment w:val="top"/>
    </w:pPr>
    <w:rPr>
      <w:rFonts w:ascii="Garamond" w:eastAsia="Times New Roman" w:hAnsi="Garamond" w:cs="Times New Roman"/>
      <w:sz w:val="24"/>
      <w:szCs w:val="22"/>
      <w:lang w:eastAsia="en-GB"/>
    </w:rPr>
  </w:style>
  <w:style w:type="paragraph" w:customStyle="1" w:styleId="xl234">
    <w:name w:val="xl234"/>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Garamond" w:eastAsia="Times New Roman" w:hAnsi="Garamond" w:cs="Times New Roman"/>
      <w:color w:val="003366"/>
      <w:sz w:val="24"/>
      <w:szCs w:val="22"/>
      <w:lang w:eastAsia="en-GB"/>
    </w:rPr>
  </w:style>
  <w:style w:type="paragraph" w:customStyle="1" w:styleId="xl235">
    <w:name w:val="xl235"/>
    <w:basedOn w:val="Normal"/>
    <w:qFormat/>
    <w:rsid w:val="00690440"/>
    <w:pPr>
      <w:spacing w:before="100" w:beforeAutospacing="1" w:after="100" w:afterAutospacing="1" w:line="276" w:lineRule="auto"/>
    </w:pPr>
    <w:rPr>
      <w:rFonts w:ascii="Garamond" w:eastAsia="Times New Roman" w:hAnsi="Garamond" w:cs="Times New Roman"/>
      <w:color w:val="0000FF"/>
      <w:sz w:val="24"/>
      <w:szCs w:val="22"/>
      <w:lang w:eastAsia="en-GB"/>
    </w:rPr>
  </w:style>
  <w:style w:type="paragraph" w:customStyle="1" w:styleId="xl236">
    <w:name w:val="xl236"/>
    <w:basedOn w:val="Normal"/>
    <w:qFormat/>
    <w:rsid w:val="00690440"/>
    <w:pPr>
      <w:pBdr>
        <w:top w:val="single" w:sz="4" w:space="0" w:color="auto"/>
        <w:left w:val="single" w:sz="4" w:space="0" w:color="auto"/>
        <w:right w:val="single" w:sz="4" w:space="0" w:color="auto"/>
      </w:pBdr>
      <w:spacing w:before="100" w:beforeAutospacing="1" w:after="100" w:afterAutospacing="1" w:line="276" w:lineRule="auto"/>
      <w:textAlignment w:val="center"/>
    </w:pPr>
    <w:rPr>
      <w:rFonts w:ascii="Garamond" w:eastAsia="Times New Roman" w:hAnsi="Garamond" w:cs="Times New Roman"/>
      <w:b/>
      <w:bCs/>
      <w:sz w:val="24"/>
      <w:szCs w:val="22"/>
      <w:lang w:eastAsia="en-GB"/>
    </w:rPr>
  </w:style>
  <w:style w:type="paragraph" w:customStyle="1" w:styleId="xl237">
    <w:name w:val="xl237"/>
    <w:basedOn w:val="Normal"/>
    <w:qFormat/>
    <w:rsid w:val="00690440"/>
    <w:pPr>
      <w:pBdr>
        <w:left w:val="single" w:sz="4" w:space="0" w:color="auto"/>
        <w:right w:val="single" w:sz="4" w:space="0" w:color="auto"/>
      </w:pBdr>
      <w:spacing w:before="100" w:beforeAutospacing="1" w:after="100" w:afterAutospacing="1" w:line="276" w:lineRule="auto"/>
      <w:textAlignment w:val="center"/>
    </w:pPr>
    <w:rPr>
      <w:rFonts w:ascii="Garamond" w:eastAsia="Times New Roman" w:hAnsi="Garamond" w:cs="Times New Roman"/>
      <w:b/>
      <w:bCs/>
      <w:sz w:val="24"/>
      <w:szCs w:val="22"/>
      <w:lang w:eastAsia="en-GB"/>
    </w:rPr>
  </w:style>
  <w:style w:type="paragraph" w:customStyle="1" w:styleId="xl238">
    <w:name w:val="xl238"/>
    <w:basedOn w:val="Normal"/>
    <w:qFormat/>
    <w:rsid w:val="00690440"/>
    <w:pPr>
      <w:pBdr>
        <w:left w:val="single" w:sz="4" w:space="0" w:color="auto"/>
        <w:bottom w:val="single" w:sz="4" w:space="0" w:color="auto"/>
        <w:right w:val="single" w:sz="4" w:space="0" w:color="auto"/>
      </w:pBdr>
      <w:spacing w:before="100" w:beforeAutospacing="1" w:after="100" w:afterAutospacing="1" w:line="276" w:lineRule="auto"/>
      <w:textAlignment w:val="center"/>
    </w:pPr>
    <w:rPr>
      <w:rFonts w:ascii="Garamond" w:eastAsia="Times New Roman" w:hAnsi="Garamond" w:cs="Times New Roman"/>
      <w:b/>
      <w:bCs/>
      <w:sz w:val="24"/>
      <w:szCs w:val="22"/>
      <w:lang w:eastAsia="en-GB"/>
    </w:rPr>
  </w:style>
  <w:style w:type="paragraph" w:customStyle="1" w:styleId="xl239">
    <w:name w:val="xl239"/>
    <w:basedOn w:val="Normal"/>
    <w:qFormat/>
    <w:rsid w:val="00690440"/>
    <w:pPr>
      <w:pBdr>
        <w:top w:val="single" w:sz="4" w:space="0" w:color="auto"/>
        <w:left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color w:val="0066CC"/>
      <w:sz w:val="24"/>
      <w:szCs w:val="22"/>
      <w:lang w:eastAsia="en-GB"/>
    </w:rPr>
  </w:style>
  <w:style w:type="paragraph" w:customStyle="1" w:styleId="xl240">
    <w:name w:val="xl240"/>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color w:val="0066CC"/>
      <w:sz w:val="24"/>
      <w:szCs w:val="22"/>
      <w:lang w:eastAsia="en-GB"/>
    </w:rPr>
  </w:style>
  <w:style w:type="paragraph" w:customStyle="1" w:styleId="xl241">
    <w:name w:val="xl241"/>
    <w:basedOn w:val="Normal"/>
    <w:qFormat/>
    <w:rsid w:val="00690440"/>
    <w:pPr>
      <w:pBdr>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color w:val="0066CC"/>
      <w:sz w:val="24"/>
      <w:szCs w:val="22"/>
      <w:lang w:eastAsia="en-GB"/>
    </w:rPr>
  </w:style>
  <w:style w:type="paragraph" w:customStyle="1" w:styleId="xl242">
    <w:name w:val="xl242"/>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Garamond" w:eastAsia="Times New Roman" w:hAnsi="Garamond" w:cs="Times New Roman"/>
      <w:sz w:val="24"/>
      <w:szCs w:val="22"/>
      <w:lang w:eastAsia="en-GB"/>
    </w:rPr>
  </w:style>
  <w:style w:type="paragraph" w:customStyle="1" w:styleId="xl243">
    <w:name w:val="xl243"/>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Garamond" w:eastAsia="Times New Roman" w:hAnsi="Garamond" w:cs="Times New Roman"/>
      <w:b/>
      <w:bCs/>
      <w:color w:val="003366"/>
      <w:sz w:val="24"/>
      <w:szCs w:val="22"/>
      <w:lang w:eastAsia="en-GB"/>
    </w:rPr>
  </w:style>
  <w:style w:type="paragraph" w:customStyle="1" w:styleId="xl244">
    <w:name w:val="xl244"/>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Garamond" w:eastAsia="Times New Roman" w:hAnsi="Garamond" w:cs="Times New Roman"/>
      <w:color w:val="0000FF"/>
      <w:sz w:val="24"/>
      <w:szCs w:val="22"/>
      <w:lang w:eastAsia="en-GB"/>
    </w:rPr>
  </w:style>
  <w:style w:type="paragraph" w:customStyle="1" w:styleId="xl245">
    <w:name w:val="xl245"/>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Garamond" w:eastAsia="Times New Roman" w:hAnsi="Garamond" w:cs="Times New Roman"/>
      <w:sz w:val="24"/>
      <w:szCs w:val="22"/>
      <w:lang w:eastAsia="en-GB"/>
    </w:rPr>
  </w:style>
  <w:style w:type="paragraph" w:customStyle="1" w:styleId="xl246">
    <w:name w:val="xl246"/>
    <w:basedOn w:val="Normal"/>
    <w:qFormat/>
    <w:rsid w:val="00690440"/>
    <w:pPr>
      <w:spacing w:before="100" w:beforeAutospacing="1" w:after="100" w:afterAutospacing="1" w:line="276" w:lineRule="auto"/>
      <w:textAlignment w:val="center"/>
    </w:pPr>
    <w:rPr>
      <w:rFonts w:ascii="Garamond" w:eastAsia="Times New Roman" w:hAnsi="Garamond" w:cs="Times New Roman"/>
      <w:sz w:val="24"/>
      <w:szCs w:val="22"/>
      <w:lang w:eastAsia="en-GB"/>
    </w:rPr>
  </w:style>
  <w:style w:type="paragraph" w:customStyle="1" w:styleId="xl247">
    <w:name w:val="xl247"/>
    <w:basedOn w:val="Normal"/>
    <w:qFormat/>
    <w:rsid w:val="00690440"/>
    <w:pPr>
      <w:spacing w:before="100" w:beforeAutospacing="1" w:after="100" w:afterAutospacing="1" w:line="276" w:lineRule="auto"/>
    </w:pPr>
    <w:rPr>
      <w:rFonts w:ascii="Garamond" w:eastAsia="Times New Roman" w:hAnsi="Garamond" w:cs="Times New Roman"/>
      <w:sz w:val="24"/>
      <w:szCs w:val="22"/>
      <w:lang w:eastAsia="en-GB"/>
    </w:rPr>
  </w:style>
  <w:style w:type="paragraph" w:customStyle="1" w:styleId="xl248">
    <w:name w:val="xl248"/>
    <w:basedOn w:val="Normal"/>
    <w:qFormat/>
    <w:rsid w:val="00690440"/>
    <w:pPr>
      <w:spacing w:before="100" w:beforeAutospacing="1" w:after="100" w:afterAutospacing="1" w:line="276" w:lineRule="auto"/>
    </w:pPr>
    <w:rPr>
      <w:rFonts w:ascii="Garamond" w:eastAsia="Times New Roman" w:hAnsi="Garamond" w:cs="Times New Roman"/>
      <w:b/>
      <w:bCs/>
      <w:color w:val="003366"/>
      <w:sz w:val="24"/>
      <w:szCs w:val="22"/>
      <w:lang w:eastAsia="en-GB"/>
    </w:rPr>
  </w:style>
  <w:style w:type="paragraph" w:customStyle="1" w:styleId="xl249">
    <w:name w:val="xl249"/>
    <w:basedOn w:val="Normal"/>
    <w:qFormat/>
    <w:rsid w:val="00690440"/>
    <w:pPr>
      <w:spacing w:before="100" w:beforeAutospacing="1" w:after="100" w:afterAutospacing="1" w:line="276" w:lineRule="auto"/>
    </w:pPr>
    <w:rPr>
      <w:rFonts w:ascii="Garamond" w:eastAsia="Times New Roman" w:hAnsi="Garamond" w:cs="Times New Roman"/>
      <w:color w:val="0000FF"/>
      <w:sz w:val="24"/>
      <w:szCs w:val="22"/>
      <w:lang w:eastAsia="en-GB"/>
    </w:rPr>
  </w:style>
  <w:style w:type="paragraph" w:customStyle="1" w:styleId="xl250">
    <w:name w:val="xl250"/>
    <w:basedOn w:val="Normal"/>
    <w:qFormat/>
    <w:rsid w:val="00690440"/>
    <w:pPr>
      <w:pBdr>
        <w:top w:val="single" w:sz="4" w:space="0" w:color="auto"/>
        <w:left w:val="single" w:sz="4" w:space="0" w:color="auto"/>
        <w:right w:val="single" w:sz="4" w:space="0" w:color="auto"/>
      </w:pBdr>
      <w:shd w:val="clear" w:color="000000" w:fill="87E9B3"/>
      <w:spacing w:before="100" w:beforeAutospacing="1" w:after="100" w:afterAutospacing="1" w:line="276" w:lineRule="auto"/>
      <w:jc w:val="center"/>
      <w:textAlignment w:val="center"/>
    </w:pPr>
    <w:rPr>
      <w:rFonts w:ascii="Garamond" w:eastAsia="Times New Roman" w:hAnsi="Garamond" w:cs="Times New Roman"/>
      <w:b/>
      <w:bCs/>
      <w:color w:val="003366"/>
      <w:sz w:val="22"/>
      <w:szCs w:val="22"/>
      <w:lang w:eastAsia="en-GB"/>
    </w:rPr>
  </w:style>
  <w:style w:type="paragraph" w:customStyle="1" w:styleId="xl251">
    <w:name w:val="xl251"/>
    <w:basedOn w:val="Normal"/>
    <w:qFormat/>
    <w:rsid w:val="00690440"/>
    <w:pPr>
      <w:pBdr>
        <w:top w:val="single" w:sz="4" w:space="0" w:color="auto"/>
        <w:left w:val="single" w:sz="4" w:space="0" w:color="auto"/>
        <w:right w:val="single" w:sz="4" w:space="0" w:color="auto"/>
      </w:pBdr>
      <w:shd w:val="clear" w:color="000000" w:fill="87E9B3"/>
      <w:spacing w:before="100" w:beforeAutospacing="1" w:after="100" w:afterAutospacing="1" w:line="276" w:lineRule="auto"/>
      <w:jc w:val="center"/>
      <w:textAlignment w:val="center"/>
    </w:pPr>
    <w:rPr>
      <w:rFonts w:ascii="Garamond" w:eastAsia="Times New Roman" w:hAnsi="Garamond" w:cs="Times New Roman"/>
      <w:b/>
      <w:bCs/>
      <w:color w:val="0066CC"/>
      <w:sz w:val="22"/>
      <w:szCs w:val="22"/>
      <w:lang w:eastAsia="en-GB"/>
    </w:rPr>
  </w:style>
  <w:style w:type="paragraph" w:customStyle="1" w:styleId="xl252">
    <w:name w:val="xl252"/>
    <w:basedOn w:val="Normal"/>
    <w:qFormat/>
    <w:rsid w:val="00690440"/>
    <w:pPr>
      <w:pBdr>
        <w:top w:val="single" w:sz="4" w:space="0" w:color="auto"/>
        <w:left w:val="single" w:sz="4" w:space="0" w:color="auto"/>
        <w:right w:val="single" w:sz="4" w:space="0" w:color="auto"/>
      </w:pBdr>
      <w:shd w:val="clear" w:color="000000" w:fill="87E9B3"/>
      <w:spacing w:before="100" w:beforeAutospacing="1" w:after="100" w:afterAutospacing="1" w:line="276" w:lineRule="auto"/>
      <w:jc w:val="center"/>
      <w:textAlignment w:val="center"/>
    </w:pPr>
    <w:rPr>
      <w:rFonts w:ascii="Garamond" w:eastAsia="Times New Roman" w:hAnsi="Garamond" w:cs="Times New Roman"/>
      <w:b/>
      <w:bCs/>
      <w:color w:val="0000FF"/>
      <w:sz w:val="22"/>
      <w:szCs w:val="22"/>
      <w:lang w:eastAsia="en-GB"/>
    </w:rPr>
  </w:style>
  <w:style w:type="paragraph" w:customStyle="1" w:styleId="8">
    <w:name w:val="8"/>
    <w:basedOn w:val="Normal"/>
    <w:semiHidden/>
    <w:qFormat/>
    <w:rsid w:val="00690440"/>
    <w:pPr>
      <w:spacing w:after="200" w:line="276" w:lineRule="auto"/>
    </w:pPr>
    <w:rPr>
      <w:rFonts w:ascii="Times New Roman" w:eastAsia="Times New Roman" w:hAnsi="Times New Roman" w:cs="Times New Roman"/>
      <w:sz w:val="24"/>
      <w:szCs w:val="22"/>
      <w:lang w:val="pl-PL" w:eastAsia="pl-PL"/>
    </w:rPr>
  </w:style>
  <w:style w:type="paragraph" w:customStyle="1" w:styleId="Style6">
    <w:name w:val="Style6"/>
    <w:basedOn w:val="Heading1"/>
    <w:next w:val="Normal10"/>
    <w:link w:val="Style6Char"/>
    <w:qFormat/>
    <w:rsid w:val="00690440"/>
    <w:pPr>
      <w:suppressAutoHyphens w:val="0"/>
      <w:spacing w:before="480" w:after="0" w:line="276" w:lineRule="auto"/>
      <w:ind w:left="715" w:hanging="432"/>
      <w:contextualSpacing w:val="0"/>
    </w:pPr>
    <w:rPr>
      <w:rFonts w:eastAsia="Times New Roman" w:cs="Times New Roman"/>
      <w:b/>
      <w:color w:val="365F91"/>
      <w:sz w:val="18"/>
      <w:szCs w:val="18"/>
      <w:lang w:eastAsia="ro-RO"/>
    </w:rPr>
  </w:style>
  <w:style w:type="character" w:customStyle="1" w:styleId="Style6Char">
    <w:name w:val="Style6 Char"/>
    <w:link w:val="Style6"/>
    <w:rsid w:val="00690440"/>
    <w:rPr>
      <w:rFonts w:eastAsia="Times New Roman" w:cs="Times New Roman"/>
      <w:b/>
      <w:bCs/>
      <w:color w:val="365F91"/>
      <w:lang w:val="ro-RO" w:eastAsia="ro-RO"/>
    </w:rPr>
  </w:style>
  <w:style w:type="paragraph" w:customStyle="1" w:styleId="3372873BB58A4DED866D2BE34882C06C">
    <w:name w:val="3372873BB58A4DED866D2BE34882C06C"/>
    <w:rsid w:val="00690440"/>
    <w:pPr>
      <w:spacing w:after="200" w:line="276" w:lineRule="auto"/>
    </w:pPr>
    <w:rPr>
      <w:rFonts w:eastAsia="Times New Roman" w:cs="Times New Roman"/>
      <w:sz w:val="22"/>
      <w:szCs w:val="22"/>
      <w:lang w:val="en-US" w:eastAsia="ja-JP"/>
    </w:rPr>
  </w:style>
  <w:style w:type="paragraph" w:customStyle="1" w:styleId="ExpansionofaSum">
    <w:name w:val="Expansion of a Sum"/>
    <w:rsid w:val="00690440"/>
    <w:pPr>
      <w:spacing w:after="200" w:line="276" w:lineRule="auto"/>
    </w:pPr>
    <w:rPr>
      <w:rFonts w:eastAsia="Times New Roman" w:cs="Times New Roman"/>
      <w:sz w:val="22"/>
      <w:szCs w:val="22"/>
      <w:lang w:val="en-US" w:eastAsia="ja-JP"/>
    </w:rPr>
  </w:style>
  <w:style w:type="character" w:customStyle="1" w:styleId="UnresolvedMention1">
    <w:name w:val="Unresolved Mention1"/>
    <w:uiPriority w:val="99"/>
    <w:unhideWhenUsed/>
    <w:rsid w:val="00690440"/>
    <w:rPr>
      <w:color w:val="808080"/>
      <w:shd w:val="clear" w:color="auto" w:fill="E6E6E6"/>
    </w:rPr>
  </w:style>
  <w:style w:type="paragraph" w:customStyle="1" w:styleId="default0">
    <w:name w:val="default"/>
    <w:basedOn w:val="Normal"/>
    <w:qFormat/>
    <w:rsid w:val="00690440"/>
    <w:pPr>
      <w:autoSpaceDE w:val="0"/>
      <w:autoSpaceDN w:val="0"/>
      <w:spacing w:after="120" w:line="276" w:lineRule="auto"/>
      <w:jc w:val="both"/>
    </w:pPr>
    <w:rPr>
      <w:rFonts w:ascii="Times New Roman" w:eastAsia="Calibri" w:hAnsi="Times New Roman" w:cs="Times New Roman"/>
      <w:color w:val="000000"/>
      <w:sz w:val="24"/>
      <w:szCs w:val="24"/>
      <w:lang w:eastAsia="ro-RO"/>
    </w:rPr>
  </w:style>
  <w:style w:type="paragraph" w:customStyle="1" w:styleId="FrontPage">
    <w:name w:val="FrontPage"/>
    <w:basedOn w:val="Normal"/>
    <w:uiPriority w:val="99"/>
    <w:qFormat/>
    <w:rsid w:val="00690440"/>
    <w:pPr>
      <w:numPr>
        <w:numId w:val="46"/>
      </w:numPr>
      <w:tabs>
        <w:tab w:val="num" w:pos="1584"/>
        <w:tab w:val="num" w:pos="1701"/>
      </w:tabs>
      <w:spacing w:after="200" w:line="276" w:lineRule="auto"/>
      <w:jc w:val="both"/>
    </w:pPr>
    <w:rPr>
      <w:rFonts w:ascii="Arial" w:eastAsia="SimSun" w:hAnsi="Arial" w:cs="Times New Roman"/>
      <w:b/>
      <w:caps/>
      <w:sz w:val="20"/>
      <w:szCs w:val="20"/>
      <w:lang w:val="en-GB"/>
    </w:rPr>
  </w:style>
  <w:style w:type="character" w:customStyle="1" w:styleId="Bodytext0">
    <w:name w:val="Body text_"/>
    <w:link w:val="BodyText1"/>
    <w:rsid w:val="00690440"/>
    <w:rPr>
      <w:rFonts w:ascii="Arial" w:eastAsia="Arial" w:hAnsi="Arial" w:cs="Arial"/>
      <w:shd w:val="clear" w:color="auto" w:fill="FFFFFF"/>
    </w:rPr>
  </w:style>
  <w:style w:type="paragraph" w:customStyle="1" w:styleId="BodyText1">
    <w:name w:val="Body Text1"/>
    <w:basedOn w:val="Normal"/>
    <w:link w:val="Bodytext0"/>
    <w:rsid w:val="00690440"/>
    <w:pPr>
      <w:widowControl w:val="0"/>
      <w:shd w:val="clear" w:color="auto" w:fill="FFFFFF"/>
      <w:spacing w:before="240" w:after="180" w:line="0" w:lineRule="atLeast"/>
      <w:ind w:hanging="680"/>
    </w:pPr>
    <w:rPr>
      <w:rFonts w:ascii="Arial" w:eastAsia="Arial" w:hAnsi="Arial" w:cs="Arial"/>
      <w:lang w:val="da-DK"/>
    </w:rPr>
  </w:style>
  <w:style w:type="paragraph" w:customStyle="1" w:styleId="Alineat">
    <w:name w:val="Alineat"/>
    <w:basedOn w:val="Normal"/>
    <w:qFormat/>
    <w:rsid w:val="00690440"/>
    <w:pPr>
      <w:spacing w:before="240" w:after="240" w:line="240" w:lineRule="auto"/>
      <w:ind w:firstLine="720"/>
      <w:jc w:val="both"/>
    </w:pPr>
    <w:rPr>
      <w:rFonts w:ascii="Times New Roman" w:eastAsia="Calibri" w:hAnsi="Times New Roman" w:cs="Times New Roman"/>
      <w:sz w:val="24"/>
      <w:szCs w:val="22"/>
    </w:rPr>
  </w:style>
  <w:style w:type="character" w:customStyle="1" w:styleId="TextnormalChar">
    <w:name w:val="Text normal Char"/>
    <w:link w:val="Textnormal"/>
    <w:locked/>
    <w:rsid w:val="00690440"/>
    <w:rPr>
      <w:rFonts w:ascii="Arial" w:eastAsia="Times New Roman" w:hAnsi="Arial" w:cs="Arial"/>
    </w:rPr>
  </w:style>
  <w:style w:type="paragraph" w:customStyle="1" w:styleId="Textnormal">
    <w:name w:val="Text normal"/>
    <w:basedOn w:val="Normal"/>
    <w:link w:val="TextnormalChar"/>
    <w:qFormat/>
    <w:rsid w:val="00690440"/>
    <w:pPr>
      <w:widowControl w:val="0"/>
      <w:autoSpaceDE w:val="0"/>
      <w:autoSpaceDN w:val="0"/>
      <w:adjustRightInd w:val="0"/>
      <w:spacing w:after="60" w:line="240" w:lineRule="auto"/>
      <w:ind w:left="851"/>
      <w:jc w:val="both"/>
    </w:pPr>
    <w:rPr>
      <w:rFonts w:ascii="Arial" w:eastAsia="Times New Roman" w:hAnsi="Arial" w:cs="Arial"/>
      <w:lang w:val="da-DK"/>
    </w:rPr>
  </w:style>
  <w:style w:type="paragraph" w:customStyle="1" w:styleId="Figuranota">
    <w:name w:val="Figura_nota"/>
    <w:basedOn w:val="Normal"/>
    <w:qFormat/>
    <w:rsid w:val="00690440"/>
    <w:pPr>
      <w:spacing w:line="240" w:lineRule="auto"/>
      <w:contextualSpacing/>
      <w:jc w:val="center"/>
    </w:pPr>
    <w:rPr>
      <w:rFonts w:ascii="Times New Roman" w:eastAsia="Times New Roman" w:hAnsi="Times New Roman" w:cs="Times New Roman"/>
      <w:sz w:val="20"/>
      <w:szCs w:val="20"/>
      <w:lang w:val="hu-HU" w:eastAsia="hu-HU"/>
    </w:rPr>
  </w:style>
  <w:style w:type="character" w:customStyle="1" w:styleId="sttalineat">
    <w:name w:val="sttalineat"/>
    <w:basedOn w:val="DefaultParagraphFont"/>
    <w:rsid w:val="00690440"/>
  </w:style>
  <w:style w:type="paragraph" w:customStyle="1" w:styleId="CharChar2CharCharCharCharCharCharCharCharCharChar">
    <w:name w:val="Char Char2 Char Char Char Char Char Char Char Char Char Char"/>
    <w:basedOn w:val="Normal"/>
    <w:qFormat/>
    <w:rsid w:val="00690440"/>
    <w:pPr>
      <w:spacing w:line="240" w:lineRule="auto"/>
    </w:pPr>
    <w:rPr>
      <w:rFonts w:ascii="Times New Roman" w:eastAsia="Times New Roman" w:hAnsi="Times New Roman" w:cs="Times New Roman"/>
      <w:sz w:val="24"/>
      <w:szCs w:val="24"/>
      <w:lang w:val="pl-PL" w:eastAsia="pl-PL"/>
    </w:rPr>
  </w:style>
  <w:style w:type="table" w:customStyle="1" w:styleId="TableGrid0">
    <w:name w:val="TableGrid"/>
    <w:rsid w:val="00690440"/>
    <w:pPr>
      <w:spacing w:line="240" w:lineRule="auto"/>
    </w:pPr>
    <w:rPr>
      <w:rFonts w:eastAsia="Times New Roman" w:cs="Times New Roman"/>
      <w:sz w:val="22"/>
      <w:szCs w:val="22"/>
      <w:lang w:val="ro-RO" w:eastAsia="ro-RO"/>
    </w:rPr>
    <w:tblPr>
      <w:tblCellMar>
        <w:top w:w="0" w:type="dxa"/>
        <w:left w:w="0" w:type="dxa"/>
        <w:bottom w:w="0" w:type="dxa"/>
        <w:right w:w="0" w:type="dxa"/>
      </w:tblCellMar>
    </w:tblPr>
  </w:style>
  <w:style w:type="numbering" w:customStyle="1" w:styleId="Bullets-normal">
    <w:name w:val="Bullets - normal"/>
    <w:rsid w:val="00F67FCF"/>
    <w:pPr>
      <w:numPr>
        <w:numId w:val="49"/>
      </w:numPr>
    </w:pPr>
  </w:style>
  <w:style w:type="table" w:customStyle="1" w:styleId="TableGrid14">
    <w:name w:val="TableGrid1"/>
    <w:rsid w:val="00690440"/>
    <w:pPr>
      <w:spacing w:line="240" w:lineRule="auto"/>
    </w:pPr>
    <w:rPr>
      <w:rFonts w:eastAsia="Times New Roman" w:cs="Times New Roman"/>
      <w:sz w:val="22"/>
      <w:szCs w:val="22"/>
      <w:lang w:val="ro-RO" w:eastAsia="ro-RO"/>
    </w:rPr>
    <w:tblPr>
      <w:tblCellMar>
        <w:top w:w="0" w:type="dxa"/>
        <w:left w:w="0" w:type="dxa"/>
        <w:bottom w:w="0" w:type="dxa"/>
        <w:right w:w="0" w:type="dxa"/>
      </w:tblCellMar>
    </w:tblPr>
  </w:style>
  <w:style w:type="table" w:customStyle="1" w:styleId="TableGrid23">
    <w:name w:val="TableGrid2"/>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character" w:customStyle="1" w:styleId="Emphasise-bold">
    <w:name w:val="Emphasise - bold"/>
    <w:rsid w:val="00690440"/>
    <w:rPr>
      <w:rFonts w:ascii="Palatino Linotype" w:hAnsi="Palatino Linotype" w:hint="default"/>
      <w:b/>
      <w:bCs w:val="0"/>
      <w:color w:val="auto"/>
      <w:sz w:val="20"/>
    </w:rPr>
  </w:style>
  <w:style w:type="table" w:customStyle="1" w:styleId="TableGrid60">
    <w:name w:val="Table Grid6"/>
    <w:basedOn w:val="TableNormal"/>
    <w:next w:val="TableGrid"/>
    <w:rsid w:val="00690440"/>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ed2-ro">
    <w:name w:val="@Bulleted 2-ro"/>
    <w:basedOn w:val="Normal"/>
    <w:rsid w:val="00690440"/>
    <w:pPr>
      <w:tabs>
        <w:tab w:val="right" w:pos="567"/>
      </w:tabs>
      <w:spacing w:line="240" w:lineRule="auto"/>
      <w:ind w:left="717" w:right="567" w:hanging="360"/>
      <w:jc w:val="both"/>
    </w:pPr>
    <w:rPr>
      <w:rFonts w:ascii="Arial" w:eastAsia="Times New Roman" w:hAnsi="Arial" w:cs="Times New Roman"/>
      <w:sz w:val="22"/>
      <w:szCs w:val="24"/>
      <w:lang w:eastAsia="ro-RO"/>
    </w:rPr>
  </w:style>
  <w:style w:type="paragraph" w:customStyle="1" w:styleId="Style9">
    <w:name w:val="Style9"/>
    <w:basedOn w:val="Normal"/>
    <w:uiPriority w:val="99"/>
    <w:qFormat/>
    <w:rsid w:val="00690440"/>
    <w:pPr>
      <w:widowControl w:val="0"/>
      <w:autoSpaceDE w:val="0"/>
      <w:autoSpaceDN w:val="0"/>
      <w:adjustRightInd w:val="0"/>
      <w:spacing w:line="470" w:lineRule="exact"/>
      <w:ind w:firstLine="725"/>
    </w:pPr>
    <w:rPr>
      <w:rFonts w:ascii="Times New Roman" w:eastAsia="Times New Roman" w:hAnsi="Times New Roman" w:cs="Times New Roman"/>
      <w:sz w:val="24"/>
      <w:szCs w:val="24"/>
      <w:lang w:val="en-US"/>
    </w:rPr>
  </w:style>
  <w:style w:type="paragraph" w:customStyle="1" w:styleId="Corptext2">
    <w:name w:val="Corp text 2"/>
    <w:basedOn w:val="Normal"/>
    <w:qFormat/>
    <w:rsid w:val="00690440"/>
    <w:pPr>
      <w:suppressAutoHyphens/>
      <w:spacing w:line="240" w:lineRule="auto"/>
      <w:jc w:val="both"/>
    </w:pPr>
    <w:rPr>
      <w:rFonts w:ascii="Arial" w:eastAsia="Times New Roman" w:hAnsi="Arial" w:cs="Arial"/>
      <w:iCs/>
      <w:sz w:val="28"/>
      <w:szCs w:val="20"/>
      <w:lang w:val="fr-FR" w:eastAsia="zh-CN"/>
    </w:rPr>
  </w:style>
  <w:style w:type="paragraph" w:customStyle="1" w:styleId="FR1">
    <w:name w:val="FR1"/>
    <w:rsid w:val="00690440"/>
    <w:pPr>
      <w:widowControl w:val="0"/>
      <w:autoSpaceDE w:val="0"/>
      <w:autoSpaceDN w:val="0"/>
      <w:adjustRightInd w:val="0"/>
      <w:spacing w:beforeLines="30" w:after="200" w:line="274" w:lineRule="exact"/>
      <w:ind w:left="720" w:firstLine="720"/>
      <w:jc w:val="both"/>
    </w:pPr>
    <w:rPr>
      <w:rFonts w:eastAsia="Times New Roman" w:cs="Times New Roman"/>
      <w:sz w:val="24"/>
      <w:szCs w:val="24"/>
      <w:lang w:val="ro-RO"/>
    </w:rPr>
  </w:style>
  <w:style w:type="paragraph" w:customStyle="1" w:styleId="Corptext3">
    <w:name w:val="Corp text 3"/>
    <w:basedOn w:val="Normal"/>
    <w:rsid w:val="00690440"/>
    <w:pPr>
      <w:suppressAutoHyphens/>
      <w:spacing w:after="120" w:line="240" w:lineRule="auto"/>
    </w:pPr>
    <w:rPr>
      <w:rFonts w:ascii="Times New Roman" w:eastAsia="Times New Roman" w:hAnsi="Times New Roman" w:cs="Times New Roman"/>
      <w:sz w:val="16"/>
      <w:szCs w:val="16"/>
      <w:lang w:val="en-US" w:eastAsia="zh-CN"/>
    </w:rPr>
  </w:style>
  <w:style w:type="character" w:customStyle="1" w:styleId="WW8Num10z0">
    <w:name w:val="WW8Num10z0"/>
    <w:rsid w:val="00690440"/>
    <w:rPr>
      <w:rFonts w:ascii="Arial" w:hAnsi="Arial" w:cs="Times New Roman" w:hint="default"/>
      <w:sz w:val="26"/>
      <w:szCs w:val="26"/>
      <w:lang w:val="ro-RO"/>
    </w:rPr>
  </w:style>
  <w:style w:type="paragraph" w:customStyle="1" w:styleId="Corptext22">
    <w:name w:val="Corp text 22"/>
    <w:basedOn w:val="Normal"/>
    <w:qFormat/>
    <w:rsid w:val="00690440"/>
    <w:pPr>
      <w:suppressAutoHyphens/>
      <w:spacing w:line="240" w:lineRule="auto"/>
      <w:jc w:val="both"/>
    </w:pPr>
    <w:rPr>
      <w:rFonts w:ascii="Arial" w:eastAsia="Times New Roman" w:hAnsi="Arial" w:cs="Arial"/>
      <w:iCs/>
      <w:sz w:val="28"/>
      <w:szCs w:val="20"/>
      <w:lang w:val="fr-FR" w:eastAsia="zh-CN"/>
    </w:rPr>
  </w:style>
  <w:style w:type="paragraph" w:customStyle="1" w:styleId="Corptext31">
    <w:name w:val="Corp text 31"/>
    <w:basedOn w:val="Normal"/>
    <w:qFormat/>
    <w:rsid w:val="00690440"/>
    <w:pPr>
      <w:suppressAutoHyphens/>
      <w:spacing w:after="120" w:line="240" w:lineRule="auto"/>
    </w:pPr>
    <w:rPr>
      <w:rFonts w:ascii="Times New Roman" w:eastAsia="Times New Roman" w:hAnsi="Times New Roman" w:cs="Times New Roman"/>
      <w:sz w:val="16"/>
      <w:szCs w:val="16"/>
      <w:lang w:val="en-US" w:eastAsia="zh-CN"/>
    </w:rPr>
  </w:style>
  <w:style w:type="paragraph" w:customStyle="1" w:styleId="Listcumarcatori1">
    <w:name w:val="Listă cu marcatori1"/>
    <w:basedOn w:val="Normal"/>
    <w:rsid w:val="00F67FCF"/>
    <w:pPr>
      <w:tabs>
        <w:tab w:val="num" w:pos="1080"/>
      </w:tabs>
      <w:suppressAutoHyphens/>
      <w:spacing w:line="240" w:lineRule="auto"/>
      <w:ind w:left="720" w:hanging="360"/>
      <w:jc w:val="both"/>
    </w:pPr>
    <w:rPr>
      <w:rFonts w:ascii="Times New Roman" w:eastAsia="Times New Roman" w:hAnsi="Times New Roman" w:cs="Times New Roman"/>
      <w:sz w:val="24"/>
      <w:szCs w:val="20"/>
      <w:lang w:eastAsia="zh-CN"/>
    </w:rPr>
  </w:style>
  <w:style w:type="table" w:customStyle="1" w:styleId="TableGrid32">
    <w:name w:val="TableGrid3"/>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41">
    <w:name w:val="TableGrid4"/>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51">
    <w:name w:val="TableGrid5"/>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61">
    <w:name w:val="TableGrid6"/>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70">
    <w:name w:val="TableGrid7"/>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80">
    <w:name w:val="TableGrid8"/>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9">
    <w:name w:val="TableGrid9"/>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100">
    <w:name w:val="TableGrid10"/>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110">
    <w:name w:val="TableGrid11"/>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120">
    <w:name w:val="TableGrid12"/>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paragraph" w:customStyle="1" w:styleId="JBAParaText">
    <w:name w:val="JBA Para Text"/>
    <w:basedOn w:val="Normal"/>
    <w:uiPriority w:val="99"/>
    <w:qFormat/>
    <w:rsid w:val="00690440"/>
    <w:pPr>
      <w:widowControl w:val="0"/>
      <w:tabs>
        <w:tab w:val="right" w:pos="8789"/>
      </w:tabs>
      <w:spacing w:after="120" w:line="240" w:lineRule="auto"/>
      <w:ind w:left="720"/>
      <w:jc w:val="both"/>
      <w:outlineLvl w:val="1"/>
    </w:pPr>
    <w:rPr>
      <w:rFonts w:ascii="Arial" w:eastAsia="Times New Roman" w:hAnsi="Arial" w:cs="Times New Roman"/>
      <w:sz w:val="24"/>
      <w:szCs w:val="24"/>
      <w:lang w:val="en-GB"/>
    </w:rPr>
  </w:style>
  <w:style w:type="paragraph" w:customStyle="1" w:styleId="Referinta">
    <w:name w:val="Referinta"/>
    <w:basedOn w:val="Normal"/>
    <w:uiPriority w:val="99"/>
    <w:qFormat/>
    <w:rsid w:val="00690440"/>
    <w:pPr>
      <w:spacing w:line="240" w:lineRule="atLeast"/>
      <w:jc w:val="both"/>
    </w:pPr>
    <w:rPr>
      <w:rFonts w:ascii="Arial" w:eastAsia="Times New Roman" w:hAnsi="Arial" w:cs="Times New Roman"/>
      <w:sz w:val="22"/>
      <w:lang w:val="en-GB"/>
    </w:rPr>
  </w:style>
  <w:style w:type="paragraph" w:customStyle="1" w:styleId="ColorfulShading-Accent31">
    <w:name w:val="Colorful Shading - Accent 31"/>
    <w:basedOn w:val="Normal"/>
    <w:uiPriority w:val="34"/>
    <w:qFormat/>
    <w:rsid w:val="00690440"/>
    <w:pPr>
      <w:widowControl w:val="0"/>
      <w:suppressAutoHyphens/>
      <w:autoSpaceDE w:val="0"/>
      <w:spacing w:line="240" w:lineRule="auto"/>
      <w:ind w:left="720"/>
    </w:pPr>
    <w:rPr>
      <w:rFonts w:ascii="Times New Roman" w:eastAsia="Times New Roman" w:hAnsi="Times New Roman" w:cs="Times New Roman"/>
      <w:sz w:val="24"/>
      <w:szCs w:val="24"/>
      <w:lang w:val="en-US" w:eastAsia="ar-SA"/>
    </w:rPr>
  </w:style>
  <w:style w:type="table" w:customStyle="1" w:styleId="TableGrid71">
    <w:name w:val="Table Grid7"/>
    <w:basedOn w:val="TableNormal"/>
    <w:next w:val="TableGrid"/>
    <w:uiPriority w:val="39"/>
    <w:rsid w:val="00690440"/>
    <w:pPr>
      <w:spacing w:line="240" w:lineRule="auto"/>
    </w:pPr>
    <w:rPr>
      <w:rFonts w:ascii="Calibri" w:eastAsia="Calibri" w:hAnsi="Calibri" w:cs="Times New Roman"/>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ediumGrid1-Accent21">
    <w:name w:val="Medium Grid 1 - Accent 21"/>
    <w:basedOn w:val="Normal"/>
    <w:uiPriority w:val="1"/>
    <w:qFormat/>
    <w:rsid w:val="00690440"/>
    <w:pPr>
      <w:spacing w:after="200" w:line="276" w:lineRule="auto"/>
      <w:ind w:left="720"/>
      <w:contextualSpacing/>
    </w:pPr>
    <w:rPr>
      <w:rFonts w:ascii="Calibri" w:eastAsia="Calibri" w:hAnsi="Calibri" w:cs="Times New Roman"/>
      <w:sz w:val="22"/>
      <w:szCs w:val="22"/>
      <w:lang w:val="en-US"/>
    </w:rPr>
  </w:style>
  <w:style w:type="table" w:customStyle="1" w:styleId="TableGrid81">
    <w:name w:val="Table Grid8"/>
    <w:basedOn w:val="TableNormal"/>
    <w:next w:val="TableGrid"/>
    <w:uiPriority w:val="59"/>
    <w:rsid w:val="00690440"/>
    <w:pPr>
      <w:spacing w:line="240" w:lineRule="auto"/>
    </w:pPr>
    <w:rPr>
      <w:rFonts w:ascii="Calibri" w:eastAsia="Calibri" w:hAnsi="Calibri" w:cs="Times New Roman"/>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ediumGrid21">
    <w:name w:val="Medium Grid 21"/>
    <w:uiPriority w:val="1"/>
    <w:qFormat/>
    <w:rsid w:val="00690440"/>
    <w:pPr>
      <w:widowControl w:val="0"/>
      <w:suppressAutoHyphens/>
      <w:autoSpaceDE w:val="0"/>
      <w:spacing w:line="240" w:lineRule="auto"/>
    </w:pPr>
    <w:rPr>
      <w:rFonts w:ascii="Calibri" w:eastAsia="Calibri" w:hAnsi="Calibri" w:cs="Times New Roman"/>
      <w:sz w:val="24"/>
      <w:szCs w:val="24"/>
      <w:lang w:val="en-US" w:eastAsia="ar-SA"/>
    </w:rPr>
  </w:style>
  <w:style w:type="paragraph" w:customStyle="1" w:styleId="Capdetabel">
    <w:name w:val="Cap de tabel"/>
    <w:basedOn w:val="Normal"/>
    <w:link w:val="CapdetabelChar"/>
    <w:qFormat/>
    <w:rsid w:val="00690440"/>
    <w:pPr>
      <w:spacing w:line="276" w:lineRule="auto"/>
      <w:ind w:right="44"/>
      <w:jc w:val="center"/>
    </w:pPr>
    <w:rPr>
      <w:rFonts w:ascii="Arial" w:eastAsia="Calibri" w:hAnsi="Arial" w:cs="Arial"/>
      <w:b/>
      <w:sz w:val="22"/>
      <w:szCs w:val="22"/>
    </w:rPr>
  </w:style>
  <w:style w:type="paragraph" w:customStyle="1" w:styleId="formattabel">
    <w:name w:val="format tabel"/>
    <w:basedOn w:val="Normal"/>
    <w:link w:val="formattabelChar"/>
    <w:qFormat/>
    <w:rsid w:val="00690440"/>
    <w:pPr>
      <w:spacing w:line="276" w:lineRule="auto"/>
      <w:ind w:right="44"/>
      <w:jc w:val="both"/>
    </w:pPr>
    <w:rPr>
      <w:rFonts w:ascii="Arial" w:eastAsia="Calibri" w:hAnsi="Arial" w:cs="Arial"/>
      <w:sz w:val="22"/>
      <w:szCs w:val="22"/>
    </w:rPr>
  </w:style>
  <w:style w:type="character" w:customStyle="1" w:styleId="CapdetabelChar">
    <w:name w:val="Cap de tabel Char"/>
    <w:link w:val="Capdetabel"/>
    <w:rsid w:val="00690440"/>
    <w:rPr>
      <w:rFonts w:ascii="Arial" w:eastAsia="Calibri" w:hAnsi="Arial" w:cs="Arial"/>
      <w:b/>
      <w:sz w:val="22"/>
      <w:szCs w:val="22"/>
      <w:lang w:val="ro-RO"/>
    </w:rPr>
  </w:style>
  <w:style w:type="character" w:customStyle="1" w:styleId="formattabelChar">
    <w:name w:val="format tabel Char"/>
    <w:link w:val="formattabel"/>
    <w:rsid w:val="00690440"/>
    <w:rPr>
      <w:rFonts w:ascii="Arial" w:eastAsia="Calibri" w:hAnsi="Arial" w:cs="Arial"/>
      <w:sz w:val="22"/>
      <w:szCs w:val="22"/>
      <w:lang w:val="ro-RO"/>
    </w:rPr>
  </w:style>
  <w:style w:type="paragraph" w:customStyle="1" w:styleId="Subtitlumic">
    <w:name w:val="Subtitlu mic"/>
    <w:basedOn w:val="Normal"/>
    <w:link w:val="SubtitlumicChar"/>
    <w:qFormat/>
    <w:rsid w:val="00690440"/>
    <w:pPr>
      <w:spacing w:after="200" w:line="276" w:lineRule="auto"/>
      <w:ind w:right="44"/>
      <w:jc w:val="both"/>
    </w:pPr>
    <w:rPr>
      <w:rFonts w:ascii="Arial" w:eastAsia="Calibri" w:hAnsi="Arial" w:cs="Arial"/>
      <w:b/>
      <w:sz w:val="22"/>
      <w:szCs w:val="22"/>
    </w:rPr>
  </w:style>
  <w:style w:type="character" w:customStyle="1" w:styleId="SubtitlumicChar">
    <w:name w:val="Subtitlu mic Char"/>
    <w:link w:val="Subtitlumic"/>
    <w:rsid w:val="00690440"/>
    <w:rPr>
      <w:rFonts w:ascii="Arial" w:eastAsia="Calibri" w:hAnsi="Arial" w:cs="Arial"/>
      <w:b/>
      <w:sz w:val="22"/>
      <w:szCs w:val="22"/>
      <w:lang w:val="ro-RO"/>
    </w:rPr>
  </w:style>
  <w:style w:type="table" w:customStyle="1" w:styleId="TableGrid130">
    <w:name w:val="TableGrid13"/>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LightGrid-Accent112">
    <w:name w:val="Light Grid - Accent 112"/>
    <w:rsid w:val="00441B69"/>
    <w:pPr>
      <w:spacing w:after="200" w:line="276" w:lineRule="auto"/>
    </w:pPr>
    <w:rPr>
      <w:rFonts w:ascii="Calibri" w:eastAsia="Times New Roman" w:hAnsi="Calibri" w:cs="Times New Roman"/>
      <w:sz w:val="22"/>
      <w:szCs w:val="22"/>
      <w:lang w:val="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numbering" w:customStyle="1" w:styleId="cuprins11">
    <w:name w:val="cuprins 11"/>
    <w:rsid w:val="00487D94"/>
    <w:pPr>
      <w:numPr>
        <w:numId w:val="62"/>
      </w:numPr>
    </w:pPr>
  </w:style>
  <w:style w:type="character" w:customStyle="1" w:styleId="ui-provider">
    <w:name w:val="ui-provider"/>
    <w:basedOn w:val="DefaultParagraphFont"/>
    <w:rsid w:val="00A01C18"/>
  </w:style>
  <w:style w:type="table" w:customStyle="1" w:styleId="TableGrid90">
    <w:name w:val="Table Grid9"/>
    <w:basedOn w:val="TableNormal"/>
    <w:next w:val="TableGrid"/>
    <w:rsid w:val="00195744"/>
    <w:pPr>
      <w:spacing w:line="240" w:lineRule="auto"/>
    </w:pPr>
    <w:rPr>
      <w:rFonts w:ascii="Calibri" w:hAnsi="Calibri"/>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otnotedescription">
    <w:name w:val="footnote description"/>
    <w:next w:val="Normal"/>
    <w:link w:val="footnotedescriptionChar"/>
    <w:hidden/>
    <w:qFormat/>
    <w:rsid w:val="00586DC8"/>
    <w:pPr>
      <w:spacing w:line="278" w:lineRule="auto"/>
      <w:ind w:left="243"/>
    </w:pPr>
    <w:rPr>
      <w:rFonts w:ascii="Times New Roman" w:eastAsia="Times New Roman" w:hAnsi="Times New Roman" w:cs="Times New Roman"/>
      <w:color w:val="000000"/>
      <w:kern w:val="2"/>
      <w:sz w:val="20"/>
      <w:szCs w:val="22"/>
      <w:lang w:val="ro-RO" w:eastAsia="ro-RO"/>
      <w14:ligatures w14:val="standardContextual"/>
    </w:rPr>
  </w:style>
  <w:style w:type="character" w:customStyle="1" w:styleId="footnotedescriptionChar">
    <w:name w:val="footnote description Char"/>
    <w:link w:val="footnotedescription"/>
    <w:rsid w:val="00586DC8"/>
    <w:rPr>
      <w:rFonts w:ascii="Times New Roman" w:eastAsia="Times New Roman" w:hAnsi="Times New Roman" w:cs="Times New Roman"/>
      <w:color w:val="000000"/>
      <w:kern w:val="2"/>
      <w:sz w:val="20"/>
      <w:szCs w:val="22"/>
      <w:lang w:val="ro-RO" w:eastAsia="ro-RO"/>
      <w14:ligatures w14:val="standardContextual"/>
    </w:rPr>
  </w:style>
  <w:style w:type="character" w:customStyle="1" w:styleId="footnotemark">
    <w:name w:val="footnote mark"/>
    <w:hidden/>
    <w:rsid w:val="00586DC8"/>
    <w:rPr>
      <w:rFonts w:ascii="Times New Roman" w:eastAsia="Times New Roman" w:hAnsi="Times New Roman" w:cs="Times New Roman"/>
      <w:color w:val="000000"/>
      <w:sz w:val="20"/>
      <w:vertAlign w:val="superscript"/>
    </w:rPr>
  </w:style>
  <w:style w:type="character" w:customStyle="1" w:styleId="DefaultChar">
    <w:name w:val="Default Char"/>
    <w:link w:val="Default"/>
    <w:locked/>
    <w:rsid w:val="007257E3"/>
    <w:rPr>
      <w:rFonts w:ascii="Arial" w:eastAsia="Times New Roman" w:hAnsi="Arial" w:cs="Arial"/>
      <w:color w:val="000000"/>
      <w:sz w:val="24"/>
      <w:szCs w:val="24"/>
      <w:lang w:val="en-US"/>
    </w:rPr>
  </w:style>
  <w:style w:type="paragraph" w:customStyle="1" w:styleId="bvkop1">
    <w:name w:val="bvkop1"/>
    <w:basedOn w:val="Heading1"/>
    <w:next w:val="Standaardzonderwitregel"/>
    <w:qFormat/>
    <w:rsid w:val="007257E3"/>
    <w:pPr>
      <w:keepLines w:val="0"/>
      <w:numPr>
        <w:numId w:val="95"/>
      </w:numPr>
      <w:tabs>
        <w:tab w:val="left" w:pos="964"/>
        <w:tab w:val="left" w:pos="1077"/>
        <w:tab w:val="left" w:pos="1191"/>
        <w:tab w:val="left" w:pos="1304"/>
        <w:tab w:val="left" w:pos="1418"/>
        <w:tab w:val="left" w:pos="1531"/>
        <w:tab w:val="left" w:pos="1644"/>
        <w:tab w:val="right" w:pos="10036"/>
      </w:tabs>
      <w:suppressAutoHyphens w:val="0"/>
      <w:spacing w:before="480" w:after="360" w:line="240" w:lineRule="atLeast"/>
      <w:ind w:left="432" w:hanging="432"/>
      <w:contextualSpacing w:val="0"/>
      <w:jc w:val="both"/>
    </w:pPr>
    <w:rPr>
      <w:rFonts w:eastAsia="Times New Roman" w:cs="Times New Roman"/>
      <w:b/>
      <w:bCs w:val="0"/>
      <w:caps/>
      <w:color w:val="4472C4"/>
      <w:sz w:val="21"/>
      <w:szCs w:val="22"/>
      <w:lang w:val="en-GB"/>
    </w:rPr>
  </w:style>
  <w:style w:type="paragraph" w:customStyle="1" w:styleId="bvkop2">
    <w:name w:val="bvkop2"/>
    <w:basedOn w:val="Heading2"/>
    <w:next w:val="Standaardzonderwitregel"/>
    <w:qFormat/>
    <w:rsid w:val="007257E3"/>
    <w:pPr>
      <w:keepLines w:val="0"/>
      <w:numPr>
        <w:numId w:val="95"/>
      </w:numPr>
      <w:tabs>
        <w:tab w:val="num" w:pos="360"/>
        <w:tab w:val="left" w:pos="510"/>
        <w:tab w:val="left" w:pos="624"/>
        <w:tab w:val="left" w:pos="851"/>
        <w:tab w:val="right" w:pos="10036"/>
      </w:tabs>
      <w:suppressAutoHyphens w:val="0"/>
      <w:spacing w:before="240" w:line="240" w:lineRule="atLeast"/>
      <w:ind w:left="576" w:hanging="576"/>
      <w:contextualSpacing w:val="0"/>
      <w:jc w:val="both"/>
    </w:pPr>
    <w:rPr>
      <w:rFonts w:eastAsia="Times New Roman" w:cs="Times New Roman"/>
      <w:b/>
      <w:bCs w:val="0"/>
      <w:sz w:val="21"/>
      <w:szCs w:val="22"/>
      <w:lang w:val="en-GB"/>
    </w:rPr>
  </w:style>
  <w:style w:type="paragraph" w:customStyle="1" w:styleId="bvkop4">
    <w:name w:val="bvkop4"/>
    <w:basedOn w:val="Heading3"/>
    <w:next w:val="Standaardzonderwitregel"/>
    <w:qFormat/>
    <w:rsid w:val="007257E3"/>
    <w:pPr>
      <w:numPr>
        <w:ilvl w:val="3"/>
        <w:numId w:val="95"/>
      </w:numPr>
      <w:tabs>
        <w:tab w:val="num" w:pos="360"/>
        <w:tab w:val="left" w:pos="851"/>
        <w:tab w:val="left" w:pos="964"/>
        <w:tab w:val="left" w:pos="1077"/>
        <w:tab w:val="left" w:pos="1191"/>
        <w:tab w:val="left" w:pos="1418"/>
        <w:tab w:val="right" w:pos="10036"/>
      </w:tabs>
      <w:spacing w:before="252" w:after="120" w:line="240" w:lineRule="atLeast"/>
      <w:ind w:left="38" w:hanging="10"/>
      <w:contextualSpacing w:val="0"/>
      <w:jc w:val="both"/>
      <w:outlineLvl w:val="3"/>
    </w:pPr>
    <w:rPr>
      <w:rFonts w:eastAsia="Calibri" w:cs="Times New Roman"/>
      <w:bCs w:val="0"/>
      <w:szCs w:val="20"/>
      <w:lang w:val="en-GB" w:eastAsia="da-DK"/>
    </w:rPr>
  </w:style>
  <w:style w:type="paragraph" w:customStyle="1" w:styleId="bvkop5">
    <w:name w:val="bvkop5"/>
    <w:basedOn w:val="bvkop4"/>
    <w:next w:val="Standaardzonderwitregel"/>
    <w:qFormat/>
    <w:rsid w:val="007257E3"/>
    <w:pPr>
      <w:numPr>
        <w:ilvl w:val="4"/>
      </w:numPr>
      <w:tabs>
        <w:tab w:val="clear" w:pos="851"/>
        <w:tab w:val="left" w:pos="360"/>
        <w:tab w:val="left" w:pos="1304"/>
      </w:tabs>
      <w:ind w:left="1008" w:hanging="1008"/>
      <w:outlineLvl w:val="4"/>
    </w:pPr>
  </w:style>
  <w:style w:type="paragraph" w:customStyle="1" w:styleId="Paragrafnormal-before6">
    <w:name w:val="Paragraf normal - before 6"/>
    <w:basedOn w:val="Normal"/>
    <w:qFormat/>
    <w:rsid w:val="007257E3"/>
    <w:pPr>
      <w:spacing w:before="120" w:line="240" w:lineRule="auto"/>
      <w:jc w:val="both"/>
    </w:pPr>
    <w:rPr>
      <w:rFonts w:ascii="Times New Roman" w:eastAsia="Times New Roman" w:hAnsi="Times New Roman" w:cs="Times New Roman"/>
      <w:sz w:val="24"/>
      <w:szCs w:val="20"/>
      <w:lang w:val="en-US" w:eastAsia="es-ES"/>
    </w:rPr>
  </w:style>
  <w:style w:type="paragraph" w:customStyle="1" w:styleId="Titlucoperta">
    <w:name w:val="Titlu coperta"/>
    <w:basedOn w:val="Normal"/>
    <w:link w:val="TitlucopertaChar"/>
    <w:qFormat/>
    <w:rsid w:val="007257E3"/>
    <w:pPr>
      <w:shd w:val="clear" w:color="auto" w:fill="FFFFFF"/>
      <w:spacing w:before="120" w:after="120" w:line="240" w:lineRule="auto"/>
      <w:jc w:val="center"/>
    </w:pPr>
    <w:rPr>
      <w:rFonts w:ascii="Times New Roman" w:eastAsia="Times New Roman" w:hAnsi="Times New Roman" w:cs="Times New Roman"/>
      <w:b/>
      <w:color w:val="000000"/>
      <w:sz w:val="36"/>
      <w:szCs w:val="36"/>
      <w:lang w:eastAsia="ro-RO"/>
    </w:rPr>
  </w:style>
  <w:style w:type="character" w:customStyle="1" w:styleId="TitlucopertaChar">
    <w:name w:val="Titlu coperta Char"/>
    <w:basedOn w:val="DefaultParagraphFont"/>
    <w:link w:val="Titlucoperta"/>
    <w:rsid w:val="007257E3"/>
    <w:rPr>
      <w:rFonts w:ascii="Times New Roman" w:eastAsia="Times New Roman" w:hAnsi="Times New Roman" w:cs="Times New Roman"/>
      <w:b/>
      <w:color w:val="000000"/>
      <w:sz w:val="36"/>
      <w:szCs w:val="36"/>
      <w:shd w:val="clear" w:color="auto" w:fill="FFFFFF"/>
      <w:lang w:val="ro-RO" w:eastAsia="ro-RO"/>
    </w:rPr>
  </w:style>
  <w:style w:type="paragraph" w:customStyle="1" w:styleId="Normal-FrontpageHeading1">
    <w:name w:val="Normal - Frontpage Heading 1"/>
    <w:basedOn w:val="Normal"/>
    <w:link w:val="Normal-FrontpageHeading1Char"/>
    <w:semiHidden/>
    <w:qFormat/>
    <w:rsid w:val="007257E3"/>
    <w:pPr>
      <w:spacing w:line="720" w:lineRule="atLeast"/>
      <w:jc w:val="both"/>
    </w:pPr>
    <w:rPr>
      <w:rFonts w:eastAsia="Times New Roman" w:cs="Times New Roman"/>
      <w:b/>
      <w:caps/>
      <w:color w:val="4D4D4D"/>
      <w:sz w:val="60"/>
      <w:szCs w:val="24"/>
      <w:lang w:val="en-GB" w:eastAsia="da-DK"/>
    </w:rPr>
  </w:style>
  <w:style w:type="paragraph" w:customStyle="1" w:styleId="Normal-FrontpageHeading2">
    <w:name w:val="Normal - Frontpage Heading 2"/>
    <w:basedOn w:val="Normal-FrontpageHeading1"/>
    <w:link w:val="Normal-FrontpageHeading2Char"/>
    <w:qFormat/>
    <w:rsid w:val="007257E3"/>
    <w:rPr>
      <w:color w:val="009DE0"/>
    </w:rPr>
  </w:style>
  <w:style w:type="character" w:customStyle="1" w:styleId="Normal-FrontpageHeading1Char">
    <w:name w:val="Normal - Frontpage Heading 1 Char"/>
    <w:link w:val="Normal-FrontpageHeading1"/>
    <w:semiHidden/>
    <w:rsid w:val="007257E3"/>
    <w:rPr>
      <w:rFonts w:eastAsia="Times New Roman" w:cs="Times New Roman"/>
      <w:b/>
      <w:caps/>
      <w:color w:val="4D4D4D"/>
      <w:sz w:val="60"/>
      <w:szCs w:val="24"/>
      <w:lang w:val="en-GB" w:eastAsia="da-DK"/>
    </w:rPr>
  </w:style>
  <w:style w:type="character" w:customStyle="1" w:styleId="Normal-FrontpageHeading2Char">
    <w:name w:val="Normal - Frontpage Heading 2 Char"/>
    <w:link w:val="Normal-FrontpageHeading2"/>
    <w:rsid w:val="007257E3"/>
    <w:rPr>
      <w:rFonts w:eastAsia="Times New Roman" w:cs="Times New Roman"/>
      <w:b/>
      <w:caps/>
      <w:color w:val="009DE0"/>
      <w:sz w:val="60"/>
      <w:szCs w:val="24"/>
      <w:lang w:val="en-GB" w:eastAsia="da-DK"/>
    </w:rPr>
  </w:style>
  <w:style w:type="character" w:customStyle="1" w:styleId="panchor">
    <w:name w:val="panchor"/>
    <w:basedOn w:val="DefaultParagraphFont"/>
    <w:rsid w:val="007257E3"/>
  </w:style>
  <w:style w:type="paragraph" w:customStyle="1" w:styleId="articol2">
    <w:name w:val="articol2"/>
    <w:basedOn w:val="Normal"/>
    <w:rsid w:val="007257E3"/>
    <w:pPr>
      <w:spacing w:line="240" w:lineRule="auto"/>
      <w:jc w:val="both"/>
    </w:pPr>
    <w:rPr>
      <w:rFonts w:ascii="Times New Roman" w:eastAsia="Calibri" w:hAnsi="Times New Roman" w:cs="Times New Roman"/>
      <w:szCs w:val="20"/>
      <w:lang w:val="en-US"/>
    </w:rPr>
  </w:style>
  <w:style w:type="paragraph" w:customStyle="1" w:styleId="yiv8636984621msonormal">
    <w:name w:val="yiv8636984621msonormal"/>
    <w:basedOn w:val="Normal"/>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Bullet1">
    <w:name w:val="~Bullet1"/>
    <w:basedOn w:val="Normal"/>
    <w:qFormat/>
    <w:rsid w:val="007257E3"/>
    <w:pPr>
      <w:numPr>
        <w:numId w:val="96"/>
      </w:numPr>
      <w:spacing w:line="260" w:lineRule="exact"/>
      <w:ind w:left="0" w:firstLine="0"/>
      <w:jc w:val="both"/>
    </w:pPr>
    <w:rPr>
      <w:rFonts w:eastAsia="Times New Roman" w:cs="Arial"/>
      <w:szCs w:val="24"/>
      <w:lang w:val="en-GB" w:eastAsia="en-GB"/>
    </w:rPr>
  </w:style>
  <w:style w:type="paragraph" w:customStyle="1" w:styleId="Bullet2">
    <w:name w:val="~Bullet2"/>
    <w:basedOn w:val="Bullet1"/>
    <w:qFormat/>
    <w:rsid w:val="007257E3"/>
    <w:pPr>
      <w:numPr>
        <w:ilvl w:val="1"/>
      </w:numPr>
      <w:tabs>
        <w:tab w:val="num" w:pos="2727"/>
      </w:tabs>
      <w:ind w:left="0" w:firstLine="0"/>
    </w:pPr>
  </w:style>
  <w:style w:type="paragraph" w:customStyle="1" w:styleId="Bullet3">
    <w:name w:val="~Bullet3"/>
    <w:basedOn w:val="Bullet2"/>
    <w:qFormat/>
    <w:rsid w:val="007257E3"/>
    <w:pPr>
      <w:numPr>
        <w:ilvl w:val="2"/>
      </w:numPr>
      <w:tabs>
        <w:tab w:val="clear" w:pos="2727"/>
        <w:tab w:val="num" w:pos="3011"/>
      </w:tabs>
      <w:ind w:left="0" w:firstLine="0"/>
    </w:pPr>
  </w:style>
  <w:style w:type="paragraph" w:customStyle="1" w:styleId="TableTextLeft">
    <w:name w:val="~TableTextLeft"/>
    <w:basedOn w:val="Normal"/>
    <w:rsid w:val="007257E3"/>
    <w:pPr>
      <w:spacing w:before="60" w:after="20" w:line="240" w:lineRule="auto"/>
      <w:jc w:val="both"/>
    </w:pPr>
    <w:rPr>
      <w:rFonts w:eastAsia="Times New Roman" w:cs="Arial"/>
      <w:sz w:val="17"/>
      <w:szCs w:val="24"/>
      <w:lang w:val="en-GB" w:eastAsia="en-GB"/>
    </w:rPr>
  </w:style>
  <w:style w:type="paragraph" w:customStyle="1" w:styleId="Normal-RevisionData">
    <w:name w:val="Normal - Revision Data"/>
    <w:basedOn w:val="Normal"/>
    <w:qFormat/>
    <w:rsid w:val="007257E3"/>
    <w:pPr>
      <w:spacing w:line="280" w:lineRule="atLeast"/>
    </w:pPr>
    <w:rPr>
      <w:rFonts w:eastAsia="Times New Roman" w:cs="Times New Roman"/>
      <w:sz w:val="14"/>
      <w:szCs w:val="24"/>
      <w:lang w:val="en-GB" w:eastAsia="da-DK"/>
    </w:rPr>
  </w:style>
  <w:style w:type="paragraph" w:customStyle="1" w:styleId="Normal-RevisionDataText">
    <w:name w:val="Normal - Revision Data Text"/>
    <w:basedOn w:val="Normal"/>
    <w:semiHidden/>
    <w:qFormat/>
    <w:rsid w:val="007257E3"/>
    <w:pPr>
      <w:spacing w:line="280" w:lineRule="atLeast"/>
    </w:pPr>
    <w:rPr>
      <w:rFonts w:eastAsia="Times New Roman" w:cs="Times New Roman"/>
      <w:b/>
      <w:szCs w:val="24"/>
      <w:lang w:val="en-GB" w:eastAsia="da-DK"/>
    </w:rPr>
  </w:style>
  <w:style w:type="paragraph" w:customStyle="1" w:styleId="StyleCaptionCenteredBefore6pt">
    <w:name w:val="Style Caption + Centered Before:  6 pt"/>
    <w:basedOn w:val="Caption"/>
    <w:qFormat/>
    <w:rsid w:val="007257E3"/>
    <w:pPr>
      <w:keepNext/>
      <w:spacing w:before="120" w:after="60" w:line="288" w:lineRule="auto"/>
      <w:ind w:left="1134" w:hanging="1134"/>
    </w:pPr>
    <w:rPr>
      <w:rFonts w:ascii="Arial" w:eastAsia="Times New Roman" w:hAnsi="Arial" w:cs="Times New Roman"/>
      <w:bCs w:val="0"/>
      <w:i/>
      <w:color w:val="auto"/>
      <w:sz w:val="16"/>
      <w:szCs w:val="20"/>
      <w:lang w:val="en-GB"/>
    </w:rPr>
  </w:style>
  <w:style w:type="paragraph" w:customStyle="1" w:styleId="figura">
    <w:name w:val="figura"/>
    <w:basedOn w:val="Caption"/>
    <w:qFormat/>
    <w:rsid w:val="007257E3"/>
    <w:pPr>
      <w:spacing w:before="0" w:after="120" w:line="240" w:lineRule="auto"/>
      <w:jc w:val="center"/>
    </w:pPr>
    <w:rPr>
      <w:rFonts w:ascii="Arial" w:eastAsia="Times New Roman" w:hAnsi="Arial" w:cs="Arial"/>
      <w:bCs w:val="0"/>
      <w:noProof/>
      <w:color w:val="auto"/>
      <w:sz w:val="16"/>
      <w:szCs w:val="20"/>
      <w:lang w:eastAsia="de-DE"/>
    </w:rPr>
  </w:style>
  <w:style w:type="character" w:customStyle="1" w:styleId="Picturecaption">
    <w:name w:val="Picture caption_"/>
    <w:basedOn w:val="DefaultParagraphFont"/>
    <w:link w:val="Picturecaption0"/>
    <w:uiPriority w:val="99"/>
    <w:rsid w:val="007257E3"/>
    <w:rPr>
      <w:rFonts w:ascii="Arial Unicode MS" w:eastAsia="Arial Unicode MS" w:hAnsi="Arial Unicode MS" w:cs="Arial Unicode MS"/>
      <w:sz w:val="20"/>
      <w:szCs w:val="20"/>
      <w:shd w:val="clear" w:color="auto" w:fill="FFFFFF"/>
    </w:rPr>
  </w:style>
  <w:style w:type="paragraph" w:customStyle="1" w:styleId="Picturecaption0">
    <w:name w:val="Picture caption"/>
    <w:basedOn w:val="Normal"/>
    <w:link w:val="Picturecaption"/>
    <w:uiPriority w:val="99"/>
    <w:rsid w:val="007257E3"/>
    <w:pPr>
      <w:widowControl w:val="0"/>
      <w:shd w:val="clear" w:color="auto" w:fill="FFFFFF"/>
      <w:spacing w:line="235" w:lineRule="exact"/>
      <w:jc w:val="both"/>
    </w:pPr>
    <w:rPr>
      <w:rFonts w:ascii="Arial Unicode MS" w:eastAsia="Arial Unicode MS" w:hAnsi="Arial Unicode MS" w:cs="Arial Unicode MS"/>
      <w:sz w:val="20"/>
      <w:szCs w:val="20"/>
      <w:lang w:val="da-DK"/>
    </w:rPr>
  </w:style>
  <w:style w:type="character" w:customStyle="1" w:styleId="Tablecaption5">
    <w:name w:val="Table caption (5)"/>
    <w:basedOn w:val="DefaultParagraphFont"/>
    <w:rsid w:val="007257E3"/>
    <w:rPr>
      <w:rFonts w:ascii="Arial" w:eastAsia="Arial" w:hAnsi="Arial" w:cs="Arial"/>
      <w:b w:val="0"/>
      <w:bCs w:val="0"/>
      <w:i/>
      <w:iCs/>
      <w:smallCaps w:val="0"/>
      <w:strike w:val="0"/>
      <w:color w:val="000000"/>
      <w:spacing w:val="0"/>
      <w:w w:val="100"/>
      <w:position w:val="0"/>
      <w:sz w:val="15"/>
      <w:szCs w:val="15"/>
      <w:u w:val="none"/>
      <w:lang w:val="ro-RO"/>
    </w:rPr>
  </w:style>
  <w:style w:type="character" w:customStyle="1" w:styleId="BodytextItalicSpacing0pt">
    <w:name w:val="Body text + Italic.Spacing 0 pt"/>
    <w:basedOn w:val="DefaultParagraphFont"/>
    <w:rsid w:val="007257E3"/>
    <w:rPr>
      <w:rFonts w:ascii="Arial Unicode MS" w:eastAsia="Arial Unicode MS" w:hAnsi="Arial Unicode MS" w:cs="Arial Unicode MS"/>
      <w:b w:val="0"/>
      <w:bCs w:val="0"/>
      <w:i/>
      <w:iCs/>
      <w:smallCaps w:val="0"/>
      <w:strike w:val="0"/>
      <w:color w:val="000000"/>
      <w:spacing w:val="-10"/>
      <w:w w:val="100"/>
      <w:position w:val="0"/>
      <w:sz w:val="20"/>
      <w:szCs w:val="20"/>
      <w:u w:val="none"/>
      <w:lang w:val="ro-RO"/>
    </w:rPr>
  </w:style>
  <w:style w:type="character" w:customStyle="1" w:styleId="Picturecaption10">
    <w:name w:val="Picture caption (10)_"/>
    <w:basedOn w:val="DefaultParagraphFont"/>
    <w:link w:val="Picturecaption100"/>
    <w:rsid w:val="007257E3"/>
    <w:rPr>
      <w:rFonts w:ascii="Arial" w:eastAsia="Arial" w:hAnsi="Arial" w:cs="Arial"/>
      <w:i/>
      <w:iCs/>
      <w:sz w:val="15"/>
      <w:szCs w:val="15"/>
      <w:shd w:val="clear" w:color="auto" w:fill="FFFFFF"/>
    </w:rPr>
  </w:style>
  <w:style w:type="paragraph" w:customStyle="1" w:styleId="Picturecaption100">
    <w:name w:val="Picture caption (10)"/>
    <w:basedOn w:val="Normal"/>
    <w:link w:val="Picturecaption10"/>
    <w:rsid w:val="007257E3"/>
    <w:pPr>
      <w:widowControl w:val="0"/>
      <w:shd w:val="clear" w:color="auto" w:fill="FFFFFF"/>
      <w:spacing w:line="0" w:lineRule="atLeast"/>
    </w:pPr>
    <w:rPr>
      <w:rFonts w:ascii="Arial" w:eastAsia="Arial" w:hAnsi="Arial" w:cs="Arial"/>
      <w:i/>
      <w:iCs/>
      <w:sz w:val="15"/>
      <w:szCs w:val="15"/>
      <w:lang w:val="da-DK"/>
    </w:rPr>
  </w:style>
  <w:style w:type="character" w:customStyle="1" w:styleId="Bodytext4pt">
    <w:name w:val="Body text + 4 pt"/>
    <w:basedOn w:val="DefaultParagraphFont"/>
    <w:rsid w:val="007257E3"/>
    <w:rPr>
      <w:rFonts w:ascii="Arial Unicode MS" w:eastAsia="Arial Unicode MS" w:hAnsi="Arial Unicode MS" w:cs="Arial Unicode MS"/>
      <w:b w:val="0"/>
      <w:bCs w:val="0"/>
      <w:i w:val="0"/>
      <w:iCs w:val="0"/>
      <w:smallCaps w:val="0"/>
      <w:strike w:val="0"/>
      <w:color w:val="000000"/>
      <w:spacing w:val="0"/>
      <w:w w:val="100"/>
      <w:position w:val="0"/>
      <w:sz w:val="8"/>
      <w:szCs w:val="8"/>
      <w:u w:val="none"/>
    </w:rPr>
  </w:style>
  <w:style w:type="character" w:customStyle="1" w:styleId="BodytextItalicSpacing0pt1">
    <w:name w:val="Body text + Italic.Spacing 0 pt1"/>
    <w:basedOn w:val="DefaultParagraphFont"/>
    <w:rsid w:val="007257E3"/>
    <w:rPr>
      <w:rFonts w:ascii="Arial Unicode MS" w:eastAsia="Arial Unicode MS" w:hAnsi="Arial Unicode MS" w:cs="Arial Unicode MS"/>
      <w:b w:val="0"/>
      <w:bCs w:val="0"/>
      <w:i/>
      <w:iCs/>
      <w:smallCaps w:val="0"/>
      <w:strike w:val="0"/>
      <w:color w:val="000000"/>
      <w:spacing w:val="-10"/>
      <w:w w:val="100"/>
      <w:position w:val="0"/>
      <w:sz w:val="20"/>
      <w:szCs w:val="20"/>
      <w:u w:val="none"/>
      <w:lang w:val="ro-RO"/>
    </w:rPr>
  </w:style>
  <w:style w:type="paragraph" w:customStyle="1" w:styleId="Bodytext10">
    <w:name w:val="Body text1"/>
    <w:basedOn w:val="Normal"/>
    <w:uiPriority w:val="99"/>
    <w:qFormat/>
    <w:rsid w:val="007257E3"/>
    <w:pPr>
      <w:widowControl w:val="0"/>
      <w:shd w:val="clear" w:color="auto" w:fill="FFFFFF"/>
      <w:spacing w:before="180" w:after="300" w:line="240" w:lineRule="exact"/>
      <w:ind w:hanging="680"/>
    </w:pPr>
    <w:rPr>
      <w:rFonts w:ascii="Arial Unicode MS" w:eastAsia="Arial Unicode MS" w:hAnsi="Arial Unicode MS" w:cs="Arial Unicode MS"/>
      <w:sz w:val="20"/>
      <w:szCs w:val="20"/>
      <w:lang w:val="da-DK"/>
    </w:rPr>
  </w:style>
  <w:style w:type="character" w:customStyle="1" w:styleId="Tablecaption">
    <w:name w:val="Table caption"/>
    <w:basedOn w:val="DefaultParagraphFont"/>
    <w:rsid w:val="007257E3"/>
    <w:rPr>
      <w:rFonts w:ascii="Arial Unicode MS" w:eastAsia="Arial Unicode MS" w:hAnsi="Arial Unicode MS" w:cs="Arial Unicode MS"/>
      <w:b w:val="0"/>
      <w:bCs w:val="0"/>
      <w:i w:val="0"/>
      <w:iCs w:val="0"/>
      <w:smallCaps w:val="0"/>
      <w:strike w:val="0"/>
      <w:color w:val="000000"/>
      <w:spacing w:val="0"/>
      <w:w w:val="100"/>
      <w:position w:val="0"/>
      <w:sz w:val="20"/>
      <w:szCs w:val="20"/>
      <w:u w:val="single"/>
      <w:lang w:val="ro-RO"/>
    </w:rPr>
  </w:style>
  <w:style w:type="character" w:customStyle="1" w:styleId="Bodytext8pt">
    <w:name w:val="Body text + 8 pt"/>
    <w:basedOn w:val="Bodytext0"/>
    <w:rsid w:val="007257E3"/>
    <w:rPr>
      <w:rFonts w:ascii="Arial" w:eastAsia="Arial" w:hAnsi="Arial" w:cs="Arial"/>
      <w:b w:val="0"/>
      <w:bCs w:val="0"/>
      <w:i w:val="0"/>
      <w:iCs w:val="0"/>
      <w:smallCaps w:val="0"/>
      <w:strike w:val="0"/>
      <w:color w:val="000000"/>
      <w:spacing w:val="0"/>
      <w:w w:val="100"/>
      <w:position w:val="0"/>
      <w:sz w:val="16"/>
      <w:szCs w:val="16"/>
      <w:u w:val="none"/>
      <w:shd w:val="clear" w:color="auto" w:fill="FFFFFF"/>
      <w:lang w:val="ro-RO"/>
    </w:rPr>
  </w:style>
  <w:style w:type="character" w:customStyle="1" w:styleId="slitbdy">
    <w:name w:val="s_lit_bdy"/>
    <w:basedOn w:val="DefaultParagraphFont"/>
    <w:rsid w:val="007257E3"/>
    <w:rPr>
      <w:lang w:val="en-GB"/>
    </w:rPr>
  </w:style>
  <w:style w:type="character" w:customStyle="1" w:styleId="spar">
    <w:name w:val="s_par"/>
    <w:basedOn w:val="DefaultParagraphFont"/>
    <w:rsid w:val="007257E3"/>
    <w:rPr>
      <w:lang w:val="en-GB"/>
    </w:rPr>
  </w:style>
  <w:style w:type="character" w:customStyle="1" w:styleId="slitshort">
    <w:name w:val="s_lit_short"/>
    <w:basedOn w:val="DefaultParagraphFont"/>
    <w:rsid w:val="007257E3"/>
    <w:rPr>
      <w:lang w:val="en-GB"/>
    </w:rPr>
  </w:style>
  <w:style w:type="character" w:customStyle="1" w:styleId="BodyText20">
    <w:name w:val="Body Text2"/>
    <w:basedOn w:val="Bodytext0"/>
    <w:rsid w:val="007257E3"/>
    <w:rPr>
      <w:rFonts w:ascii="Arial Unicode MS" w:eastAsia="Arial Unicode MS" w:hAnsi="Arial Unicode MS" w:cs="Arial Unicode MS"/>
      <w:b w:val="0"/>
      <w:bCs w:val="0"/>
      <w:i w:val="0"/>
      <w:iCs w:val="0"/>
      <w:smallCaps w:val="0"/>
      <w:strike w:val="0"/>
      <w:color w:val="000000"/>
      <w:spacing w:val="0"/>
      <w:w w:val="100"/>
      <w:position w:val="0"/>
      <w:sz w:val="20"/>
      <w:szCs w:val="20"/>
      <w:u w:val="none"/>
      <w:shd w:val="clear" w:color="auto" w:fill="FFFFFF"/>
      <w:lang w:val="ro-RO"/>
    </w:rPr>
  </w:style>
  <w:style w:type="character" w:customStyle="1" w:styleId="Bodytext30">
    <w:name w:val="Body text (3)_"/>
    <w:basedOn w:val="DefaultParagraphFont"/>
    <w:link w:val="Bodytext31"/>
    <w:rsid w:val="007257E3"/>
    <w:rPr>
      <w:rFonts w:ascii="Times New Roman" w:eastAsia="Times New Roman" w:hAnsi="Times New Roman" w:cs="Times New Roman"/>
      <w:b/>
      <w:bCs/>
      <w:i/>
      <w:iCs/>
      <w:spacing w:val="40"/>
      <w:sz w:val="36"/>
      <w:szCs w:val="36"/>
      <w:shd w:val="clear" w:color="auto" w:fill="FFFFFF"/>
    </w:rPr>
  </w:style>
  <w:style w:type="paragraph" w:customStyle="1" w:styleId="Bodytext31">
    <w:name w:val="Body text (3)"/>
    <w:basedOn w:val="Normal"/>
    <w:link w:val="Bodytext30"/>
    <w:qFormat/>
    <w:rsid w:val="007257E3"/>
    <w:pPr>
      <w:widowControl w:val="0"/>
      <w:shd w:val="clear" w:color="auto" w:fill="FFFFFF"/>
      <w:spacing w:before="780" w:after="1020" w:line="0" w:lineRule="atLeast"/>
      <w:jc w:val="center"/>
    </w:pPr>
    <w:rPr>
      <w:rFonts w:ascii="Times New Roman" w:eastAsia="Times New Roman" w:hAnsi="Times New Roman" w:cs="Times New Roman"/>
      <w:b/>
      <w:bCs/>
      <w:i/>
      <w:iCs/>
      <w:spacing w:val="40"/>
      <w:sz w:val="36"/>
      <w:szCs w:val="36"/>
      <w:lang w:val="da-DK"/>
    </w:rPr>
  </w:style>
  <w:style w:type="character" w:customStyle="1" w:styleId="BodytextExact">
    <w:name w:val="Body text Exact"/>
    <w:basedOn w:val="Bodytext0"/>
    <w:rsid w:val="007257E3"/>
    <w:rPr>
      <w:rFonts w:ascii="Arial Unicode MS" w:eastAsia="Arial Unicode MS" w:hAnsi="Arial Unicode MS" w:cs="Arial Unicode MS"/>
      <w:b w:val="0"/>
      <w:bCs w:val="0"/>
      <w:i w:val="0"/>
      <w:iCs w:val="0"/>
      <w:smallCaps w:val="0"/>
      <w:strike w:val="0"/>
      <w:color w:val="000000"/>
      <w:spacing w:val="3"/>
      <w:w w:val="100"/>
      <w:position w:val="0"/>
      <w:sz w:val="18"/>
      <w:szCs w:val="18"/>
      <w:u w:val="none"/>
      <w:shd w:val="clear" w:color="auto" w:fill="FFFFFF"/>
      <w:lang w:val="ro-RO"/>
    </w:rPr>
  </w:style>
  <w:style w:type="character" w:customStyle="1" w:styleId="BodytextArialUnicodeMS">
    <w:name w:val="Body text + Arial Unicode MS"/>
    <w:aliases w:val="9.5 pt,10.5 pt,Spacing 0 pt,10 pt,9 pt,Body text + Malgun Gothic,Body text + Impact,5 pt,Header or footer + Franklin Gothic Heavy2,Italic29,Header or footer + Arial,4.5 pt,Body text + 6.5 pt,Body text + Bookman Old Style"/>
    <w:basedOn w:val="Bodytext0"/>
    <w:rsid w:val="007257E3"/>
    <w:rPr>
      <w:rFonts w:ascii="Arial Unicode MS" w:eastAsia="Arial Unicode MS" w:hAnsi="Arial Unicode MS" w:cs="Arial Unicode MS"/>
      <w:b w:val="0"/>
      <w:bCs w:val="0"/>
      <w:i w:val="0"/>
      <w:iCs w:val="0"/>
      <w:smallCaps w:val="0"/>
      <w:strike w:val="0"/>
      <w:color w:val="000000"/>
      <w:spacing w:val="0"/>
      <w:w w:val="100"/>
      <w:position w:val="0"/>
      <w:sz w:val="18"/>
      <w:szCs w:val="18"/>
      <w:u w:val="none"/>
      <w:shd w:val="clear" w:color="auto" w:fill="FFFFFF"/>
      <w:lang w:val="ro-RO"/>
    </w:rPr>
  </w:style>
  <w:style w:type="character" w:customStyle="1" w:styleId="Bodytext3Exact">
    <w:name w:val="Body text (3) Exact"/>
    <w:basedOn w:val="DefaultParagraphFont"/>
    <w:rsid w:val="007257E3"/>
    <w:rPr>
      <w:rFonts w:ascii="Arial" w:hAnsi="Arial" w:cs="Arial"/>
      <w:b/>
      <w:bCs/>
      <w:spacing w:val="2"/>
      <w:sz w:val="17"/>
      <w:szCs w:val="17"/>
      <w:u w:val="none"/>
    </w:rPr>
  </w:style>
  <w:style w:type="character" w:customStyle="1" w:styleId="Bodytext3NotBold">
    <w:name w:val="Body text (3) + Not Bold"/>
    <w:aliases w:val="Spacing 0 pt Exact,Body text (4) + 8.5 pt,Body text (5) + Arial,5.5 pt,Body text (8) + Not Italic,Body text (9) + 8.5 pt,Body text (2) + Not Bold,Not Italic,Body text (2) + 8 pt,Body text (2) + 12 pt"/>
    <w:basedOn w:val="Bodytext30"/>
    <w:rsid w:val="007257E3"/>
    <w:rPr>
      <w:rFonts w:ascii="Arial" w:eastAsia="Times New Roman" w:hAnsi="Arial" w:cs="Arial"/>
      <w:b/>
      <w:bCs/>
      <w:i/>
      <w:iCs/>
      <w:color w:val="000000"/>
      <w:spacing w:val="1"/>
      <w:w w:val="100"/>
      <w:position w:val="0"/>
      <w:sz w:val="17"/>
      <w:szCs w:val="17"/>
      <w:u w:val="none"/>
      <w:shd w:val="clear" w:color="auto" w:fill="FFFFFF"/>
      <w:lang w:val="ro-RO"/>
    </w:rPr>
  </w:style>
  <w:style w:type="character" w:customStyle="1" w:styleId="Bodytext4Exact">
    <w:name w:val="Body text (4) Exact"/>
    <w:basedOn w:val="DefaultParagraphFont"/>
    <w:link w:val="Bodytext4"/>
    <w:locked/>
    <w:rsid w:val="007257E3"/>
    <w:rPr>
      <w:rFonts w:ascii="Arial" w:hAnsi="Arial" w:cs="Arial"/>
      <w:spacing w:val="11"/>
      <w:shd w:val="clear" w:color="auto" w:fill="FFFFFF"/>
    </w:rPr>
  </w:style>
  <w:style w:type="paragraph" w:customStyle="1" w:styleId="Bodytext4">
    <w:name w:val="Body text (4)"/>
    <w:basedOn w:val="Normal"/>
    <w:link w:val="Bodytext4Exact"/>
    <w:qFormat/>
    <w:rsid w:val="007257E3"/>
    <w:pPr>
      <w:widowControl w:val="0"/>
      <w:shd w:val="clear" w:color="auto" w:fill="FFFFFF"/>
      <w:spacing w:line="278" w:lineRule="exact"/>
      <w:jc w:val="both"/>
    </w:pPr>
    <w:rPr>
      <w:rFonts w:ascii="Arial" w:hAnsi="Arial" w:cs="Arial"/>
      <w:spacing w:val="11"/>
      <w:lang w:val="da-DK"/>
    </w:rPr>
  </w:style>
  <w:style w:type="character" w:customStyle="1" w:styleId="Bodytext95pt">
    <w:name w:val="Body text + 9.5 pt"/>
    <w:aliases w:val="Bold,Body text + 8.5 pt,Header or footer + 9.5 pt,Body text + Arial,8 pt,Heading #1 + Arial,Body text + Constantia,Table caption (4) + 8.5 pt,Body text (7) + 12.5 pt,Body text (7) + 7 pt,21 "/>
    <w:basedOn w:val="Bodytext0"/>
    <w:uiPriority w:val="99"/>
    <w:rsid w:val="007257E3"/>
    <w:rPr>
      <w:rFonts w:ascii="Microsoft Sans Serif" w:eastAsia="Arial Unicode MS" w:hAnsi="Microsoft Sans Serif" w:cs="Microsoft Sans Serif"/>
      <w:b w:val="0"/>
      <w:bCs w:val="0"/>
      <w:i w:val="0"/>
      <w:iCs w:val="0"/>
      <w:smallCaps w:val="0"/>
      <w:strike w:val="0"/>
      <w:color w:val="000000"/>
      <w:spacing w:val="0"/>
      <w:w w:val="100"/>
      <w:position w:val="0"/>
      <w:sz w:val="19"/>
      <w:szCs w:val="19"/>
      <w:u w:val="none"/>
      <w:shd w:val="clear" w:color="auto" w:fill="FFFFFF"/>
      <w:lang w:val="ro-RO"/>
    </w:rPr>
  </w:style>
  <w:style w:type="character" w:customStyle="1" w:styleId="Bodytext6">
    <w:name w:val="Body text (6)_"/>
    <w:basedOn w:val="DefaultParagraphFont"/>
    <w:link w:val="Bodytext60"/>
    <w:uiPriority w:val="99"/>
    <w:locked/>
    <w:rsid w:val="007257E3"/>
    <w:rPr>
      <w:rFonts w:ascii="Microsoft Sans Serif" w:hAnsi="Microsoft Sans Serif" w:cs="Microsoft Sans Serif"/>
      <w:shd w:val="clear" w:color="auto" w:fill="FFFFFF"/>
    </w:rPr>
  </w:style>
  <w:style w:type="paragraph" w:customStyle="1" w:styleId="Bodytext60">
    <w:name w:val="Body text (6)"/>
    <w:basedOn w:val="Normal"/>
    <w:link w:val="Bodytext6"/>
    <w:uiPriority w:val="99"/>
    <w:rsid w:val="007257E3"/>
    <w:pPr>
      <w:widowControl w:val="0"/>
      <w:shd w:val="clear" w:color="auto" w:fill="FFFFFF"/>
      <w:spacing w:before="60" w:after="300" w:line="230" w:lineRule="exact"/>
    </w:pPr>
    <w:rPr>
      <w:rFonts w:ascii="Microsoft Sans Serif" w:hAnsi="Microsoft Sans Serif" w:cs="Microsoft Sans Serif"/>
      <w:lang w:val="da-DK"/>
    </w:rPr>
  </w:style>
  <w:style w:type="character" w:customStyle="1" w:styleId="Bodytext610pt">
    <w:name w:val="Body text (6) + 10 pt"/>
    <w:basedOn w:val="Bodytext6"/>
    <w:uiPriority w:val="99"/>
    <w:rsid w:val="007257E3"/>
    <w:rPr>
      <w:rFonts w:ascii="Microsoft Sans Serif" w:hAnsi="Microsoft Sans Serif" w:cs="Microsoft Sans Serif"/>
      <w:color w:val="000000"/>
      <w:spacing w:val="0"/>
      <w:w w:val="100"/>
      <w:position w:val="0"/>
      <w:sz w:val="20"/>
      <w:szCs w:val="20"/>
      <w:shd w:val="clear" w:color="auto" w:fill="FFFFFF"/>
      <w:lang w:val="ro-RO"/>
    </w:rPr>
  </w:style>
  <w:style w:type="character" w:customStyle="1" w:styleId="Bodytext6Exact">
    <w:name w:val="Body text (6) Exact"/>
    <w:basedOn w:val="DefaultParagraphFont"/>
    <w:rsid w:val="007257E3"/>
    <w:rPr>
      <w:rFonts w:ascii="Microsoft Sans Serif" w:hAnsi="Microsoft Sans Serif" w:cs="Microsoft Sans Serif"/>
      <w:sz w:val="17"/>
      <w:szCs w:val="17"/>
      <w:u w:val="none"/>
    </w:rPr>
  </w:style>
  <w:style w:type="character" w:customStyle="1" w:styleId="Bodytext5">
    <w:name w:val="Body text (5)_"/>
    <w:basedOn w:val="DefaultParagraphFont"/>
    <w:link w:val="Bodytext50"/>
    <w:locked/>
    <w:rsid w:val="007257E3"/>
    <w:rPr>
      <w:rFonts w:ascii="Microsoft Sans Serif" w:hAnsi="Microsoft Sans Serif" w:cs="Microsoft Sans Serif"/>
      <w:shd w:val="clear" w:color="auto" w:fill="FFFFFF"/>
    </w:rPr>
  </w:style>
  <w:style w:type="paragraph" w:customStyle="1" w:styleId="Bodytext50">
    <w:name w:val="Body text (5)"/>
    <w:basedOn w:val="Normal"/>
    <w:link w:val="Bodytext5"/>
    <w:qFormat/>
    <w:rsid w:val="007257E3"/>
    <w:pPr>
      <w:widowControl w:val="0"/>
      <w:shd w:val="clear" w:color="auto" w:fill="FFFFFF"/>
      <w:spacing w:after="60" w:line="226" w:lineRule="exact"/>
    </w:pPr>
    <w:rPr>
      <w:rFonts w:ascii="Microsoft Sans Serif" w:hAnsi="Microsoft Sans Serif" w:cs="Microsoft Sans Serif"/>
      <w:lang w:val="da-DK"/>
    </w:rPr>
  </w:style>
  <w:style w:type="character" w:customStyle="1" w:styleId="Bodytext6Spacing1pt">
    <w:name w:val="Body text (6) + Spacing 1 pt"/>
    <w:basedOn w:val="Bodytext6"/>
    <w:uiPriority w:val="99"/>
    <w:rsid w:val="007257E3"/>
    <w:rPr>
      <w:rFonts w:ascii="Microsoft Sans Serif" w:hAnsi="Microsoft Sans Serif" w:cs="Microsoft Sans Serif"/>
      <w:color w:val="000000"/>
      <w:spacing w:val="20"/>
      <w:w w:val="100"/>
      <w:position w:val="0"/>
      <w:u w:val="none"/>
      <w:shd w:val="clear" w:color="auto" w:fill="FFFFFF"/>
      <w:lang w:val="ro-RO"/>
    </w:rPr>
  </w:style>
  <w:style w:type="character" w:customStyle="1" w:styleId="Bodytext5Exact">
    <w:name w:val="Body text (5) Exact"/>
    <w:basedOn w:val="DefaultParagraphFont"/>
    <w:rsid w:val="007257E3"/>
    <w:rPr>
      <w:rFonts w:ascii="Microsoft Sans Serif" w:hAnsi="Microsoft Sans Serif" w:cs="Microsoft Sans Serif"/>
      <w:spacing w:val="-2"/>
      <w:sz w:val="20"/>
      <w:szCs w:val="20"/>
      <w:u w:val="none"/>
    </w:rPr>
  </w:style>
  <w:style w:type="character" w:customStyle="1" w:styleId="Bodytext9pt">
    <w:name w:val="Body text + 9 pt"/>
    <w:aliases w:val="Not Bold,Italic,Body text + 7.5 pt,Body text (4) + Arial"/>
    <w:basedOn w:val="Bodytext0"/>
    <w:rsid w:val="007257E3"/>
    <w:rPr>
      <w:rFonts w:ascii="Arial" w:eastAsia="Arial Unicode MS" w:hAnsi="Arial" w:cs="Arial"/>
      <w:b w:val="0"/>
      <w:bCs w:val="0"/>
      <w:i w:val="0"/>
      <w:iCs w:val="0"/>
      <w:smallCaps w:val="0"/>
      <w:strike w:val="0"/>
      <w:color w:val="000000"/>
      <w:spacing w:val="0"/>
      <w:w w:val="100"/>
      <w:position w:val="0"/>
      <w:sz w:val="18"/>
      <w:szCs w:val="18"/>
      <w:u w:val="none"/>
      <w:shd w:val="clear" w:color="auto" w:fill="FFFFFF"/>
      <w:lang w:val="ro-RO"/>
    </w:rPr>
  </w:style>
  <w:style w:type="character" w:customStyle="1" w:styleId="Bodytext21">
    <w:name w:val="Body text (2)_"/>
    <w:link w:val="Bodytext22"/>
    <w:rsid w:val="007257E3"/>
    <w:rPr>
      <w:rFonts w:ascii="Arial" w:eastAsia="Arial" w:hAnsi="Arial" w:cs="Arial"/>
      <w:shd w:val="clear" w:color="auto" w:fill="FFFFFF"/>
    </w:rPr>
  </w:style>
  <w:style w:type="paragraph" w:customStyle="1" w:styleId="Bodytext22">
    <w:name w:val="Body text (2)"/>
    <w:basedOn w:val="Normal"/>
    <w:link w:val="Bodytext21"/>
    <w:qFormat/>
    <w:rsid w:val="007257E3"/>
    <w:pPr>
      <w:widowControl w:val="0"/>
      <w:shd w:val="clear" w:color="auto" w:fill="FFFFFF"/>
      <w:spacing w:before="720" w:after="300" w:line="0" w:lineRule="atLeast"/>
      <w:ind w:hanging="379"/>
      <w:jc w:val="center"/>
    </w:pPr>
    <w:rPr>
      <w:rFonts w:ascii="Arial" w:eastAsia="Arial" w:hAnsi="Arial" w:cs="Arial"/>
      <w:lang w:val="da-DK"/>
    </w:rPr>
  </w:style>
  <w:style w:type="paragraph" w:customStyle="1" w:styleId="MediumShading1-Accent11">
    <w:name w:val="Medium Shading 1 - Accent 11"/>
    <w:link w:val="MediumShading1-Accent1Char"/>
    <w:uiPriority w:val="1"/>
    <w:qFormat/>
    <w:rsid w:val="007257E3"/>
    <w:pPr>
      <w:spacing w:after="160" w:line="259" w:lineRule="auto"/>
    </w:pPr>
    <w:rPr>
      <w:rFonts w:ascii="Calibri" w:eastAsia="MS Mincho" w:hAnsi="Calibri" w:cs="Times New Roman"/>
      <w:sz w:val="20"/>
      <w:szCs w:val="20"/>
      <w:lang w:val="en-US" w:eastAsia="ro-RO"/>
    </w:rPr>
  </w:style>
  <w:style w:type="character" w:customStyle="1" w:styleId="MediumShading1-Accent1Char">
    <w:name w:val="Medium Shading 1 - Accent 1 Char"/>
    <w:link w:val="MediumShading1-Accent11"/>
    <w:uiPriority w:val="1"/>
    <w:rsid w:val="007257E3"/>
    <w:rPr>
      <w:rFonts w:ascii="Calibri" w:eastAsia="MS Mincho" w:hAnsi="Calibri" w:cs="Times New Roman"/>
      <w:sz w:val="20"/>
      <w:szCs w:val="20"/>
      <w:lang w:val="en-US" w:eastAsia="ro-RO"/>
    </w:rPr>
  </w:style>
  <w:style w:type="paragraph" w:customStyle="1" w:styleId="DB0ACCEC1AB64382860E628D30FF91C4">
    <w:name w:val="DB0ACCEC1AB64382860E628D30FF91C4"/>
    <w:rsid w:val="007257E3"/>
    <w:pPr>
      <w:spacing w:after="200" w:line="276" w:lineRule="auto"/>
    </w:pPr>
    <w:rPr>
      <w:rFonts w:ascii="Calibri" w:eastAsia="MS Mincho" w:hAnsi="Calibri" w:cs="Times New Roman"/>
      <w:sz w:val="22"/>
      <w:szCs w:val="22"/>
      <w:lang w:val="en-US"/>
    </w:rPr>
  </w:style>
  <w:style w:type="character" w:customStyle="1" w:styleId="TOC1Char">
    <w:name w:val="TOC 1 Char"/>
    <w:link w:val="TOC1"/>
    <w:uiPriority w:val="39"/>
    <w:rsid w:val="007257E3"/>
    <w:rPr>
      <w:rFonts w:asciiTheme="minorHAnsi" w:hAnsiTheme="minorHAnsi"/>
      <w:b/>
      <w:bCs/>
      <w:sz w:val="20"/>
      <w:szCs w:val="20"/>
      <w:lang w:val="ro-RO"/>
    </w:rPr>
  </w:style>
  <w:style w:type="paragraph" w:customStyle="1" w:styleId="Tabelgril31">
    <w:name w:val="Tabel grilă 31"/>
    <w:basedOn w:val="Heading1"/>
    <w:next w:val="Normal"/>
    <w:uiPriority w:val="39"/>
    <w:unhideWhenUsed/>
    <w:qFormat/>
    <w:rsid w:val="007257E3"/>
    <w:pPr>
      <w:numPr>
        <w:numId w:val="0"/>
      </w:numPr>
      <w:tabs>
        <w:tab w:val="num" w:pos="643"/>
      </w:tabs>
      <w:suppressAutoHyphens w:val="0"/>
      <w:spacing w:before="480" w:after="0" w:line="259" w:lineRule="auto"/>
      <w:ind w:left="643" w:hanging="360"/>
      <w:contextualSpacing w:val="0"/>
      <w:jc w:val="both"/>
      <w:outlineLvl w:val="9"/>
    </w:pPr>
    <w:rPr>
      <w:rFonts w:ascii="Cambria" w:eastAsia="MS Gothic" w:hAnsi="Cambria" w:cs="Arial"/>
      <w:b/>
      <w:color w:val="365F91"/>
      <w:sz w:val="24"/>
      <w:szCs w:val="24"/>
      <w:lang w:val="en-US" w:eastAsia="x-none"/>
    </w:rPr>
  </w:style>
  <w:style w:type="character" w:customStyle="1" w:styleId="Bodytext9">
    <w:name w:val="Body text (9)_"/>
    <w:link w:val="Bodytext90"/>
    <w:rsid w:val="007257E3"/>
    <w:rPr>
      <w:rFonts w:ascii="Arial" w:eastAsia="Arial" w:hAnsi="Arial" w:cs="Arial"/>
      <w:b/>
      <w:bCs/>
      <w:spacing w:val="-10"/>
      <w:sz w:val="17"/>
      <w:szCs w:val="17"/>
      <w:shd w:val="clear" w:color="auto" w:fill="FFFFFF"/>
    </w:rPr>
  </w:style>
  <w:style w:type="paragraph" w:customStyle="1" w:styleId="Bodytext90">
    <w:name w:val="Body text (9)"/>
    <w:basedOn w:val="Normal"/>
    <w:link w:val="Bodytext9"/>
    <w:rsid w:val="007257E3"/>
    <w:pPr>
      <w:widowControl w:val="0"/>
      <w:shd w:val="clear" w:color="auto" w:fill="FFFFFF"/>
      <w:spacing w:before="120" w:line="0" w:lineRule="atLeast"/>
    </w:pPr>
    <w:rPr>
      <w:rFonts w:ascii="Arial" w:eastAsia="Arial" w:hAnsi="Arial" w:cs="Arial"/>
      <w:b/>
      <w:bCs/>
      <w:spacing w:val="-10"/>
      <w:sz w:val="17"/>
      <w:szCs w:val="17"/>
      <w:lang w:val="da-DK"/>
    </w:rPr>
  </w:style>
  <w:style w:type="paragraph" w:customStyle="1" w:styleId="LightGrid-Accent31">
    <w:name w:val="Light Grid - Accent 31"/>
    <w:basedOn w:val="Normal"/>
    <w:uiPriority w:val="34"/>
    <w:qFormat/>
    <w:rsid w:val="007257E3"/>
    <w:pPr>
      <w:spacing w:after="160" w:line="259" w:lineRule="auto"/>
      <w:ind w:left="720"/>
      <w:contextualSpacing/>
    </w:pPr>
    <w:rPr>
      <w:rFonts w:ascii="Calibri" w:eastAsia="Calibri" w:hAnsi="Calibri" w:cs="Times New Roman"/>
      <w:sz w:val="22"/>
      <w:szCs w:val="22"/>
    </w:rPr>
  </w:style>
  <w:style w:type="character" w:customStyle="1" w:styleId="Bodytext100">
    <w:name w:val="Body text (10)_"/>
    <w:link w:val="Bodytext101"/>
    <w:rsid w:val="007257E3"/>
    <w:rPr>
      <w:rFonts w:ascii="Arial" w:eastAsia="Arial" w:hAnsi="Arial" w:cs="Arial"/>
      <w:b/>
      <w:bCs/>
      <w:shd w:val="clear" w:color="auto" w:fill="FFFFFF"/>
    </w:rPr>
  </w:style>
  <w:style w:type="paragraph" w:customStyle="1" w:styleId="Bodytext101">
    <w:name w:val="Body text (10)"/>
    <w:basedOn w:val="Normal"/>
    <w:link w:val="Bodytext100"/>
    <w:rsid w:val="007257E3"/>
    <w:pPr>
      <w:widowControl w:val="0"/>
      <w:shd w:val="clear" w:color="auto" w:fill="FFFFFF"/>
      <w:spacing w:before="180" w:after="180" w:line="254" w:lineRule="exact"/>
      <w:ind w:firstLine="47"/>
      <w:jc w:val="both"/>
    </w:pPr>
    <w:rPr>
      <w:rFonts w:ascii="Arial" w:eastAsia="Arial" w:hAnsi="Arial" w:cs="Arial"/>
      <w:b/>
      <w:bCs/>
      <w:lang w:val="da-DK"/>
    </w:rPr>
  </w:style>
  <w:style w:type="character" w:customStyle="1" w:styleId="Bodytext2Italic">
    <w:name w:val="Body text (2) + Italic"/>
    <w:rsid w:val="007257E3"/>
    <w:rPr>
      <w:rFonts w:ascii="Arial" w:eastAsia="Arial" w:hAnsi="Arial" w:cs="Arial"/>
      <w:b w:val="0"/>
      <w:bCs w:val="0"/>
      <w:i/>
      <w:iCs/>
      <w:smallCaps w:val="0"/>
      <w:strike w:val="0"/>
      <w:color w:val="000000"/>
      <w:spacing w:val="0"/>
      <w:w w:val="100"/>
      <w:position w:val="0"/>
      <w:sz w:val="22"/>
      <w:szCs w:val="22"/>
      <w:u w:val="none"/>
      <w:shd w:val="clear" w:color="auto" w:fill="FFFFFF"/>
      <w:lang w:val="ro-RO" w:eastAsia="ro-RO" w:bidi="ro-RO"/>
    </w:rPr>
  </w:style>
  <w:style w:type="character" w:customStyle="1" w:styleId="Bodytext11">
    <w:name w:val="Body text (11)_"/>
    <w:link w:val="Bodytext110"/>
    <w:uiPriority w:val="99"/>
    <w:rsid w:val="007257E3"/>
    <w:rPr>
      <w:rFonts w:ascii="Arial" w:eastAsia="Arial" w:hAnsi="Arial" w:cs="Arial"/>
      <w:b/>
      <w:bCs/>
      <w:shd w:val="clear" w:color="auto" w:fill="FFFFFF"/>
    </w:rPr>
  </w:style>
  <w:style w:type="paragraph" w:customStyle="1" w:styleId="Bodytext110">
    <w:name w:val="Body text (11)"/>
    <w:basedOn w:val="Normal"/>
    <w:link w:val="Bodytext11"/>
    <w:uiPriority w:val="99"/>
    <w:qFormat/>
    <w:rsid w:val="007257E3"/>
    <w:pPr>
      <w:widowControl w:val="0"/>
      <w:shd w:val="clear" w:color="auto" w:fill="FFFFFF"/>
      <w:spacing w:before="840" w:line="250" w:lineRule="exact"/>
      <w:ind w:firstLine="48"/>
      <w:jc w:val="both"/>
    </w:pPr>
    <w:rPr>
      <w:rFonts w:ascii="Arial" w:eastAsia="Arial" w:hAnsi="Arial" w:cs="Arial"/>
      <w:b/>
      <w:bCs/>
      <w:lang w:val="da-DK"/>
    </w:rPr>
  </w:style>
  <w:style w:type="character" w:customStyle="1" w:styleId="Bodytext9Spacing0pt">
    <w:name w:val="Body text (9) + Spacing 0 pt"/>
    <w:rsid w:val="007257E3"/>
    <w:rPr>
      <w:rFonts w:ascii="Arial" w:eastAsia="Arial" w:hAnsi="Arial" w:cs="Arial"/>
      <w:b/>
      <w:bCs/>
      <w:i w:val="0"/>
      <w:iCs w:val="0"/>
      <w:smallCaps w:val="0"/>
      <w:strike w:val="0"/>
      <w:color w:val="000000"/>
      <w:spacing w:val="0"/>
      <w:w w:val="100"/>
      <w:position w:val="0"/>
      <w:sz w:val="17"/>
      <w:szCs w:val="17"/>
      <w:u w:val="none"/>
      <w:shd w:val="clear" w:color="auto" w:fill="FFFFFF"/>
      <w:lang w:val="ro-RO" w:eastAsia="ro-RO" w:bidi="ro-RO"/>
    </w:rPr>
  </w:style>
  <w:style w:type="paragraph" w:customStyle="1" w:styleId="Bullet10">
    <w:name w:val="Bullet 1"/>
    <w:basedOn w:val="Normal"/>
    <w:link w:val="Bullet1Char"/>
    <w:qFormat/>
    <w:rsid w:val="007257E3"/>
    <w:pPr>
      <w:tabs>
        <w:tab w:val="num" w:pos="360"/>
      </w:tabs>
      <w:spacing w:line="240" w:lineRule="auto"/>
      <w:ind w:left="360" w:hanging="360"/>
    </w:pPr>
    <w:rPr>
      <w:rFonts w:ascii="Times" w:eastAsia="Calibri" w:hAnsi="Times" w:cs="Times"/>
      <w:sz w:val="24"/>
      <w:szCs w:val="24"/>
      <w:lang w:val="en-US" w:eastAsia="ko-KR"/>
    </w:rPr>
  </w:style>
  <w:style w:type="character" w:customStyle="1" w:styleId="Headerorfooter">
    <w:name w:val="Header or footer_"/>
    <w:rsid w:val="007257E3"/>
    <w:rPr>
      <w:rFonts w:ascii="Times New Roman" w:eastAsia="Times New Roman" w:hAnsi="Times New Roman" w:cs="Times New Roman"/>
      <w:b/>
      <w:bCs/>
      <w:i w:val="0"/>
      <w:iCs w:val="0"/>
      <w:smallCaps w:val="0"/>
      <w:strike w:val="0"/>
      <w:sz w:val="20"/>
      <w:szCs w:val="20"/>
      <w:u w:val="none"/>
    </w:rPr>
  </w:style>
  <w:style w:type="character" w:customStyle="1" w:styleId="Headerorfooter0">
    <w:name w:val="Header or footer"/>
    <w:rsid w:val="007257E3"/>
    <w:rPr>
      <w:rFonts w:ascii="Times New Roman" w:eastAsia="Times New Roman" w:hAnsi="Times New Roman" w:cs="Times New Roman"/>
      <w:b/>
      <w:bCs/>
      <w:i w:val="0"/>
      <w:iCs w:val="0"/>
      <w:smallCaps w:val="0"/>
      <w:strike w:val="0"/>
      <w:color w:val="000000"/>
      <w:spacing w:val="0"/>
      <w:w w:val="100"/>
      <w:position w:val="0"/>
      <w:sz w:val="20"/>
      <w:szCs w:val="20"/>
      <w:u w:val="none"/>
      <w:lang w:val="ro-RO" w:eastAsia="ro-RO" w:bidi="ro-RO"/>
    </w:rPr>
  </w:style>
  <w:style w:type="paragraph" w:customStyle="1" w:styleId="Listanumere">
    <w:name w:val="Lista numere"/>
    <w:basedOn w:val="Normal"/>
    <w:qFormat/>
    <w:rsid w:val="007257E3"/>
    <w:pPr>
      <w:numPr>
        <w:numId w:val="98"/>
      </w:numPr>
      <w:spacing w:before="120" w:line="240" w:lineRule="auto"/>
      <w:jc w:val="both"/>
    </w:pPr>
    <w:rPr>
      <w:rFonts w:ascii="Palatino Linotype" w:eastAsia="Times New Roman" w:hAnsi="Palatino Linotype" w:cs="Palatino Linotype"/>
      <w:sz w:val="20"/>
      <w:szCs w:val="20"/>
      <w:lang w:eastAsia="en-GB"/>
    </w:rPr>
  </w:style>
  <w:style w:type="character" w:customStyle="1" w:styleId="Style1Char">
    <w:name w:val="Style1 Char"/>
    <w:basedOn w:val="DefaultParagraphFont"/>
    <w:link w:val="Style1"/>
    <w:rsid w:val="007257E3"/>
    <w:rPr>
      <w:rFonts w:eastAsia="Times New Roman" w:cs="Times New Roman"/>
      <w:b/>
      <w:bCs/>
      <w:color w:val="4F81BD"/>
      <w:sz w:val="22"/>
      <w:szCs w:val="22"/>
      <w:lang w:val="ro-RO" w:eastAsia="ro-RO"/>
    </w:rPr>
  </w:style>
  <w:style w:type="character" w:customStyle="1" w:styleId="algo-summary">
    <w:name w:val="algo-summary"/>
    <w:basedOn w:val="DefaultParagraphFont"/>
    <w:rsid w:val="007257E3"/>
  </w:style>
  <w:style w:type="paragraph" w:customStyle="1" w:styleId="Texttabel-normal">
    <w:name w:val="Text tabel - normal"/>
    <w:basedOn w:val="Normal"/>
    <w:uiPriority w:val="99"/>
    <w:qFormat/>
    <w:rsid w:val="007257E3"/>
    <w:pPr>
      <w:spacing w:before="40" w:after="40" w:line="240" w:lineRule="auto"/>
      <w:ind w:left="57" w:right="57"/>
      <w:jc w:val="both"/>
    </w:pPr>
    <w:rPr>
      <w:rFonts w:ascii="Palatino Linotype" w:eastAsia="Times New Roman" w:hAnsi="Palatino Linotype" w:cs="Palatino Linotype"/>
      <w:lang w:eastAsia="en-GB"/>
    </w:rPr>
  </w:style>
  <w:style w:type="paragraph" w:customStyle="1" w:styleId="Texttabel-titluri">
    <w:name w:val="Text tabel - titluri"/>
    <w:basedOn w:val="Normal"/>
    <w:autoRedefine/>
    <w:uiPriority w:val="99"/>
    <w:qFormat/>
    <w:rsid w:val="007257E3"/>
    <w:pPr>
      <w:spacing w:before="60" w:after="60" w:line="240" w:lineRule="auto"/>
      <w:ind w:left="113" w:right="113"/>
      <w:jc w:val="center"/>
    </w:pPr>
    <w:rPr>
      <w:rFonts w:ascii="Arial Bold" w:eastAsia="Times New Roman" w:hAnsi="Arial Bold" w:cs="Arial Bold"/>
      <w:b/>
      <w:bCs/>
      <w:color w:val="FFFFFF"/>
      <w:lang w:eastAsia="en-GB"/>
    </w:rPr>
  </w:style>
  <w:style w:type="table" w:customStyle="1" w:styleId="TableGrid140">
    <w:name w:val="Table Grid14"/>
    <w:basedOn w:val="TableNormal"/>
    <w:next w:val="TableGrid"/>
    <w:locked/>
    <w:rsid w:val="007257E3"/>
    <w:pPr>
      <w:spacing w:after="160" w:line="259" w:lineRule="auto"/>
    </w:pPr>
    <w:rPr>
      <w:rFonts w:ascii="Calibri" w:eastAsia="Times New Roman" w:hAnsi="Calibri" w:cs="Calibri"/>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
    <w:basedOn w:val="TableNormal"/>
    <w:next w:val="TableGrid"/>
    <w:rsid w:val="007257E3"/>
    <w:pPr>
      <w:spacing w:after="160" w:line="259" w:lineRule="auto"/>
    </w:pPr>
    <w:rPr>
      <w:rFonts w:ascii="Calibri" w:eastAsia="Calibri" w:hAnsi="Calibri" w:cs="Times New Roman"/>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TableNormal"/>
    <w:next w:val="TableGrid"/>
    <w:locked/>
    <w:rsid w:val="007257E3"/>
    <w:pPr>
      <w:spacing w:after="160" w:line="259" w:lineRule="auto"/>
    </w:pPr>
    <w:rPr>
      <w:rFonts w:ascii="Calibri" w:eastAsia="Times New Roman" w:hAnsi="Calibri" w:cs="Calibri"/>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iv9133005380msonormal">
    <w:name w:val="yiv9133005380msonormal"/>
    <w:basedOn w:val="Normal"/>
    <w:rsid w:val="007257E3"/>
    <w:pPr>
      <w:spacing w:before="100" w:beforeAutospacing="1" w:after="100" w:afterAutospacing="1" w:line="240" w:lineRule="auto"/>
    </w:pPr>
    <w:rPr>
      <w:rFonts w:ascii="Times New Roman" w:eastAsia="Times New Roman" w:hAnsi="Times New Roman" w:cs="Times New Roman"/>
      <w:sz w:val="24"/>
      <w:szCs w:val="24"/>
      <w:lang w:val="en-US"/>
    </w:rPr>
  </w:style>
  <w:style w:type="table" w:customStyle="1" w:styleId="TableGrid410">
    <w:name w:val="Table Grid41"/>
    <w:basedOn w:val="TableNormal"/>
    <w:next w:val="TableGrid"/>
    <w:rsid w:val="007257E3"/>
    <w:pPr>
      <w:spacing w:after="160" w:line="259" w:lineRule="auto"/>
    </w:pPr>
    <w:rPr>
      <w:rFonts w:ascii="Calibri" w:eastAsia="Calibri" w:hAnsi="Calibri" w:cs="Times New Roman"/>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locked/>
    <w:rsid w:val="007257E3"/>
    <w:pPr>
      <w:spacing w:after="160" w:line="259" w:lineRule="auto"/>
    </w:pPr>
    <w:rPr>
      <w:rFonts w:ascii="Calibri" w:eastAsia="Times New Roman" w:hAnsi="Calibri" w:cs="Calibri"/>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
    <w:basedOn w:val="TableNormal"/>
    <w:next w:val="TableGrid"/>
    <w:uiPriority w:val="39"/>
    <w:locked/>
    <w:rsid w:val="007257E3"/>
    <w:pPr>
      <w:spacing w:after="160" w:line="259" w:lineRule="auto"/>
    </w:pPr>
    <w:rPr>
      <w:rFonts w:ascii="Calibri" w:eastAsia="Times New Roman" w:hAnsi="Calibri" w:cs="Calibri"/>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
    <w:basedOn w:val="TableNormal"/>
    <w:next w:val="TableGrid"/>
    <w:uiPriority w:val="59"/>
    <w:rsid w:val="007257E3"/>
    <w:pPr>
      <w:spacing w:after="160" w:line="259"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locked/>
    <w:rsid w:val="007257E3"/>
    <w:pPr>
      <w:spacing w:after="160" w:line="259" w:lineRule="auto"/>
    </w:pPr>
    <w:rPr>
      <w:rFonts w:ascii="Calibri" w:eastAsia="Times New Roman" w:hAnsi="Calibri" w:cs="Calibri"/>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7257E3"/>
    <w:pPr>
      <w:spacing w:after="160" w:line="259" w:lineRule="auto"/>
    </w:pPr>
    <w:rPr>
      <w:rFonts w:ascii="Calibri" w:eastAsia="Calibri" w:hAnsi="Calibri" w:cs="Times New Roman"/>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locked/>
    <w:rsid w:val="007257E3"/>
    <w:pPr>
      <w:spacing w:after="160" w:line="259" w:lineRule="auto"/>
    </w:pPr>
    <w:rPr>
      <w:rFonts w:ascii="Calibri" w:eastAsia="Times New Roman" w:hAnsi="Calibri" w:cs="Calibri"/>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7257E3"/>
    <w:pPr>
      <w:spacing w:line="240" w:lineRule="auto"/>
    </w:pPr>
    <w:rPr>
      <w:rFonts w:ascii="Calibri" w:eastAsia="Calibri" w:hAnsi="Calibri" w:cs="Times New Roman"/>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
    <w:basedOn w:val="TableNormal"/>
    <w:next w:val="TableGrid"/>
    <w:rsid w:val="007257E3"/>
    <w:pPr>
      <w:spacing w:line="240" w:lineRule="auto"/>
    </w:pPr>
    <w:rPr>
      <w:rFonts w:asciiTheme="minorHAnsi" w:hAnsiTheme="minorHAns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yle2Char">
    <w:name w:val="Style2 Char"/>
    <w:basedOn w:val="DefaultParagraphFont"/>
    <w:link w:val="Style2"/>
    <w:rsid w:val="007257E3"/>
    <w:rPr>
      <w:rFonts w:eastAsia="Times New Roman" w:cs="Times New Roman"/>
      <w:sz w:val="20"/>
      <w:szCs w:val="20"/>
      <w:lang w:val="ro-RO" w:eastAsia="x-none"/>
    </w:rPr>
  </w:style>
  <w:style w:type="character" w:customStyle="1" w:styleId="BodyText32">
    <w:name w:val="Body Text3"/>
    <w:basedOn w:val="Bodytext0"/>
    <w:rsid w:val="007257E3"/>
    <w:rPr>
      <w:rFonts w:ascii="Arial Unicode MS" w:eastAsia="Arial Unicode MS" w:hAnsi="Arial Unicode MS" w:cs="Arial Unicode MS"/>
      <w:b w:val="0"/>
      <w:bCs w:val="0"/>
      <w:i w:val="0"/>
      <w:iCs w:val="0"/>
      <w:smallCaps w:val="0"/>
      <w:strike w:val="0"/>
      <w:color w:val="000000"/>
      <w:spacing w:val="0"/>
      <w:w w:val="100"/>
      <w:position w:val="0"/>
      <w:sz w:val="20"/>
      <w:szCs w:val="20"/>
      <w:u w:val="none"/>
      <w:shd w:val="clear" w:color="auto" w:fill="FFFFFF"/>
      <w:lang w:val="ro-RO"/>
    </w:rPr>
  </w:style>
  <w:style w:type="character" w:customStyle="1" w:styleId="BodytextBold0">
    <w:name w:val="Body text + Bold"/>
    <w:aliases w:val="Body text (12) + 9 pt,Body text + 11.5 pt"/>
    <w:basedOn w:val="Bodytext0"/>
    <w:rsid w:val="007257E3"/>
    <w:rPr>
      <w:rFonts w:ascii="Arial" w:eastAsia="Arial Unicode MS" w:hAnsi="Arial" w:cs="Arial"/>
      <w:b/>
      <w:bCs/>
      <w:i w:val="0"/>
      <w:iCs w:val="0"/>
      <w:smallCaps w:val="0"/>
      <w:strike w:val="0"/>
      <w:color w:val="000000"/>
      <w:spacing w:val="0"/>
      <w:w w:val="100"/>
      <w:position w:val="0"/>
      <w:sz w:val="13"/>
      <w:szCs w:val="13"/>
      <w:u w:val="none"/>
      <w:shd w:val="clear" w:color="auto" w:fill="FFFFFF"/>
      <w:lang w:val="ro-RO"/>
    </w:rPr>
  </w:style>
  <w:style w:type="character" w:customStyle="1" w:styleId="BodytextItalic0">
    <w:name w:val="Body text + Italic"/>
    <w:basedOn w:val="Bodytext0"/>
    <w:rsid w:val="007257E3"/>
    <w:rPr>
      <w:rFonts w:ascii="Arial" w:eastAsia="Arial" w:hAnsi="Arial" w:cs="Arial"/>
      <w:b w:val="0"/>
      <w:bCs w:val="0"/>
      <w:i/>
      <w:iCs/>
      <w:smallCaps w:val="0"/>
      <w:strike w:val="0"/>
      <w:color w:val="000000"/>
      <w:spacing w:val="0"/>
      <w:w w:val="100"/>
      <w:position w:val="0"/>
      <w:sz w:val="19"/>
      <w:szCs w:val="19"/>
      <w:u w:val="none"/>
      <w:shd w:val="clear" w:color="auto" w:fill="FFFFFF"/>
      <w:lang w:val="ro-RO"/>
    </w:rPr>
  </w:style>
  <w:style w:type="character" w:customStyle="1" w:styleId="Headerorfooter10pt">
    <w:name w:val="Header or footer + 10 pt"/>
    <w:basedOn w:val="Headerorfooter"/>
    <w:rsid w:val="007257E3"/>
    <w:rPr>
      <w:rFonts w:ascii="Arial" w:eastAsia="Arial" w:hAnsi="Arial" w:cs="Arial"/>
      <w:b w:val="0"/>
      <w:bCs w:val="0"/>
      <w:i w:val="0"/>
      <w:iCs w:val="0"/>
      <w:smallCaps w:val="0"/>
      <w:strike w:val="0"/>
      <w:color w:val="000000"/>
      <w:spacing w:val="0"/>
      <w:w w:val="100"/>
      <w:position w:val="0"/>
      <w:sz w:val="20"/>
      <w:szCs w:val="20"/>
      <w:u w:val="none"/>
    </w:rPr>
  </w:style>
  <w:style w:type="character" w:customStyle="1" w:styleId="Bodytext7">
    <w:name w:val="Body text (7)_"/>
    <w:basedOn w:val="DefaultParagraphFont"/>
    <w:link w:val="Bodytext70"/>
    <w:rsid w:val="007257E3"/>
    <w:rPr>
      <w:rFonts w:ascii="Arial" w:eastAsia="Arial" w:hAnsi="Arial" w:cs="Arial"/>
      <w:i/>
      <w:iCs/>
      <w:sz w:val="15"/>
      <w:szCs w:val="15"/>
      <w:shd w:val="clear" w:color="auto" w:fill="FFFFFF"/>
    </w:rPr>
  </w:style>
  <w:style w:type="character" w:customStyle="1" w:styleId="Tablecaption2">
    <w:name w:val="Table caption (2)"/>
    <w:basedOn w:val="DefaultParagraphFont"/>
    <w:rsid w:val="007257E3"/>
    <w:rPr>
      <w:rFonts w:ascii="Arial" w:eastAsia="Arial" w:hAnsi="Arial" w:cs="Arial"/>
      <w:b/>
      <w:bCs/>
      <w:i w:val="0"/>
      <w:iCs w:val="0"/>
      <w:smallCaps w:val="0"/>
      <w:strike w:val="0"/>
      <w:color w:val="000000"/>
      <w:spacing w:val="0"/>
      <w:w w:val="100"/>
      <w:position w:val="0"/>
      <w:sz w:val="19"/>
      <w:szCs w:val="19"/>
      <w:u w:val="single"/>
      <w:lang w:val="ro-RO"/>
    </w:rPr>
  </w:style>
  <w:style w:type="character" w:customStyle="1" w:styleId="BodytextFranklinGothicHeavy">
    <w:name w:val="Body text + Franklin Gothic Heavy"/>
    <w:aliases w:val="4 pt,Small Caps,Header or footer + Constantia,Body text + 7 pt"/>
    <w:basedOn w:val="Bodytext0"/>
    <w:rsid w:val="007257E3"/>
    <w:rPr>
      <w:rFonts w:ascii="Franklin Gothic Heavy" w:eastAsia="Franklin Gothic Heavy" w:hAnsi="Franklin Gothic Heavy" w:cs="Franklin Gothic Heavy"/>
      <w:b w:val="0"/>
      <w:bCs w:val="0"/>
      <w:i w:val="0"/>
      <w:iCs w:val="0"/>
      <w:smallCaps/>
      <w:strike w:val="0"/>
      <w:color w:val="FFFFFF"/>
      <w:spacing w:val="0"/>
      <w:w w:val="100"/>
      <w:position w:val="0"/>
      <w:sz w:val="8"/>
      <w:szCs w:val="8"/>
      <w:u w:val="none"/>
      <w:shd w:val="clear" w:color="auto" w:fill="FFFFFF"/>
      <w:lang w:val="ro-RO"/>
    </w:rPr>
  </w:style>
  <w:style w:type="character" w:customStyle="1" w:styleId="Tablecaption3">
    <w:name w:val="Table caption (3)_"/>
    <w:basedOn w:val="DefaultParagraphFont"/>
    <w:link w:val="Tablecaption30"/>
    <w:uiPriority w:val="99"/>
    <w:rsid w:val="007257E3"/>
    <w:rPr>
      <w:rFonts w:ascii="Arial" w:eastAsia="Arial" w:hAnsi="Arial" w:cs="Arial"/>
      <w:sz w:val="19"/>
      <w:szCs w:val="19"/>
      <w:shd w:val="clear" w:color="auto" w:fill="FFFFFF"/>
    </w:rPr>
  </w:style>
  <w:style w:type="paragraph" w:customStyle="1" w:styleId="Bodytext70">
    <w:name w:val="Body text (7)"/>
    <w:basedOn w:val="Normal"/>
    <w:link w:val="Bodytext7"/>
    <w:qFormat/>
    <w:rsid w:val="007257E3"/>
    <w:pPr>
      <w:widowControl w:val="0"/>
      <w:shd w:val="clear" w:color="auto" w:fill="FFFFFF"/>
      <w:spacing w:after="240" w:line="0" w:lineRule="atLeast"/>
      <w:ind w:firstLine="500"/>
    </w:pPr>
    <w:rPr>
      <w:rFonts w:ascii="Arial" w:eastAsia="Arial" w:hAnsi="Arial" w:cs="Arial"/>
      <w:i/>
      <w:iCs/>
      <w:sz w:val="15"/>
      <w:szCs w:val="15"/>
      <w:lang w:val="da-DK"/>
    </w:rPr>
  </w:style>
  <w:style w:type="paragraph" w:customStyle="1" w:styleId="Tablecaption30">
    <w:name w:val="Table caption (3)"/>
    <w:basedOn w:val="Normal"/>
    <w:link w:val="Tablecaption3"/>
    <w:uiPriority w:val="99"/>
    <w:qFormat/>
    <w:rsid w:val="007257E3"/>
    <w:pPr>
      <w:widowControl w:val="0"/>
      <w:shd w:val="clear" w:color="auto" w:fill="FFFFFF"/>
      <w:spacing w:line="0" w:lineRule="atLeast"/>
    </w:pPr>
    <w:rPr>
      <w:rFonts w:ascii="Arial" w:eastAsia="Arial" w:hAnsi="Arial" w:cs="Arial"/>
      <w:sz w:val="19"/>
      <w:szCs w:val="19"/>
      <w:lang w:val="da-DK"/>
    </w:rPr>
  </w:style>
  <w:style w:type="paragraph" w:customStyle="1" w:styleId="StyleHeading1Before36ptAfter12ptLinespacingExa">
    <w:name w:val="Style Heading 1 + Before:  36 pt After:  12 pt Line spacing:  Exa..."/>
    <w:basedOn w:val="Heading1"/>
    <w:qFormat/>
    <w:rsid w:val="007257E3"/>
    <w:pPr>
      <w:keepLines w:val="0"/>
      <w:numPr>
        <w:numId w:val="0"/>
      </w:numPr>
      <w:tabs>
        <w:tab w:val="num" w:pos="432"/>
        <w:tab w:val="left" w:pos="567"/>
        <w:tab w:val="num" w:pos="643"/>
      </w:tabs>
      <w:suppressAutoHyphens w:val="0"/>
      <w:spacing w:before="720" w:after="240" w:line="240" w:lineRule="exact"/>
      <w:ind w:left="567" w:hanging="567"/>
      <w:contextualSpacing w:val="0"/>
      <w:jc w:val="both"/>
    </w:pPr>
    <w:rPr>
      <w:rFonts w:ascii="Arial Bold" w:eastAsia="Times New Roman" w:hAnsi="Arial Bold" w:cs="Arial Bold"/>
      <w:b/>
      <w:caps/>
      <w:color w:val="auto"/>
      <w:kern w:val="32"/>
      <w:sz w:val="24"/>
      <w:szCs w:val="24"/>
      <w:lang w:eastAsia="de-DE"/>
    </w:rPr>
  </w:style>
  <w:style w:type="paragraph" w:customStyle="1" w:styleId="Source">
    <w:name w:val="Source"/>
    <w:basedOn w:val="Normal"/>
    <w:link w:val="SourceChar1"/>
    <w:qFormat/>
    <w:rsid w:val="007257E3"/>
    <w:pPr>
      <w:autoSpaceDE w:val="0"/>
      <w:autoSpaceDN w:val="0"/>
      <w:adjustRightInd w:val="0"/>
      <w:spacing w:after="160" w:line="288" w:lineRule="auto"/>
      <w:jc w:val="both"/>
    </w:pPr>
    <w:rPr>
      <w:rFonts w:ascii="Arial" w:eastAsia="Times New Roman" w:hAnsi="Arial" w:cs="Arial"/>
      <w:lang w:val="en-GB"/>
    </w:rPr>
  </w:style>
  <w:style w:type="character" w:customStyle="1" w:styleId="SourceChar1">
    <w:name w:val="Source Char1"/>
    <w:basedOn w:val="DefaultParagraphFont"/>
    <w:link w:val="Source"/>
    <w:locked/>
    <w:rsid w:val="007257E3"/>
    <w:rPr>
      <w:rFonts w:ascii="Arial" w:eastAsia="Times New Roman" w:hAnsi="Arial" w:cs="Arial"/>
      <w:lang w:val="en-GB"/>
    </w:rPr>
  </w:style>
  <w:style w:type="paragraph" w:customStyle="1" w:styleId="StyleLeft">
    <w:name w:val="Style Left"/>
    <w:basedOn w:val="Normal"/>
    <w:qFormat/>
    <w:rsid w:val="007257E3"/>
    <w:pPr>
      <w:spacing w:before="200" w:after="160" w:line="288" w:lineRule="auto"/>
      <w:jc w:val="center"/>
    </w:pPr>
    <w:rPr>
      <w:rFonts w:ascii="Arial" w:eastAsia="Times New Roman" w:hAnsi="Arial" w:cs="Arial"/>
      <w:b/>
      <w:bCs/>
      <w:i/>
      <w:iCs/>
      <w:sz w:val="16"/>
      <w:szCs w:val="16"/>
      <w:lang w:val="en-GB"/>
    </w:rPr>
  </w:style>
  <w:style w:type="paragraph" w:customStyle="1" w:styleId="Style359">
    <w:name w:val="Style359"/>
    <w:basedOn w:val="Normal"/>
    <w:qFormat/>
    <w:rsid w:val="007257E3"/>
    <w:pPr>
      <w:spacing w:after="160" w:line="214" w:lineRule="exact"/>
    </w:pPr>
    <w:rPr>
      <w:rFonts w:ascii="Calibri" w:eastAsia="Times New Roman" w:hAnsi="Calibri" w:cs="Calibri"/>
      <w:sz w:val="20"/>
      <w:szCs w:val="20"/>
      <w:lang w:eastAsia="ro-RO"/>
    </w:rPr>
  </w:style>
  <w:style w:type="character" w:customStyle="1" w:styleId="CharStyle439">
    <w:name w:val="CharStyle439"/>
    <w:basedOn w:val="DefaultParagraphFont"/>
    <w:rsid w:val="007257E3"/>
    <w:rPr>
      <w:rFonts w:ascii="Arial" w:hAnsi="Arial" w:cs="Arial"/>
      <w:b/>
      <w:bCs/>
      <w:sz w:val="18"/>
      <w:szCs w:val="18"/>
    </w:rPr>
  </w:style>
  <w:style w:type="paragraph" w:customStyle="1" w:styleId="Style380">
    <w:name w:val="Style380"/>
    <w:basedOn w:val="Normal"/>
    <w:qFormat/>
    <w:rsid w:val="007257E3"/>
    <w:pPr>
      <w:spacing w:after="160" w:line="216" w:lineRule="exact"/>
    </w:pPr>
    <w:rPr>
      <w:rFonts w:ascii="Calibri" w:eastAsia="Times New Roman" w:hAnsi="Calibri" w:cs="Calibri"/>
      <w:sz w:val="20"/>
      <w:szCs w:val="20"/>
      <w:lang w:eastAsia="ro-RO"/>
    </w:rPr>
  </w:style>
  <w:style w:type="character" w:customStyle="1" w:styleId="CharStyle429">
    <w:name w:val="CharStyle429"/>
    <w:basedOn w:val="DefaultParagraphFont"/>
    <w:rsid w:val="007257E3"/>
    <w:rPr>
      <w:rFonts w:ascii="Arial" w:hAnsi="Arial" w:cs="Arial"/>
      <w:sz w:val="18"/>
      <w:szCs w:val="18"/>
    </w:rPr>
  </w:style>
  <w:style w:type="paragraph" w:customStyle="1" w:styleId="Style625">
    <w:name w:val="Style625"/>
    <w:basedOn w:val="Normal"/>
    <w:uiPriority w:val="99"/>
    <w:qFormat/>
    <w:rsid w:val="007257E3"/>
    <w:pPr>
      <w:spacing w:after="160" w:line="259" w:lineRule="auto"/>
    </w:pPr>
    <w:rPr>
      <w:rFonts w:ascii="Calibri" w:eastAsia="Times New Roman" w:hAnsi="Calibri" w:cs="Calibri"/>
      <w:sz w:val="20"/>
      <w:szCs w:val="20"/>
      <w:lang w:eastAsia="ro-RO"/>
    </w:rPr>
  </w:style>
  <w:style w:type="character" w:customStyle="1" w:styleId="CharStyle398">
    <w:name w:val="CharStyle398"/>
    <w:basedOn w:val="DefaultParagraphFont"/>
    <w:uiPriority w:val="99"/>
    <w:rsid w:val="007257E3"/>
    <w:rPr>
      <w:rFonts w:ascii="Arial" w:hAnsi="Arial" w:cs="Arial"/>
      <w:sz w:val="12"/>
      <w:szCs w:val="12"/>
    </w:rPr>
  </w:style>
  <w:style w:type="paragraph" w:customStyle="1" w:styleId="Style619">
    <w:name w:val="Style619"/>
    <w:basedOn w:val="Normal"/>
    <w:qFormat/>
    <w:rsid w:val="007257E3"/>
    <w:pPr>
      <w:spacing w:after="160" w:line="216" w:lineRule="exact"/>
      <w:jc w:val="center"/>
    </w:pPr>
    <w:rPr>
      <w:rFonts w:ascii="Calibri" w:eastAsia="Times New Roman" w:hAnsi="Calibri" w:cs="Calibri"/>
      <w:sz w:val="20"/>
      <w:szCs w:val="20"/>
      <w:lang w:eastAsia="ro-RO"/>
    </w:rPr>
  </w:style>
  <w:style w:type="paragraph" w:customStyle="1" w:styleId="Style450">
    <w:name w:val="Style450"/>
    <w:basedOn w:val="Normal"/>
    <w:uiPriority w:val="99"/>
    <w:qFormat/>
    <w:rsid w:val="007257E3"/>
    <w:pPr>
      <w:spacing w:after="160" w:line="259" w:lineRule="auto"/>
    </w:pPr>
    <w:rPr>
      <w:rFonts w:ascii="Calibri" w:eastAsia="Times New Roman" w:hAnsi="Calibri" w:cs="Calibri"/>
      <w:sz w:val="20"/>
      <w:szCs w:val="20"/>
      <w:lang w:eastAsia="ro-RO"/>
    </w:rPr>
  </w:style>
  <w:style w:type="paragraph" w:customStyle="1" w:styleId="Style161">
    <w:name w:val="Style161"/>
    <w:basedOn w:val="Normal"/>
    <w:uiPriority w:val="99"/>
    <w:qFormat/>
    <w:rsid w:val="007257E3"/>
    <w:pPr>
      <w:spacing w:after="160" w:line="274" w:lineRule="exact"/>
      <w:jc w:val="both"/>
    </w:pPr>
    <w:rPr>
      <w:rFonts w:ascii="Calibri" w:eastAsia="Times New Roman" w:hAnsi="Calibri" w:cs="Calibri"/>
      <w:sz w:val="20"/>
      <w:szCs w:val="20"/>
      <w:lang w:eastAsia="ro-RO"/>
    </w:rPr>
  </w:style>
  <w:style w:type="character" w:customStyle="1" w:styleId="CharStyle433">
    <w:name w:val="CharStyle433"/>
    <w:basedOn w:val="DefaultParagraphFont"/>
    <w:uiPriority w:val="99"/>
    <w:rsid w:val="007257E3"/>
    <w:rPr>
      <w:rFonts w:ascii="Arial" w:hAnsi="Arial" w:cs="Arial"/>
      <w:sz w:val="14"/>
      <w:szCs w:val="14"/>
    </w:rPr>
  </w:style>
  <w:style w:type="character" w:customStyle="1" w:styleId="CharStyle438">
    <w:name w:val="CharStyle438"/>
    <w:basedOn w:val="DefaultParagraphFont"/>
    <w:uiPriority w:val="99"/>
    <w:rsid w:val="007257E3"/>
    <w:rPr>
      <w:rFonts w:ascii="Calibri" w:hAnsi="Calibri" w:cs="Calibri"/>
      <w:sz w:val="20"/>
      <w:szCs w:val="20"/>
    </w:rPr>
  </w:style>
  <w:style w:type="paragraph" w:customStyle="1" w:styleId="Style572">
    <w:name w:val="Style572"/>
    <w:basedOn w:val="Normal"/>
    <w:uiPriority w:val="99"/>
    <w:qFormat/>
    <w:rsid w:val="007257E3"/>
    <w:pPr>
      <w:spacing w:after="160" w:line="197" w:lineRule="exact"/>
      <w:jc w:val="center"/>
    </w:pPr>
    <w:rPr>
      <w:rFonts w:ascii="Calibri" w:eastAsia="Times New Roman" w:hAnsi="Calibri" w:cs="Calibri"/>
      <w:sz w:val="20"/>
      <w:szCs w:val="20"/>
      <w:lang w:eastAsia="ro-RO"/>
    </w:rPr>
  </w:style>
  <w:style w:type="paragraph" w:customStyle="1" w:styleId="Style719">
    <w:name w:val="Style719"/>
    <w:basedOn w:val="Normal"/>
    <w:uiPriority w:val="99"/>
    <w:qFormat/>
    <w:rsid w:val="007257E3"/>
    <w:pPr>
      <w:spacing w:after="160" w:line="218" w:lineRule="exact"/>
      <w:ind w:firstLine="53"/>
    </w:pPr>
    <w:rPr>
      <w:rFonts w:ascii="Calibri" w:eastAsia="Times New Roman" w:hAnsi="Calibri" w:cs="Calibri"/>
      <w:sz w:val="20"/>
      <w:szCs w:val="20"/>
      <w:lang w:eastAsia="ro-RO"/>
    </w:rPr>
  </w:style>
  <w:style w:type="paragraph" w:customStyle="1" w:styleId="Style394">
    <w:name w:val="Style394"/>
    <w:basedOn w:val="Normal"/>
    <w:qFormat/>
    <w:rsid w:val="007257E3"/>
    <w:pPr>
      <w:spacing w:after="160" w:line="259" w:lineRule="auto"/>
    </w:pPr>
    <w:rPr>
      <w:rFonts w:ascii="Calibri" w:eastAsia="Times New Roman" w:hAnsi="Calibri" w:cs="Calibri"/>
      <w:sz w:val="20"/>
      <w:szCs w:val="20"/>
      <w:lang w:eastAsia="ro-RO"/>
    </w:rPr>
  </w:style>
  <w:style w:type="paragraph" w:customStyle="1" w:styleId="Style717">
    <w:name w:val="Style717"/>
    <w:basedOn w:val="Normal"/>
    <w:uiPriority w:val="99"/>
    <w:qFormat/>
    <w:rsid w:val="007257E3"/>
    <w:pPr>
      <w:spacing w:after="160" w:line="226" w:lineRule="exact"/>
      <w:jc w:val="right"/>
    </w:pPr>
    <w:rPr>
      <w:rFonts w:ascii="Calibri" w:eastAsia="Times New Roman" w:hAnsi="Calibri" w:cs="Calibri"/>
      <w:sz w:val="20"/>
      <w:szCs w:val="20"/>
      <w:lang w:eastAsia="ro-RO"/>
    </w:rPr>
  </w:style>
  <w:style w:type="paragraph" w:customStyle="1" w:styleId="Style723">
    <w:name w:val="Style723"/>
    <w:basedOn w:val="Normal"/>
    <w:uiPriority w:val="99"/>
    <w:qFormat/>
    <w:rsid w:val="007257E3"/>
    <w:pPr>
      <w:spacing w:after="160" w:line="226" w:lineRule="exact"/>
      <w:ind w:firstLine="168"/>
    </w:pPr>
    <w:rPr>
      <w:rFonts w:ascii="Calibri" w:eastAsia="Times New Roman" w:hAnsi="Calibri" w:cs="Calibri"/>
      <w:sz w:val="20"/>
      <w:szCs w:val="20"/>
      <w:lang w:eastAsia="ro-RO"/>
    </w:rPr>
  </w:style>
  <w:style w:type="character" w:customStyle="1" w:styleId="CharStyle373">
    <w:name w:val="CharStyle373"/>
    <w:basedOn w:val="DefaultParagraphFont"/>
    <w:uiPriority w:val="99"/>
    <w:rsid w:val="007257E3"/>
    <w:rPr>
      <w:rFonts w:ascii="Arial" w:hAnsi="Arial" w:cs="Arial"/>
      <w:b/>
      <w:bCs/>
      <w:sz w:val="14"/>
      <w:szCs w:val="14"/>
    </w:rPr>
  </w:style>
  <w:style w:type="paragraph" w:customStyle="1" w:styleId="Style714">
    <w:name w:val="Style714"/>
    <w:basedOn w:val="Normal"/>
    <w:uiPriority w:val="99"/>
    <w:qFormat/>
    <w:rsid w:val="007257E3"/>
    <w:pPr>
      <w:spacing w:after="160" w:line="216" w:lineRule="exact"/>
      <w:jc w:val="both"/>
    </w:pPr>
    <w:rPr>
      <w:rFonts w:ascii="Calibri" w:eastAsia="Times New Roman" w:hAnsi="Calibri" w:cs="Calibri"/>
      <w:sz w:val="20"/>
      <w:szCs w:val="20"/>
      <w:lang w:eastAsia="ro-RO"/>
    </w:rPr>
  </w:style>
  <w:style w:type="paragraph" w:customStyle="1" w:styleId="Style465">
    <w:name w:val="Style465"/>
    <w:basedOn w:val="Normal"/>
    <w:uiPriority w:val="99"/>
    <w:qFormat/>
    <w:rsid w:val="007257E3"/>
    <w:pPr>
      <w:spacing w:after="160" w:line="182" w:lineRule="exact"/>
      <w:jc w:val="center"/>
    </w:pPr>
    <w:rPr>
      <w:rFonts w:ascii="Calibri" w:eastAsia="Times New Roman" w:hAnsi="Calibri" w:cs="Calibri"/>
      <w:sz w:val="20"/>
      <w:szCs w:val="20"/>
      <w:lang w:eastAsia="ro-RO"/>
    </w:rPr>
  </w:style>
  <w:style w:type="paragraph" w:customStyle="1" w:styleId="Style18913">
    <w:name w:val="Style18913"/>
    <w:basedOn w:val="Normal"/>
    <w:uiPriority w:val="99"/>
    <w:qFormat/>
    <w:rsid w:val="007257E3"/>
    <w:pPr>
      <w:spacing w:after="160" w:line="214" w:lineRule="exact"/>
      <w:jc w:val="center"/>
    </w:pPr>
    <w:rPr>
      <w:rFonts w:ascii="Calibri" w:eastAsia="Times New Roman" w:hAnsi="Calibri" w:cs="Calibri"/>
      <w:sz w:val="20"/>
      <w:szCs w:val="20"/>
      <w:lang w:eastAsia="ro-RO"/>
    </w:rPr>
  </w:style>
  <w:style w:type="paragraph" w:customStyle="1" w:styleId="Style11398">
    <w:name w:val="Style11398"/>
    <w:basedOn w:val="Normal"/>
    <w:uiPriority w:val="99"/>
    <w:qFormat/>
    <w:rsid w:val="007257E3"/>
    <w:pPr>
      <w:spacing w:after="160" w:line="250" w:lineRule="exact"/>
      <w:jc w:val="center"/>
    </w:pPr>
    <w:rPr>
      <w:rFonts w:ascii="Calibri" w:eastAsia="Times New Roman" w:hAnsi="Calibri" w:cs="Calibri"/>
      <w:sz w:val="20"/>
      <w:szCs w:val="20"/>
      <w:lang w:eastAsia="ro-RO"/>
    </w:rPr>
  </w:style>
  <w:style w:type="paragraph" w:customStyle="1" w:styleId="Style11430">
    <w:name w:val="Style11430"/>
    <w:basedOn w:val="Normal"/>
    <w:uiPriority w:val="99"/>
    <w:qFormat/>
    <w:rsid w:val="007257E3"/>
    <w:pPr>
      <w:spacing w:after="160" w:line="259" w:lineRule="auto"/>
    </w:pPr>
    <w:rPr>
      <w:rFonts w:ascii="Calibri" w:eastAsia="Times New Roman" w:hAnsi="Calibri" w:cs="Calibri"/>
      <w:sz w:val="20"/>
      <w:szCs w:val="20"/>
      <w:lang w:eastAsia="ro-RO"/>
    </w:rPr>
  </w:style>
  <w:style w:type="paragraph" w:customStyle="1" w:styleId="Style11400">
    <w:name w:val="Style11400"/>
    <w:basedOn w:val="Normal"/>
    <w:uiPriority w:val="99"/>
    <w:qFormat/>
    <w:rsid w:val="007257E3"/>
    <w:pPr>
      <w:spacing w:after="160" w:line="254" w:lineRule="exact"/>
      <w:ind w:hanging="528"/>
    </w:pPr>
    <w:rPr>
      <w:rFonts w:ascii="Calibri" w:eastAsia="Times New Roman" w:hAnsi="Calibri" w:cs="Calibri"/>
      <w:sz w:val="20"/>
      <w:szCs w:val="20"/>
      <w:lang w:eastAsia="ro-RO"/>
    </w:rPr>
  </w:style>
  <w:style w:type="character" w:customStyle="1" w:styleId="CharStyle1021">
    <w:name w:val="CharStyle1021"/>
    <w:basedOn w:val="DefaultParagraphFont"/>
    <w:uiPriority w:val="99"/>
    <w:rsid w:val="007257E3"/>
    <w:rPr>
      <w:rFonts w:ascii="Calibri" w:hAnsi="Calibri" w:cs="Calibri"/>
      <w:b/>
      <w:bCs/>
      <w:sz w:val="20"/>
      <w:szCs w:val="20"/>
    </w:rPr>
  </w:style>
  <w:style w:type="character" w:customStyle="1" w:styleId="CharStyle1022">
    <w:name w:val="CharStyle1022"/>
    <w:basedOn w:val="DefaultParagraphFont"/>
    <w:uiPriority w:val="99"/>
    <w:rsid w:val="007257E3"/>
    <w:rPr>
      <w:rFonts w:ascii="Calibri" w:hAnsi="Calibri" w:cs="Calibri"/>
      <w:sz w:val="20"/>
      <w:szCs w:val="20"/>
    </w:rPr>
  </w:style>
  <w:style w:type="paragraph" w:customStyle="1" w:styleId="Style196">
    <w:name w:val="Style196"/>
    <w:basedOn w:val="Normal"/>
    <w:uiPriority w:val="99"/>
    <w:qFormat/>
    <w:rsid w:val="007257E3"/>
    <w:pPr>
      <w:spacing w:after="160" w:line="259" w:lineRule="auto"/>
      <w:jc w:val="both"/>
    </w:pPr>
    <w:rPr>
      <w:rFonts w:ascii="Calibri" w:eastAsia="Times New Roman" w:hAnsi="Calibri" w:cs="Calibri"/>
      <w:sz w:val="20"/>
      <w:szCs w:val="20"/>
      <w:lang w:eastAsia="ro-RO"/>
    </w:rPr>
  </w:style>
  <w:style w:type="paragraph" w:customStyle="1" w:styleId="Style7256">
    <w:name w:val="Style7256"/>
    <w:basedOn w:val="Normal"/>
    <w:uiPriority w:val="99"/>
    <w:qFormat/>
    <w:rsid w:val="007257E3"/>
    <w:pPr>
      <w:spacing w:after="160" w:line="259" w:lineRule="auto"/>
      <w:jc w:val="center"/>
    </w:pPr>
    <w:rPr>
      <w:rFonts w:ascii="Calibri" w:eastAsia="Times New Roman" w:hAnsi="Calibri" w:cs="Calibri"/>
      <w:sz w:val="20"/>
      <w:szCs w:val="20"/>
      <w:lang w:eastAsia="ro-RO"/>
    </w:rPr>
  </w:style>
  <w:style w:type="paragraph" w:customStyle="1" w:styleId="Style11895">
    <w:name w:val="Style11895"/>
    <w:basedOn w:val="Normal"/>
    <w:uiPriority w:val="99"/>
    <w:qFormat/>
    <w:rsid w:val="007257E3"/>
    <w:pPr>
      <w:spacing w:after="160" w:line="259" w:lineRule="auto"/>
    </w:pPr>
    <w:rPr>
      <w:rFonts w:ascii="Calibri" w:eastAsia="Times New Roman" w:hAnsi="Calibri" w:cs="Calibri"/>
      <w:sz w:val="20"/>
      <w:szCs w:val="20"/>
      <w:lang w:eastAsia="ro-RO"/>
    </w:rPr>
  </w:style>
  <w:style w:type="character" w:customStyle="1" w:styleId="CharStyle1079">
    <w:name w:val="CharStyle1079"/>
    <w:basedOn w:val="DefaultParagraphFont"/>
    <w:uiPriority w:val="99"/>
    <w:rsid w:val="007257E3"/>
    <w:rPr>
      <w:rFonts w:ascii="Arial" w:hAnsi="Arial" w:cs="Arial"/>
      <w:b/>
      <w:bCs/>
      <w:sz w:val="10"/>
      <w:szCs w:val="10"/>
    </w:rPr>
  </w:style>
  <w:style w:type="paragraph" w:customStyle="1" w:styleId="Style11939">
    <w:name w:val="Style11939"/>
    <w:basedOn w:val="Normal"/>
    <w:uiPriority w:val="99"/>
    <w:qFormat/>
    <w:rsid w:val="007257E3"/>
    <w:pPr>
      <w:spacing w:after="160" w:line="259" w:lineRule="auto"/>
    </w:pPr>
    <w:rPr>
      <w:rFonts w:ascii="Calibri" w:eastAsia="Times New Roman" w:hAnsi="Calibri" w:cs="Calibri"/>
      <w:sz w:val="20"/>
      <w:szCs w:val="20"/>
      <w:lang w:eastAsia="ro-RO"/>
    </w:rPr>
  </w:style>
  <w:style w:type="paragraph" w:customStyle="1" w:styleId="Style7745">
    <w:name w:val="Style7745"/>
    <w:basedOn w:val="Normal"/>
    <w:uiPriority w:val="99"/>
    <w:qFormat/>
    <w:rsid w:val="007257E3"/>
    <w:pPr>
      <w:spacing w:after="160" w:line="259" w:lineRule="auto"/>
      <w:jc w:val="center"/>
    </w:pPr>
    <w:rPr>
      <w:rFonts w:ascii="Calibri" w:eastAsia="Times New Roman" w:hAnsi="Calibri" w:cs="Calibri"/>
      <w:sz w:val="20"/>
      <w:szCs w:val="20"/>
      <w:lang w:eastAsia="ro-RO"/>
    </w:rPr>
  </w:style>
  <w:style w:type="character" w:customStyle="1" w:styleId="CharStyle1082">
    <w:name w:val="CharStyle1082"/>
    <w:basedOn w:val="DefaultParagraphFont"/>
    <w:uiPriority w:val="99"/>
    <w:rsid w:val="007257E3"/>
    <w:rPr>
      <w:rFonts w:ascii="Arial" w:hAnsi="Arial" w:cs="Arial"/>
      <w:b/>
      <w:bCs/>
      <w:sz w:val="16"/>
      <w:szCs w:val="16"/>
    </w:rPr>
  </w:style>
  <w:style w:type="character" w:customStyle="1" w:styleId="CharStyle1083">
    <w:name w:val="CharStyle1083"/>
    <w:basedOn w:val="DefaultParagraphFont"/>
    <w:uiPriority w:val="99"/>
    <w:rsid w:val="007257E3"/>
    <w:rPr>
      <w:rFonts w:ascii="Arial" w:hAnsi="Arial" w:cs="Arial"/>
      <w:b/>
      <w:bCs/>
      <w:sz w:val="12"/>
      <w:szCs w:val="12"/>
    </w:rPr>
  </w:style>
  <w:style w:type="paragraph" w:customStyle="1" w:styleId="Style178">
    <w:name w:val="Style178"/>
    <w:basedOn w:val="Normal"/>
    <w:uiPriority w:val="99"/>
    <w:qFormat/>
    <w:rsid w:val="007257E3"/>
    <w:pPr>
      <w:spacing w:after="160" w:line="259" w:lineRule="auto"/>
    </w:pPr>
    <w:rPr>
      <w:rFonts w:ascii="Calibri" w:eastAsia="Times New Roman" w:hAnsi="Calibri" w:cs="Calibri"/>
      <w:sz w:val="20"/>
      <w:szCs w:val="20"/>
      <w:lang w:eastAsia="ro-RO"/>
    </w:rPr>
  </w:style>
  <w:style w:type="paragraph" w:customStyle="1" w:styleId="Style12127">
    <w:name w:val="Style12127"/>
    <w:basedOn w:val="Normal"/>
    <w:uiPriority w:val="99"/>
    <w:qFormat/>
    <w:rsid w:val="007257E3"/>
    <w:pPr>
      <w:spacing w:after="160" w:line="259" w:lineRule="auto"/>
    </w:pPr>
    <w:rPr>
      <w:rFonts w:ascii="Calibri" w:eastAsia="Times New Roman" w:hAnsi="Calibri" w:cs="Calibri"/>
      <w:sz w:val="20"/>
      <w:szCs w:val="20"/>
      <w:lang w:eastAsia="ro-RO"/>
    </w:rPr>
  </w:style>
  <w:style w:type="character" w:customStyle="1" w:styleId="CharStyle1196">
    <w:name w:val="CharStyle1196"/>
    <w:basedOn w:val="DefaultParagraphFont"/>
    <w:uiPriority w:val="99"/>
    <w:rsid w:val="007257E3"/>
    <w:rPr>
      <w:rFonts w:ascii="Calibri" w:hAnsi="Calibri" w:cs="Calibri"/>
      <w:b/>
      <w:bCs/>
      <w:sz w:val="20"/>
      <w:szCs w:val="20"/>
    </w:rPr>
  </w:style>
  <w:style w:type="paragraph" w:customStyle="1" w:styleId="Style403">
    <w:name w:val="Style403"/>
    <w:basedOn w:val="Normal"/>
    <w:uiPriority w:val="99"/>
    <w:qFormat/>
    <w:rsid w:val="007257E3"/>
    <w:pPr>
      <w:spacing w:after="160" w:line="216" w:lineRule="exact"/>
      <w:ind w:firstLine="269"/>
    </w:pPr>
    <w:rPr>
      <w:rFonts w:ascii="Calibri" w:eastAsia="Times New Roman" w:hAnsi="Calibri" w:cs="Calibri"/>
      <w:sz w:val="20"/>
      <w:szCs w:val="20"/>
      <w:lang w:eastAsia="ro-RO"/>
    </w:rPr>
  </w:style>
  <w:style w:type="paragraph" w:customStyle="1" w:styleId="Style13159">
    <w:name w:val="Style13159"/>
    <w:basedOn w:val="Normal"/>
    <w:uiPriority w:val="99"/>
    <w:qFormat/>
    <w:rsid w:val="007257E3"/>
    <w:pPr>
      <w:spacing w:after="160" w:line="216" w:lineRule="exact"/>
      <w:ind w:hanging="504"/>
    </w:pPr>
    <w:rPr>
      <w:rFonts w:ascii="Calibri" w:eastAsia="Times New Roman" w:hAnsi="Calibri" w:cs="Calibri"/>
      <w:sz w:val="20"/>
      <w:szCs w:val="20"/>
      <w:lang w:eastAsia="ro-RO"/>
    </w:rPr>
  </w:style>
  <w:style w:type="paragraph" w:customStyle="1" w:styleId="Style13002">
    <w:name w:val="Style13002"/>
    <w:basedOn w:val="Normal"/>
    <w:uiPriority w:val="99"/>
    <w:qFormat/>
    <w:rsid w:val="007257E3"/>
    <w:pPr>
      <w:spacing w:after="160" w:line="216" w:lineRule="exact"/>
      <w:jc w:val="center"/>
    </w:pPr>
    <w:rPr>
      <w:rFonts w:ascii="Calibri" w:eastAsia="Times New Roman" w:hAnsi="Calibri" w:cs="Calibri"/>
      <w:sz w:val="20"/>
      <w:szCs w:val="20"/>
      <w:lang w:eastAsia="ro-RO"/>
    </w:rPr>
  </w:style>
  <w:style w:type="paragraph" w:customStyle="1" w:styleId="Style470">
    <w:name w:val="Style470"/>
    <w:basedOn w:val="Normal"/>
    <w:uiPriority w:val="99"/>
    <w:qFormat/>
    <w:rsid w:val="007257E3"/>
    <w:pPr>
      <w:spacing w:after="160" w:line="194" w:lineRule="exact"/>
    </w:pPr>
    <w:rPr>
      <w:rFonts w:ascii="Calibri" w:eastAsia="Times New Roman" w:hAnsi="Calibri" w:cs="Calibri"/>
      <w:sz w:val="20"/>
      <w:szCs w:val="20"/>
      <w:lang w:eastAsia="ro-RO"/>
    </w:rPr>
  </w:style>
  <w:style w:type="paragraph" w:customStyle="1" w:styleId="Style13583">
    <w:name w:val="Style13583"/>
    <w:basedOn w:val="Normal"/>
    <w:uiPriority w:val="99"/>
    <w:qFormat/>
    <w:rsid w:val="007257E3"/>
    <w:pPr>
      <w:spacing w:after="160" w:line="199" w:lineRule="exact"/>
      <w:jc w:val="center"/>
    </w:pPr>
    <w:rPr>
      <w:rFonts w:ascii="Calibri" w:eastAsia="Times New Roman" w:hAnsi="Calibri" w:cs="Calibri"/>
      <w:sz w:val="20"/>
      <w:szCs w:val="20"/>
      <w:lang w:eastAsia="ro-RO"/>
    </w:rPr>
  </w:style>
  <w:style w:type="character" w:customStyle="1" w:styleId="CharStyle1094">
    <w:name w:val="CharStyle1094"/>
    <w:basedOn w:val="DefaultParagraphFont"/>
    <w:uiPriority w:val="99"/>
    <w:rsid w:val="007257E3"/>
    <w:rPr>
      <w:rFonts w:ascii="Arial" w:hAnsi="Arial" w:cs="Arial"/>
      <w:b/>
      <w:bCs/>
      <w:sz w:val="14"/>
      <w:szCs w:val="14"/>
    </w:rPr>
  </w:style>
  <w:style w:type="paragraph" w:customStyle="1" w:styleId="Style10049">
    <w:name w:val="Style10049"/>
    <w:basedOn w:val="Normal"/>
    <w:uiPriority w:val="99"/>
    <w:qFormat/>
    <w:rsid w:val="007257E3"/>
    <w:pPr>
      <w:spacing w:after="160" w:line="259" w:lineRule="auto"/>
      <w:jc w:val="center"/>
    </w:pPr>
    <w:rPr>
      <w:rFonts w:ascii="Calibri" w:eastAsia="Times New Roman" w:hAnsi="Calibri" w:cs="Calibri"/>
      <w:sz w:val="20"/>
      <w:szCs w:val="20"/>
      <w:lang w:eastAsia="ro-RO"/>
    </w:rPr>
  </w:style>
  <w:style w:type="paragraph" w:customStyle="1" w:styleId="Style11742">
    <w:name w:val="Style11742"/>
    <w:basedOn w:val="Normal"/>
    <w:uiPriority w:val="99"/>
    <w:qFormat/>
    <w:rsid w:val="007257E3"/>
    <w:pPr>
      <w:spacing w:after="160" w:line="259" w:lineRule="auto"/>
    </w:pPr>
    <w:rPr>
      <w:rFonts w:ascii="Calibri" w:eastAsia="Times New Roman" w:hAnsi="Calibri" w:cs="Calibri"/>
      <w:sz w:val="20"/>
      <w:szCs w:val="20"/>
      <w:lang w:eastAsia="ro-RO"/>
    </w:rPr>
  </w:style>
  <w:style w:type="character" w:customStyle="1" w:styleId="CharStyle1076">
    <w:name w:val="CharStyle1076"/>
    <w:basedOn w:val="DefaultParagraphFont"/>
    <w:uiPriority w:val="99"/>
    <w:rsid w:val="007257E3"/>
    <w:rPr>
      <w:rFonts w:ascii="Arial" w:hAnsi="Arial" w:cs="Arial"/>
      <w:sz w:val="18"/>
      <w:szCs w:val="18"/>
    </w:rPr>
  </w:style>
  <w:style w:type="paragraph" w:customStyle="1" w:styleId="Style10272">
    <w:name w:val="Style10272"/>
    <w:basedOn w:val="Normal"/>
    <w:uiPriority w:val="99"/>
    <w:qFormat/>
    <w:rsid w:val="007257E3"/>
    <w:pPr>
      <w:spacing w:after="160" w:line="259" w:lineRule="auto"/>
      <w:jc w:val="center"/>
    </w:pPr>
    <w:rPr>
      <w:rFonts w:ascii="Calibri" w:eastAsia="Times New Roman" w:hAnsi="Calibri" w:cs="Calibri"/>
      <w:sz w:val="20"/>
      <w:szCs w:val="20"/>
      <w:lang w:eastAsia="ro-RO"/>
    </w:rPr>
  </w:style>
  <w:style w:type="paragraph" w:customStyle="1" w:styleId="Style14048">
    <w:name w:val="Style14048"/>
    <w:basedOn w:val="Normal"/>
    <w:uiPriority w:val="99"/>
    <w:qFormat/>
    <w:rsid w:val="007257E3"/>
    <w:pPr>
      <w:spacing w:after="160" w:line="211" w:lineRule="exact"/>
      <w:ind w:firstLine="293"/>
    </w:pPr>
    <w:rPr>
      <w:rFonts w:ascii="Calibri" w:eastAsia="Times New Roman" w:hAnsi="Calibri" w:cs="Calibri"/>
      <w:sz w:val="20"/>
      <w:szCs w:val="20"/>
      <w:lang w:eastAsia="ro-RO"/>
    </w:rPr>
  </w:style>
  <w:style w:type="character" w:customStyle="1" w:styleId="CharStyle2399">
    <w:name w:val="CharStyle2399"/>
    <w:basedOn w:val="DefaultParagraphFont"/>
    <w:uiPriority w:val="99"/>
    <w:rsid w:val="007257E3"/>
    <w:rPr>
      <w:rFonts w:ascii="Arial" w:hAnsi="Arial" w:cs="Arial"/>
      <w:b/>
      <w:bCs/>
      <w:sz w:val="18"/>
      <w:szCs w:val="18"/>
    </w:rPr>
  </w:style>
  <w:style w:type="paragraph" w:customStyle="1" w:styleId="Style14069">
    <w:name w:val="Style14069"/>
    <w:basedOn w:val="Normal"/>
    <w:uiPriority w:val="99"/>
    <w:qFormat/>
    <w:rsid w:val="007257E3"/>
    <w:pPr>
      <w:spacing w:after="160" w:line="259" w:lineRule="auto"/>
    </w:pPr>
    <w:rPr>
      <w:rFonts w:ascii="Calibri" w:eastAsia="Times New Roman" w:hAnsi="Calibri" w:cs="Calibri"/>
      <w:sz w:val="20"/>
      <w:szCs w:val="20"/>
      <w:lang w:eastAsia="ro-RO"/>
    </w:rPr>
  </w:style>
  <w:style w:type="numbering" w:customStyle="1" w:styleId="CurrentList13">
    <w:name w:val="Current List13"/>
    <w:rsid w:val="007257E3"/>
    <w:pPr>
      <w:numPr>
        <w:numId w:val="137"/>
      </w:numPr>
    </w:pPr>
  </w:style>
  <w:style w:type="numbering" w:customStyle="1" w:styleId="StyleBulleted8pt">
    <w:name w:val="Style Bulleted 8 pt"/>
    <w:rsid w:val="007257E3"/>
    <w:pPr>
      <w:numPr>
        <w:numId w:val="173"/>
      </w:numPr>
    </w:pPr>
  </w:style>
  <w:style w:type="numbering" w:customStyle="1" w:styleId="CurrentList2">
    <w:name w:val="Current List2"/>
    <w:rsid w:val="007257E3"/>
    <w:pPr>
      <w:numPr>
        <w:numId w:val="138"/>
      </w:numPr>
    </w:pPr>
  </w:style>
  <w:style w:type="character" w:customStyle="1" w:styleId="FootnoteTextChar2">
    <w:name w:val="Footnote Text Char2"/>
    <w:aliases w:val="Podrozdział Char1,Footnote Text Char Char Char1,Footnote Text Char Char2,Fußnote Char1,single space Char1,FOOTNOTES Char1,fn Char1,stile 1 Char1,Footnote Char1,Footnote1 Char1,Footnote2 Char1,Footnote3 Char1,Footnote4 Char1"/>
    <w:basedOn w:val="DefaultParagraphFont"/>
    <w:semiHidden/>
    <w:locked/>
    <w:rsid w:val="007257E3"/>
    <w:rPr>
      <w:rFonts w:ascii="Arial" w:hAnsi="Arial" w:cs="Times New Roman"/>
      <w:lang w:val="de-DE" w:eastAsia="de-DE" w:bidi="ar-SA"/>
    </w:rPr>
  </w:style>
  <w:style w:type="paragraph" w:customStyle="1" w:styleId="P1">
    <w:name w:val="P1"/>
    <w:basedOn w:val="Normal"/>
    <w:link w:val="P1Zchn"/>
    <w:qFormat/>
    <w:rsid w:val="007257E3"/>
    <w:pPr>
      <w:numPr>
        <w:numId w:val="99"/>
      </w:numPr>
      <w:tabs>
        <w:tab w:val="num" w:pos="567"/>
      </w:tabs>
      <w:overflowPunct w:val="0"/>
      <w:autoSpaceDE w:val="0"/>
      <w:autoSpaceDN w:val="0"/>
      <w:adjustRightInd w:val="0"/>
      <w:spacing w:after="160" w:line="320" w:lineRule="atLeast"/>
      <w:jc w:val="both"/>
      <w:textAlignment w:val="baseline"/>
    </w:pPr>
    <w:rPr>
      <w:rFonts w:ascii="Arial" w:eastAsia="SimSun" w:hAnsi="Arial" w:cs="Times New Roman"/>
      <w:sz w:val="22"/>
      <w:szCs w:val="22"/>
      <w:lang w:val="de-DE" w:eastAsia="de-DE"/>
    </w:rPr>
  </w:style>
  <w:style w:type="character" w:customStyle="1" w:styleId="P1Zchn">
    <w:name w:val="P1 Zchn"/>
    <w:basedOn w:val="DefaultParagraphFont"/>
    <w:link w:val="P1"/>
    <w:locked/>
    <w:rsid w:val="007257E3"/>
    <w:rPr>
      <w:rFonts w:ascii="Arial" w:eastAsia="SimSun" w:hAnsi="Arial" w:cs="Times New Roman"/>
      <w:sz w:val="22"/>
      <w:szCs w:val="22"/>
      <w:lang w:val="de-DE" w:eastAsia="de-DE"/>
    </w:rPr>
  </w:style>
  <w:style w:type="character" w:customStyle="1" w:styleId="hps">
    <w:name w:val="hps"/>
    <w:basedOn w:val="DefaultParagraphFont"/>
    <w:rsid w:val="007257E3"/>
  </w:style>
  <w:style w:type="paragraph" w:customStyle="1" w:styleId="DefaultText">
    <w:name w:val="Default Text"/>
    <w:basedOn w:val="Normal"/>
    <w:uiPriority w:val="99"/>
    <w:qFormat/>
    <w:rsid w:val="007257E3"/>
    <w:pPr>
      <w:widowControl w:val="0"/>
      <w:autoSpaceDE w:val="0"/>
      <w:spacing w:after="160" w:line="259" w:lineRule="auto"/>
      <w:jc w:val="both"/>
    </w:pPr>
    <w:rPr>
      <w:rFonts w:ascii="Arial" w:eastAsia="Lucida Sans Unicode" w:hAnsi="Arial" w:cs="Times New Roman"/>
      <w:sz w:val="24"/>
      <w:szCs w:val="24"/>
      <w:lang w:val="en-US" w:eastAsia="de-DE"/>
    </w:rPr>
  </w:style>
  <w:style w:type="paragraph" w:customStyle="1" w:styleId="StyleTextTabelNotBoldCentered">
    <w:name w:val="Style TextTabel + Not Bold Centered"/>
    <w:basedOn w:val="Normal"/>
    <w:autoRedefine/>
    <w:rsid w:val="007257E3"/>
    <w:pPr>
      <w:widowControl w:val="0"/>
      <w:spacing w:after="160" w:line="259" w:lineRule="auto"/>
      <w:ind w:right="282"/>
      <w:jc w:val="center"/>
    </w:pPr>
    <w:rPr>
      <w:rFonts w:ascii="Arial" w:eastAsia="Times New Roman" w:hAnsi="Arial" w:cs="Times New Roman"/>
      <w:szCs w:val="20"/>
      <w:lang w:eastAsia="en-GB"/>
    </w:rPr>
  </w:style>
  <w:style w:type="paragraph" w:customStyle="1" w:styleId="TextnormalCharCharChar">
    <w:name w:val="Text normal Char Char Char"/>
    <w:basedOn w:val="Normal"/>
    <w:rsid w:val="007257E3"/>
    <w:pPr>
      <w:spacing w:before="80" w:after="160" w:line="259" w:lineRule="auto"/>
      <w:ind w:left="1304"/>
      <w:jc w:val="both"/>
    </w:pPr>
    <w:rPr>
      <w:rFonts w:ascii="Arial" w:eastAsia="Times New Roman" w:hAnsi="Arial" w:cs="Times New Roman"/>
      <w:sz w:val="22"/>
      <w:szCs w:val="22"/>
      <w:lang w:val="en-US"/>
    </w:rPr>
  </w:style>
  <w:style w:type="paragraph" w:customStyle="1" w:styleId="Bulet">
    <w:name w:val="Bulet"/>
    <w:basedOn w:val="Normal"/>
    <w:link w:val="BuletCaracter"/>
    <w:qFormat/>
    <w:rsid w:val="007257E3"/>
    <w:pPr>
      <w:tabs>
        <w:tab w:val="left" w:pos="1304"/>
      </w:tabs>
      <w:spacing w:before="60" w:after="60" w:line="259" w:lineRule="auto"/>
    </w:pPr>
    <w:rPr>
      <w:rFonts w:ascii="Arial" w:eastAsia="Times New Roman" w:hAnsi="Arial" w:cs="Arial"/>
      <w:bCs/>
      <w:iCs/>
      <w:color w:val="000000"/>
      <w:sz w:val="22"/>
      <w:szCs w:val="22"/>
      <w:lang w:val="it-IT"/>
    </w:rPr>
  </w:style>
  <w:style w:type="paragraph" w:customStyle="1" w:styleId="scris">
    <w:name w:val="scris"/>
    <w:basedOn w:val="Normal"/>
    <w:rsid w:val="007257E3"/>
    <w:pPr>
      <w:keepLines/>
      <w:widowControl w:val="0"/>
      <w:tabs>
        <w:tab w:val="left" w:pos="1985"/>
      </w:tabs>
      <w:spacing w:after="160" w:line="360" w:lineRule="auto"/>
      <w:jc w:val="both"/>
    </w:pPr>
    <w:rPr>
      <w:rFonts w:ascii="Arial RO" w:eastAsia="Times New Roman" w:hAnsi="Arial RO" w:cs="Times New Roman"/>
      <w:sz w:val="24"/>
      <w:szCs w:val="20"/>
      <w:lang w:eastAsia="ro-RO"/>
    </w:rPr>
  </w:style>
  <w:style w:type="paragraph" w:customStyle="1" w:styleId="TableParagraph">
    <w:name w:val="Table Paragraph"/>
    <w:basedOn w:val="Normal"/>
    <w:uiPriority w:val="1"/>
    <w:qFormat/>
    <w:rsid w:val="007257E3"/>
    <w:pPr>
      <w:widowControl w:val="0"/>
      <w:spacing w:after="160" w:line="259" w:lineRule="auto"/>
    </w:pPr>
    <w:rPr>
      <w:rFonts w:ascii="Calibri" w:eastAsia="Calibri" w:hAnsi="Calibri" w:cs="Times New Roman"/>
      <w:sz w:val="22"/>
      <w:szCs w:val="22"/>
      <w:lang w:val="en-US"/>
    </w:rPr>
  </w:style>
  <w:style w:type="paragraph" w:customStyle="1" w:styleId="Caracter7CharCharCaracterCharCharCaracterCharCharCaracterCharCharCaracterCharCharCaracterCharCharCaracterCharCharCaracterCharCharCaracterCharCharCaracterCharCharCaracter">
    <w:name w:val="Caracter7 Char Char Caracter Char Char Caracter Char Char Caracter Char Char Caracter Char Char Caracter Char Char Caracter Char Char Caracter Char Char Caracter Char Char Caracter Char Char Caracter"/>
    <w:basedOn w:val="Normal"/>
    <w:rsid w:val="007257E3"/>
    <w:pPr>
      <w:spacing w:after="160" w:line="259" w:lineRule="auto"/>
    </w:pPr>
    <w:rPr>
      <w:rFonts w:ascii="Times New Roman" w:eastAsia="Times New Roman" w:hAnsi="Times New Roman" w:cs="Times New Roman"/>
      <w:sz w:val="24"/>
      <w:szCs w:val="24"/>
      <w:lang w:val="pl-PL" w:eastAsia="pl-PL"/>
    </w:rPr>
  </w:style>
  <w:style w:type="numbering" w:customStyle="1" w:styleId="Style1193">
    <w:name w:val="Style1193"/>
    <w:rsid w:val="007257E3"/>
    <w:pPr>
      <w:numPr>
        <w:numId w:val="170"/>
      </w:numPr>
    </w:pPr>
  </w:style>
  <w:style w:type="paragraph" w:customStyle="1" w:styleId="ydpb3888cdeyiv8205122276msonormal">
    <w:name w:val="ydpb3888cdeyiv8205122276msonormal"/>
    <w:basedOn w:val="Normal"/>
    <w:rsid w:val="007257E3"/>
    <w:pPr>
      <w:spacing w:before="100" w:beforeAutospacing="1" w:after="100" w:afterAutospacing="1" w:line="259" w:lineRule="auto"/>
    </w:pPr>
    <w:rPr>
      <w:rFonts w:ascii="Times New Roman" w:eastAsia="Times New Roman" w:hAnsi="Times New Roman" w:cs="Times New Roman"/>
      <w:sz w:val="24"/>
      <w:szCs w:val="24"/>
      <w:lang w:val="en-GB" w:eastAsia="en-GB"/>
    </w:rPr>
  </w:style>
  <w:style w:type="table" w:customStyle="1" w:styleId="Table3Deffects11">
    <w:name w:val="Table 3D effects 11"/>
    <w:basedOn w:val="TableNormal"/>
    <w:next w:val="Table3Deffects1"/>
    <w:rsid w:val="007257E3"/>
    <w:pPr>
      <w:spacing w:before="120" w:after="120" w:line="260" w:lineRule="exact"/>
    </w:pPr>
    <w:rPr>
      <w:rFonts w:ascii="Times New Roman" w:eastAsia="Times New Roman" w:hAnsi="Times New Roman" w:cs="Times New Roman"/>
      <w:sz w:val="20"/>
      <w:szCs w:val="20"/>
      <w:lang w:val="en-GB" w:eastAsia="en-GB"/>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rsid w:val="007257E3"/>
    <w:pPr>
      <w:spacing w:before="120" w:after="120" w:line="260" w:lineRule="exact"/>
    </w:pPr>
    <w:rPr>
      <w:rFonts w:ascii="Times New Roman" w:eastAsia="Times New Roman" w:hAnsi="Times New Roman" w:cs="Times New Roman"/>
      <w:sz w:val="20"/>
      <w:szCs w:val="20"/>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1">
    <w:name w:val="Table 3D effects 31"/>
    <w:basedOn w:val="TableNormal"/>
    <w:next w:val="Table3Deffects3"/>
    <w:rsid w:val="007257E3"/>
    <w:pPr>
      <w:spacing w:before="120" w:after="120" w:line="260" w:lineRule="exact"/>
    </w:pPr>
    <w:rPr>
      <w:rFonts w:ascii="Times New Roman" w:eastAsia="Times New Roman" w:hAnsi="Times New Roman" w:cs="Times New Roman"/>
      <w:sz w:val="20"/>
      <w:szCs w:val="20"/>
      <w:lang w:val="en-GB" w:eastAsia="en-GB"/>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13">
    <w:name w:val="Table Classic 113"/>
    <w:basedOn w:val="TableNormal"/>
    <w:next w:val="TableClassic1"/>
    <w:semiHidden/>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1">
    <w:name w:val="Table Classic 21"/>
    <w:basedOn w:val="TableNormal"/>
    <w:next w:val="TableClassic2"/>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1">
    <w:name w:val="Table Classic 31"/>
    <w:basedOn w:val="TableNormal"/>
    <w:next w:val="TableClassic3"/>
    <w:rsid w:val="007257E3"/>
    <w:pPr>
      <w:spacing w:before="120" w:after="120" w:line="260" w:lineRule="exact"/>
    </w:pPr>
    <w:rPr>
      <w:rFonts w:ascii="Times New Roman" w:eastAsia="Times New Roman" w:hAnsi="Times New Roman" w:cs="Times New Roman"/>
      <w:color w:val="000080"/>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1">
    <w:name w:val="Table Classic 41"/>
    <w:basedOn w:val="TableNormal"/>
    <w:next w:val="TableClassic4"/>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sid w:val="007257E3"/>
    <w:pPr>
      <w:spacing w:before="120" w:after="120" w:line="260" w:lineRule="exact"/>
    </w:pPr>
    <w:rPr>
      <w:rFonts w:ascii="Times New Roman" w:eastAsia="Times New Roman" w:hAnsi="Times New Roman" w:cs="Times New Roman"/>
      <w:color w:val="FFFFFF"/>
      <w:sz w:val="20"/>
      <w:szCs w:val="20"/>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1">
    <w:name w:val="Table Colorful 21"/>
    <w:basedOn w:val="TableNormal"/>
    <w:next w:val="TableColorful2"/>
    <w:rsid w:val="007257E3"/>
    <w:pPr>
      <w:spacing w:before="120" w:after="120" w:line="260" w:lineRule="exact"/>
    </w:pPr>
    <w:rPr>
      <w:rFonts w:ascii="Times New Roman" w:eastAsia="Times New Roman" w:hAnsi="Times New Roman" w:cs="Times New Roman"/>
      <w:sz w:val="20"/>
      <w:szCs w:val="20"/>
      <w:lang w:val="en-GB" w:eastAsia="en-GB"/>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1">
    <w:name w:val="Table Colorful 31"/>
    <w:basedOn w:val="TableNormal"/>
    <w:next w:val="TableColorful3"/>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1">
    <w:name w:val="Table Columns 11"/>
    <w:basedOn w:val="TableNormal"/>
    <w:next w:val="TableColumns1"/>
    <w:rsid w:val="007257E3"/>
    <w:pPr>
      <w:spacing w:before="120" w:after="120" w:line="260" w:lineRule="exact"/>
    </w:pPr>
    <w:rPr>
      <w:rFonts w:ascii="Times New Roman" w:eastAsia="Times New Roman" w:hAnsi="Times New Roman" w:cs="Times New Roman"/>
      <w:b/>
      <w:bCs/>
      <w:sz w:val="20"/>
      <w:szCs w:val="20"/>
      <w:lang w:val="en-GB" w:eastAsia="en-GB"/>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1">
    <w:name w:val="Table Columns 21"/>
    <w:basedOn w:val="TableNormal"/>
    <w:next w:val="TableColumns2"/>
    <w:rsid w:val="007257E3"/>
    <w:pPr>
      <w:spacing w:before="120" w:after="120" w:line="260" w:lineRule="exact"/>
    </w:pPr>
    <w:rPr>
      <w:rFonts w:ascii="Times New Roman" w:eastAsia="Times New Roman" w:hAnsi="Times New Roman" w:cs="Times New Roman"/>
      <w:b/>
      <w:bCs/>
      <w:sz w:val="20"/>
      <w:szCs w:val="20"/>
      <w:lang w:val="en-GB" w:eastAsia="en-GB"/>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1">
    <w:name w:val="Table Columns 31"/>
    <w:basedOn w:val="TableNormal"/>
    <w:next w:val="TableColumns3"/>
    <w:rsid w:val="007257E3"/>
    <w:pPr>
      <w:spacing w:before="120" w:after="120" w:line="260" w:lineRule="exact"/>
    </w:pPr>
    <w:rPr>
      <w:rFonts w:ascii="Times New Roman" w:eastAsia="Times New Roman" w:hAnsi="Times New Roman" w:cs="Times New Roman"/>
      <w:b/>
      <w:bCs/>
      <w:sz w:val="20"/>
      <w:szCs w:val="20"/>
      <w:lang w:val="en-GB" w:eastAsia="en-GB"/>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1">
    <w:name w:val="Table Columns 41"/>
    <w:basedOn w:val="TableNormal"/>
    <w:next w:val="TableColumns4"/>
    <w:rsid w:val="007257E3"/>
    <w:pPr>
      <w:spacing w:before="120" w:after="120" w:line="260" w:lineRule="exact"/>
    </w:pPr>
    <w:rPr>
      <w:rFonts w:ascii="Times New Roman" w:eastAsia="Times New Roman" w:hAnsi="Times New Roman" w:cs="Times New Roman"/>
      <w:sz w:val="20"/>
      <w:szCs w:val="20"/>
      <w:lang w:val="en-GB" w:eastAsia="en-GB"/>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1">
    <w:name w:val="Table Columns 51"/>
    <w:basedOn w:val="TableNormal"/>
    <w:next w:val="TableColumns5"/>
    <w:rsid w:val="007257E3"/>
    <w:pPr>
      <w:spacing w:before="120" w:after="120" w:line="260" w:lineRule="exact"/>
    </w:pPr>
    <w:rPr>
      <w:rFonts w:ascii="Times New Roman" w:eastAsia="Times New Roman" w:hAnsi="Times New Roman" w:cs="Times New Roman"/>
      <w:sz w:val="20"/>
      <w:szCs w:val="20"/>
      <w:lang w:val="en-GB" w:eastAsia="en-GB"/>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1">
    <w:name w:val="Table Contemporary1"/>
    <w:basedOn w:val="TableNormal"/>
    <w:next w:val="TableContemporary"/>
    <w:rsid w:val="007257E3"/>
    <w:pPr>
      <w:spacing w:before="120" w:after="120" w:line="260" w:lineRule="exact"/>
    </w:pPr>
    <w:rPr>
      <w:rFonts w:ascii="Times New Roman" w:eastAsia="Times New Roman" w:hAnsi="Times New Roman" w:cs="Times New Roman"/>
      <w:sz w:val="20"/>
      <w:szCs w:val="20"/>
      <w:lang w:val="en-GB" w:eastAsia="en-GB"/>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Elegant14">
    <w:name w:val="Table Elegant14"/>
    <w:basedOn w:val="TableNormal"/>
    <w:next w:val="TableElegant"/>
    <w:rsid w:val="007257E3"/>
    <w:pPr>
      <w:spacing w:before="120" w:after="120" w:line="260" w:lineRule="exact"/>
    </w:pPr>
    <w:rPr>
      <w:rFonts w:ascii="Times New Roman" w:eastAsia="Times New Roman" w:hAnsi="Times New Roman" w:cs="Times New Roman"/>
      <w:sz w:val="20"/>
      <w:szCs w:val="20"/>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Grid114">
    <w:name w:val="Table Grid 11"/>
    <w:basedOn w:val="TableNormal"/>
    <w:next w:val="TableGrid1"/>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10">
    <w:name w:val="Table Grid 21"/>
    <w:basedOn w:val="TableNormal"/>
    <w:next w:val="TableGrid2"/>
    <w:rsid w:val="007257E3"/>
    <w:pPr>
      <w:spacing w:before="120" w:after="120" w:line="260" w:lineRule="exact"/>
    </w:pPr>
    <w:rPr>
      <w:rFonts w:ascii="Times New Roman" w:eastAsia="Times New Roman" w:hAnsi="Times New Roman" w:cs="Times New Roman"/>
      <w:sz w:val="20"/>
      <w:szCs w:val="20"/>
      <w:lang w:val="en-GB" w:eastAsia="en-GB"/>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10">
    <w:name w:val="Table Grid 31"/>
    <w:basedOn w:val="TableNormal"/>
    <w:next w:val="TableGrid3"/>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11">
    <w:name w:val="Table Grid 41"/>
    <w:basedOn w:val="TableNormal"/>
    <w:next w:val="TableGrid4"/>
    <w:rsid w:val="007257E3"/>
    <w:pPr>
      <w:spacing w:before="120" w:after="120" w:line="260" w:lineRule="exact"/>
    </w:pPr>
    <w:rPr>
      <w:rFonts w:ascii="Times New Roman" w:eastAsia="Times New Roman" w:hAnsi="Times New Roman" w:cs="Times New Roman"/>
      <w:sz w:val="20"/>
      <w:szCs w:val="20"/>
      <w:lang w:val="en-GB" w:eastAsia="en-GB"/>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11">
    <w:name w:val="Table Grid 51"/>
    <w:basedOn w:val="TableNormal"/>
    <w:next w:val="TableGrid5"/>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11">
    <w:name w:val="Table Grid 61"/>
    <w:basedOn w:val="TableNormal"/>
    <w:next w:val="TableGrid6"/>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11">
    <w:name w:val="Table Grid 71"/>
    <w:basedOn w:val="TableNormal"/>
    <w:next w:val="TableGrid7"/>
    <w:rsid w:val="007257E3"/>
    <w:pPr>
      <w:spacing w:before="120" w:after="120" w:line="260" w:lineRule="exact"/>
    </w:pPr>
    <w:rPr>
      <w:rFonts w:ascii="Times New Roman" w:eastAsia="Times New Roman" w:hAnsi="Times New Roman" w:cs="Times New Roman"/>
      <w:b/>
      <w:bCs/>
      <w:sz w:val="20"/>
      <w:szCs w:val="20"/>
      <w:lang w:val="en-GB"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10">
    <w:name w:val="Table Grid 81"/>
    <w:basedOn w:val="TableNormal"/>
    <w:next w:val="TableGrid8"/>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1">
    <w:name w:val="Table List 11"/>
    <w:basedOn w:val="TableNormal"/>
    <w:next w:val="TableList1"/>
    <w:rsid w:val="007257E3"/>
    <w:pPr>
      <w:spacing w:before="120" w:after="120" w:line="260" w:lineRule="exact"/>
    </w:pPr>
    <w:rPr>
      <w:rFonts w:ascii="Times New Roman" w:eastAsia="Times New Roman" w:hAnsi="Times New Roman" w:cs="Times New Roman"/>
      <w:sz w:val="20"/>
      <w:szCs w:val="20"/>
      <w:lang w:val="en-GB" w:eastAsia="en-GB"/>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1">
    <w:name w:val="Table List 21"/>
    <w:basedOn w:val="TableNormal"/>
    <w:next w:val="TableList2"/>
    <w:rsid w:val="007257E3"/>
    <w:pPr>
      <w:spacing w:before="120" w:after="120" w:line="260" w:lineRule="exact"/>
    </w:pPr>
    <w:rPr>
      <w:rFonts w:ascii="Times New Roman" w:eastAsia="Times New Roman" w:hAnsi="Times New Roman" w:cs="Times New Roman"/>
      <w:sz w:val="20"/>
      <w:szCs w:val="20"/>
      <w:lang w:val="en-GB" w:eastAsia="en-GB"/>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1">
    <w:name w:val="Table List 31"/>
    <w:basedOn w:val="TableNormal"/>
    <w:next w:val="TableList3"/>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1">
    <w:name w:val="Table List 41"/>
    <w:basedOn w:val="TableNormal"/>
    <w:next w:val="TableList4"/>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1">
    <w:name w:val="Table List 51"/>
    <w:basedOn w:val="TableNormal"/>
    <w:next w:val="TableList5"/>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1">
    <w:name w:val="Table List 61"/>
    <w:basedOn w:val="TableNormal"/>
    <w:next w:val="TableList6"/>
    <w:rsid w:val="007257E3"/>
    <w:pPr>
      <w:spacing w:before="120" w:after="120" w:line="260" w:lineRule="exact"/>
    </w:pPr>
    <w:rPr>
      <w:rFonts w:ascii="Times New Roman" w:eastAsia="Times New Roman"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1">
    <w:name w:val="Table List 71"/>
    <w:basedOn w:val="TableNormal"/>
    <w:next w:val="TableList7"/>
    <w:rsid w:val="007257E3"/>
    <w:pPr>
      <w:spacing w:before="120" w:after="120" w:line="260" w:lineRule="exact"/>
    </w:pPr>
    <w:rPr>
      <w:rFonts w:ascii="Times New Roman" w:eastAsia="Times New Roman" w:hAnsi="Times New Roman" w:cs="Times New Roman"/>
      <w:sz w:val="20"/>
      <w:szCs w:val="20"/>
      <w:lang w:val="en-GB" w:eastAsia="en-GB"/>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1">
    <w:name w:val="Table List 81"/>
    <w:basedOn w:val="TableNormal"/>
    <w:next w:val="TableList8"/>
    <w:rsid w:val="007257E3"/>
    <w:pPr>
      <w:spacing w:before="120" w:after="120" w:line="260" w:lineRule="exact"/>
    </w:pPr>
    <w:rPr>
      <w:rFonts w:ascii="Times New Roman" w:eastAsia="Times New Roman"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1">
    <w:name w:val="Table Professional1"/>
    <w:basedOn w:val="TableNormal"/>
    <w:next w:val="TableProfessional"/>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1">
    <w:name w:val="Table Simple 11"/>
    <w:basedOn w:val="TableNormal"/>
    <w:next w:val="TableSimple1"/>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1">
    <w:name w:val="Table Simple 21"/>
    <w:basedOn w:val="TableNormal"/>
    <w:next w:val="TableSimple2"/>
    <w:rsid w:val="007257E3"/>
    <w:pPr>
      <w:spacing w:before="120" w:after="120" w:line="260" w:lineRule="exact"/>
    </w:pPr>
    <w:rPr>
      <w:rFonts w:ascii="Times New Roman" w:eastAsia="Times New Roman" w:hAnsi="Times New Roman" w:cs="Times New Roman"/>
      <w:sz w:val="20"/>
      <w:szCs w:val="20"/>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1">
    <w:name w:val="Table Simple 31"/>
    <w:basedOn w:val="TableNormal"/>
    <w:next w:val="TableSimple3"/>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1">
    <w:name w:val="Table Subtle 11"/>
    <w:basedOn w:val="TableNormal"/>
    <w:next w:val="TableSubtle1"/>
    <w:rsid w:val="007257E3"/>
    <w:pPr>
      <w:spacing w:before="120" w:after="120" w:line="260" w:lineRule="exact"/>
    </w:pPr>
    <w:rPr>
      <w:rFonts w:ascii="Times New Roman" w:eastAsia="Times New Roman" w:hAnsi="Times New Roman" w:cs="Times New Roman"/>
      <w:sz w:val="20"/>
      <w:szCs w:val="20"/>
      <w:lang w:val="en-GB" w:eastAsia="en-GB"/>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7257E3"/>
    <w:pPr>
      <w:spacing w:before="120" w:after="120" w:line="260" w:lineRule="exact"/>
    </w:pPr>
    <w:rPr>
      <w:rFonts w:ascii="Times New Roman" w:eastAsia="Times New Roman" w:hAnsi="Times New Roman" w:cs="Times New Roman"/>
      <w:sz w:val="20"/>
      <w:szCs w:val="20"/>
      <w:lang w:val="en-GB" w:eastAsia="en-GB"/>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13">
    <w:name w:val="Table Web 113"/>
    <w:basedOn w:val="TableNormal"/>
    <w:next w:val="TableWeb1"/>
    <w:rsid w:val="007257E3"/>
    <w:pPr>
      <w:spacing w:before="120" w:after="120" w:line="260" w:lineRule="exact"/>
    </w:pPr>
    <w:rPr>
      <w:rFonts w:ascii="Times New Roman" w:eastAsia="Times New Roman" w:hAnsi="Times New Roman" w:cs="Times New Roman"/>
      <w:sz w:val="20"/>
      <w:szCs w:val="20"/>
      <w:lang w:val="en-GB" w:eastAsia="en-GB"/>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214">
    <w:name w:val="Table Web 214"/>
    <w:basedOn w:val="TableNormal"/>
    <w:next w:val="TableWeb2"/>
    <w:rsid w:val="007257E3"/>
    <w:pPr>
      <w:spacing w:before="120" w:after="120" w:line="260" w:lineRule="exact"/>
    </w:pPr>
    <w:rPr>
      <w:rFonts w:ascii="Times New Roman" w:eastAsia="Times New Roman" w:hAnsi="Times New Roman" w:cs="Times New Roman"/>
      <w:sz w:val="20"/>
      <w:szCs w:val="20"/>
      <w:lang w:val="en-GB" w:eastAsia="en-GB"/>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13">
    <w:name w:val="Table Web 313"/>
    <w:basedOn w:val="TableNormal"/>
    <w:next w:val="TableWeb3"/>
    <w:rsid w:val="007257E3"/>
    <w:pPr>
      <w:spacing w:before="120" w:after="120" w:line="260" w:lineRule="exact"/>
    </w:pPr>
    <w:rPr>
      <w:rFonts w:ascii="Times New Roman" w:eastAsia="Times New Roman" w:hAnsi="Times New Roman" w:cs="Times New Roman"/>
      <w:sz w:val="20"/>
      <w:szCs w:val="20"/>
      <w:lang w:val="en-GB" w:eastAsia="en-GB"/>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elnou">
    <w:name w:val="Tabel nou"/>
    <w:basedOn w:val="TableElegant"/>
    <w:rsid w:val="007257E3"/>
    <w:pPr>
      <w:spacing w:before="120" w:after="120" w:line="260" w:lineRule="exact"/>
    </w:pPr>
    <w:rPr>
      <w:rFonts w:ascii="Times New Roman" w:eastAsia="Times New Roman" w:hAnsi="Times New Roman" w:cs="Times New Roman"/>
      <w:sz w:val="20"/>
      <w:szCs w:val="20"/>
      <w:lang w:val="en-GB" w:eastAsia="en-GB"/>
    </w:rPr>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List2Char">
    <w:name w:val="List 2 Char"/>
    <w:aliases w:val="BULLET 1 Char"/>
    <w:basedOn w:val="DefaultParagraphFont"/>
    <w:link w:val="List2"/>
    <w:uiPriority w:val="99"/>
    <w:rsid w:val="007257E3"/>
    <w:rPr>
      <w:lang w:val="ro-RO"/>
    </w:rPr>
  </w:style>
  <w:style w:type="paragraph" w:customStyle="1" w:styleId="BasicParagraph">
    <w:name w:val="[Basic Paragraph]"/>
    <w:basedOn w:val="Normal"/>
    <w:rsid w:val="007257E3"/>
    <w:pPr>
      <w:autoSpaceDE w:val="0"/>
      <w:autoSpaceDN w:val="0"/>
      <w:adjustRightInd w:val="0"/>
      <w:spacing w:after="160" w:line="288" w:lineRule="auto"/>
      <w:textAlignment w:val="center"/>
    </w:pPr>
    <w:rPr>
      <w:rFonts w:ascii="Minion Pro Regular" w:eastAsia="Calibri" w:hAnsi="Minion Pro Regular" w:cs="Minion Pro Regular"/>
      <w:color w:val="000000"/>
      <w:sz w:val="24"/>
      <w:szCs w:val="24"/>
      <w:lang w:val="en-GB"/>
    </w:rPr>
  </w:style>
  <w:style w:type="character" w:customStyle="1" w:styleId="numberingChar">
    <w:name w:val="numbering Char"/>
    <w:basedOn w:val="DefaultParagraphFont"/>
    <w:link w:val="numbering"/>
    <w:rsid w:val="007257E3"/>
    <w:rPr>
      <w:rFonts w:eastAsia="Calibri" w:cs="Times New Roman"/>
      <w:iCs/>
      <w:sz w:val="20"/>
      <w:szCs w:val="20"/>
      <w:lang w:eastAsia="en-GB"/>
    </w:rPr>
  </w:style>
  <w:style w:type="paragraph" w:customStyle="1" w:styleId="sub-listing1">
    <w:name w:val="sub-listing 1"/>
    <w:basedOn w:val="numbering"/>
    <w:qFormat/>
    <w:rsid w:val="007257E3"/>
    <w:pPr>
      <w:numPr>
        <w:numId w:val="0"/>
      </w:numPr>
      <w:tabs>
        <w:tab w:val="clear" w:pos="0"/>
        <w:tab w:val="clear" w:pos="426"/>
        <w:tab w:val="clear" w:pos="9900"/>
        <w:tab w:val="num" w:pos="1418"/>
      </w:tabs>
      <w:autoSpaceDE/>
      <w:autoSpaceDN/>
      <w:adjustRightInd/>
      <w:spacing w:line="264" w:lineRule="auto"/>
      <w:ind w:left="2160" w:hanging="720"/>
      <w:jc w:val="both"/>
    </w:pPr>
    <w:rPr>
      <w:rFonts w:ascii="Arial" w:eastAsia="Times New Roman" w:hAnsi="Arial"/>
      <w:iCs w:val="0"/>
      <w:lang w:val="en-GB"/>
    </w:rPr>
  </w:style>
  <w:style w:type="paragraph" w:customStyle="1" w:styleId="sub-listing2">
    <w:name w:val="sub-listing 2"/>
    <w:basedOn w:val="ListParagraph"/>
    <w:qFormat/>
    <w:rsid w:val="007257E3"/>
    <w:pPr>
      <w:tabs>
        <w:tab w:val="num" w:pos="360"/>
        <w:tab w:val="num" w:pos="1985"/>
        <w:tab w:val="num" w:pos="2160"/>
      </w:tabs>
      <w:spacing w:before="60" w:after="60" w:line="264" w:lineRule="auto"/>
      <w:ind w:left="1985" w:hanging="567"/>
      <w:contextualSpacing w:val="0"/>
      <w:jc w:val="both"/>
    </w:pPr>
    <w:rPr>
      <w:rFonts w:ascii="Arial" w:eastAsia="Times New Roman" w:hAnsi="Arial" w:cs="Arial"/>
      <w:sz w:val="20"/>
      <w:szCs w:val="20"/>
      <w:lang w:val="en-GB"/>
    </w:rPr>
  </w:style>
  <w:style w:type="paragraph" w:customStyle="1" w:styleId="sub-listing3">
    <w:name w:val="sub-listing 3"/>
    <w:basedOn w:val="ListParagraph"/>
    <w:qFormat/>
    <w:rsid w:val="007257E3"/>
    <w:pPr>
      <w:tabs>
        <w:tab w:val="num" w:pos="360"/>
        <w:tab w:val="num" w:pos="2160"/>
        <w:tab w:val="num" w:pos="2552"/>
      </w:tabs>
      <w:spacing w:before="60" w:after="60" w:line="264" w:lineRule="auto"/>
      <w:ind w:left="2552" w:hanging="567"/>
      <w:contextualSpacing w:val="0"/>
      <w:jc w:val="both"/>
    </w:pPr>
    <w:rPr>
      <w:rFonts w:ascii="Arial" w:eastAsia="Times New Roman" w:hAnsi="Arial" w:cs="Times New Roman"/>
      <w:sz w:val="20"/>
      <w:szCs w:val="20"/>
      <w:lang w:val="en-GB"/>
    </w:rPr>
  </w:style>
  <w:style w:type="paragraph" w:customStyle="1" w:styleId="xl253">
    <w:name w:val="xl253"/>
    <w:basedOn w:val="Normal"/>
    <w:qFormat/>
    <w:rsid w:val="007257E3"/>
    <w:pPr>
      <w:pBdr>
        <w:top w:val="single" w:sz="4" w:space="0" w:color="auto"/>
        <w:left w:val="single" w:sz="8"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54">
    <w:name w:val="xl254"/>
    <w:basedOn w:val="Normal"/>
    <w:qFormat/>
    <w:rsid w:val="007257E3"/>
    <w:pPr>
      <w:pBdr>
        <w:left w:val="single" w:sz="8"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55">
    <w:name w:val="xl255"/>
    <w:basedOn w:val="Normal"/>
    <w:qFormat/>
    <w:rsid w:val="007257E3"/>
    <w:pPr>
      <w:pBdr>
        <w:top w:val="single" w:sz="4" w:space="0" w:color="auto"/>
        <w:right w:val="single" w:sz="8" w:space="0" w:color="auto"/>
      </w:pBdr>
      <w:shd w:val="clear" w:color="000000" w:fill="FFE699"/>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56">
    <w:name w:val="xl256"/>
    <w:basedOn w:val="Normal"/>
    <w:qFormat/>
    <w:rsid w:val="007257E3"/>
    <w:pPr>
      <w:pBdr>
        <w:bottom w:val="single" w:sz="4" w:space="0" w:color="auto"/>
        <w:right w:val="single" w:sz="8" w:space="0" w:color="auto"/>
      </w:pBdr>
      <w:shd w:val="clear" w:color="000000" w:fill="FFE699"/>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57">
    <w:name w:val="xl257"/>
    <w:basedOn w:val="Normal"/>
    <w:qFormat/>
    <w:rsid w:val="007257E3"/>
    <w:pPr>
      <w:pBdr>
        <w:left w:val="single" w:sz="8"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58">
    <w:name w:val="xl258"/>
    <w:basedOn w:val="Normal"/>
    <w:qFormat/>
    <w:rsid w:val="007257E3"/>
    <w:pPr>
      <w:pBdr>
        <w:left w:val="single" w:sz="8" w:space="0" w:color="auto"/>
        <w:bottom w:val="single" w:sz="4"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59">
    <w:name w:val="xl259"/>
    <w:basedOn w:val="Normal"/>
    <w:qFormat/>
    <w:rsid w:val="007257E3"/>
    <w:pPr>
      <w:pBdr>
        <w:top w:val="single" w:sz="4" w:space="0" w:color="auto"/>
        <w:left w:val="single" w:sz="8"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60">
    <w:name w:val="xl260"/>
    <w:basedOn w:val="Normal"/>
    <w:qFormat/>
    <w:rsid w:val="007257E3"/>
    <w:pPr>
      <w:pBdr>
        <w:left w:val="single" w:sz="8" w:space="0" w:color="auto"/>
        <w:bottom w:val="single" w:sz="4"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61">
    <w:name w:val="xl261"/>
    <w:basedOn w:val="Normal"/>
    <w:qFormat/>
    <w:rsid w:val="007257E3"/>
    <w:pPr>
      <w:pBdr>
        <w:bottom w:val="single" w:sz="8" w:space="0" w:color="auto"/>
        <w:right w:val="single" w:sz="8" w:space="0" w:color="auto"/>
      </w:pBdr>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62">
    <w:name w:val="xl262"/>
    <w:basedOn w:val="Normal"/>
    <w:qFormat/>
    <w:rsid w:val="007257E3"/>
    <w:pPr>
      <w:pBdr>
        <w:top w:val="single" w:sz="4" w:space="0" w:color="auto"/>
        <w:left w:val="single" w:sz="8"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63">
    <w:name w:val="xl263"/>
    <w:basedOn w:val="Normal"/>
    <w:qFormat/>
    <w:rsid w:val="007257E3"/>
    <w:pPr>
      <w:pBdr>
        <w:top w:val="single" w:sz="4" w:space="0" w:color="auto"/>
        <w:right w:val="single" w:sz="8" w:space="0" w:color="auto"/>
      </w:pBdr>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64">
    <w:name w:val="xl264"/>
    <w:basedOn w:val="Normal"/>
    <w:qFormat/>
    <w:rsid w:val="007257E3"/>
    <w:pPr>
      <w:pBdr>
        <w:bottom w:val="single" w:sz="4" w:space="0" w:color="auto"/>
        <w:right w:val="single" w:sz="8" w:space="0" w:color="auto"/>
      </w:pBdr>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65">
    <w:name w:val="xl265"/>
    <w:basedOn w:val="Normal"/>
    <w:qFormat/>
    <w:rsid w:val="007257E3"/>
    <w:pPr>
      <w:pBdr>
        <w:top w:val="single" w:sz="8" w:space="0" w:color="auto"/>
        <w:right w:val="single" w:sz="8" w:space="0" w:color="auto"/>
      </w:pBdr>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66">
    <w:name w:val="xl266"/>
    <w:basedOn w:val="Normal"/>
    <w:qFormat/>
    <w:rsid w:val="007257E3"/>
    <w:pPr>
      <w:pBdr>
        <w:top w:val="single" w:sz="4" w:space="0" w:color="auto"/>
        <w:right w:val="single" w:sz="8" w:space="0" w:color="auto"/>
      </w:pBdr>
      <w:shd w:val="clear" w:color="000000" w:fill="FFFF00"/>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67">
    <w:name w:val="xl267"/>
    <w:basedOn w:val="Normal"/>
    <w:qFormat/>
    <w:rsid w:val="007257E3"/>
    <w:pPr>
      <w:pBdr>
        <w:right w:val="single" w:sz="8" w:space="0" w:color="auto"/>
      </w:pBdr>
      <w:shd w:val="clear" w:color="000000" w:fill="FFFF00"/>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68">
    <w:name w:val="xl268"/>
    <w:basedOn w:val="Normal"/>
    <w:qFormat/>
    <w:rsid w:val="007257E3"/>
    <w:pPr>
      <w:pBdr>
        <w:bottom w:val="single" w:sz="4" w:space="0" w:color="auto"/>
        <w:right w:val="single" w:sz="8" w:space="0" w:color="auto"/>
      </w:pBdr>
      <w:shd w:val="clear" w:color="000000" w:fill="FFFF00"/>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69">
    <w:name w:val="xl269"/>
    <w:basedOn w:val="Normal"/>
    <w:qFormat/>
    <w:rsid w:val="007257E3"/>
    <w:pPr>
      <w:pBdr>
        <w:left w:val="single" w:sz="8" w:space="0" w:color="auto"/>
        <w:bottom w:val="single" w:sz="4"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70">
    <w:name w:val="xl270"/>
    <w:basedOn w:val="Normal"/>
    <w:qFormat/>
    <w:rsid w:val="007257E3"/>
    <w:pPr>
      <w:pBdr>
        <w:top w:val="single" w:sz="4" w:space="0" w:color="auto"/>
        <w:left w:val="single" w:sz="8"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71">
    <w:name w:val="xl271"/>
    <w:basedOn w:val="Normal"/>
    <w:qFormat/>
    <w:rsid w:val="007257E3"/>
    <w:pPr>
      <w:pBdr>
        <w:left w:val="single" w:sz="8"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72">
    <w:name w:val="xl272"/>
    <w:basedOn w:val="Normal"/>
    <w:qFormat/>
    <w:rsid w:val="007257E3"/>
    <w:pPr>
      <w:pBdr>
        <w:left w:val="single" w:sz="8" w:space="0" w:color="auto"/>
        <w:bottom w:val="single" w:sz="4"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73">
    <w:name w:val="xl273"/>
    <w:basedOn w:val="Normal"/>
    <w:qFormat/>
    <w:rsid w:val="007257E3"/>
    <w:pPr>
      <w:pBdr>
        <w:top w:val="single" w:sz="8" w:space="0" w:color="auto"/>
        <w:left w:val="single" w:sz="8" w:space="0" w:color="auto"/>
        <w:right w:val="single" w:sz="8" w:space="0" w:color="auto"/>
      </w:pBdr>
      <w:spacing w:before="100" w:beforeAutospacing="1" w:after="100" w:afterAutospacing="1" w:line="259" w:lineRule="auto"/>
    </w:pPr>
    <w:rPr>
      <w:rFonts w:ascii="Times New Roman" w:eastAsia="Times New Roman" w:hAnsi="Times New Roman" w:cs="Times New Roman"/>
      <w:sz w:val="24"/>
      <w:szCs w:val="24"/>
      <w:lang w:val="en-GB" w:eastAsia="en-GB"/>
    </w:rPr>
  </w:style>
  <w:style w:type="paragraph" w:customStyle="1" w:styleId="xl274">
    <w:name w:val="xl274"/>
    <w:basedOn w:val="Normal"/>
    <w:qFormat/>
    <w:rsid w:val="007257E3"/>
    <w:pPr>
      <w:pBdr>
        <w:left w:val="single" w:sz="8" w:space="0" w:color="auto"/>
        <w:bottom w:val="single" w:sz="4" w:space="0" w:color="auto"/>
        <w:right w:val="single" w:sz="8" w:space="0" w:color="auto"/>
      </w:pBdr>
      <w:spacing w:before="100" w:beforeAutospacing="1" w:after="100" w:afterAutospacing="1" w:line="259" w:lineRule="auto"/>
    </w:pPr>
    <w:rPr>
      <w:rFonts w:ascii="Times New Roman" w:eastAsia="Times New Roman" w:hAnsi="Times New Roman" w:cs="Times New Roman"/>
      <w:sz w:val="24"/>
      <w:szCs w:val="24"/>
      <w:lang w:val="en-GB" w:eastAsia="en-GB"/>
    </w:rPr>
  </w:style>
  <w:style w:type="paragraph" w:customStyle="1" w:styleId="xl275">
    <w:name w:val="xl275"/>
    <w:basedOn w:val="Normal"/>
    <w:qFormat/>
    <w:rsid w:val="007257E3"/>
    <w:pPr>
      <w:pBdr>
        <w:top w:val="single" w:sz="4" w:space="0" w:color="auto"/>
        <w:left w:val="single" w:sz="8" w:space="0" w:color="auto"/>
        <w:right w:val="single" w:sz="8" w:space="0" w:color="auto"/>
      </w:pBdr>
      <w:spacing w:before="100" w:beforeAutospacing="1" w:after="100" w:afterAutospacing="1" w:line="259" w:lineRule="auto"/>
      <w:jc w:val="center"/>
      <w:textAlignment w:val="center"/>
    </w:pPr>
    <w:rPr>
      <w:rFonts w:ascii="Times New Roman" w:eastAsia="Times New Roman" w:hAnsi="Times New Roman" w:cs="Times New Roman"/>
      <w:sz w:val="24"/>
      <w:szCs w:val="24"/>
      <w:lang w:val="en-GB" w:eastAsia="en-GB"/>
    </w:rPr>
  </w:style>
  <w:style w:type="paragraph" w:customStyle="1" w:styleId="xl276">
    <w:name w:val="xl276"/>
    <w:basedOn w:val="Normal"/>
    <w:qFormat/>
    <w:rsid w:val="007257E3"/>
    <w:pPr>
      <w:pBdr>
        <w:top w:val="single" w:sz="8" w:space="0" w:color="auto"/>
      </w:pBdr>
      <w:shd w:val="clear" w:color="000000" w:fill="DDE4F3"/>
      <w:spacing w:before="100" w:beforeAutospacing="1" w:after="100" w:afterAutospacing="1" w:line="259" w:lineRule="auto"/>
      <w:jc w:val="center"/>
      <w:textAlignment w:val="center"/>
    </w:pPr>
    <w:rPr>
      <w:rFonts w:ascii="Times New Roman" w:eastAsia="Times New Roman" w:hAnsi="Times New Roman" w:cs="Times New Roman"/>
      <w:b/>
      <w:bCs/>
      <w:i/>
      <w:iCs/>
      <w:sz w:val="24"/>
      <w:szCs w:val="24"/>
      <w:lang w:val="en-GB" w:eastAsia="en-GB"/>
    </w:rPr>
  </w:style>
  <w:style w:type="paragraph" w:customStyle="1" w:styleId="xl277">
    <w:name w:val="xl277"/>
    <w:basedOn w:val="Normal"/>
    <w:qFormat/>
    <w:rsid w:val="007257E3"/>
    <w:pPr>
      <w:pBdr>
        <w:top w:val="single" w:sz="8" w:space="0" w:color="auto"/>
        <w:left w:val="single" w:sz="8" w:space="0" w:color="auto"/>
      </w:pBdr>
      <w:spacing w:before="100" w:beforeAutospacing="1" w:after="100" w:afterAutospacing="1" w:line="259" w:lineRule="auto"/>
      <w:jc w:val="center"/>
      <w:textAlignment w:val="center"/>
    </w:pPr>
    <w:rPr>
      <w:rFonts w:ascii="Times New Roman" w:eastAsia="Times New Roman" w:hAnsi="Times New Roman" w:cs="Times New Roman"/>
      <w:sz w:val="24"/>
      <w:szCs w:val="24"/>
      <w:lang w:val="en-GB" w:eastAsia="en-GB"/>
    </w:rPr>
  </w:style>
  <w:style w:type="paragraph" w:customStyle="1" w:styleId="xl278">
    <w:name w:val="xl278"/>
    <w:basedOn w:val="Normal"/>
    <w:qFormat/>
    <w:rsid w:val="007257E3"/>
    <w:pPr>
      <w:pBdr>
        <w:left w:val="single" w:sz="8" w:space="0" w:color="auto"/>
        <w:bottom w:val="single" w:sz="8" w:space="0" w:color="auto"/>
      </w:pBdr>
      <w:spacing w:before="100" w:beforeAutospacing="1" w:after="100" w:afterAutospacing="1" w:line="259" w:lineRule="auto"/>
      <w:jc w:val="center"/>
      <w:textAlignment w:val="center"/>
    </w:pPr>
    <w:rPr>
      <w:rFonts w:ascii="Times New Roman" w:eastAsia="Times New Roman" w:hAnsi="Times New Roman" w:cs="Times New Roman"/>
      <w:sz w:val="24"/>
      <w:szCs w:val="24"/>
      <w:lang w:val="en-GB" w:eastAsia="en-GB"/>
    </w:rPr>
  </w:style>
  <w:style w:type="paragraph" w:customStyle="1" w:styleId="xl279">
    <w:name w:val="xl279"/>
    <w:basedOn w:val="Normal"/>
    <w:qFormat/>
    <w:rsid w:val="007257E3"/>
    <w:pPr>
      <w:pBdr>
        <w:left w:val="single" w:sz="8" w:space="0" w:color="auto"/>
        <w:right w:val="single" w:sz="4" w:space="0" w:color="auto"/>
      </w:pBdr>
      <w:spacing w:before="100" w:beforeAutospacing="1" w:after="100" w:afterAutospacing="1" w:line="259" w:lineRule="auto"/>
      <w:jc w:val="center"/>
      <w:textAlignment w:val="center"/>
    </w:pPr>
    <w:rPr>
      <w:rFonts w:ascii="Times New Roman" w:eastAsia="Times New Roman" w:hAnsi="Times New Roman" w:cs="Times New Roman"/>
      <w:sz w:val="24"/>
      <w:szCs w:val="24"/>
      <w:lang w:val="en-GB" w:eastAsia="en-GB"/>
    </w:rPr>
  </w:style>
  <w:style w:type="paragraph" w:customStyle="1" w:styleId="xl280">
    <w:name w:val="xl280"/>
    <w:basedOn w:val="Normal"/>
    <w:qFormat/>
    <w:rsid w:val="007257E3"/>
    <w:pPr>
      <w:pBdr>
        <w:right w:val="single" w:sz="4" w:space="0" w:color="auto"/>
      </w:pBdr>
      <w:spacing w:before="100" w:beforeAutospacing="1" w:after="100" w:afterAutospacing="1" w:line="259" w:lineRule="auto"/>
      <w:jc w:val="center"/>
      <w:textAlignment w:val="center"/>
    </w:pPr>
    <w:rPr>
      <w:rFonts w:ascii="Times New Roman" w:eastAsia="Times New Roman" w:hAnsi="Times New Roman" w:cs="Times New Roman"/>
      <w:sz w:val="24"/>
      <w:szCs w:val="24"/>
      <w:lang w:val="en-GB" w:eastAsia="en-GB"/>
    </w:rPr>
  </w:style>
  <w:style w:type="paragraph" w:customStyle="1" w:styleId="xl281">
    <w:name w:val="xl281"/>
    <w:basedOn w:val="Normal"/>
    <w:qFormat/>
    <w:rsid w:val="007257E3"/>
    <w:pPr>
      <w:pBdr>
        <w:top w:val="single" w:sz="8" w:space="0" w:color="auto"/>
        <w:left w:val="single" w:sz="4" w:space="0" w:color="auto"/>
      </w:pBdr>
      <w:spacing w:before="100" w:beforeAutospacing="1" w:after="100" w:afterAutospacing="1" w:line="259" w:lineRule="auto"/>
      <w:jc w:val="center"/>
      <w:textAlignment w:val="center"/>
    </w:pPr>
    <w:rPr>
      <w:rFonts w:ascii="Times New Roman" w:eastAsia="Times New Roman" w:hAnsi="Times New Roman" w:cs="Times New Roman"/>
      <w:sz w:val="24"/>
      <w:szCs w:val="24"/>
      <w:lang w:val="en-GB" w:eastAsia="en-GB"/>
    </w:rPr>
  </w:style>
  <w:style w:type="paragraph" w:customStyle="1" w:styleId="xl282">
    <w:name w:val="xl282"/>
    <w:basedOn w:val="Normal"/>
    <w:qFormat/>
    <w:rsid w:val="007257E3"/>
    <w:pPr>
      <w:pBdr>
        <w:left w:val="single" w:sz="4" w:space="0" w:color="auto"/>
      </w:pBdr>
      <w:spacing w:before="100" w:beforeAutospacing="1" w:after="100" w:afterAutospacing="1" w:line="259" w:lineRule="auto"/>
      <w:jc w:val="center"/>
      <w:textAlignment w:val="center"/>
    </w:pPr>
    <w:rPr>
      <w:rFonts w:ascii="Times New Roman" w:eastAsia="Times New Roman" w:hAnsi="Times New Roman" w:cs="Times New Roman"/>
      <w:sz w:val="24"/>
      <w:szCs w:val="24"/>
      <w:lang w:val="en-GB" w:eastAsia="en-GB"/>
    </w:rPr>
  </w:style>
  <w:style w:type="paragraph" w:customStyle="1" w:styleId="xl283">
    <w:name w:val="xl283"/>
    <w:basedOn w:val="Normal"/>
    <w:qFormat/>
    <w:rsid w:val="007257E3"/>
    <w:pPr>
      <w:pBdr>
        <w:top w:val="single" w:sz="4" w:space="0" w:color="auto"/>
        <w:left w:val="single" w:sz="8" w:space="0" w:color="auto"/>
        <w:bottom w:val="single" w:sz="4" w:space="0" w:color="auto"/>
        <w:right w:val="single" w:sz="8" w:space="0" w:color="auto"/>
      </w:pBdr>
      <w:spacing w:before="100" w:beforeAutospacing="1" w:after="100" w:afterAutospacing="1" w:line="259" w:lineRule="auto"/>
      <w:jc w:val="center"/>
      <w:textAlignment w:val="center"/>
    </w:pPr>
    <w:rPr>
      <w:rFonts w:ascii="Times New Roman" w:eastAsia="Times New Roman" w:hAnsi="Times New Roman" w:cs="Times New Roman"/>
      <w:sz w:val="24"/>
      <w:szCs w:val="24"/>
      <w:lang w:val="en-GB" w:eastAsia="en-GB"/>
    </w:rPr>
  </w:style>
  <w:style w:type="paragraph" w:customStyle="1" w:styleId="tabletext0">
    <w:name w:val="table text"/>
    <w:basedOn w:val="Normal"/>
    <w:link w:val="tabletextChar0"/>
    <w:qFormat/>
    <w:rsid w:val="007257E3"/>
    <w:pPr>
      <w:spacing w:before="60" w:after="60" w:line="240" w:lineRule="auto"/>
      <w:jc w:val="both"/>
    </w:pPr>
    <w:rPr>
      <w:rFonts w:ascii="Arial" w:eastAsia="MS Mincho" w:hAnsi="Arial" w:cs="Times New Roman"/>
      <w:sz w:val="20"/>
      <w:szCs w:val="22"/>
      <w:lang w:val="en-GB"/>
    </w:rPr>
  </w:style>
  <w:style w:type="character" w:customStyle="1" w:styleId="tabletextChar0">
    <w:name w:val="table text Char"/>
    <w:link w:val="tabletext0"/>
    <w:rsid w:val="007257E3"/>
    <w:rPr>
      <w:rFonts w:ascii="Arial" w:eastAsia="MS Mincho" w:hAnsi="Arial" w:cs="Times New Roman"/>
      <w:sz w:val="20"/>
      <w:szCs w:val="22"/>
      <w:lang w:val="en-GB"/>
    </w:rPr>
  </w:style>
  <w:style w:type="paragraph" w:customStyle="1" w:styleId="BodyText18">
    <w:name w:val="Body Text18"/>
    <w:basedOn w:val="Normal"/>
    <w:rsid w:val="007257E3"/>
    <w:pPr>
      <w:widowControl w:val="0"/>
      <w:shd w:val="clear" w:color="auto" w:fill="FFFFFF"/>
      <w:spacing w:line="0" w:lineRule="atLeast"/>
      <w:ind w:hanging="360"/>
      <w:jc w:val="right"/>
    </w:pPr>
    <w:rPr>
      <w:rFonts w:ascii="Arial Unicode MS" w:eastAsia="Arial Unicode MS" w:hAnsi="Arial Unicode MS" w:cs="Arial Unicode MS"/>
      <w:color w:val="000000"/>
      <w:sz w:val="19"/>
      <w:szCs w:val="19"/>
    </w:rPr>
  </w:style>
  <w:style w:type="character" w:customStyle="1" w:styleId="Bodytext10pt">
    <w:name w:val="Body text + 10 pt"/>
    <w:basedOn w:val="Bodytext0"/>
    <w:rsid w:val="007257E3"/>
    <w:rPr>
      <w:rFonts w:ascii="Arial Unicode MS" w:eastAsia="Arial Unicode MS" w:hAnsi="Arial Unicode MS" w:cs="Arial Unicode MS"/>
      <w:b w:val="0"/>
      <w:bCs w:val="0"/>
      <w:i w:val="0"/>
      <w:iCs w:val="0"/>
      <w:smallCaps w:val="0"/>
      <w:strike w:val="0"/>
      <w:color w:val="000000"/>
      <w:spacing w:val="0"/>
      <w:w w:val="100"/>
      <w:position w:val="0"/>
      <w:sz w:val="20"/>
      <w:szCs w:val="20"/>
      <w:u w:val="none"/>
      <w:shd w:val="clear" w:color="auto" w:fill="FFFFFF"/>
      <w:lang w:val="ro-RO"/>
    </w:rPr>
  </w:style>
  <w:style w:type="character" w:customStyle="1" w:styleId="Picturecaption10pt">
    <w:name w:val="Picture caption + 10 pt"/>
    <w:basedOn w:val="Picturecaption"/>
    <w:rsid w:val="007257E3"/>
    <w:rPr>
      <w:rFonts w:ascii="Arial Unicode MS" w:eastAsia="Arial Unicode MS" w:hAnsi="Arial Unicode MS" w:cs="Arial Unicode MS"/>
      <w:b w:val="0"/>
      <w:bCs w:val="0"/>
      <w:i w:val="0"/>
      <w:iCs w:val="0"/>
      <w:smallCaps w:val="0"/>
      <w:strike w:val="0"/>
      <w:color w:val="000000"/>
      <w:spacing w:val="0"/>
      <w:w w:val="100"/>
      <w:position w:val="0"/>
      <w:sz w:val="20"/>
      <w:szCs w:val="20"/>
      <w:u w:val="none"/>
      <w:shd w:val="clear" w:color="auto" w:fill="FFFFFF"/>
      <w:lang w:val="ro-RO"/>
    </w:rPr>
  </w:style>
  <w:style w:type="paragraph" w:customStyle="1" w:styleId="Beschriftung-Figures">
    <w:name w:val="Beschriftung-Figures"/>
    <w:basedOn w:val="Caption"/>
    <w:next w:val="Normal"/>
    <w:autoRedefine/>
    <w:rsid w:val="007257E3"/>
    <w:pPr>
      <w:widowControl w:val="0"/>
      <w:spacing w:before="0" w:after="120" w:line="240" w:lineRule="auto"/>
      <w:ind w:left="851"/>
    </w:pPr>
    <w:rPr>
      <w:rFonts w:ascii="Arial" w:eastAsia="Times New Roman" w:hAnsi="Arial" w:cs="Arial"/>
      <w:bCs w:val="0"/>
      <w:color w:val="auto"/>
      <w:sz w:val="20"/>
      <w:szCs w:val="20"/>
      <w:lang w:val="it-IT"/>
    </w:rPr>
  </w:style>
  <w:style w:type="paragraph" w:customStyle="1" w:styleId="StandardtextCaracterCaracterCaracter">
    <w:name w:val="Standardtext Caracter Caracter Caracter"/>
    <w:basedOn w:val="Normal"/>
    <w:link w:val="StandardtextCaracterCaracterCaracterCaracter3"/>
    <w:qFormat/>
    <w:rsid w:val="007257E3"/>
    <w:pPr>
      <w:spacing w:after="120" w:line="360" w:lineRule="auto"/>
      <w:jc w:val="both"/>
    </w:pPr>
    <w:rPr>
      <w:rFonts w:ascii="Arial" w:eastAsia="Times New Roman" w:hAnsi="Arial" w:cs="Times New Roman"/>
      <w:sz w:val="20"/>
      <w:szCs w:val="20"/>
      <w:lang w:val="en-US" w:eastAsia="de-DE"/>
    </w:rPr>
  </w:style>
  <w:style w:type="character" w:customStyle="1" w:styleId="StandardtextCaracterCaracterCaracterCaracter3">
    <w:name w:val="Standardtext Caracter Caracter Caracter Caracter3"/>
    <w:basedOn w:val="DefaultParagraphFont"/>
    <w:link w:val="StandardtextCaracterCaracterCaracter"/>
    <w:rsid w:val="007257E3"/>
    <w:rPr>
      <w:rFonts w:ascii="Arial" w:eastAsia="Times New Roman" w:hAnsi="Arial" w:cs="Times New Roman"/>
      <w:sz w:val="20"/>
      <w:szCs w:val="20"/>
      <w:lang w:val="en-US" w:eastAsia="de-DE"/>
    </w:rPr>
  </w:style>
  <w:style w:type="paragraph" w:customStyle="1" w:styleId="SubSubSubTitlu">
    <w:name w:val="SubSubSubTitlu"/>
    <w:basedOn w:val="Normal"/>
    <w:link w:val="SubSubSubTitluChar"/>
    <w:autoRedefine/>
    <w:qFormat/>
    <w:rsid w:val="007257E3"/>
    <w:pPr>
      <w:pBdr>
        <w:top w:val="single" w:sz="2" w:space="1" w:color="000000"/>
        <w:left w:val="single" w:sz="2" w:space="1" w:color="000000"/>
        <w:bottom w:val="single" w:sz="2" w:space="1" w:color="000000"/>
        <w:right w:val="single" w:sz="2" w:space="1" w:color="000000"/>
      </w:pBdr>
      <w:shd w:val="clear" w:color="auto" w:fill="D9D9D9"/>
      <w:tabs>
        <w:tab w:val="left" w:pos="1304"/>
      </w:tabs>
      <w:spacing w:after="60" w:line="276" w:lineRule="auto"/>
      <w:ind w:left="709"/>
    </w:pPr>
    <w:rPr>
      <w:rFonts w:ascii="Arial" w:eastAsia="Calibri" w:hAnsi="Arial" w:cs="Times New Roman"/>
      <w:sz w:val="22"/>
      <w:szCs w:val="24"/>
      <w:lang w:val="en-GB"/>
    </w:rPr>
  </w:style>
  <w:style w:type="character" w:customStyle="1" w:styleId="SubSubSubTitluChar">
    <w:name w:val="SubSubSubTitlu Char"/>
    <w:link w:val="SubSubSubTitlu"/>
    <w:rsid w:val="007257E3"/>
    <w:rPr>
      <w:rFonts w:ascii="Arial" w:eastAsia="Calibri" w:hAnsi="Arial" w:cs="Times New Roman"/>
      <w:sz w:val="22"/>
      <w:szCs w:val="24"/>
      <w:shd w:val="clear" w:color="auto" w:fill="D9D9D9"/>
      <w:lang w:val="en-GB"/>
    </w:rPr>
  </w:style>
  <w:style w:type="paragraph" w:customStyle="1" w:styleId="StandardtextCaracterCaracterCaracterCaracter">
    <w:name w:val="Standardtext Caracter Caracter Caracter Caracter"/>
    <w:basedOn w:val="Normal"/>
    <w:link w:val="StandardtextCaracterCaracterCaracterCaracterCaracter"/>
    <w:qFormat/>
    <w:rsid w:val="007257E3"/>
    <w:pPr>
      <w:spacing w:after="120" w:line="360" w:lineRule="auto"/>
      <w:jc w:val="both"/>
    </w:pPr>
    <w:rPr>
      <w:rFonts w:ascii="Arial" w:eastAsia="Times New Roman" w:hAnsi="Arial" w:cs="Times New Roman"/>
      <w:sz w:val="20"/>
      <w:szCs w:val="20"/>
      <w:lang w:val="en-US" w:eastAsia="de-DE"/>
    </w:rPr>
  </w:style>
  <w:style w:type="character" w:customStyle="1" w:styleId="StandardtextCaracterCaracterCaracterCaracterCaracter">
    <w:name w:val="Standardtext Caracter Caracter Caracter Caracter Caracter"/>
    <w:basedOn w:val="DefaultParagraphFont"/>
    <w:link w:val="StandardtextCaracterCaracterCaracterCaracter"/>
    <w:rsid w:val="007257E3"/>
    <w:rPr>
      <w:rFonts w:ascii="Arial" w:eastAsia="Times New Roman" w:hAnsi="Arial" w:cs="Times New Roman"/>
      <w:sz w:val="20"/>
      <w:szCs w:val="20"/>
      <w:lang w:val="en-US" w:eastAsia="de-DE"/>
    </w:rPr>
  </w:style>
  <w:style w:type="table" w:customStyle="1" w:styleId="MediumList1-Accent51">
    <w:name w:val="Medium List 1 - Accent 51"/>
    <w:basedOn w:val="TableNormal"/>
    <w:next w:val="MediumList1-Accent5"/>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8" w:space="0" w:color="4BACC6"/>
        <w:bottom w:val="single" w:sz="8" w:space="0" w:color="4BACC6"/>
      </w:tblBorders>
    </w:tblPr>
    <w:tblStylePr w:type="firstRow">
      <w:rPr>
        <w:rFonts w:ascii="NSimSun" w:eastAsia="Times New Roman" w:hAnsi="NSimSun"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paragraph" w:customStyle="1" w:styleId="Caption1">
    <w:name w:val="Caption 1"/>
    <w:basedOn w:val="Normal"/>
    <w:uiPriority w:val="3"/>
    <w:qFormat/>
    <w:rsid w:val="007257E3"/>
    <w:pPr>
      <w:spacing w:before="120" w:after="120" w:line="170" w:lineRule="atLeast"/>
    </w:pPr>
    <w:rPr>
      <w:rFonts w:eastAsia="Times New Roman" w:cs="Times New Roman"/>
      <w:i/>
      <w:szCs w:val="24"/>
      <w:lang w:val="en-GB" w:eastAsia="da-DK"/>
    </w:rPr>
  </w:style>
  <w:style w:type="paragraph" w:customStyle="1" w:styleId="Footer-NotIndent">
    <w:name w:val="Footer - Not Indent"/>
    <w:basedOn w:val="Footer"/>
    <w:qFormat/>
    <w:rsid w:val="007257E3"/>
    <w:pPr>
      <w:tabs>
        <w:tab w:val="clear" w:pos="4819"/>
        <w:tab w:val="clear" w:pos="9638"/>
        <w:tab w:val="right" w:pos="9509"/>
      </w:tabs>
      <w:spacing w:line="210" w:lineRule="atLeast"/>
    </w:pPr>
    <w:rPr>
      <w:rFonts w:eastAsia="Times New Roman" w:cs="Times New Roman"/>
      <w:sz w:val="13"/>
      <w:szCs w:val="24"/>
      <w:lang w:val="da-DK" w:eastAsia="da-DK"/>
    </w:rPr>
  </w:style>
  <w:style w:type="paragraph" w:customStyle="1" w:styleId="4nostyle">
    <w:name w:val="4(no style)"/>
    <w:basedOn w:val="Normal"/>
    <w:qFormat/>
    <w:rsid w:val="007257E3"/>
    <w:pPr>
      <w:numPr>
        <w:numId w:val="101"/>
      </w:numPr>
      <w:spacing w:before="120" w:after="120" w:line="360" w:lineRule="auto"/>
    </w:pPr>
    <w:rPr>
      <w:rFonts w:ascii="Arial" w:eastAsia="Calibri" w:hAnsi="Arial" w:cs="Times New Roman"/>
      <w:sz w:val="22"/>
      <w:szCs w:val="24"/>
      <w:lang w:val="en-US"/>
    </w:rPr>
  </w:style>
  <w:style w:type="paragraph" w:customStyle="1" w:styleId="1">
    <w:name w:val="Ü1"/>
    <w:basedOn w:val="Heading1"/>
    <w:autoRedefine/>
    <w:qFormat/>
    <w:rsid w:val="007257E3"/>
    <w:pPr>
      <w:keepLines w:val="0"/>
      <w:numPr>
        <w:ilvl w:val="2"/>
        <w:numId w:val="102"/>
      </w:numPr>
      <w:tabs>
        <w:tab w:val="left" w:pos="567"/>
        <w:tab w:val="left" w:pos="1320"/>
        <w:tab w:val="num" w:pos="2160"/>
        <w:tab w:val="left" w:pos="3480"/>
        <w:tab w:val="num" w:pos="4287"/>
      </w:tabs>
      <w:suppressAutoHyphens w:val="0"/>
      <w:spacing w:before="0" w:after="0" w:line="240" w:lineRule="auto"/>
      <w:ind w:left="4287" w:hanging="180"/>
      <w:contextualSpacing w:val="0"/>
    </w:pPr>
    <w:rPr>
      <w:rFonts w:ascii="Arial Narrow" w:eastAsia="Calibri" w:hAnsi="Arial Narrow" w:cs="Times New Roman"/>
      <w:b/>
      <w:color w:val="000000"/>
      <w:sz w:val="20"/>
      <w:szCs w:val="20"/>
      <w:u w:val="words"/>
      <w:lang w:val="de-DE" w:eastAsia="de-DE"/>
    </w:rPr>
  </w:style>
  <w:style w:type="paragraph" w:customStyle="1" w:styleId="BodyText40">
    <w:name w:val="Body Text40"/>
    <w:basedOn w:val="Normal"/>
    <w:qFormat/>
    <w:rsid w:val="007257E3"/>
    <w:pPr>
      <w:shd w:val="clear" w:color="auto" w:fill="FFFFFF"/>
      <w:spacing w:after="360" w:line="238" w:lineRule="exact"/>
      <w:ind w:hanging="680"/>
      <w:jc w:val="right"/>
    </w:pPr>
    <w:rPr>
      <w:rFonts w:ascii="Calibri" w:eastAsia="Calibri" w:hAnsi="Calibri" w:cs="Calibri"/>
      <w:color w:val="000000"/>
      <w:sz w:val="21"/>
      <w:szCs w:val="21"/>
      <w:lang w:val="en-GB" w:eastAsia="ro-RO"/>
    </w:rPr>
  </w:style>
  <w:style w:type="numbering" w:customStyle="1" w:styleId="TabelBumbi11">
    <w:name w:val="Tabel Bumbi11"/>
    <w:rsid w:val="007257E3"/>
    <w:pPr>
      <w:numPr>
        <w:numId w:val="135"/>
      </w:numPr>
    </w:pPr>
  </w:style>
  <w:style w:type="character" w:customStyle="1" w:styleId="Heading11">
    <w:name w:val="Heading #11_"/>
    <w:link w:val="Heading110"/>
    <w:rsid w:val="007257E3"/>
    <w:rPr>
      <w:rFonts w:ascii="Calibri" w:eastAsia="Calibri" w:hAnsi="Calibri" w:cs="Calibri"/>
      <w:sz w:val="21"/>
      <w:szCs w:val="21"/>
      <w:shd w:val="clear" w:color="auto" w:fill="FFFFFF"/>
    </w:rPr>
  </w:style>
  <w:style w:type="paragraph" w:customStyle="1" w:styleId="Heading110">
    <w:name w:val="Heading #11"/>
    <w:basedOn w:val="Normal"/>
    <w:link w:val="Heading11"/>
    <w:qFormat/>
    <w:rsid w:val="007257E3"/>
    <w:pPr>
      <w:shd w:val="clear" w:color="auto" w:fill="FFFFFF"/>
      <w:spacing w:line="508" w:lineRule="exact"/>
      <w:ind w:hanging="340"/>
    </w:pPr>
    <w:rPr>
      <w:rFonts w:ascii="Calibri" w:eastAsia="Calibri" w:hAnsi="Calibri" w:cs="Calibri"/>
      <w:sz w:val="21"/>
      <w:szCs w:val="21"/>
      <w:lang w:val="da-DK"/>
    </w:rPr>
  </w:style>
  <w:style w:type="character" w:customStyle="1" w:styleId="Heading11NotBold">
    <w:name w:val="Heading #11 + Not Bold"/>
    <w:rsid w:val="007257E3"/>
    <w:rPr>
      <w:rFonts w:ascii="Calibri" w:eastAsia="Calibri" w:hAnsi="Calibri" w:cs="Calibri"/>
      <w:b/>
      <w:bCs/>
      <w:i w:val="0"/>
      <w:iCs w:val="0"/>
      <w:smallCaps w:val="0"/>
      <w:strike w:val="0"/>
      <w:spacing w:val="0"/>
      <w:sz w:val="21"/>
      <w:szCs w:val="21"/>
      <w:shd w:val="clear" w:color="auto" w:fill="FFFFFF"/>
    </w:rPr>
  </w:style>
  <w:style w:type="numbering" w:customStyle="1" w:styleId="10101101113">
    <w:name w:val="10 / 10.1 / 10.1.1.13"/>
    <w:basedOn w:val="NoList"/>
    <w:next w:val="111111"/>
    <w:rsid w:val="007257E3"/>
    <w:pPr>
      <w:numPr>
        <w:numId w:val="131"/>
      </w:numPr>
    </w:pPr>
  </w:style>
  <w:style w:type="numbering" w:styleId="1ai">
    <w:name w:val="Outline List 1"/>
    <w:basedOn w:val="NoList"/>
    <w:uiPriority w:val="99"/>
    <w:semiHidden/>
    <w:rsid w:val="007257E3"/>
    <w:pPr>
      <w:numPr>
        <w:numId w:val="114"/>
      </w:numPr>
    </w:pPr>
  </w:style>
  <w:style w:type="numbering" w:styleId="ArticleSection">
    <w:name w:val="Outline List 3"/>
    <w:basedOn w:val="NoList"/>
    <w:rsid w:val="007257E3"/>
    <w:pPr>
      <w:numPr>
        <w:numId w:val="163"/>
      </w:numPr>
    </w:pPr>
  </w:style>
  <w:style w:type="paragraph" w:customStyle="1" w:styleId="Normal-Intentedfor">
    <w:name w:val="Normal - Intented for"/>
    <w:basedOn w:val="Normal-Documentdatatext"/>
    <w:semiHidden/>
    <w:qFormat/>
    <w:rsid w:val="007257E3"/>
    <w:pPr>
      <w:spacing w:after="0"/>
    </w:pPr>
    <w:rPr>
      <w:szCs w:val="24"/>
      <w:lang w:val="en-GB"/>
    </w:rPr>
  </w:style>
  <w:style w:type="paragraph" w:customStyle="1" w:styleId="Normal-TOCHeading">
    <w:name w:val="Normal - TOC Heading"/>
    <w:basedOn w:val="Normal"/>
    <w:next w:val="Normal"/>
    <w:qFormat/>
    <w:rsid w:val="007257E3"/>
    <w:pPr>
      <w:spacing w:after="240" w:line="280" w:lineRule="atLeast"/>
    </w:pPr>
    <w:rPr>
      <w:rFonts w:eastAsia="Times New Roman" w:cs="Times New Roman"/>
      <w:b/>
      <w:caps/>
      <w:color w:val="009DE0"/>
      <w:sz w:val="22"/>
      <w:szCs w:val="24"/>
      <w:lang w:val="en-GB" w:eastAsia="da-DK"/>
    </w:rPr>
  </w:style>
  <w:style w:type="paragraph" w:customStyle="1" w:styleId="Normal-Headnote">
    <w:name w:val="Normal - Head note"/>
    <w:basedOn w:val="Normal"/>
    <w:qFormat/>
    <w:rsid w:val="007257E3"/>
    <w:pPr>
      <w:spacing w:line="270" w:lineRule="atLeast"/>
      <w:ind w:left="624"/>
    </w:pPr>
    <w:rPr>
      <w:rFonts w:eastAsia="Times New Roman" w:cs="Times New Roman"/>
      <w:b/>
      <w:color w:val="4D4D4D"/>
      <w:sz w:val="21"/>
      <w:szCs w:val="24"/>
      <w:lang w:val="en-GB" w:eastAsia="da-DK"/>
    </w:rPr>
  </w:style>
  <w:style w:type="paragraph" w:customStyle="1" w:styleId="Template-Adresse">
    <w:name w:val="Template - Adresse"/>
    <w:basedOn w:val="Template"/>
    <w:semiHidden/>
    <w:qFormat/>
    <w:rsid w:val="007257E3"/>
    <w:pPr>
      <w:tabs>
        <w:tab w:val="left" w:pos="198"/>
      </w:tabs>
    </w:pPr>
    <w:rPr>
      <w:rFonts w:eastAsia="Times New Roman" w:cs="Times New Roman"/>
      <w:szCs w:val="24"/>
      <w:lang w:val="en-GB" w:eastAsia="da-DK"/>
    </w:rPr>
  </w:style>
  <w:style w:type="paragraph" w:customStyle="1" w:styleId="Template-ReftoFrontpageheading1">
    <w:name w:val="Template - Ref to Frontpage heading 1"/>
    <w:basedOn w:val="Template"/>
    <w:link w:val="Template-ReftoFrontpageheading1Char"/>
    <w:semiHidden/>
    <w:qFormat/>
    <w:rsid w:val="007257E3"/>
    <w:pPr>
      <w:tabs>
        <w:tab w:val="left" w:pos="198"/>
      </w:tabs>
      <w:spacing w:line="280" w:lineRule="atLeast"/>
    </w:pPr>
    <w:rPr>
      <w:rFonts w:eastAsia="Times New Roman" w:cs="Times New Roman"/>
      <w:b/>
      <w:caps/>
      <w:color w:val="009DE0"/>
      <w:sz w:val="22"/>
      <w:szCs w:val="24"/>
      <w:lang w:val="en-GB" w:eastAsia="da-DK"/>
    </w:rPr>
  </w:style>
  <w:style w:type="paragraph" w:customStyle="1" w:styleId="Normal-FactBoxHeading1-White">
    <w:name w:val="Normal - Fact Box Heading 1 -  White"/>
    <w:basedOn w:val="Normal"/>
    <w:next w:val="Normal-FactBoxHeading2-Black"/>
    <w:qFormat/>
    <w:rsid w:val="007257E3"/>
    <w:pPr>
      <w:spacing w:line="320" w:lineRule="atLeast"/>
    </w:pPr>
    <w:rPr>
      <w:rFonts w:eastAsia="Times New Roman" w:cs="Times New Roman"/>
      <w:b/>
      <w:caps/>
      <w:color w:val="FFFFFF"/>
      <w:sz w:val="30"/>
      <w:szCs w:val="24"/>
      <w:lang w:val="en-GB" w:eastAsia="da-DK"/>
    </w:rPr>
  </w:style>
  <w:style w:type="paragraph" w:customStyle="1" w:styleId="Normal-FactBoxHeading1-Black">
    <w:name w:val="Normal - Fact Box Heading 1 - Black"/>
    <w:basedOn w:val="Normal"/>
    <w:qFormat/>
    <w:rsid w:val="007257E3"/>
    <w:pPr>
      <w:spacing w:after="160" w:line="240" w:lineRule="atLeast"/>
    </w:pPr>
    <w:rPr>
      <w:rFonts w:eastAsia="Times New Roman" w:cs="Times New Roman"/>
      <w:b/>
      <w:caps/>
      <w:sz w:val="22"/>
      <w:szCs w:val="24"/>
      <w:lang w:val="en-GB" w:eastAsia="da-DK"/>
    </w:rPr>
  </w:style>
  <w:style w:type="paragraph" w:customStyle="1" w:styleId="Normal-FactBoxHeading2-White">
    <w:name w:val="Normal - Fact Box Heading 2 - White"/>
    <w:basedOn w:val="Normal"/>
    <w:next w:val="Normal-FactBoxBodytext-White"/>
    <w:qFormat/>
    <w:rsid w:val="007257E3"/>
    <w:pPr>
      <w:spacing w:after="100" w:line="220" w:lineRule="atLeast"/>
    </w:pPr>
    <w:rPr>
      <w:rFonts w:eastAsia="Times New Roman" w:cs="Times New Roman"/>
      <w:b/>
      <w:color w:val="FFFFFF"/>
      <w:szCs w:val="24"/>
      <w:lang w:val="en-GB" w:eastAsia="da-DK"/>
    </w:rPr>
  </w:style>
  <w:style w:type="paragraph" w:customStyle="1" w:styleId="Normal-FactBoxHeading2-Black">
    <w:name w:val="Normal - Fact Box Heading 2 - Black"/>
    <w:basedOn w:val="Normal"/>
    <w:next w:val="Normal-FactBoxBodytext-Black"/>
    <w:qFormat/>
    <w:rsid w:val="007257E3"/>
    <w:pPr>
      <w:spacing w:line="220" w:lineRule="atLeast"/>
    </w:pPr>
    <w:rPr>
      <w:rFonts w:eastAsia="Times New Roman" w:cs="Times New Roman"/>
      <w:b/>
      <w:szCs w:val="24"/>
      <w:lang w:val="en-GB" w:eastAsia="da-DK"/>
    </w:rPr>
  </w:style>
  <w:style w:type="paragraph" w:customStyle="1" w:styleId="Normal-FactBoxBodytext-White">
    <w:name w:val="Normal - Fact Box Body text - White"/>
    <w:basedOn w:val="Normal"/>
    <w:qFormat/>
    <w:rsid w:val="007257E3"/>
    <w:pPr>
      <w:spacing w:line="280" w:lineRule="atLeast"/>
    </w:pPr>
    <w:rPr>
      <w:rFonts w:eastAsia="Times New Roman" w:cs="Times New Roman"/>
      <w:color w:val="FFFFFF"/>
      <w:szCs w:val="24"/>
      <w:lang w:val="en-GB" w:eastAsia="da-DK"/>
    </w:rPr>
  </w:style>
  <w:style w:type="paragraph" w:customStyle="1" w:styleId="Normal-FactBoxBodytext-Black">
    <w:name w:val="Normal - Fact Box Body text - Black"/>
    <w:basedOn w:val="Normal"/>
    <w:qFormat/>
    <w:rsid w:val="007257E3"/>
    <w:pPr>
      <w:spacing w:line="220" w:lineRule="atLeast"/>
    </w:pPr>
    <w:rPr>
      <w:rFonts w:eastAsia="Times New Roman" w:cs="Times New Roman"/>
      <w:szCs w:val="24"/>
      <w:lang w:val="en-GB" w:eastAsia="da-DK"/>
    </w:rPr>
  </w:style>
  <w:style w:type="paragraph" w:customStyle="1" w:styleId="Normal-NoteHeading">
    <w:name w:val="Normal - Note Heading"/>
    <w:basedOn w:val="Normal"/>
    <w:qFormat/>
    <w:rsid w:val="007257E3"/>
    <w:pPr>
      <w:spacing w:after="100" w:line="170" w:lineRule="atLeast"/>
    </w:pPr>
    <w:rPr>
      <w:rFonts w:eastAsia="Times New Roman" w:cs="Times New Roman"/>
      <w:b/>
      <w:color w:val="009DE0"/>
      <w:sz w:val="15"/>
      <w:szCs w:val="24"/>
      <w:lang w:val="en-GB" w:eastAsia="da-DK"/>
    </w:rPr>
  </w:style>
  <w:style w:type="paragraph" w:customStyle="1" w:styleId="Normal-Note">
    <w:name w:val="Normal - Note"/>
    <w:basedOn w:val="Normal"/>
    <w:qFormat/>
    <w:rsid w:val="007257E3"/>
    <w:pPr>
      <w:spacing w:line="170" w:lineRule="atLeast"/>
    </w:pPr>
    <w:rPr>
      <w:rFonts w:eastAsia="Times New Roman" w:cs="Times New Roman"/>
      <w:sz w:val="15"/>
      <w:szCs w:val="24"/>
      <w:lang w:val="en-GB" w:eastAsia="da-DK"/>
    </w:rPr>
  </w:style>
  <w:style w:type="paragraph" w:customStyle="1" w:styleId="Normal-LeadingAfterCaption">
    <w:name w:val="Normal - Leading After Caption"/>
    <w:basedOn w:val="Normal"/>
    <w:semiHidden/>
    <w:qFormat/>
    <w:rsid w:val="007257E3"/>
    <w:pPr>
      <w:framePr w:wrap="around" w:vAnchor="text" w:hAnchor="page" w:x="8818" w:y="1"/>
      <w:spacing w:line="100" w:lineRule="exact"/>
      <w:suppressOverlap/>
    </w:pPr>
    <w:rPr>
      <w:rFonts w:eastAsia="Times New Roman" w:cs="Times New Roman"/>
      <w:sz w:val="10"/>
      <w:szCs w:val="24"/>
      <w:lang w:val="it-IT" w:eastAsia="da-DK"/>
    </w:rPr>
  </w:style>
  <w:style w:type="character" w:customStyle="1" w:styleId="TemplateChar">
    <w:name w:val="Template Char"/>
    <w:link w:val="Template"/>
    <w:semiHidden/>
    <w:rsid w:val="007257E3"/>
    <w:rPr>
      <w:noProof/>
      <w:sz w:val="14"/>
      <w:lang w:val="en-US"/>
    </w:rPr>
  </w:style>
  <w:style w:type="character" w:customStyle="1" w:styleId="Template-ReftoFrontpageheading1Char">
    <w:name w:val="Template - Ref to Frontpage heading 1 Char"/>
    <w:link w:val="Template-ReftoFrontpageheading1"/>
    <w:semiHidden/>
    <w:rsid w:val="007257E3"/>
    <w:rPr>
      <w:rFonts w:eastAsia="Times New Roman" w:cs="Times New Roman"/>
      <w:b/>
      <w:caps/>
      <w:noProof/>
      <w:color w:val="009DE0"/>
      <w:sz w:val="22"/>
      <w:szCs w:val="24"/>
      <w:lang w:val="en-GB" w:eastAsia="da-DK"/>
    </w:rPr>
  </w:style>
  <w:style w:type="paragraph" w:customStyle="1" w:styleId="Template-Stylerefheader">
    <w:name w:val="Template - Styleref header"/>
    <w:basedOn w:val="Header"/>
    <w:semiHidden/>
    <w:qFormat/>
    <w:rsid w:val="007257E3"/>
    <w:pPr>
      <w:keepNext/>
      <w:widowControl w:val="0"/>
      <w:tabs>
        <w:tab w:val="right" w:pos="8902"/>
      </w:tabs>
      <w:suppressAutoHyphens/>
      <w:autoSpaceDE w:val="0"/>
      <w:spacing w:before="240" w:after="120"/>
      <w:jc w:val="both"/>
      <w:textAlignment w:val="baseline"/>
    </w:pPr>
    <w:rPr>
      <w:rFonts w:ascii="Arial" w:eastAsia="MS Mincho" w:hAnsi="Arial" w:cs="Times New Roman"/>
      <w:caps/>
      <w:color w:val="auto"/>
      <w:spacing w:val="4"/>
      <w:kern w:val="1"/>
      <w:sz w:val="24"/>
      <w:szCs w:val="28"/>
      <w:lang w:val="da-DK"/>
    </w:rPr>
  </w:style>
  <w:style w:type="paragraph" w:customStyle="1" w:styleId="Normal-Optional1">
    <w:name w:val="Normal - Optional 1"/>
    <w:basedOn w:val="Normal-RevisionDataText"/>
    <w:semiHidden/>
    <w:qFormat/>
    <w:rsid w:val="007257E3"/>
    <w:pPr>
      <w:spacing w:line="240" w:lineRule="atLeast"/>
    </w:pPr>
  </w:style>
  <w:style w:type="paragraph" w:customStyle="1" w:styleId="Normal-Optional2">
    <w:name w:val="Normal - Optional 2"/>
    <w:basedOn w:val="Normal-RevisionDataText"/>
    <w:semiHidden/>
    <w:qFormat/>
    <w:rsid w:val="007257E3"/>
    <w:pPr>
      <w:spacing w:line="240" w:lineRule="atLeast"/>
    </w:pPr>
  </w:style>
  <w:style w:type="paragraph" w:customStyle="1" w:styleId="Normal-SupplementTOC1">
    <w:name w:val="Normal - Supplement TOC1"/>
    <w:basedOn w:val="Normal"/>
    <w:next w:val="Normal-SupplementTOC2"/>
    <w:semiHidden/>
    <w:qFormat/>
    <w:rsid w:val="007257E3"/>
    <w:pPr>
      <w:spacing w:line="240" w:lineRule="atLeast"/>
    </w:pPr>
    <w:rPr>
      <w:rFonts w:eastAsia="Times New Roman" w:cs="Times New Roman"/>
      <w:b/>
      <w:szCs w:val="24"/>
      <w:lang w:val="en-GB" w:eastAsia="da-DK"/>
    </w:rPr>
  </w:style>
  <w:style w:type="paragraph" w:customStyle="1" w:styleId="Normal-SupplementTOC2">
    <w:name w:val="Normal - Supplement TOC2"/>
    <w:basedOn w:val="Normal"/>
    <w:semiHidden/>
    <w:qFormat/>
    <w:rsid w:val="007257E3"/>
    <w:pPr>
      <w:spacing w:line="240" w:lineRule="atLeast"/>
    </w:pPr>
    <w:rPr>
      <w:rFonts w:eastAsia="Times New Roman" w:cs="Times New Roman"/>
      <w:szCs w:val="24"/>
      <w:lang w:val="en-GB" w:eastAsia="da-DK"/>
    </w:rPr>
  </w:style>
  <w:style w:type="paragraph" w:customStyle="1" w:styleId="Normal-Bullet">
    <w:name w:val="Normal - Bullet"/>
    <w:basedOn w:val="Normal"/>
    <w:qFormat/>
    <w:rsid w:val="007257E3"/>
    <w:pPr>
      <w:numPr>
        <w:numId w:val="104"/>
      </w:numPr>
      <w:spacing w:line="240" w:lineRule="atLeast"/>
    </w:pPr>
    <w:rPr>
      <w:rFonts w:eastAsia="Times New Roman" w:cs="Times New Roman"/>
      <w:szCs w:val="24"/>
      <w:lang w:val="en-GB" w:eastAsia="da-DK"/>
    </w:rPr>
  </w:style>
  <w:style w:type="paragraph" w:customStyle="1" w:styleId="Normal-Numbering">
    <w:name w:val="Normal - Numbering"/>
    <w:basedOn w:val="Normal-Bullet"/>
    <w:qFormat/>
    <w:rsid w:val="007257E3"/>
    <w:pPr>
      <w:numPr>
        <w:numId w:val="103"/>
      </w:numPr>
      <w:ind w:left="1152"/>
    </w:pPr>
  </w:style>
  <w:style w:type="paragraph" w:customStyle="1" w:styleId="Normal-SupplementNumber">
    <w:name w:val="Normal - Supplement Number"/>
    <w:basedOn w:val="Normal"/>
    <w:next w:val="Normal-Supplementtitle"/>
    <w:semiHidden/>
    <w:qFormat/>
    <w:rsid w:val="007257E3"/>
    <w:pPr>
      <w:pageBreakBefore/>
      <w:spacing w:before="2560" w:line="280" w:lineRule="atLeast"/>
    </w:pPr>
    <w:rPr>
      <w:rFonts w:eastAsia="Times New Roman" w:cs="Times New Roman"/>
      <w:b/>
      <w:caps/>
      <w:color w:val="009DE0"/>
      <w:sz w:val="22"/>
      <w:szCs w:val="24"/>
      <w:lang w:val="en-GB" w:eastAsia="da-DK"/>
    </w:rPr>
  </w:style>
  <w:style w:type="paragraph" w:customStyle="1" w:styleId="Normal-Supplementtitle">
    <w:name w:val="Normal - Supplement title"/>
    <w:basedOn w:val="Normal-SupplementNumber"/>
    <w:next w:val="Normal"/>
    <w:semiHidden/>
    <w:qFormat/>
    <w:rsid w:val="007257E3"/>
    <w:pPr>
      <w:pageBreakBefore w:val="0"/>
      <w:spacing w:before="0"/>
    </w:pPr>
  </w:style>
  <w:style w:type="paragraph" w:customStyle="1" w:styleId="Normal-Optional2leadtext">
    <w:name w:val="Normal - Optional 2 leadtext"/>
    <w:basedOn w:val="Normal-Optional1leadtext"/>
    <w:semiHidden/>
    <w:qFormat/>
    <w:rsid w:val="007257E3"/>
    <w:pPr>
      <w:spacing w:line="240" w:lineRule="atLeast"/>
    </w:pPr>
    <w:rPr>
      <w:szCs w:val="24"/>
      <w:lang w:val="en-GB" w:eastAsia="da-DK"/>
    </w:rPr>
  </w:style>
  <w:style w:type="paragraph" w:customStyle="1" w:styleId="Heading1-NOTTOC">
    <w:name w:val="Heading 1 - NOT TOC"/>
    <w:basedOn w:val="Heading1"/>
    <w:qFormat/>
    <w:rsid w:val="007257E3"/>
    <w:pPr>
      <w:keepLines w:val="0"/>
      <w:numPr>
        <w:numId w:val="0"/>
      </w:numPr>
      <w:tabs>
        <w:tab w:val="num" w:pos="1492"/>
      </w:tabs>
      <w:suppressAutoHyphens w:val="0"/>
      <w:spacing w:before="120" w:after="0" w:line="40" w:lineRule="atLeast"/>
      <w:ind w:left="1492" w:hanging="360"/>
      <w:contextualSpacing w:val="0"/>
      <w:outlineLvl w:val="9"/>
    </w:pPr>
    <w:rPr>
      <w:rFonts w:ascii="Times New Roman Bold" w:eastAsia="Times New Roman" w:hAnsi="Times New Roman Bold" w:cs="Times New Roman"/>
      <w:b/>
      <w:color w:val="auto"/>
      <w:sz w:val="22"/>
      <w:szCs w:val="32"/>
      <w:lang w:val="x-none" w:eastAsia="da-DK"/>
    </w:rPr>
  </w:style>
  <w:style w:type="paragraph" w:customStyle="1" w:styleId="Heading2-NOTTOC">
    <w:name w:val="Heading 2 - NOT TOC"/>
    <w:basedOn w:val="Heading2"/>
    <w:qFormat/>
    <w:rsid w:val="007257E3"/>
    <w:pPr>
      <w:keepLines w:val="0"/>
      <w:numPr>
        <w:numId w:val="100"/>
      </w:numPr>
      <w:tabs>
        <w:tab w:val="num" w:pos="1440"/>
      </w:tabs>
      <w:suppressAutoHyphens w:val="0"/>
      <w:spacing w:before="0" w:line="240" w:lineRule="atLeast"/>
      <w:contextualSpacing w:val="0"/>
      <w:outlineLvl w:val="9"/>
    </w:pPr>
    <w:rPr>
      <w:rFonts w:eastAsia="Times New Roman" w:cs="Times New Roman"/>
      <w:b/>
      <w:iCs/>
      <w:szCs w:val="28"/>
      <w:lang w:val="x-none" w:eastAsia="da-DK"/>
    </w:rPr>
  </w:style>
  <w:style w:type="paragraph" w:customStyle="1" w:styleId="Heading3-NOTTOC">
    <w:name w:val="Heading 3 - NOT TOC"/>
    <w:basedOn w:val="Heading3"/>
    <w:qFormat/>
    <w:rsid w:val="007257E3"/>
    <w:pPr>
      <w:keepLines w:val="0"/>
      <w:numPr>
        <w:numId w:val="100"/>
      </w:numPr>
      <w:tabs>
        <w:tab w:val="num" w:pos="2160"/>
      </w:tabs>
      <w:spacing w:before="0" w:line="240" w:lineRule="atLeast"/>
      <w:contextualSpacing w:val="0"/>
      <w:jc w:val="both"/>
      <w:outlineLvl w:val="9"/>
    </w:pPr>
    <w:rPr>
      <w:rFonts w:eastAsia="Times New Roman" w:cs="Arial"/>
      <w:bCs w:val="0"/>
      <w:szCs w:val="26"/>
      <w:lang w:val="x-none" w:eastAsia="da-DK"/>
    </w:rPr>
  </w:style>
  <w:style w:type="paragraph" w:customStyle="1" w:styleId="Heading4-NOTTOC">
    <w:name w:val="Heading 4 - NOT TOC"/>
    <w:basedOn w:val="Heading4"/>
    <w:qFormat/>
    <w:rsid w:val="007257E3"/>
    <w:pPr>
      <w:keepLines w:val="0"/>
      <w:numPr>
        <w:ilvl w:val="0"/>
        <w:numId w:val="0"/>
      </w:numPr>
      <w:spacing w:before="0" w:line="240" w:lineRule="atLeast"/>
      <w:ind w:left="862" w:hanging="360"/>
      <w:contextualSpacing w:val="0"/>
      <w:outlineLvl w:val="9"/>
    </w:pPr>
    <w:rPr>
      <w:rFonts w:ascii="Times New Roman" w:eastAsia="Times New Roman" w:hAnsi="Times New Roman" w:cs="Times New Roman"/>
      <w:b/>
      <w:iCs w:val="0"/>
      <w:sz w:val="24"/>
      <w:szCs w:val="28"/>
      <w:lang w:val="x-none" w:eastAsia="da-DK"/>
    </w:rPr>
  </w:style>
  <w:style w:type="paragraph" w:customStyle="1" w:styleId="Normal-Revleadtext">
    <w:name w:val="Normal - Rev lead text"/>
    <w:basedOn w:val="Normal-RevisionData"/>
    <w:qFormat/>
    <w:rsid w:val="007257E3"/>
    <w:pPr>
      <w:spacing w:after="120" w:line="240" w:lineRule="atLeast"/>
    </w:pPr>
  </w:style>
  <w:style w:type="character" w:customStyle="1" w:styleId="Fejlc2Char1">
    <w:name w:val="Fejléc 2 Char1"/>
    <w:aliases w:val="Titre secondaire (2) Char1,sous-chapitre Char1,a Titlu 2 Char2,a Titlu 2 Char Char1,PA Major Section Char1,h2 Char1,h21 Char1,Major Char1,Project 2 Char1,RFS 2 Char1,2 Char1,numbered indent 2 Char1,ni2 Char1,level2 Char"/>
    <w:rsid w:val="007257E3"/>
    <w:rPr>
      <w:rFonts w:ascii="Verdana" w:hAnsi="Verdana"/>
      <w:b/>
      <w:bCs/>
      <w:iCs/>
      <w:sz w:val="18"/>
      <w:szCs w:val="28"/>
      <w:lang w:val="x-none" w:eastAsia="da-DK"/>
    </w:rPr>
  </w:style>
  <w:style w:type="paragraph" w:customStyle="1" w:styleId="CaracterCaracter5">
    <w:name w:val="Caracter Caracter5"/>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Annexetitle">
    <w:name w:val="Annexe_title"/>
    <w:basedOn w:val="Heading1"/>
    <w:next w:val="Normal"/>
    <w:autoRedefine/>
    <w:qFormat/>
    <w:rsid w:val="007257E3"/>
    <w:pPr>
      <w:keepNext w:val="0"/>
      <w:keepLines w:val="0"/>
      <w:pageBreakBefore/>
      <w:numPr>
        <w:numId w:val="0"/>
      </w:numPr>
      <w:tabs>
        <w:tab w:val="left" w:pos="1701"/>
        <w:tab w:val="left" w:pos="2552"/>
      </w:tabs>
      <w:suppressAutoHyphens w:val="0"/>
      <w:spacing w:before="120" w:after="0" w:line="240" w:lineRule="auto"/>
      <w:contextualSpacing w:val="0"/>
      <w:jc w:val="center"/>
      <w:outlineLvl w:val="9"/>
    </w:pPr>
    <w:rPr>
      <w:rFonts w:ascii="Times New Roman" w:eastAsia="Times New Roman" w:hAnsi="Times New Roman" w:cs="Times New Roman"/>
      <w:b/>
      <w:bCs w:val="0"/>
      <w:color w:val="auto"/>
      <w:sz w:val="22"/>
      <w:lang w:eastAsia="en-GB"/>
    </w:rPr>
  </w:style>
  <w:style w:type="paragraph" w:customStyle="1" w:styleId="StyleStyleStyleTable10ptCenteredLeftBefore72pt">
    <w:name w:val="Style Style Style Table + 10 pt Centered + Left + Before:  7.2 pt"/>
    <w:basedOn w:val="Normal"/>
    <w:qFormat/>
    <w:rsid w:val="007257E3"/>
    <w:pPr>
      <w:keepNext/>
      <w:numPr>
        <w:numId w:val="105"/>
      </w:numPr>
      <w:tabs>
        <w:tab w:val="num" w:pos="3195"/>
        <w:tab w:val="center" w:pos="4153"/>
        <w:tab w:val="right" w:pos="8306"/>
      </w:tabs>
      <w:autoSpaceDE w:val="0"/>
      <w:autoSpaceDN w:val="0"/>
      <w:adjustRightInd w:val="0"/>
      <w:spacing w:before="60" w:after="20" w:line="240" w:lineRule="auto"/>
    </w:pPr>
    <w:rPr>
      <w:rFonts w:ascii="Arial" w:eastAsia="Times New Roman" w:hAnsi="Arial" w:cs="Times New Roman"/>
      <w:sz w:val="20"/>
      <w:szCs w:val="20"/>
    </w:rPr>
  </w:style>
  <w:style w:type="paragraph" w:customStyle="1" w:styleId="Unnumbered">
    <w:name w:val="Unnumbered"/>
    <w:basedOn w:val="Normal"/>
    <w:qFormat/>
    <w:rsid w:val="007257E3"/>
    <w:pPr>
      <w:widowControl w:val="0"/>
      <w:numPr>
        <w:numId w:val="159"/>
      </w:numPr>
      <w:tabs>
        <w:tab w:val="num" w:pos="1701"/>
      </w:tabs>
      <w:spacing w:after="180" w:line="240" w:lineRule="auto"/>
    </w:pPr>
    <w:rPr>
      <w:rFonts w:ascii="Arial" w:eastAsia="Times New Roman" w:hAnsi="Arial" w:cs="Arial"/>
      <w:sz w:val="22"/>
      <w:szCs w:val="22"/>
      <w:lang w:eastAsia="ja-JP"/>
    </w:rPr>
  </w:style>
  <w:style w:type="paragraph" w:customStyle="1" w:styleId="ofcheading3">
    <w:name w:val="ofcheading3"/>
    <w:basedOn w:val="Normal"/>
    <w:qFormat/>
    <w:rsid w:val="007257E3"/>
    <w:pPr>
      <w:keepNext/>
      <w:spacing w:line="240" w:lineRule="auto"/>
      <w:jc w:val="both"/>
    </w:pPr>
    <w:rPr>
      <w:rFonts w:ascii="Arial" w:eastAsia="MS Mincho" w:hAnsi="Arial" w:cs="Times New Roman"/>
      <w:b/>
      <w:sz w:val="20"/>
      <w:szCs w:val="20"/>
      <w:lang w:val="en-GB" w:eastAsia="el-GR"/>
    </w:rPr>
  </w:style>
  <w:style w:type="paragraph" w:customStyle="1" w:styleId="normaltableau">
    <w:name w:val="normal_tableau"/>
    <w:basedOn w:val="Normal"/>
    <w:qFormat/>
    <w:rsid w:val="007257E3"/>
    <w:pPr>
      <w:spacing w:before="120" w:after="120" w:line="240" w:lineRule="auto"/>
      <w:jc w:val="both"/>
    </w:pPr>
    <w:rPr>
      <w:rFonts w:ascii="Optima" w:eastAsia="Times New Roman" w:hAnsi="Optima" w:cs="Times New Roman"/>
      <w:sz w:val="22"/>
      <w:szCs w:val="20"/>
    </w:rPr>
  </w:style>
  <w:style w:type="paragraph" w:customStyle="1" w:styleId="En-tteProjet">
    <w:name w:val="En-tête Projet"/>
    <w:basedOn w:val="Header"/>
    <w:qFormat/>
    <w:rsid w:val="007257E3"/>
    <w:pPr>
      <w:keepNext/>
      <w:widowControl w:val="0"/>
      <w:suppressAutoHyphens/>
      <w:autoSpaceDE w:val="0"/>
      <w:spacing w:before="240" w:after="120" w:line="240" w:lineRule="auto"/>
      <w:ind w:left="-3261" w:right="1134" w:hanging="2126"/>
      <w:jc w:val="right"/>
      <w:textAlignment w:val="baseline"/>
    </w:pPr>
    <w:rPr>
      <w:rFonts w:ascii="Arial Narrow" w:eastAsia="MS Mincho" w:hAnsi="Arial Narrow" w:cs="Arial Narrow"/>
      <w:b/>
      <w:bCs/>
      <w:smallCaps/>
      <w:color w:val="008080"/>
      <w:kern w:val="1"/>
      <w:sz w:val="24"/>
      <w:szCs w:val="28"/>
      <w:lang w:eastAsia="fr-FR"/>
    </w:rPr>
  </w:style>
  <w:style w:type="paragraph" w:customStyle="1" w:styleId="Puce2-8pts">
    <w:name w:val="Puce2-8pts"/>
    <w:autoRedefine/>
    <w:qFormat/>
    <w:rsid w:val="007257E3"/>
    <w:pPr>
      <w:tabs>
        <w:tab w:val="num" w:pos="785"/>
        <w:tab w:val="num" w:pos="851"/>
        <w:tab w:val="right" w:leader="dot" w:pos="9072"/>
      </w:tabs>
      <w:spacing w:before="240" w:line="240" w:lineRule="auto"/>
      <w:ind w:left="851" w:hanging="425"/>
      <w:jc w:val="both"/>
    </w:pPr>
    <w:rPr>
      <w:rFonts w:ascii="Arial" w:eastAsia="Times New Roman" w:hAnsi="Arial" w:cs="Arial"/>
      <w:sz w:val="20"/>
      <w:szCs w:val="20"/>
      <w:lang w:val="fr-FR" w:eastAsia="fr-FR"/>
    </w:rPr>
  </w:style>
  <w:style w:type="paragraph" w:customStyle="1" w:styleId="En-ttetitre-chapitre">
    <w:name w:val="En-tête titre-chapitre"/>
    <w:basedOn w:val="Header"/>
    <w:uiPriority w:val="99"/>
    <w:qFormat/>
    <w:rsid w:val="007257E3"/>
    <w:pPr>
      <w:keepNext/>
      <w:widowControl w:val="0"/>
      <w:numPr>
        <w:numId w:val="106"/>
      </w:numPr>
      <w:pBdr>
        <w:bottom w:val="single" w:sz="18" w:space="1" w:color="008080"/>
      </w:pBdr>
      <w:suppressAutoHyphens/>
      <w:autoSpaceDE w:val="0"/>
      <w:spacing w:before="240" w:after="120" w:line="240" w:lineRule="auto"/>
      <w:ind w:left="-3119" w:right="1134" w:firstLine="0"/>
      <w:jc w:val="right"/>
      <w:textAlignment w:val="baseline"/>
    </w:pPr>
    <w:rPr>
      <w:rFonts w:ascii="Arial Narrow" w:eastAsia="MS Mincho" w:hAnsi="Arial Narrow" w:cs="Arial Narrow"/>
      <w:b/>
      <w:bCs/>
      <w:smallCaps/>
      <w:color w:val="auto"/>
      <w:kern w:val="1"/>
      <w:sz w:val="28"/>
      <w:szCs w:val="28"/>
      <w:lang w:eastAsia="fr-FR"/>
    </w:rPr>
  </w:style>
  <w:style w:type="paragraph" w:customStyle="1" w:styleId="puce1-3pts">
    <w:name w:val="puce1-3pts"/>
    <w:basedOn w:val="Puce1-8pts"/>
    <w:uiPriority w:val="99"/>
    <w:qFormat/>
    <w:rsid w:val="007257E3"/>
    <w:pPr>
      <w:tabs>
        <w:tab w:val="clear" w:pos="787"/>
        <w:tab w:val="num" w:pos="785"/>
      </w:tabs>
      <w:spacing w:before="60"/>
      <w:ind w:left="785" w:hanging="425"/>
    </w:pPr>
  </w:style>
  <w:style w:type="paragraph" w:customStyle="1" w:styleId="Puce1-8pts">
    <w:name w:val="Puce1-8 pts"/>
    <w:qFormat/>
    <w:rsid w:val="007257E3"/>
    <w:pPr>
      <w:keepLines/>
      <w:tabs>
        <w:tab w:val="num" w:pos="787"/>
        <w:tab w:val="right" w:leader="dot" w:pos="9072"/>
      </w:tabs>
      <w:spacing w:before="240" w:line="240" w:lineRule="auto"/>
      <w:ind w:left="787" w:hanging="427"/>
      <w:jc w:val="both"/>
    </w:pPr>
    <w:rPr>
      <w:rFonts w:ascii="Arial" w:eastAsia="Times New Roman" w:hAnsi="Arial" w:cs="Arial"/>
      <w:sz w:val="20"/>
      <w:szCs w:val="20"/>
      <w:lang w:val="fr-FR" w:eastAsia="fr-FR"/>
    </w:rPr>
  </w:style>
  <w:style w:type="paragraph" w:customStyle="1" w:styleId="TitreTAB">
    <w:name w:val="TitreTAB"/>
    <w:basedOn w:val="Caption"/>
    <w:qFormat/>
    <w:rsid w:val="007257E3"/>
    <w:pPr>
      <w:numPr>
        <w:numId w:val="107"/>
      </w:numPr>
      <w:tabs>
        <w:tab w:val="num" w:pos="252"/>
      </w:tabs>
      <w:spacing w:before="240" w:after="120" w:line="240" w:lineRule="auto"/>
      <w:ind w:left="1134" w:firstLine="0"/>
      <w:jc w:val="center"/>
    </w:pPr>
    <w:rPr>
      <w:rFonts w:ascii="Arial Narrow" w:eastAsia="Times New Roman" w:hAnsi="Arial Narrow" w:cs="Arial Narrow"/>
      <w:smallCaps/>
      <w:color w:val="auto"/>
      <w:sz w:val="21"/>
      <w:szCs w:val="21"/>
      <w:lang w:eastAsia="fr-FR"/>
    </w:rPr>
  </w:style>
  <w:style w:type="paragraph" w:customStyle="1" w:styleId="Puce3">
    <w:name w:val="Puce 3"/>
    <w:basedOn w:val="Normal"/>
    <w:qFormat/>
    <w:rsid w:val="007257E3"/>
    <w:pPr>
      <w:tabs>
        <w:tab w:val="num" w:pos="787"/>
        <w:tab w:val="right" w:leader="dot" w:pos="9072"/>
      </w:tabs>
      <w:spacing w:before="120" w:line="240" w:lineRule="auto"/>
      <w:ind w:left="787" w:hanging="427"/>
      <w:jc w:val="both"/>
    </w:pPr>
    <w:rPr>
      <w:rFonts w:ascii="Arial" w:eastAsia="Times New Roman" w:hAnsi="Arial" w:cs="Arial"/>
      <w:b/>
      <w:bCs/>
      <w:sz w:val="20"/>
      <w:szCs w:val="20"/>
      <w:lang w:eastAsia="fr-FR"/>
    </w:rPr>
  </w:style>
  <w:style w:type="paragraph" w:customStyle="1" w:styleId="Style70">
    <w:name w:val="Style7"/>
    <w:basedOn w:val="BodyText"/>
    <w:uiPriority w:val="99"/>
    <w:qFormat/>
    <w:rsid w:val="007257E3"/>
    <w:pPr>
      <w:pBdr>
        <w:top w:val="single" w:sz="12" w:space="1" w:color="008080" w:shadow="1"/>
        <w:left w:val="single" w:sz="12" w:space="4" w:color="008080" w:shadow="1"/>
        <w:bottom w:val="single" w:sz="12" w:space="1" w:color="008080" w:shadow="1"/>
        <w:right w:val="single" w:sz="12" w:space="4" w:color="008080" w:shadow="1"/>
      </w:pBdr>
      <w:spacing w:after="0" w:line="240" w:lineRule="auto"/>
      <w:jc w:val="both"/>
    </w:pPr>
    <w:rPr>
      <w:rFonts w:ascii="Arial" w:eastAsia="Times New Roman" w:hAnsi="Arial" w:cs="Arial"/>
      <w:b/>
      <w:bCs/>
      <w:smallCaps/>
      <w:color w:val="008080"/>
      <w:sz w:val="28"/>
      <w:szCs w:val="28"/>
      <w:lang w:eastAsia="fr-FR"/>
    </w:rPr>
  </w:style>
  <w:style w:type="character" w:customStyle="1" w:styleId="Style2Car">
    <w:name w:val="Style2 Car"/>
    <w:rsid w:val="007257E3"/>
    <w:rPr>
      <w:rFonts w:ascii="Arial Narrow" w:hAnsi="Arial Narrow" w:cs="Arial Narrow"/>
      <w:b/>
      <w:bCs/>
      <w:smallCaps/>
      <w:color w:val="008080"/>
      <w:sz w:val="28"/>
      <w:szCs w:val="28"/>
      <w:lang w:val="fr-FR" w:eastAsia="fr-FR"/>
    </w:rPr>
  </w:style>
  <w:style w:type="paragraph" w:customStyle="1" w:styleId="Puces">
    <w:name w:val="Puces"/>
    <w:basedOn w:val="Normal"/>
    <w:qFormat/>
    <w:rsid w:val="007257E3"/>
    <w:pPr>
      <w:widowControl w:val="0"/>
      <w:tabs>
        <w:tab w:val="num" w:pos="360"/>
      </w:tabs>
      <w:spacing w:line="240" w:lineRule="auto"/>
      <w:ind w:left="360" w:hanging="360"/>
      <w:jc w:val="both"/>
    </w:pPr>
    <w:rPr>
      <w:rFonts w:ascii="Arial" w:eastAsia="Times New Roman" w:hAnsi="Arial" w:cs="Arial"/>
      <w:sz w:val="22"/>
      <w:szCs w:val="22"/>
    </w:rPr>
  </w:style>
  <w:style w:type="paragraph" w:customStyle="1" w:styleId="En-tteClient">
    <w:name w:val="En-têteClient"/>
    <w:basedOn w:val="Normal"/>
    <w:qFormat/>
    <w:rsid w:val="007257E3"/>
    <w:pPr>
      <w:numPr>
        <w:numId w:val="166"/>
      </w:numPr>
      <w:tabs>
        <w:tab w:val="num" w:pos="432"/>
      </w:tabs>
      <w:spacing w:line="240" w:lineRule="auto"/>
      <w:jc w:val="right"/>
    </w:pPr>
    <w:rPr>
      <w:rFonts w:ascii="Arial Narrow" w:eastAsia="Times New Roman" w:hAnsi="Arial Narrow" w:cs="Arial Narrow"/>
      <w:b/>
      <w:bCs/>
      <w:smallCaps/>
      <w:sz w:val="20"/>
      <w:szCs w:val="20"/>
      <w:lang w:eastAsia="fr-FR"/>
    </w:rPr>
  </w:style>
  <w:style w:type="paragraph" w:customStyle="1" w:styleId="Puce">
    <w:name w:val="Puce"/>
    <w:basedOn w:val="Normal"/>
    <w:link w:val="PuceChar"/>
    <w:qFormat/>
    <w:rsid w:val="007257E3"/>
    <w:pPr>
      <w:numPr>
        <w:numId w:val="109"/>
      </w:numPr>
      <w:tabs>
        <w:tab w:val="num" w:pos="792"/>
        <w:tab w:val="left" w:pos="1418"/>
      </w:tabs>
      <w:spacing w:before="120" w:line="240" w:lineRule="auto"/>
      <w:ind w:left="792"/>
      <w:jc w:val="both"/>
    </w:pPr>
    <w:rPr>
      <w:rFonts w:ascii="Arial" w:eastAsia="Times New Roman" w:hAnsi="Arial" w:cs="Times New Roman"/>
      <w:sz w:val="20"/>
      <w:szCs w:val="20"/>
      <w:lang w:val="x-none" w:eastAsia="fr-FR"/>
    </w:rPr>
  </w:style>
  <w:style w:type="paragraph" w:customStyle="1" w:styleId="Bullet20">
    <w:name w:val="Bullet 2"/>
    <w:basedOn w:val="Normal"/>
    <w:link w:val="Bullet2CharChar"/>
    <w:qFormat/>
    <w:rsid w:val="007257E3"/>
    <w:pPr>
      <w:numPr>
        <w:numId w:val="110"/>
      </w:numPr>
      <w:tabs>
        <w:tab w:val="num" w:pos="432"/>
      </w:tabs>
      <w:spacing w:line="255" w:lineRule="exact"/>
      <w:ind w:left="432" w:hanging="432"/>
      <w:jc w:val="both"/>
    </w:pPr>
    <w:rPr>
      <w:rFonts w:ascii="Arial" w:eastAsia="Times New Roman" w:hAnsi="Arial" w:cs="Times New Roman"/>
      <w:lang w:val="x-none" w:eastAsia="x-none"/>
    </w:rPr>
  </w:style>
  <w:style w:type="paragraph" w:customStyle="1" w:styleId="Titredocument">
    <w:name w:val="Titre document"/>
    <w:basedOn w:val="Normal"/>
    <w:qFormat/>
    <w:rsid w:val="007257E3"/>
    <w:pPr>
      <w:spacing w:before="120" w:line="240" w:lineRule="auto"/>
      <w:jc w:val="center"/>
    </w:pPr>
    <w:rPr>
      <w:rFonts w:ascii="Century Gothic" w:eastAsia="Times New Roman" w:hAnsi="Century Gothic" w:cs="Times New Roman"/>
      <w:b/>
      <w:bCs/>
      <w:smallCaps/>
      <w:color w:val="0000CC"/>
      <w:sz w:val="32"/>
      <w:szCs w:val="20"/>
      <w:lang w:val="fr-FR" w:eastAsia="fr-FR"/>
    </w:rPr>
  </w:style>
  <w:style w:type="character" w:customStyle="1" w:styleId="PuceChar">
    <w:name w:val="Puce Char"/>
    <w:link w:val="Puce"/>
    <w:rsid w:val="007257E3"/>
    <w:rPr>
      <w:rFonts w:ascii="Arial" w:eastAsia="Times New Roman" w:hAnsi="Arial" w:cs="Times New Roman"/>
      <w:sz w:val="20"/>
      <w:szCs w:val="20"/>
      <w:lang w:val="x-none" w:eastAsia="fr-FR"/>
    </w:rPr>
  </w:style>
  <w:style w:type="paragraph" w:customStyle="1" w:styleId="StyleTitleLeft">
    <w:name w:val="Style Title + Left"/>
    <w:basedOn w:val="Normal"/>
    <w:link w:val="StyleTitleLeftZchn"/>
    <w:autoRedefine/>
    <w:qFormat/>
    <w:rsid w:val="007257E3"/>
    <w:pPr>
      <w:tabs>
        <w:tab w:val="left" w:pos="690"/>
      </w:tabs>
      <w:autoSpaceDE w:val="0"/>
      <w:snapToGrid w:val="0"/>
      <w:spacing w:before="60" w:line="240" w:lineRule="auto"/>
      <w:jc w:val="both"/>
    </w:pPr>
    <w:rPr>
      <w:rFonts w:ascii="Times New Roman" w:eastAsia="Times New Roman" w:hAnsi="Times New Roman" w:cs="Times New Roman"/>
      <w:b/>
      <w:bCs/>
      <w:kern w:val="28"/>
      <w:sz w:val="22"/>
      <w:szCs w:val="22"/>
      <w:lang w:eastAsia="en-GB"/>
    </w:rPr>
  </w:style>
  <w:style w:type="character" w:customStyle="1" w:styleId="StyleTitleLeftZchn">
    <w:name w:val="Style Title + Left Zchn"/>
    <w:link w:val="StyleTitleLeft"/>
    <w:locked/>
    <w:rsid w:val="007257E3"/>
    <w:rPr>
      <w:rFonts w:ascii="Times New Roman" w:eastAsia="Times New Roman" w:hAnsi="Times New Roman" w:cs="Times New Roman"/>
      <w:b/>
      <w:bCs/>
      <w:kern w:val="28"/>
      <w:sz w:val="22"/>
      <w:szCs w:val="22"/>
      <w:lang w:val="ro-RO" w:eastAsia="en-GB"/>
    </w:rPr>
  </w:style>
  <w:style w:type="character" w:customStyle="1" w:styleId="sttalineat1">
    <w:name w:val="st_talineat1"/>
    <w:rsid w:val="007257E3"/>
    <w:rPr>
      <w:rFonts w:cs="Times New Roman"/>
      <w:color w:val="000000"/>
    </w:rPr>
  </w:style>
  <w:style w:type="paragraph" w:customStyle="1" w:styleId="StyleMV">
    <w:name w:val="StyleMV"/>
    <w:basedOn w:val="Normal"/>
    <w:link w:val="StyleMVChar"/>
    <w:qFormat/>
    <w:rsid w:val="007257E3"/>
    <w:pPr>
      <w:spacing w:line="240" w:lineRule="auto"/>
      <w:jc w:val="both"/>
    </w:pPr>
    <w:rPr>
      <w:rFonts w:ascii="Arial" w:eastAsia="Calibri" w:hAnsi="Arial" w:cs="Times New Roman"/>
      <w:bCs/>
      <w:sz w:val="20"/>
      <w:szCs w:val="16"/>
      <w:lang w:eastAsia="ro-RO"/>
    </w:rPr>
  </w:style>
  <w:style w:type="character" w:customStyle="1" w:styleId="StyleMVChar">
    <w:name w:val="StyleMV Char"/>
    <w:link w:val="StyleMV"/>
    <w:locked/>
    <w:rsid w:val="007257E3"/>
    <w:rPr>
      <w:rFonts w:ascii="Arial" w:eastAsia="Calibri" w:hAnsi="Arial" w:cs="Times New Roman"/>
      <w:bCs/>
      <w:sz w:val="20"/>
      <w:szCs w:val="16"/>
      <w:lang w:val="ro-RO" w:eastAsia="ro-RO"/>
    </w:rPr>
  </w:style>
  <w:style w:type="table" w:customStyle="1" w:styleId="LightShading1">
    <w:name w:val="Light Shading1"/>
    <w:basedOn w:val="TableNormal"/>
    <w:uiPriority w:val="60"/>
    <w:rsid w:val="007257E3"/>
    <w:pPr>
      <w:spacing w:line="240" w:lineRule="auto"/>
    </w:pPr>
    <w:rPr>
      <w:rFonts w:eastAsia="Calibri" w:cs="Times New Roman"/>
      <w:color w:val="000000"/>
      <w:szCs w:val="22"/>
      <w:lang w:eastAsia="ro-RO"/>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TableinArialNarrow">
    <w:name w:val="Table in Arial Narrow"/>
    <w:basedOn w:val="Normal"/>
    <w:qFormat/>
    <w:rsid w:val="007257E3"/>
    <w:pPr>
      <w:tabs>
        <w:tab w:val="left" w:pos="284"/>
        <w:tab w:val="left" w:pos="567"/>
        <w:tab w:val="left" w:pos="851"/>
      </w:tabs>
      <w:spacing w:before="40" w:after="20" w:line="240" w:lineRule="auto"/>
      <w:ind w:left="28" w:right="28"/>
      <w:jc w:val="both"/>
    </w:pPr>
    <w:rPr>
      <w:rFonts w:ascii="Arial Narrow" w:eastAsia="Times New Roman" w:hAnsi="Arial Narrow" w:cs="Arial"/>
      <w:snapToGrid w:val="0"/>
      <w:sz w:val="20"/>
      <w:szCs w:val="22"/>
      <w:lang w:eastAsia="ja-JP"/>
    </w:rPr>
  </w:style>
  <w:style w:type="paragraph" w:customStyle="1" w:styleId="Lettre-3pt">
    <w:name w:val="Lettre-3pt"/>
    <w:basedOn w:val="Normal"/>
    <w:qFormat/>
    <w:rsid w:val="007257E3"/>
    <w:pPr>
      <w:numPr>
        <w:numId w:val="111"/>
      </w:numPr>
      <w:tabs>
        <w:tab w:val="decimal" w:pos="425"/>
      </w:tabs>
      <w:spacing w:before="60" w:line="240" w:lineRule="auto"/>
      <w:ind w:left="576" w:hanging="216"/>
      <w:jc w:val="both"/>
    </w:pPr>
    <w:rPr>
      <w:rFonts w:ascii="Arial" w:eastAsia="Times New Roman" w:hAnsi="Arial" w:cs="Arial"/>
      <w:sz w:val="20"/>
      <w:szCs w:val="20"/>
      <w:lang w:val="fr-FR" w:eastAsia="fr-FR"/>
    </w:rPr>
  </w:style>
  <w:style w:type="paragraph" w:customStyle="1" w:styleId="Puce2-3pts">
    <w:name w:val="Puce2-3pts"/>
    <w:basedOn w:val="Puce2-8pts"/>
    <w:qFormat/>
    <w:rsid w:val="007257E3"/>
    <w:pPr>
      <w:tabs>
        <w:tab w:val="clear" w:pos="785"/>
        <w:tab w:val="num" w:pos="425"/>
      </w:tabs>
      <w:spacing w:before="60"/>
      <w:ind w:left="425"/>
    </w:pPr>
  </w:style>
  <w:style w:type="paragraph" w:customStyle="1" w:styleId="Retrait3">
    <w:name w:val="Retrait 3"/>
    <w:basedOn w:val="Normal"/>
    <w:qFormat/>
    <w:rsid w:val="007257E3"/>
    <w:pPr>
      <w:tabs>
        <w:tab w:val="left" w:pos="1276"/>
      </w:tabs>
      <w:spacing w:before="120" w:line="240" w:lineRule="auto"/>
      <w:ind w:left="1276"/>
      <w:jc w:val="both"/>
    </w:pPr>
    <w:rPr>
      <w:rFonts w:ascii="Arial" w:eastAsia="Times New Roman" w:hAnsi="Arial" w:cs="Arial"/>
      <w:sz w:val="20"/>
      <w:szCs w:val="20"/>
      <w:lang w:eastAsia="fr-FR"/>
    </w:rPr>
  </w:style>
  <w:style w:type="paragraph" w:customStyle="1" w:styleId="Puces2">
    <w:name w:val="Puces2"/>
    <w:basedOn w:val="Normal"/>
    <w:qFormat/>
    <w:rsid w:val="007257E3"/>
    <w:pPr>
      <w:widowControl w:val="0"/>
      <w:numPr>
        <w:numId w:val="112"/>
      </w:numPr>
      <w:tabs>
        <w:tab w:val="left" w:pos="1985"/>
      </w:tabs>
      <w:spacing w:line="240" w:lineRule="auto"/>
      <w:jc w:val="both"/>
    </w:pPr>
    <w:rPr>
      <w:rFonts w:ascii="Arial" w:eastAsia="Times New Roman" w:hAnsi="Arial" w:cs="Arial"/>
      <w:sz w:val="22"/>
      <w:szCs w:val="22"/>
    </w:rPr>
  </w:style>
  <w:style w:type="paragraph" w:customStyle="1" w:styleId="TitreFigure">
    <w:name w:val="Titre Figure"/>
    <w:basedOn w:val="Caption"/>
    <w:next w:val="BodyText"/>
    <w:qFormat/>
    <w:rsid w:val="007257E3"/>
    <w:pPr>
      <w:tabs>
        <w:tab w:val="left" w:pos="4253"/>
        <w:tab w:val="right" w:leader="dot" w:pos="9639"/>
      </w:tabs>
      <w:spacing w:before="0" w:after="0" w:line="240" w:lineRule="auto"/>
      <w:ind w:left="1152" w:hanging="360"/>
      <w:jc w:val="both"/>
    </w:pPr>
    <w:rPr>
      <w:rFonts w:ascii="Arial" w:eastAsia="Times New Roman" w:hAnsi="Arial" w:cs="Arial"/>
      <w:smallCaps/>
      <w:color w:val="auto"/>
      <w:sz w:val="20"/>
      <w:szCs w:val="20"/>
      <w:lang w:eastAsia="fr-FR"/>
    </w:rPr>
  </w:style>
  <w:style w:type="paragraph" w:customStyle="1" w:styleId="numberin">
    <w:name w:val="numberin"/>
    <w:basedOn w:val="Normal"/>
    <w:autoRedefine/>
    <w:qFormat/>
    <w:rsid w:val="007257E3"/>
    <w:pPr>
      <w:tabs>
        <w:tab w:val="left" w:pos="690"/>
      </w:tabs>
      <w:autoSpaceDE w:val="0"/>
      <w:snapToGrid w:val="0"/>
      <w:spacing w:before="120" w:line="240" w:lineRule="auto"/>
      <w:jc w:val="both"/>
    </w:pPr>
    <w:rPr>
      <w:rFonts w:eastAsia="Times New Roman" w:cs="Arial"/>
      <w:lang w:val="it-IT"/>
    </w:rPr>
  </w:style>
  <w:style w:type="character" w:customStyle="1" w:styleId="FontStyle13">
    <w:name w:val="Font Style13"/>
    <w:rsid w:val="007257E3"/>
    <w:rPr>
      <w:rFonts w:ascii="Times New Roman" w:hAnsi="Times New Roman" w:cs="Times New Roman" w:hint="default"/>
      <w:sz w:val="22"/>
      <w:szCs w:val="22"/>
    </w:rPr>
  </w:style>
  <w:style w:type="paragraph" w:customStyle="1" w:styleId="normalpropostas">
    <w:name w:val="normal_propostas"/>
    <w:basedOn w:val="Normal"/>
    <w:link w:val="normalpropostasCarcter"/>
    <w:qFormat/>
    <w:rsid w:val="007257E3"/>
    <w:pPr>
      <w:spacing w:after="160" w:line="240" w:lineRule="auto"/>
      <w:ind w:left="1134" w:firstLine="360"/>
      <w:jc w:val="both"/>
    </w:pPr>
    <w:rPr>
      <w:rFonts w:ascii="Arial" w:eastAsia="Times New Roman" w:hAnsi="Arial" w:cs="Times New Roman"/>
      <w:i/>
      <w:iCs/>
      <w:sz w:val="22"/>
      <w:szCs w:val="22"/>
      <w:lang w:val="x-none" w:eastAsia="pt-PT"/>
    </w:rPr>
  </w:style>
  <w:style w:type="character" w:customStyle="1" w:styleId="normalpropostasCarcter">
    <w:name w:val="normal_propostas Carácter"/>
    <w:link w:val="normalpropostas"/>
    <w:rsid w:val="007257E3"/>
    <w:rPr>
      <w:rFonts w:ascii="Arial" w:eastAsia="Times New Roman" w:hAnsi="Arial" w:cs="Times New Roman"/>
      <w:i/>
      <w:iCs/>
      <w:sz w:val="22"/>
      <w:szCs w:val="22"/>
      <w:lang w:val="x-none" w:eastAsia="pt-PT"/>
    </w:rPr>
  </w:style>
  <w:style w:type="paragraph" w:customStyle="1" w:styleId="P2">
    <w:name w:val="P2"/>
    <w:basedOn w:val="Normal"/>
    <w:qFormat/>
    <w:rsid w:val="007257E3"/>
    <w:pPr>
      <w:numPr>
        <w:numId w:val="139"/>
      </w:numPr>
      <w:tabs>
        <w:tab w:val="num" w:pos="480"/>
        <w:tab w:val="num" w:pos="1531"/>
      </w:tabs>
      <w:overflowPunct w:val="0"/>
      <w:autoSpaceDE w:val="0"/>
      <w:autoSpaceDN w:val="0"/>
      <w:adjustRightInd w:val="0"/>
      <w:spacing w:line="320" w:lineRule="atLeast"/>
      <w:jc w:val="both"/>
      <w:textAlignment w:val="baseline"/>
    </w:pPr>
    <w:rPr>
      <w:rFonts w:ascii="Arial" w:eastAsia="Times New Roman" w:hAnsi="Arial" w:cs="Times New Roman"/>
      <w:sz w:val="22"/>
      <w:szCs w:val="22"/>
      <w:lang w:val="de-DE" w:eastAsia="de-DE"/>
    </w:rPr>
  </w:style>
  <w:style w:type="paragraph" w:customStyle="1" w:styleId="N1">
    <w:name w:val="N1"/>
    <w:basedOn w:val="Normal"/>
    <w:link w:val="N1Zchn"/>
    <w:qFormat/>
    <w:rsid w:val="007257E3"/>
    <w:pPr>
      <w:overflowPunct w:val="0"/>
      <w:autoSpaceDE w:val="0"/>
      <w:autoSpaceDN w:val="0"/>
      <w:adjustRightInd w:val="0"/>
      <w:spacing w:line="320" w:lineRule="atLeast"/>
      <w:ind w:left="1276" w:hanging="425"/>
      <w:jc w:val="both"/>
      <w:textAlignment w:val="baseline"/>
    </w:pPr>
    <w:rPr>
      <w:rFonts w:ascii="Arial" w:eastAsia="Times New Roman" w:hAnsi="Arial" w:cs="Times New Roman"/>
      <w:sz w:val="22"/>
      <w:szCs w:val="22"/>
      <w:lang w:val="de-DE" w:eastAsia="de-DE"/>
    </w:rPr>
  </w:style>
  <w:style w:type="character" w:customStyle="1" w:styleId="tpt1">
    <w:name w:val="tpt1"/>
    <w:basedOn w:val="DefaultParagraphFont"/>
    <w:rsid w:val="007257E3"/>
  </w:style>
  <w:style w:type="paragraph" w:customStyle="1" w:styleId="parbul1">
    <w:name w:val="par_bul1"/>
    <w:basedOn w:val="Normal"/>
    <w:qFormat/>
    <w:rsid w:val="007257E3"/>
    <w:pPr>
      <w:numPr>
        <w:numId w:val="113"/>
      </w:numPr>
      <w:suppressAutoHyphens/>
      <w:autoSpaceDE w:val="0"/>
      <w:spacing w:after="60" w:line="276" w:lineRule="auto"/>
      <w:jc w:val="both"/>
    </w:pPr>
    <w:rPr>
      <w:rFonts w:eastAsia="Times New Roman" w:cs="Verdana"/>
      <w:color w:val="000000"/>
      <w:sz w:val="24"/>
      <w:szCs w:val="24"/>
      <w:lang w:eastAsia="ar-SA"/>
    </w:rPr>
  </w:style>
  <w:style w:type="paragraph" w:customStyle="1" w:styleId="Parnormtext">
    <w:name w:val="Par_norm_text"/>
    <w:basedOn w:val="Normal"/>
    <w:qFormat/>
    <w:rsid w:val="007257E3"/>
    <w:pPr>
      <w:suppressAutoHyphens/>
      <w:autoSpaceDE w:val="0"/>
      <w:spacing w:after="60" w:line="276" w:lineRule="auto"/>
      <w:jc w:val="both"/>
    </w:pPr>
    <w:rPr>
      <w:rFonts w:eastAsia="Times New Roman" w:cs="Verdana"/>
      <w:sz w:val="24"/>
      <w:szCs w:val="24"/>
      <w:lang w:eastAsia="ar-SA"/>
    </w:rPr>
  </w:style>
  <w:style w:type="character" w:customStyle="1" w:styleId="PuceTABCar">
    <w:name w:val="PuceTAB Car"/>
    <w:rsid w:val="007257E3"/>
    <w:rPr>
      <w:rFonts w:ascii="Arial Narrow" w:hAnsi="Arial Narrow" w:cs="Arial Narrow"/>
      <w:b w:val="0"/>
      <w:bCs w:val="0"/>
      <w:smallCaps w:val="0"/>
      <w:color w:val="008080"/>
      <w:sz w:val="28"/>
      <w:szCs w:val="28"/>
      <w:lang w:val="en-GB" w:eastAsia="fr-FR"/>
    </w:rPr>
  </w:style>
  <w:style w:type="paragraph" w:customStyle="1" w:styleId="Application3">
    <w:name w:val="Application3"/>
    <w:basedOn w:val="Normal"/>
    <w:qFormat/>
    <w:rsid w:val="007257E3"/>
    <w:pPr>
      <w:spacing w:line="240" w:lineRule="auto"/>
      <w:jc w:val="both"/>
    </w:pPr>
    <w:rPr>
      <w:rFonts w:eastAsia="Calibri" w:cs="Times New Roman"/>
      <w:lang w:val="en-US"/>
    </w:rPr>
  </w:style>
  <w:style w:type="paragraph" w:customStyle="1" w:styleId="Style17">
    <w:name w:val="Style17"/>
    <w:basedOn w:val="Normal"/>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8">
    <w:name w:val="Style18"/>
    <w:basedOn w:val="Normal"/>
    <w:uiPriority w:val="99"/>
    <w:qFormat/>
    <w:rsid w:val="007257E3"/>
    <w:pPr>
      <w:widowControl w:val="0"/>
      <w:autoSpaceDE w:val="0"/>
      <w:autoSpaceDN w:val="0"/>
      <w:adjustRightInd w:val="0"/>
      <w:spacing w:line="240" w:lineRule="exact"/>
      <w:jc w:val="both"/>
    </w:pPr>
    <w:rPr>
      <w:rFonts w:eastAsia="Times New Roman" w:cs="Times New Roman"/>
      <w:sz w:val="24"/>
      <w:szCs w:val="24"/>
      <w:lang w:eastAsia="ro-RO"/>
    </w:rPr>
  </w:style>
  <w:style w:type="paragraph" w:customStyle="1" w:styleId="Style19">
    <w:name w:val="Style19"/>
    <w:basedOn w:val="Normal"/>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22">
    <w:name w:val="Style22"/>
    <w:basedOn w:val="Normal"/>
    <w:uiPriority w:val="99"/>
    <w:qFormat/>
    <w:rsid w:val="007257E3"/>
    <w:pPr>
      <w:widowControl w:val="0"/>
      <w:autoSpaceDE w:val="0"/>
      <w:autoSpaceDN w:val="0"/>
      <w:adjustRightInd w:val="0"/>
      <w:spacing w:line="240" w:lineRule="auto"/>
      <w:jc w:val="both"/>
    </w:pPr>
    <w:rPr>
      <w:rFonts w:eastAsia="Times New Roman" w:cs="Times New Roman"/>
      <w:sz w:val="24"/>
      <w:szCs w:val="24"/>
      <w:lang w:eastAsia="ro-RO"/>
    </w:rPr>
  </w:style>
  <w:style w:type="paragraph" w:customStyle="1" w:styleId="Style24">
    <w:name w:val="Style24"/>
    <w:basedOn w:val="Normal"/>
    <w:uiPriority w:val="99"/>
    <w:qFormat/>
    <w:rsid w:val="007257E3"/>
    <w:pPr>
      <w:widowControl w:val="0"/>
      <w:autoSpaceDE w:val="0"/>
      <w:autoSpaceDN w:val="0"/>
      <w:adjustRightInd w:val="0"/>
      <w:spacing w:line="240" w:lineRule="exact"/>
      <w:jc w:val="both"/>
    </w:pPr>
    <w:rPr>
      <w:rFonts w:eastAsia="Times New Roman" w:cs="Times New Roman"/>
      <w:sz w:val="24"/>
      <w:szCs w:val="24"/>
      <w:lang w:eastAsia="ro-RO"/>
    </w:rPr>
  </w:style>
  <w:style w:type="paragraph" w:customStyle="1" w:styleId="Style27">
    <w:name w:val="Style27"/>
    <w:basedOn w:val="Normal"/>
    <w:uiPriority w:val="99"/>
    <w:qFormat/>
    <w:rsid w:val="007257E3"/>
    <w:pPr>
      <w:widowControl w:val="0"/>
      <w:autoSpaceDE w:val="0"/>
      <w:autoSpaceDN w:val="0"/>
      <w:adjustRightInd w:val="0"/>
      <w:spacing w:line="242" w:lineRule="exact"/>
    </w:pPr>
    <w:rPr>
      <w:rFonts w:eastAsia="Times New Roman" w:cs="Times New Roman"/>
      <w:sz w:val="24"/>
      <w:szCs w:val="24"/>
      <w:lang w:eastAsia="ro-RO"/>
    </w:rPr>
  </w:style>
  <w:style w:type="paragraph" w:customStyle="1" w:styleId="Style30">
    <w:name w:val="Style30"/>
    <w:basedOn w:val="Normal"/>
    <w:uiPriority w:val="99"/>
    <w:qFormat/>
    <w:rsid w:val="007257E3"/>
    <w:pPr>
      <w:widowControl w:val="0"/>
      <w:autoSpaceDE w:val="0"/>
      <w:autoSpaceDN w:val="0"/>
      <w:adjustRightInd w:val="0"/>
      <w:spacing w:line="240" w:lineRule="exact"/>
      <w:jc w:val="right"/>
    </w:pPr>
    <w:rPr>
      <w:rFonts w:eastAsia="Times New Roman" w:cs="Times New Roman"/>
      <w:sz w:val="24"/>
      <w:szCs w:val="24"/>
      <w:lang w:eastAsia="ro-RO"/>
    </w:rPr>
  </w:style>
  <w:style w:type="paragraph" w:customStyle="1" w:styleId="Style66">
    <w:name w:val="Style66"/>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character" w:customStyle="1" w:styleId="FontStyle167">
    <w:name w:val="Font Style167"/>
    <w:uiPriority w:val="99"/>
    <w:rsid w:val="007257E3"/>
    <w:rPr>
      <w:rFonts w:ascii="Verdana" w:hAnsi="Verdana" w:cs="Verdana"/>
      <w:smallCaps/>
      <w:sz w:val="26"/>
      <w:szCs w:val="26"/>
    </w:rPr>
  </w:style>
  <w:style w:type="character" w:customStyle="1" w:styleId="FontStyle171">
    <w:name w:val="Font Style171"/>
    <w:uiPriority w:val="99"/>
    <w:rsid w:val="007257E3"/>
    <w:rPr>
      <w:rFonts w:ascii="Verdana" w:hAnsi="Verdana" w:cs="Verdana"/>
      <w:sz w:val="18"/>
      <w:szCs w:val="18"/>
    </w:rPr>
  </w:style>
  <w:style w:type="character" w:customStyle="1" w:styleId="FontStyle197">
    <w:name w:val="Font Style197"/>
    <w:uiPriority w:val="99"/>
    <w:rsid w:val="007257E3"/>
    <w:rPr>
      <w:rFonts w:ascii="Verdana" w:hAnsi="Verdana" w:cs="Verdana"/>
      <w:b/>
      <w:bCs/>
      <w:i/>
      <w:iCs/>
      <w:sz w:val="16"/>
      <w:szCs w:val="16"/>
    </w:rPr>
  </w:style>
  <w:style w:type="character" w:customStyle="1" w:styleId="FontStyle198">
    <w:name w:val="Font Style198"/>
    <w:uiPriority w:val="99"/>
    <w:rsid w:val="007257E3"/>
    <w:rPr>
      <w:rFonts w:ascii="Verdana" w:hAnsi="Verdana" w:cs="Verdana"/>
      <w:b/>
      <w:bCs/>
      <w:sz w:val="16"/>
      <w:szCs w:val="16"/>
    </w:rPr>
  </w:style>
  <w:style w:type="character" w:customStyle="1" w:styleId="FontStyle443">
    <w:name w:val="Font Style443"/>
    <w:uiPriority w:val="99"/>
    <w:rsid w:val="007257E3"/>
    <w:rPr>
      <w:rFonts w:ascii="Times New Roman" w:hAnsi="Times New Roman" w:cs="Times New Roman"/>
      <w:sz w:val="20"/>
      <w:szCs w:val="20"/>
    </w:rPr>
  </w:style>
  <w:style w:type="character" w:customStyle="1" w:styleId="FontStyle440">
    <w:name w:val="Font Style440"/>
    <w:uiPriority w:val="99"/>
    <w:rsid w:val="007257E3"/>
    <w:rPr>
      <w:rFonts w:ascii="Times New Roman" w:hAnsi="Times New Roman" w:cs="Times New Roman"/>
      <w:b/>
      <w:bCs/>
      <w:sz w:val="20"/>
      <w:szCs w:val="20"/>
    </w:rPr>
  </w:style>
  <w:style w:type="paragraph" w:customStyle="1" w:styleId="Style41">
    <w:name w:val="Style41"/>
    <w:basedOn w:val="Normal"/>
    <w:uiPriority w:val="99"/>
    <w:qFormat/>
    <w:rsid w:val="007257E3"/>
    <w:pPr>
      <w:widowControl w:val="0"/>
      <w:autoSpaceDE w:val="0"/>
      <w:autoSpaceDN w:val="0"/>
      <w:adjustRightInd w:val="0"/>
      <w:spacing w:line="240" w:lineRule="exact"/>
      <w:ind w:hanging="341"/>
      <w:jc w:val="both"/>
    </w:pPr>
    <w:rPr>
      <w:rFonts w:eastAsia="Times New Roman" w:cs="Times New Roman"/>
      <w:sz w:val="24"/>
      <w:szCs w:val="24"/>
      <w:lang w:eastAsia="ro-RO"/>
    </w:rPr>
  </w:style>
  <w:style w:type="character" w:customStyle="1" w:styleId="FontStyle44">
    <w:name w:val="Font Style44"/>
    <w:uiPriority w:val="99"/>
    <w:rsid w:val="007257E3"/>
    <w:rPr>
      <w:rFonts w:ascii="Times New Roman" w:hAnsi="Times New Roman" w:cs="Times New Roman"/>
      <w:i/>
      <w:iCs/>
      <w:sz w:val="20"/>
      <w:szCs w:val="20"/>
    </w:rPr>
  </w:style>
  <w:style w:type="character" w:customStyle="1" w:styleId="link-blue1">
    <w:name w:val="link-blue1"/>
    <w:rsid w:val="007257E3"/>
    <w:rPr>
      <w:rFonts w:ascii="Verdana" w:hAnsi="Verdana" w:hint="default"/>
      <w:b w:val="0"/>
      <w:bCs w:val="0"/>
      <w:strike w:val="0"/>
      <w:dstrike w:val="0"/>
      <w:color w:val="1A6B91"/>
      <w:sz w:val="17"/>
      <w:szCs w:val="17"/>
      <w:u w:val="none"/>
      <w:effect w:val="none"/>
    </w:rPr>
  </w:style>
  <w:style w:type="paragraph" w:customStyle="1" w:styleId="centru">
    <w:name w:val="centru"/>
    <w:basedOn w:val="Normal"/>
    <w:qFormat/>
    <w:rsid w:val="007257E3"/>
    <w:pPr>
      <w:spacing w:before="100" w:beforeAutospacing="1" w:after="100" w:afterAutospacing="1" w:line="240" w:lineRule="auto"/>
    </w:pPr>
    <w:rPr>
      <w:rFonts w:eastAsia="Times New Roman" w:cs="Times New Roman"/>
      <w:b/>
      <w:bCs/>
      <w:color w:val="FFFFFF"/>
      <w:sz w:val="15"/>
      <w:szCs w:val="15"/>
      <w:lang w:val="en-US"/>
    </w:rPr>
  </w:style>
  <w:style w:type="paragraph" w:customStyle="1" w:styleId="style20">
    <w:name w:val="style2"/>
    <w:basedOn w:val="Normal"/>
    <w:qFormat/>
    <w:rsid w:val="007257E3"/>
    <w:pPr>
      <w:spacing w:before="100" w:beforeAutospacing="1" w:after="100" w:afterAutospacing="1" w:line="240" w:lineRule="auto"/>
    </w:pPr>
    <w:rPr>
      <w:rFonts w:eastAsia="Times New Roman" w:cs="Times New Roman"/>
      <w:b/>
      <w:bCs/>
      <w:color w:val="FFFFFF"/>
      <w:lang w:val="en-US"/>
    </w:rPr>
  </w:style>
  <w:style w:type="character" w:customStyle="1" w:styleId="style61">
    <w:name w:val="style61"/>
    <w:rsid w:val="007257E3"/>
    <w:rPr>
      <w:color w:val="FFFFCC"/>
      <w:u w:val="single"/>
    </w:rPr>
  </w:style>
  <w:style w:type="character" w:customStyle="1" w:styleId="clsstandardtext1">
    <w:name w:val="clsstandardtext1"/>
    <w:rsid w:val="007257E3"/>
    <w:rPr>
      <w:b w:val="0"/>
      <w:bCs w:val="0"/>
      <w:strike w:val="0"/>
      <w:dstrike w:val="0"/>
      <w:color w:val="333333"/>
      <w:sz w:val="18"/>
      <w:szCs w:val="18"/>
      <w:u w:val="none"/>
      <w:effect w:val="none"/>
    </w:rPr>
  </w:style>
  <w:style w:type="paragraph" w:customStyle="1" w:styleId="NORML">
    <w:name w:val="NORMÁL"/>
    <w:basedOn w:val="Normal"/>
    <w:qFormat/>
    <w:rsid w:val="007257E3"/>
    <w:pPr>
      <w:suppressAutoHyphens/>
      <w:spacing w:before="120" w:after="120" w:line="240" w:lineRule="auto"/>
      <w:jc w:val="both"/>
    </w:pPr>
    <w:rPr>
      <w:rFonts w:ascii="Times New Roman" w:eastAsia="SimSun" w:hAnsi="Times New Roman" w:cs="Times New Roman"/>
      <w:sz w:val="24"/>
      <w:szCs w:val="24"/>
      <w:lang w:val="en-US" w:eastAsia="en-GB"/>
    </w:rPr>
  </w:style>
  <w:style w:type="paragraph" w:customStyle="1" w:styleId="Style8">
    <w:name w:val="Style8"/>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0">
    <w:name w:val="Style10"/>
    <w:basedOn w:val="Normal"/>
    <w:uiPriority w:val="99"/>
    <w:qFormat/>
    <w:rsid w:val="007257E3"/>
    <w:pPr>
      <w:widowControl w:val="0"/>
      <w:autoSpaceDE w:val="0"/>
      <w:autoSpaceDN w:val="0"/>
      <w:adjustRightInd w:val="0"/>
      <w:spacing w:line="158" w:lineRule="exact"/>
      <w:jc w:val="both"/>
    </w:pPr>
    <w:rPr>
      <w:rFonts w:eastAsia="Times New Roman" w:cs="Times New Roman"/>
      <w:sz w:val="24"/>
      <w:szCs w:val="24"/>
      <w:lang w:eastAsia="ro-RO"/>
    </w:rPr>
  </w:style>
  <w:style w:type="paragraph" w:customStyle="1" w:styleId="Style11">
    <w:name w:val="Style11"/>
    <w:basedOn w:val="Normal"/>
    <w:uiPriority w:val="99"/>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2">
    <w:name w:val="Style12"/>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3">
    <w:name w:val="Style13"/>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4">
    <w:name w:val="Style14"/>
    <w:basedOn w:val="Normal"/>
    <w:uiPriority w:val="99"/>
    <w:qFormat/>
    <w:rsid w:val="007257E3"/>
    <w:pPr>
      <w:widowControl w:val="0"/>
      <w:autoSpaceDE w:val="0"/>
      <w:autoSpaceDN w:val="0"/>
      <w:adjustRightInd w:val="0"/>
      <w:spacing w:line="190" w:lineRule="exact"/>
    </w:pPr>
    <w:rPr>
      <w:rFonts w:eastAsia="Times New Roman" w:cs="Times New Roman"/>
      <w:sz w:val="24"/>
      <w:szCs w:val="24"/>
      <w:lang w:eastAsia="ro-RO"/>
    </w:rPr>
  </w:style>
  <w:style w:type="paragraph" w:customStyle="1" w:styleId="Style15">
    <w:name w:val="Style15"/>
    <w:basedOn w:val="Normal"/>
    <w:uiPriority w:val="99"/>
    <w:qFormat/>
    <w:rsid w:val="007257E3"/>
    <w:pPr>
      <w:widowControl w:val="0"/>
      <w:autoSpaceDE w:val="0"/>
      <w:autoSpaceDN w:val="0"/>
      <w:adjustRightInd w:val="0"/>
      <w:spacing w:line="240" w:lineRule="exact"/>
      <w:jc w:val="both"/>
    </w:pPr>
    <w:rPr>
      <w:rFonts w:eastAsia="Times New Roman" w:cs="Times New Roman"/>
      <w:sz w:val="24"/>
      <w:szCs w:val="24"/>
      <w:lang w:eastAsia="ro-RO"/>
    </w:rPr>
  </w:style>
  <w:style w:type="paragraph" w:customStyle="1" w:styleId="Style16">
    <w:name w:val="Style16"/>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200">
    <w:name w:val="Style20"/>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21">
    <w:name w:val="Style21"/>
    <w:basedOn w:val="Normal"/>
    <w:uiPriority w:val="99"/>
    <w:qFormat/>
    <w:rsid w:val="007257E3"/>
    <w:pPr>
      <w:widowControl w:val="0"/>
      <w:autoSpaceDE w:val="0"/>
      <w:autoSpaceDN w:val="0"/>
      <w:adjustRightInd w:val="0"/>
      <w:spacing w:line="459" w:lineRule="exact"/>
      <w:ind w:hanging="648"/>
    </w:pPr>
    <w:rPr>
      <w:rFonts w:eastAsia="Times New Roman" w:cs="Times New Roman"/>
      <w:sz w:val="24"/>
      <w:szCs w:val="24"/>
      <w:lang w:eastAsia="ro-RO"/>
    </w:rPr>
  </w:style>
  <w:style w:type="paragraph" w:customStyle="1" w:styleId="Style23">
    <w:name w:val="Style23"/>
    <w:basedOn w:val="Normal"/>
    <w:uiPriority w:val="99"/>
    <w:qFormat/>
    <w:rsid w:val="007257E3"/>
    <w:pPr>
      <w:widowControl w:val="0"/>
      <w:autoSpaceDE w:val="0"/>
      <w:autoSpaceDN w:val="0"/>
      <w:adjustRightInd w:val="0"/>
      <w:spacing w:line="221" w:lineRule="exact"/>
      <w:ind w:hanging="346"/>
    </w:pPr>
    <w:rPr>
      <w:rFonts w:eastAsia="Times New Roman" w:cs="Times New Roman"/>
      <w:sz w:val="24"/>
      <w:szCs w:val="24"/>
      <w:lang w:eastAsia="ro-RO"/>
    </w:rPr>
  </w:style>
  <w:style w:type="paragraph" w:customStyle="1" w:styleId="Style25">
    <w:name w:val="Style25"/>
    <w:basedOn w:val="Normal"/>
    <w:uiPriority w:val="99"/>
    <w:qFormat/>
    <w:rsid w:val="007257E3"/>
    <w:pPr>
      <w:widowControl w:val="0"/>
      <w:autoSpaceDE w:val="0"/>
      <w:autoSpaceDN w:val="0"/>
      <w:adjustRightInd w:val="0"/>
      <w:spacing w:line="240" w:lineRule="exact"/>
      <w:ind w:firstLine="394"/>
    </w:pPr>
    <w:rPr>
      <w:rFonts w:eastAsia="Times New Roman" w:cs="Times New Roman"/>
      <w:sz w:val="24"/>
      <w:szCs w:val="24"/>
      <w:lang w:eastAsia="ro-RO"/>
    </w:rPr>
  </w:style>
  <w:style w:type="paragraph" w:customStyle="1" w:styleId="Style26">
    <w:name w:val="Style26"/>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28">
    <w:name w:val="Style28"/>
    <w:basedOn w:val="Normal"/>
    <w:uiPriority w:val="99"/>
    <w:qFormat/>
    <w:rsid w:val="007257E3"/>
    <w:pPr>
      <w:widowControl w:val="0"/>
      <w:autoSpaceDE w:val="0"/>
      <w:autoSpaceDN w:val="0"/>
      <w:adjustRightInd w:val="0"/>
      <w:spacing w:line="278" w:lineRule="exact"/>
      <w:ind w:hanging="355"/>
      <w:jc w:val="both"/>
    </w:pPr>
    <w:rPr>
      <w:rFonts w:eastAsia="Times New Roman" w:cs="Times New Roman"/>
      <w:sz w:val="24"/>
      <w:szCs w:val="24"/>
      <w:lang w:eastAsia="ro-RO"/>
    </w:rPr>
  </w:style>
  <w:style w:type="paragraph" w:customStyle="1" w:styleId="Style29">
    <w:name w:val="Style29"/>
    <w:basedOn w:val="Normal"/>
    <w:uiPriority w:val="99"/>
    <w:qFormat/>
    <w:rsid w:val="007257E3"/>
    <w:pPr>
      <w:widowControl w:val="0"/>
      <w:autoSpaceDE w:val="0"/>
      <w:autoSpaceDN w:val="0"/>
      <w:adjustRightInd w:val="0"/>
      <w:spacing w:line="240" w:lineRule="exact"/>
    </w:pPr>
    <w:rPr>
      <w:rFonts w:eastAsia="Times New Roman" w:cs="Times New Roman"/>
      <w:sz w:val="24"/>
      <w:szCs w:val="24"/>
      <w:lang w:eastAsia="ro-RO"/>
    </w:rPr>
  </w:style>
  <w:style w:type="paragraph" w:customStyle="1" w:styleId="Style31">
    <w:name w:val="Style31"/>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32">
    <w:name w:val="Style32"/>
    <w:basedOn w:val="Normal"/>
    <w:uiPriority w:val="99"/>
    <w:qFormat/>
    <w:rsid w:val="007257E3"/>
    <w:pPr>
      <w:widowControl w:val="0"/>
      <w:autoSpaceDE w:val="0"/>
      <w:autoSpaceDN w:val="0"/>
      <w:adjustRightInd w:val="0"/>
      <w:spacing w:line="329" w:lineRule="exact"/>
      <w:ind w:hanging="350"/>
    </w:pPr>
    <w:rPr>
      <w:rFonts w:eastAsia="Times New Roman" w:cs="Times New Roman"/>
      <w:sz w:val="24"/>
      <w:szCs w:val="24"/>
      <w:lang w:eastAsia="ro-RO"/>
    </w:rPr>
  </w:style>
  <w:style w:type="paragraph" w:customStyle="1" w:styleId="Style33">
    <w:name w:val="Style33"/>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34">
    <w:name w:val="Style34"/>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35">
    <w:name w:val="Style35"/>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36">
    <w:name w:val="Style36"/>
    <w:basedOn w:val="Normal"/>
    <w:uiPriority w:val="99"/>
    <w:qFormat/>
    <w:rsid w:val="007257E3"/>
    <w:pPr>
      <w:widowControl w:val="0"/>
      <w:autoSpaceDE w:val="0"/>
      <w:autoSpaceDN w:val="0"/>
      <w:adjustRightInd w:val="0"/>
      <w:spacing w:line="240" w:lineRule="exact"/>
      <w:ind w:firstLine="1464"/>
    </w:pPr>
    <w:rPr>
      <w:rFonts w:eastAsia="Times New Roman" w:cs="Times New Roman"/>
      <w:sz w:val="24"/>
      <w:szCs w:val="24"/>
      <w:lang w:eastAsia="ro-RO"/>
    </w:rPr>
  </w:style>
  <w:style w:type="paragraph" w:customStyle="1" w:styleId="Style37">
    <w:name w:val="Style37"/>
    <w:basedOn w:val="Normal"/>
    <w:uiPriority w:val="99"/>
    <w:qFormat/>
    <w:rsid w:val="007257E3"/>
    <w:pPr>
      <w:widowControl w:val="0"/>
      <w:autoSpaceDE w:val="0"/>
      <w:autoSpaceDN w:val="0"/>
      <w:adjustRightInd w:val="0"/>
      <w:spacing w:line="240" w:lineRule="exact"/>
    </w:pPr>
    <w:rPr>
      <w:rFonts w:eastAsia="Times New Roman" w:cs="Times New Roman"/>
      <w:sz w:val="24"/>
      <w:szCs w:val="24"/>
      <w:lang w:eastAsia="ro-RO"/>
    </w:rPr>
  </w:style>
  <w:style w:type="paragraph" w:customStyle="1" w:styleId="Style38">
    <w:name w:val="Style38"/>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39">
    <w:name w:val="Style39"/>
    <w:basedOn w:val="Normal"/>
    <w:uiPriority w:val="99"/>
    <w:qFormat/>
    <w:rsid w:val="007257E3"/>
    <w:pPr>
      <w:widowControl w:val="0"/>
      <w:autoSpaceDE w:val="0"/>
      <w:autoSpaceDN w:val="0"/>
      <w:adjustRightInd w:val="0"/>
      <w:spacing w:line="240" w:lineRule="auto"/>
      <w:jc w:val="both"/>
    </w:pPr>
    <w:rPr>
      <w:rFonts w:eastAsia="Times New Roman" w:cs="Times New Roman"/>
      <w:sz w:val="24"/>
      <w:szCs w:val="24"/>
      <w:lang w:eastAsia="ro-RO"/>
    </w:rPr>
  </w:style>
  <w:style w:type="paragraph" w:customStyle="1" w:styleId="Style40">
    <w:name w:val="Style40"/>
    <w:basedOn w:val="Normal"/>
    <w:uiPriority w:val="99"/>
    <w:qFormat/>
    <w:rsid w:val="007257E3"/>
    <w:pPr>
      <w:widowControl w:val="0"/>
      <w:autoSpaceDE w:val="0"/>
      <w:autoSpaceDN w:val="0"/>
      <w:adjustRightInd w:val="0"/>
      <w:spacing w:line="221" w:lineRule="exact"/>
      <w:ind w:hanging="427"/>
    </w:pPr>
    <w:rPr>
      <w:rFonts w:eastAsia="Times New Roman" w:cs="Times New Roman"/>
      <w:sz w:val="24"/>
      <w:szCs w:val="24"/>
      <w:lang w:eastAsia="ro-RO"/>
    </w:rPr>
  </w:style>
  <w:style w:type="paragraph" w:customStyle="1" w:styleId="Style42">
    <w:name w:val="Style42"/>
    <w:basedOn w:val="Normal"/>
    <w:uiPriority w:val="99"/>
    <w:qFormat/>
    <w:rsid w:val="007257E3"/>
    <w:pPr>
      <w:widowControl w:val="0"/>
      <w:autoSpaceDE w:val="0"/>
      <w:autoSpaceDN w:val="0"/>
      <w:adjustRightInd w:val="0"/>
      <w:spacing w:line="219" w:lineRule="exact"/>
      <w:jc w:val="both"/>
    </w:pPr>
    <w:rPr>
      <w:rFonts w:eastAsia="Times New Roman" w:cs="Times New Roman"/>
      <w:sz w:val="24"/>
      <w:szCs w:val="24"/>
      <w:lang w:eastAsia="ro-RO"/>
    </w:rPr>
  </w:style>
  <w:style w:type="paragraph" w:customStyle="1" w:styleId="Style43">
    <w:name w:val="Style43"/>
    <w:basedOn w:val="Normal"/>
    <w:uiPriority w:val="99"/>
    <w:qFormat/>
    <w:rsid w:val="007257E3"/>
    <w:pPr>
      <w:widowControl w:val="0"/>
      <w:autoSpaceDE w:val="0"/>
      <w:autoSpaceDN w:val="0"/>
      <w:adjustRightInd w:val="0"/>
      <w:spacing w:line="240" w:lineRule="auto"/>
      <w:jc w:val="center"/>
    </w:pPr>
    <w:rPr>
      <w:rFonts w:eastAsia="Times New Roman" w:cs="Times New Roman"/>
      <w:sz w:val="24"/>
      <w:szCs w:val="24"/>
      <w:lang w:eastAsia="ro-RO"/>
    </w:rPr>
  </w:style>
  <w:style w:type="paragraph" w:customStyle="1" w:styleId="Style44">
    <w:name w:val="Style44"/>
    <w:basedOn w:val="Normal"/>
    <w:uiPriority w:val="99"/>
    <w:qFormat/>
    <w:rsid w:val="007257E3"/>
    <w:pPr>
      <w:widowControl w:val="0"/>
      <w:autoSpaceDE w:val="0"/>
      <w:autoSpaceDN w:val="0"/>
      <w:adjustRightInd w:val="0"/>
      <w:spacing w:line="374" w:lineRule="exact"/>
      <w:ind w:firstLine="365"/>
    </w:pPr>
    <w:rPr>
      <w:rFonts w:eastAsia="Times New Roman" w:cs="Times New Roman"/>
      <w:sz w:val="24"/>
      <w:szCs w:val="24"/>
      <w:lang w:eastAsia="ro-RO"/>
    </w:rPr>
  </w:style>
  <w:style w:type="paragraph" w:customStyle="1" w:styleId="Style45">
    <w:name w:val="Style45"/>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46">
    <w:name w:val="Style46"/>
    <w:basedOn w:val="Normal"/>
    <w:uiPriority w:val="99"/>
    <w:qFormat/>
    <w:rsid w:val="007257E3"/>
    <w:pPr>
      <w:widowControl w:val="0"/>
      <w:autoSpaceDE w:val="0"/>
      <w:autoSpaceDN w:val="0"/>
      <w:adjustRightInd w:val="0"/>
      <w:spacing w:line="360" w:lineRule="exact"/>
      <w:ind w:hanging="422"/>
    </w:pPr>
    <w:rPr>
      <w:rFonts w:eastAsia="Times New Roman" w:cs="Times New Roman"/>
      <w:sz w:val="24"/>
      <w:szCs w:val="24"/>
      <w:lang w:eastAsia="ro-RO"/>
    </w:rPr>
  </w:style>
  <w:style w:type="paragraph" w:customStyle="1" w:styleId="Style47">
    <w:name w:val="Style47"/>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48">
    <w:name w:val="Style48"/>
    <w:basedOn w:val="Normal"/>
    <w:uiPriority w:val="99"/>
    <w:qFormat/>
    <w:rsid w:val="007257E3"/>
    <w:pPr>
      <w:widowControl w:val="0"/>
      <w:autoSpaceDE w:val="0"/>
      <w:autoSpaceDN w:val="0"/>
      <w:adjustRightInd w:val="0"/>
      <w:spacing w:line="245" w:lineRule="exact"/>
      <w:jc w:val="center"/>
    </w:pPr>
    <w:rPr>
      <w:rFonts w:eastAsia="Times New Roman" w:cs="Times New Roman"/>
      <w:sz w:val="24"/>
      <w:szCs w:val="24"/>
      <w:lang w:eastAsia="ro-RO"/>
    </w:rPr>
  </w:style>
  <w:style w:type="paragraph" w:customStyle="1" w:styleId="Style49">
    <w:name w:val="Style49"/>
    <w:basedOn w:val="Normal"/>
    <w:uiPriority w:val="99"/>
    <w:qFormat/>
    <w:rsid w:val="007257E3"/>
    <w:pPr>
      <w:widowControl w:val="0"/>
      <w:autoSpaceDE w:val="0"/>
      <w:autoSpaceDN w:val="0"/>
      <w:adjustRightInd w:val="0"/>
      <w:spacing w:line="173" w:lineRule="exact"/>
    </w:pPr>
    <w:rPr>
      <w:rFonts w:eastAsia="Times New Roman" w:cs="Times New Roman"/>
      <w:sz w:val="24"/>
      <w:szCs w:val="24"/>
      <w:lang w:eastAsia="ro-RO"/>
    </w:rPr>
  </w:style>
  <w:style w:type="paragraph" w:customStyle="1" w:styleId="Style50">
    <w:name w:val="Style50"/>
    <w:basedOn w:val="Normal"/>
    <w:uiPriority w:val="99"/>
    <w:qFormat/>
    <w:rsid w:val="007257E3"/>
    <w:pPr>
      <w:widowControl w:val="0"/>
      <w:autoSpaceDE w:val="0"/>
      <w:autoSpaceDN w:val="0"/>
      <w:adjustRightInd w:val="0"/>
      <w:spacing w:line="245" w:lineRule="exact"/>
    </w:pPr>
    <w:rPr>
      <w:rFonts w:eastAsia="Times New Roman" w:cs="Times New Roman"/>
      <w:sz w:val="24"/>
      <w:szCs w:val="24"/>
      <w:lang w:eastAsia="ro-RO"/>
    </w:rPr>
  </w:style>
  <w:style w:type="paragraph" w:customStyle="1" w:styleId="Style51">
    <w:name w:val="Style51"/>
    <w:basedOn w:val="Normal"/>
    <w:uiPriority w:val="99"/>
    <w:qFormat/>
    <w:rsid w:val="007257E3"/>
    <w:pPr>
      <w:widowControl w:val="0"/>
      <w:autoSpaceDE w:val="0"/>
      <w:autoSpaceDN w:val="0"/>
      <w:adjustRightInd w:val="0"/>
      <w:spacing w:line="322" w:lineRule="exact"/>
      <w:ind w:hanging="331"/>
    </w:pPr>
    <w:rPr>
      <w:rFonts w:eastAsia="Times New Roman" w:cs="Times New Roman"/>
      <w:sz w:val="24"/>
      <w:szCs w:val="24"/>
      <w:lang w:eastAsia="ro-RO"/>
    </w:rPr>
  </w:style>
  <w:style w:type="paragraph" w:customStyle="1" w:styleId="Style52">
    <w:name w:val="Style52"/>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53">
    <w:name w:val="Style53"/>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54">
    <w:name w:val="Style54"/>
    <w:basedOn w:val="Normal"/>
    <w:uiPriority w:val="99"/>
    <w:qFormat/>
    <w:rsid w:val="007257E3"/>
    <w:pPr>
      <w:widowControl w:val="0"/>
      <w:autoSpaceDE w:val="0"/>
      <w:autoSpaceDN w:val="0"/>
      <w:adjustRightInd w:val="0"/>
      <w:spacing w:line="259" w:lineRule="exact"/>
      <w:ind w:firstLine="106"/>
      <w:jc w:val="both"/>
    </w:pPr>
    <w:rPr>
      <w:rFonts w:eastAsia="Times New Roman" w:cs="Times New Roman"/>
      <w:sz w:val="24"/>
      <w:szCs w:val="24"/>
      <w:lang w:eastAsia="ro-RO"/>
    </w:rPr>
  </w:style>
  <w:style w:type="paragraph" w:customStyle="1" w:styleId="Style55">
    <w:name w:val="Style55"/>
    <w:basedOn w:val="Normal"/>
    <w:uiPriority w:val="99"/>
    <w:qFormat/>
    <w:rsid w:val="007257E3"/>
    <w:pPr>
      <w:widowControl w:val="0"/>
      <w:autoSpaceDE w:val="0"/>
      <w:autoSpaceDN w:val="0"/>
      <w:adjustRightInd w:val="0"/>
      <w:spacing w:line="240" w:lineRule="auto"/>
      <w:jc w:val="both"/>
    </w:pPr>
    <w:rPr>
      <w:rFonts w:eastAsia="Times New Roman" w:cs="Times New Roman"/>
      <w:sz w:val="24"/>
      <w:szCs w:val="24"/>
      <w:lang w:eastAsia="ro-RO"/>
    </w:rPr>
  </w:style>
  <w:style w:type="paragraph" w:customStyle="1" w:styleId="Style56">
    <w:name w:val="Style56"/>
    <w:basedOn w:val="Normal"/>
    <w:uiPriority w:val="99"/>
    <w:qFormat/>
    <w:rsid w:val="007257E3"/>
    <w:pPr>
      <w:widowControl w:val="0"/>
      <w:autoSpaceDE w:val="0"/>
      <w:autoSpaceDN w:val="0"/>
      <w:adjustRightInd w:val="0"/>
      <w:spacing w:line="240" w:lineRule="exact"/>
      <w:jc w:val="both"/>
    </w:pPr>
    <w:rPr>
      <w:rFonts w:eastAsia="Times New Roman" w:cs="Times New Roman"/>
      <w:sz w:val="24"/>
      <w:szCs w:val="24"/>
      <w:lang w:eastAsia="ro-RO"/>
    </w:rPr>
  </w:style>
  <w:style w:type="paragraph" w:customStyle="1" w:styleId="Style57">
    <w:name w:val="Style57"/>
    <w:basedOn w:val="Normal"/>
    <w:uiPriority w:val="99"/>
    <w:qFormat/>
    <w:rsid w:val="007257E3"/>
    <w:pPr>
      <w:widowControl w:val="0"/>
      <w:autoSpaceDE w:val="0"/>
      <w:autoSpaceDN w:val="0"/>
      <w:adjustRightInd w:val="0"/>
      <w:spacing w:line="480" w:lineRule="exact"/>
      <w:ind w:firstLine="394"/>
    </w:pPr>
    <w:rPr>
      <w:rFonts w:eastAsia="Times New Roman" w:cs="Times New Roman"/>
      <w:sz w:val="24"/>
      <w:szCs w:val="24"/>
      <w:lang w:eastAsia="ro-RO"/>
    </w:rPr>
  </w:style>
  <w:style w:type="paragraph" w:customStyle="1" w:styleId="Style58">
    <w:name w:val="Style58"/>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59">
    <w:name w:val="Style59"/>
    <w:basedOn w:val="Normal"/>
    <w:uiPriority w:val="99"/>
    <w:qFormat/>
    <w:rsid w:val="007257E3"/>
    <w:pPr>
      <w:widowControl w:val="0"/>
      <w:autoSpaceDE w:val="0"/>
      <w:autoSpaceDN w:val="0"/>
      <w:adjustRightInd w:val="0"/>
      <w:spacing w:line="240" w:lineRule="exact"/>
      <w:ind w:hanging="360"/>
    </w:pPr>
    <w:rPr>
      <w:rFonts w:eastAsia="Times New Roman" w:cs="Times New Roman"/>
      <w:sz w:val="24"/>
      <w:szCs w:val="24"/>
      <w:lang w:eastAsia="ro-RO"/>
    </w:rPr>
  </w:style>
  <w:style w:type="paragraph" w:customStyle="1" w:styleId="Style60">
    <w:name w:val="Style60"/>
    <w:basedOn w:val="Normal"/>
    <w:uiPriority w:val="99"/>
    <w:qFormat/>
    <w:rsid w:val="007257E3"/>
    <w:pPr>
      <w:widowControl w:val="0"/>
      <w:autoSpaceDE w:val="0"/>
      <w:autoSpaceDN w:val="0"/>
      <w:adjustRightInd w:val="0"/>
      <w:spacing w:line="240" w:lineRule="exact"/>
      <w:ind w:firstLine="874"/>
      <w:jc w:val="both"/>
    </w:pPr>
    <w:rPr>
      <w:rFonts w:eastAsia="Times New Roman" w:cs="Times New Roman"/>
      <w:sz w:val="24"/>
      <w:szCs w:val="24"/>
      <w:lang w:eastAsia="ro-RO"/>
    </w:rPr>
  </w:style>
  <w:style w:type="paragraph" w:customStyle="1" w:styleId="Style610">
    <w:name w:val="Style61"/>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62">
    <w:name w:val="Style62"/>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63">
    <w:name w:val="Style63"/>
    <w:basedOn w:val="Normal"/>
    <w:uiPriority w:val="99"/>
    <w:qFormat/>
    <w:rsid w:val="007257E3"/>
    <w:pPr>
      <w:widowControl w:val="0"/>
      <w:autoSpaceDE w:val="0"/>
      <w:autoSpaceDN w:val="0"/>
      <w:adjustRightInd w:val="0"/>
      <w:spacing w:line="240" w:lineRule="exact"/>
      <w:ind w:hanging="845"/>
    </w:pPr>
    <w:rPr>
      <w:rFonts w:eastAsia="Times New Roman" w:cs="Times New Roman"/>
      <w:sz w:val="24"/>
      <w:szCs w:val="24"/>
      <w:lang w:eastAsia="ro-RO"/>
    </w:rPr>
  </w:style>
  <w:style w:type="paragraph" w:customStyle="1" w:styleId="Style64">
    <w:name w:val="Style64"/>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65">
    <w:name w:val="Style65"/>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67">
    <w:name w:val="Style67"/>
    <w:basedOn w:val="Normal"/>
    <w:uiPriority w:val="99"/>
    <w:qFormat/>
    <w:rsid w:val="007257E3"/>
    <w:pPr>
      <w:widowControl w:val="0"/>
      <w:autoSpaceDE w:val="0"/>
      <w:autoSpaceDN w:val="0"/>
      <w:adjustRightInd w:val="0"/>
      <w:spacing w:line="219" w:lineRule="exact"/>
      <w:ind w:firstLine="427"/>
      <w:jc w:val="both"/>
    </w:pPr>
    <w:rPr>
      <w:rFonts w:eastAsia="Times New Roman" w:cs="Times New Roman"/>
      <w:sz w:val="24"/>
      <w:szCs w:val="24"/>
      <w:lang w:eastAsia="ro-RO"/>
    </w:rPr>
  </w:style>
  <w:style w:type="paragraph" w:customStyle="1" w:styleId="Style68">
    <w:name w:val="Style68"/>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69">
    <w:name w:val="Style69"/>
    <w:basedOn w:val="Normal"/>
    <w:uiPriority w:val="99"/>
    <w:qFormat/>
    <w:rsid w:val="007257E3"/>
    <w:pPr>
      <w:widowControl w:val="0"/>
      <w:autoSpaceDE w:val="0"/>
      <w:autoSpaceDN w:val="0"/>
      <w:adjustRightInd w:val="0"/>
      <w:spacing w:line="240" w:lineRule="exact"/>
    </w:pPr>
    <w:rPr>
      <w:rFonts w:eastAsia="Times New Roman" w:cs="Times New Roman"/>
      <w:sz w:val="24"/>
      <w:szCs w:val="24"/>
      <w:lang w:eastAsia="ro-RO"/>
    </w:rPr>
  </w:style>
  <w:style w:type="paragraph" w:customStyle="1" w:styleId="Style700">
    <w:name w:val="Style70"/>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71">
    <w:name w:val="Style71"/>
    <w:basedOn w:val="Normal"/>
    <w:uiPriority w:val="99"/>
    <w:qFormat/>
    <w:rsid w:val="007257E3"/>
    <w:pPr>
      <w:widowControl w:val="0"/>
      <w:autoSpaceDE w:val="0"/>
      <w:autoSpaceDN w:val="0"/>
      <w:adjustRightInd w:val="0"/>
      <w:spacing w:line="216" w:lineRule="exact"/>
      <w:ind w:hanging="341"/>
    </w:pPr>
    <w:rPr>
      <w:rFonts w:eastAsia="Times New Roman" w:cs="Times New Roman"/>
      <w:sz w:val="24"/>
      <w:szCs w:val="24"/>
      <w:lang w:eastAsia="ro-RO"/>
    </w:rPr>
  </w:style>
  <w:style w:type="paragraph" w:customStyle="1" w:styleId="Style72">
    <w:name w:val="Style72"/>
    <w:basedOn w:val="Normal"/>
    <w:uiPriority w:val="99"/>
    <w:qFormat/>
    <w:rsid w:val="007257E3"/>
    <w:pPr>
      <w:widowControl w:val="0"/>
      <w:autoSpaceDE w:val="0"/>
      <w:autoSpaceDN w:val="0"/>
      <w:adjustRightInd w:val="0"/>
      <w:spacing w:line="240" w:lineRule="auto"/>
      <w:jc w:val="center"/>
    </w:pPr>
    <w:rPr>
      <w:rFonts w:eastAsia="Times New Roman" w:cs="Times New Roman"/>
      <w:sz w:val="24"/>
      <w:szCs w:val="24"/>
      <w:lang w:eastAsia="ro-RO"/>
    </w:rPr>
  </w:style>
  <w:style w:type="paragraph" w:customStyle="1" w:styleId="Style73">
    <w:name w:val="Style73"/>
    <w:basedOn w:val="Normal"/>
    <w:uiPriority w:val="99"/>
    <w:qFormat/>
    <w:rsid w:val="007257E3"/>
    <w:pPr>
      <w:widowControl w:val="0"/>
      <w:autoSpaceDE w:val="0"/>
      <w:autoSpaceDN w:val="0"/>
      <w:adjustRightInd w:val="0"/>
      <w:spacing w:line="269" w:lineRule="exact"/>
      <w:ind w:hanging="86"/>
      <w:jc w:val="both"/>
    </w:pPr>
    <w:rPr>
      <w:rFonts w:eastAsia="Times New Roman" w:cs="Times New Roman"/>
      <w:sz w:val="24"/>
      <w:szCs w:val="24"/>
      <w:lang w:eastAsia="ro-RO"/>
    </w:rPr>
  </w:style>
  <w:style w:type="paragraph" w:customStyle="1" w:styleId="Style74">
    <w:name w:val="Style74"/>
    <w:basedOn w:val="Normal"/>
    <w:uiPriority w:val="99"/>
    <w:qFormat/>
    <w:rsid w:val="007257E3"/>
    <w:pPr>
      <w:widowControl w:val="0"/>
      <w:autoSpaceDE w:val="0"/>
      <w:autoSpaceDN w:val="0"/>
      <w:adjustRightInd w:val="0"/>
      <w:spacing w:line="221" w:lineRule="exact"/>
      <w:ind w:hanging="360"/>
      <w:jc w:val="both"/>
    </w:pPr>
    <w:rPr>
      <w:rFonts w:eastAsia="Times New Roman" w:cs="Times New Roman"/>
      <w:sz w:val="24"/>
      <w:szCs w:val="24"/>
      <w:lang w:eastAsia="ro-RO"/>
    </w:rPr>
  </w:style>
  <w:style w:type="paragraph" w:customStyle="1" w:styleId="Style75">
    <w:name w:val="Style75"/>
    <w:basedOn w:val="Normal"/>
    <w:uiPriority w:val="99"/>
    <w:qFormat/>
    <w:rsid w:val="007257E3"/>
    <w:pPr>
      <w:widowControl w:val="0"/>
      <w:autoSpaceDE w:val="0"/>
      <w:autoSpaceDN w:val="0"/>
      <w:adjustRightInd w:val="0"/>
      <w:spacing w:line="240" w:lineRule="exact"/>
      <w:ind w:hanging="365"/>
      <w:jc w:val="both"/>
    </w:pPr>
    <w:rPr>
      <w:rFonts w:eastAsia="Times New Roman" w:cs="Times New Roman"/>
      <w:sz w:val="24"/>
      <w:szCs w:val="24"/>
      <w:lang w:eastAsia="ro-RO"/>
    </w:rPr>
  </w:style>
  <w:style w:type="paragraph" w:customStyle="1" w:styleId="Style76">
    <w:name w:val="Style76"/>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77">
    <w:name w:val="Style77"/>
    <w:basedOn w:val="Normal"/>
    <w:uiPriority w:val="99"/>
    <w:qFormat/>
    <w:rsid w:val="007257E3"/>
    <w:pPr>
      <w:widowControl w:val="0"/>
      <w:autoSpaceDE w:val="0"/>
      <w:autoSpaceDN w:val="0"/>
      <w:adjustRightInd w:val="0"/>
      <w:spacing w:line="218" w:lineRule="exact"/>
      <w:ind w:hanging="350"/>
    </w:pPr>
    <w:rPr>
      <w:rFonts w:eastAsia="Times New Roman" w:cs="Times New Roman"/>
      <w:sz w:val="24"/>
      <w:szCs w:val="24"/>
      <w:lang w:eastAsia="ro-RO"/>
    </w:rPr>
  </w:style>
  <w:style w:type="paragraph" w:customStyle="1" w:styleId="Style78">
    <w:name w:val="Style78"/>
    <w:basedOn w:val="Normal"/>
    <w:uiPriority w:val="99"/>
    <w:qFormat/>
    <w:rsid w:val="007257E3"/>
    <w:pPr>
      <w:widowControl w:val="0"/>
      <w:autoSpaceDE w:val="0"/>
      <w:autoSpaceDN w:val="0"/>
      <w:adjustRightInd w:val="0"/>
      <w:spacing w:line="240" w:lineRule="exact"/>
      <w:ind w:hanging="427"/>
    </w:pPr>
    <w:rPr>
      <w:rFonts w:eastAsia="Times New Roman" w:cs="Times New Roman"/>
      <w:sz w:val="24"/>
      <w:szCs w:val="24"/>
      <w:lang w:eastAsia="ro-RO"/>
    </w:rPr>
  </w:style>
  <w:style w:type="paragraph" w:customStyle="1" w:styleId="Style79">
    <w:name w:val="Style79"/>
    <w:basedOn w:val="Normal"/>
    <w:uiPriority w:val="99"/>
    <w:qFormat/>
    <w:rsid w:val="007257E3"/>
    <w:pPr>
      <w:widowControl w:val="0"/>
      <w:autoSpaceDE w:val="0"/>
      <w:autoSpaceDN w:val="0"/>
      <w:adjustRightInd w:val="0"/>
      <w:spacing w:line="240" w:lineRule="exact"/>
      <w:jc w:val="both"/>
    </w:pPr>
    <w:rPr>
      <w:rFonts w:eastAsia="Times New Roman" w:cs="Times New Roman"/>
      <w:sz w:val="24"/>
      <w:szCs w:val="24"/>
      <w:lang w:eastAsia="ro-RO"/>
    </w:rPr>
  </w:style>
  <w:style w:type="paragraph" w:customStyle="1" w:styleId="Style80">
    <w:name w:val="Style80"/>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81">
    <w:name w:val="Style81"/>
    <w:basedOn w:val="Normal"/>
    <w:uiPriority w:val="99"/>
    <w:qFormat/>
    <w:rsid w:val="007257E3"/>
    <w:pPr>
      <w:widowControl w:val="0"/>
      <w:autoSpaceDE w:val="0"/>
      <w:autoSpaceDN w:val="0"/>
      <w:adjustRightInd w:val="0"/>
      <w:spacing w:line="242" w:lineRule="exact"/>
      <w:ind w:hanging="355"/>
    </w:pPr>
    <w:rPr>
      <w:rFonts w:eastAsia="Times New Roman" w:cs="Times New Roman"/>
      <w:sz w:val="24"/>
      <w:szCs w:val="24"/>
      <w:lang w:eastAsia="ro-RO"/>
    </w:rPr>
  </w:style>
  <w:style w:type="paragraph" w:customStyle="1" w:styleId="Style82">
    <w:name w:val="Style82"/>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83">
    <w:name w:val="Style83"/>
    <w:basedOn w:val="Normal"/>
    <w:uiPriority w:val="99"/>
    <w:qFormat/>
    <w:rsid w:val="007257E3"/>
    <w:pPr>
      <w:widowControl w:val="0"/>
      <w:autoSpaceDE w:val="0"/>
      <w:autoSpaceDN w:val="0"/>
      <w:adjustRightInd w:val="0"/>
      <w:spacing w:line="240" w:lineRule="exact"/>
    </w:pPr>
    <w:rPr>
      <w:rFonts w:eastAsia="Times New Roman" w:cs="Times New Roman"/>
      <w:sz w:val="24"/>
      <w:szCs w:val="24"/>
      <w:lang w:eastAsia="ro-RO"/>
    </w:rPr>
  </w:style>
  <w:style w:type="paragraph" w:customStyle="1" w:styleId="Style84">
    <w:name w:val="Style84"/>
    <w:basedOn w:val="Normal"/>
    <w:uiPriority w:val="99"/>
    <w:qFormat/>
    <w:rsid w:val="007257E3"/>
    <w:pPr>
      <w:widowControl w:val="0"/>
      <w:autoSpaceDE w:val="0"/>
      <w:autoSpaceDN w:val="0"/>
      <w:adjustRightInd w:val="0"/>
      <w:spacing w:line="275" w:lineRule="exact"/>
      <w:ind w:hanging="365"/>
      <w:jc w:val="both"/>
    </w:pPr>
    <w:rPr>
      <w:rFonts w:eastAsia="Times New Roman" w:cs="Times New Roman"/>
      <w:sz w:val="24"/>
      <w:szCs w:val="24"/>
      <w:lang w:eastAsia="ro-RO"/>
    </w:rPr>
  </w:style>
  <w:style w:type="paragraph" w:customStyle="1" w:styleId="Style85">
    <w:name w:val="Style85"/>
    <w:basedOn w:val="Normal"/>
    <w:uiPriority w:val="99"/>
    <w:qFormat/>
    <w:rsid w:val="007257E3"/>
    <w:pPr>
      <w:widowControl w:val="0"/>
      <w:autoSpaceDE w:val="0"/>
      <w:autoSpaceDN w:val="0"/>
      <w:adjustRightInd w:val="0"/>
      <w:spacing w:line="194" w:lineRule="exact"/>
    </w:pPr>
    <w:rPr>
      <w:rFonts w:eastAsia="Times New Roman" w:cs="Times New Roman"/>
      <w:sz w:val="24"/>
      <w:szCs w:val="24"/>
      <w:lang w:eastAsia="ro-RO"/>
    </w:rPr>
  </w:style>
  <w:style w:type="paragraph" w:customStyle="1" w:styleId="Style86">
    <w:name w:val="Style86"/>
    <w:basedOn w:val="Normal"/>
    <w:uiPriority w:val="99"/>
    <w:qFormat/>
    <w:rsid w:val="007257E3"/>
    <w:pPr>
      <w:widowControl w:val="0"/>
      <w:autoSpaceDE w:val="0"/>
      <w:autoSpaceDN w:val="0"/>
      <w:adjustRightInd w:val="0"/>
      <w:spacing w:line="326" w:lineRule="exact"/>
      <w:ind w:hanging="427"/>
    </w:pPr>
    <w:rPr>
      <w:rFonts w:eastAsia="Times New Roman" w:cs="Times New Roman"/>
      <w:sz w:val="24"/>
      <w:szCs w:val="24"/>
      <w:lang w:eastAsia="ro-RO"/>
    </w:rPr>
  </w:style>
  <w:style w:type="paragraph" w:customStyle="1" w:styleId="Style87">
    <w:name w:val="Style87"/>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88">
    <w:name w:val="Style88"/>
    <w:basedOn w:val="Normal"/>
    <w:uiPriority w:val="99"/>
    <w:qFormat/>
    <w:rsid w:val="007257E3"/>
    <w:pPr>
      <w:widowControl w:val="0"/>
      <w:autoSpaceDE w:val="0"/>
      <w:autoSpaceDN w:val="0"/>
      <w:adjustRightInd w:val="0"/>
      <w:spacing w:line="278" w:lineRule="exact"/>
      <w:ind w:firstLine="346"/>
    </w:pPr>
    <w:rPr>
      <w:rFonts w:eastAsia="Times New Roman" w:cs="Times New Roman"/>
      <w:sz w:val="24"/>
      <w:szCs w:val="24"/>
      <w:lang w:eastAsia="ro-RO"/>
    </w:rPr>
  </w:style>
  <w:style w:type="paragraph" w:customStyle="1" w:styleId="Style89">
    <w:name w:val="Style89"/>
    <w:basedOn w:val="Normal"/>
    <w:uiPriority w:val="99"/>
    <w:qFormat/>
    <w:rsid w:val="007257E3"/>
    <w:pPr>
      <w:widowControl w:val="0"/>
      <w:autoSpaceDE w:val="0"/>
      <w:autoSpaceDN w:val="0"/>
      <w:adjustRightInd w:val="0"/>
      <w:spacing w:line="240" w:lineRule="exact"/>
      <w:jc w:val="both"/>
    </w:pPr>
    <w:rPr>
      <w:rFonts w:eastAsia="Times New Roman" w:cs="Times New Roman"/>
      <w:sz w:val="24"/>
      <w:szCs w:val="24"/>
      <w:lang w:eastAsia="ro-RO"/>
    </w:rPr>
  </w:style>
  <w:style w:type="paragraph" w:customStyle="1" w:styleId="Style90">
    <w:name w:val="Style90"/>
    <w:basedOn w:val="Normal"/>
    <w:uiPriority w:val="99"/>
    <w:qFormat/>
    <w:rsid w:val="007257E3"/>
    <w:pPr>
      <w:widowControl w:val="0"/>
      <w:autoSpaceDE w:val="0"/>
      <w:autoSpaceDN w:val="0"/>
      <w:adjustRightInd w:val="0"/>
      <w:spacing w:line="264" w:lineRule="exact"/>
      <w:jc w:val="both"/>
    </w:pPr>
    <w:rPr>
      <w:rFonts w:eastAsia="Times New Roman" w:cs="Times New Roman"/>
      <w:sz w:val="24"/>
      <w:szCs w:val="24"/>
      <w:lang w:eastAsia="ro-RO"/>
    </w:rPr>
  </w:style>
  <w:style w:type="paragraph" w:customStyle="1" w:styleId="Style91">
    <w:name w:val="Style91"/>
    <w:basedOn w:val="Normal"/>
    <w:uiPriority w:val="99"/>
    <w:qFormat/>
    <w:rsid w:val="007257E3"/>
    <w:pPr>
      <w:widowControl w:val="0"/>
      <w:autoSpaceDE w:val="0"/>
      <w:autoSpaceDN w:val="0"/>
      <w:adjustRightInd w:val="0"/>
      <w:spacing w:line="264" w:lineRule="exact"/>
      <w:ind w:hanging="374"/>
    </w:pPr>
    <w:rPr>
      <w:rFonts w:eastAsia="Times New Roman" w:cs="Times New Roman"/>
      <w:sz w:val="24"/>
      <w:szCs w:val="24"/>
      <w:lang w:eastAsia="ro-RO"/>
    </w:rPr>
  </w:style>
  <w:style w:type="paragraph" w:customStyle="1" w:styleId="Style92">
    <w:name w:val="Style92"/>
    <w:basedOn w:val="Normal"/>
    <w:uiPriority w:val="99"/>
    <w:qFormat/>
    <w:rsid w:val="007257E3"/>
    <w:pPr>
      <w:widowControl w:val="0"/>
      <w:autoSpaceDE w:val="0"/>
      <w:autoSpaceDN w:val="0"/>
      <w:adjustRightInd w:val="0"/>
      <w:spacing w:line="228" w:lineRule="exact"/>
    </w:pPr>
    <w:rPr>
      <w:rFonts w:eastAsia="Times New Roman" w:cs="Times New Roman"/>
      <w:sz w:val="24"/>
      <w:szCs w:val="24"/>
      <w:lang w:eastAsia="ro-RO"/>
    </w:rPr>
  </w:style>
  <w:style w:type="paragraph" w:customStyle="1" w:styleId="Style93">
    <w:name w:val="Style93"/>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94">
    <w:name w:val="Style94"/>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95">
    <w:name w:val="Style95"/>
    <w:basedOn w:val="Normal"/>
    <w:uiPriority w:val="99"/>
    <w:qFormat/>
    <w:rsid w:val="007257E3"/>
    <w:pPr>
      <w:widowControl w:val="0"/>
      <w:autoSpaceDE w:val="0"/>
      <w:autoSpaceDN w:val="0"/>
      <w:adjustRightInd w:val="0"/>
      <w:spacing w:line="240" w:lineRule="exact"/>
      <w:ind w:firstLine="730"/>
    </w:pPr>
    <w:rPr>
      <w:rFonts w:eastAsia="Times New Roman" w:cs="Times New Roman"/>
      <w:sz w:val="24"/>
      <w:szCs w:val="24"/>
      <w:lang w:eastAsia="ro-RO"/>
    </w:rPr>
  </w:style>
  <w:style w:type="paragraph" w:customStyle="1" w:styleId="Style96">
    <w:name w:val="Style96"/>
    <w:basedOn w:val="Normal"/>
    <w:uiPriority w:val="99"/>
    <w:qFormat/>
    <w:rsid w:val="007257E3"/>
    <w:pPr>
      <w:widowControl w:val="0"/>
      <w:autoSpaceDE w:val="0"/>
      <w:autoSpaceDN w:val="0"/>
      <w:adjustRightInd w:val="0"/>
      <w:spacing w:line="250" w:lineRule="exact"/>
      <w:ind w:hanging="418"/>
      <w:jc w:val="both"/>
    </w:pPr>
    <w:rPr>
      <w:rFonts w:eastAsia="Times New Roman" w:cs="Times New Roman"/>
      <w:sz w:val="24"/>
      <w:szCs w:val="24"/>
      <w:lang w:eastAsia="ro-RO"/>
    </w:rPr>
  </w:style>
  <w:style w:type="paragraph" w:customStyle="1" w:styleId="Style97">
    <w:name w:val="Style97"/>
    <w:basedOn w:val="Normal"/>
    <w:uiPriority w:val="99"/>
    <w:qFormat/>
    <w:rsid w:val="007257E3"/>
    <w:pPr>
      <w:widowControl w:val="0"/>
      <w:autoSpaceDE w:val="0"/>
      <w:autoSpaceDN w:val="0"/>
      <w:adjustRightInd w:val="0"/>
      <w:spacing w:line="240" w:lineRule="auto"/>
      <w:jc w:val="both"/>
    </w:pPr>
    <w:rPr>
      <w:rFonts w:eastAsia="Times New Roman" w:cs="Times New Roman"/>
      <w:sz w:val="24"/>
      <w:szCs w:val="24"/>
      <w:lang w:eastAsia="ro-RO"/>
    </w:rPr>
  </w:style>
  <w:style w:type="paragraph" w:customStyle="1" w:styleId="Style98">
    <w:name w:val="Style98"/>
    <w:basedOn w:val="Normal"/>
    <w:uiPriority w:val="99"/>
    <w:qFormat/>
    <w:rsid w:val="007257E3"/>
    <w:pPr>
      <w:widowControl w:val="0"/>
      <w:autoSpaceDE w:val="0"/>
      <w:autoSpaceDN w:val="0"/>
      <w:adjustRightInd w:val="0"/>
      <w:spacing w:line="360" w:lineRule="exact"/>
      <w:ind w:hanging="840"/>
    </w:pPr>
    <w:rPr>
      <w:rFonts w:eastAsia="Times New Roman" w:cs="Times New Roman"/>
      <w:sz w:val="24"/>
      <w:szCs w:val="24"/>
      <w:lang w:eastAsia="ro-RO"/>
    </w:rPr>
  </w:style>
  <w:style w:type="paragraph" w:customStyle="1" w:styleId="Style99">
    <w:name w:val="Style99"/>
    <w:basedOn w:val="Normal"/>
    <w:uiPriority w:val="99"/>
    <w:qFormat/>
    <w:rsid w:val="007257E3"/>
    <w:pPr>
      <w:widowControl w:val="0"/>
      <w:autoSpaceDE w:val="0"/>
      <w:autoSpaceDN w:val="0"/>
      <w:adjustRightInd w:val="0"/>
      <w:spacing w:line="249" w:lineRule="exact"/>
      <w:jc w:val="center"/>
    </w:pPr>
    <w:rPr>
      <w:rFonts w:eastAsia="Times New Roman" w:cs="Times New Roman"/>
      <w:sz w:val="24"/>
      <w:szCs w:val="24"/>
      <w:lang w:eastAsia="ro-RO"/>
    </w:rPr>
  </w:style>
  <w:style w:type="paragraph" w:customStyle="1" w:styleId="Style100">
    <w:name w:val="Style100"/>
    <w:basedOn w:val="Normal"/>
    <w:uiPriority w:val="99"/>
    <w:qFormat/>
    <w:rsid w:val="007257E3"/>
    <w:pPr>
      <w:widowControl w:val="0"/>
      <w:autoSpaceDE w:val="0"/>
      <w:autoSpaceDN w:val="0"/>
      <w:adjustRightInd w:val="0"/>
      <w:spacing w:line="221" w:lineRule="exact"/>
      <w:jc w:val="both"/>
    </w:pPr>
    <w:rPr>
      <w:rFonts w:eastAsia="Times New Roman" w:cs="Times New Roman"/>
      <w:sz w:val="24"/>
      <w:szCs w:val="24"/>
      <w:lang w:eastAsia="ro-RO"/>
    </w:rPr>
  </w:style>
  <w:style w:type="paragraph" w:customStyle="1" w:styleId="Style101">
    <w:name w:val="Style101"/>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02">
    <w:name w:val="Style102"/>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03">
    <w:name w:val="Style103"/>
    <w:basedOn w:val="Normal"/>
    <w:uiPriority w:val="99"/>
    <w:qFormat/>
    <w:rsid w:val="007257E3"/>
    <w:pPr>
      <w:widowControl w:val="0"/>
      <w:autoSpaceDE w:val="0"/>
      <w:autoSpaceDN w:val="0"/>
      <w:adjustRightInd w:val="0"/>
      <w:spacing w:line="240" w:lineRule="exact"/>
      <w:ind w:firstLine="67"/>
      <w:jc w:val="both"/>
    </w:pPr>
    <w:rPr>
      <w:rFonts w:eastAsia="Times New Roman" w:cs="Times New Roman"/>
      <w:sz w:val="24"/>
      <w:szCs w:val="24"/>
      <w:lang w:eastAsia="ro-RO"/>
    </w:rPr>
  </w:style>
  <w:style w:type="paragraph" w:customStyle="1" w:styleId="Style104">
    <w:name w:val="Style104"/>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05">
    <w:name w:val="Style105"/>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06">
    <w:name w:val="Style106"/>
    <w:basedOn w:val="Normal"/>
    <w:uiPriority w:val="99"/>
    <w:qFormat/>
    <w:rsid w:val="007257E3"/>
    <w:pPr>
      <w:widowControl w:val="0"/>
      <w:autoSpaceDE w:val="0"/>
      <w:autoSpaceDN w:val="0"/>
      <w:adjustRightInd w:val="0"/>
      <w:spacing w:line="269" w:lineRule="exact"/>
    </w:pPr>
    <w:rPr>
      <w:rFonts w:eastAsia="Times New Roman" w:cs="Times New Roman"/>
      <w:sz w:val="24"/>
      <w:szCs w:val="24"/>
      <w:lang w:eastAsia="ro-RO"/>
    </w:rPr>
  </w:style>
  <w:style w:type="paragraph" w:customStyle="1" w:styleId="Style107">
    <w:name w:val="Style107"/>
    <w:basedOn w:val="Normal"/>
    <w:uiPriority w:val="99"/>
    <w:qFormat/>
    <w:rsid w:val="007257E3"/>
    <w:pPr>
      <w:widowControl w:val="0"/>
      <w:autoSpaceDE w:val="0"/>
      <w:autoSpaceDN w:val="0"/>
      <w:adjustRightInd w:val="0"/>
      <w:spacing w:line="218" w:lineRule="exact"/>
      <w:ind w:hanging="432"/>
      <w:jc w:val="both"/>
    </w:pPr>
    <w:rPr>
      <w:rFonts w:eastAsia="Times New Roman" w:cs="Times New Roman"/>
      <w:sz w:val="24"/>
      <w:szCs w:val="24"/>
      <w:lang w:eastAsia="ro-RO"/>
    </w:rPr>
  </w:style>
  <w:style w:type="paragraph" w:customStyle="1" w:styleId="Style108">
    <w:name w:val="Style108"/>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09">
    <w:name w:val="Style109"/>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10">
    <w:name w:val="Style110"/>
    <w:basedOn w:val="Normal"/>
    <w:uiPriority w:val="99"/>
    <w:qFormat/>
    <w:rsid w:val="007257E3"/>
    <w:pPr>
      <w:widowControl w:val="0"/>
      <w:autoSpaceDE w:val="0"/>
      <w:autoSpaceDN w:val="0"/>
      <w:adjustRightInd w:val="0"/>
      <w:spacing w:line="360" w:lineRule="exact"/>
      <w:ind w:firstLine="350"/>
    </w:pPr>
    <w:rPr>
      <w:rFonts w:eastAsia="Times New Roman" w:cs="Times New Roman"/>
      <w:sz w:val="24"/>
      <w:szCs w:val="24"/>
      <w:lang w:eastAsia="ro-RO"/>
    </w:rPr>
  </w:style>
  <w:style w:type="paragraph" w:customStyle="1" w:styleId="Style111">
    <w:name w:val="Style111"/>
    <w:basedOn w:val="Normal"/>
    <w:uiPriority w:val="99"/>
    <w:rsid w:val="007257E3"/>
    <w:pPr>
      <w:widowControl w:val="0"/>
      <w:autoSpaceDE w:val="0"/>
      <w:autoSpaceDN w:val="0"/>
      <w:adjustRightInd w:val="0"/>
      <w:spacing w:line="336" w:lineRule="exact"/>
      <w:jc w:val="both"/>
    </w:pPr>
    <w:rPr>
      <w:rFonts w:eastAsia="Times New Roman" w:cs="Times New Roman"/>
      <w:sz w:val="24"/>
      <w:szCs w:val="24"/>
      <w:lang w:eastAsia="ro-RO"/>
    </w:rPr>
  </w:style>
  <w:style w:type="paragraph" w:customStyle="1" w:styleId="Style112">
    <w:name w:val="Style112"/>
    <w:basedOn w:val="Normal"/>
    <w:uiPriority w:val="99"/>
    <w:qFormat/>
    <w:rsid w:val="007257E3"/>
    <w:pPr>
      <w:widowControl w:val="0"/>
      <w:autoSpaceDE w:val="0"/>
      <w:autoSpaceDN w:val="0"/>
      <w:adjustRightInd w:val="0"/>
      <w:spacing w:line="240" w:lineRule="exact"/>
      <w:ind w:firstLine="494"/>
      <w:jc w:val="both"/>
    </w:pPr>
    <w:rPr>
      <w:rFonts w:eastAsia="Times New Roman" w:cs="Times New Roman"/>
      <w:sz w:val="24"/>
      <w:szCs w:val="24"/>
      <w:lang w:eastAsia="ro-RO"/>
    </w:rPr>
  </w:style>
  <w:style w:type="paragraph" w:customStyle="1" w:styleId="Style113">
    <w:name w:val="Style113"/>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14">
    <w:name w:val="Style114"/>
    <w:basedOn w:val="Normal"/>
    <w:uiPriority w:val="99"/>
    <w:qFormat/>
    <w:rsid w:val="007257E3"/>
    <w:pPr>
      <w:widowControl w:val="0"/>
      <w:autoSpaceDE w:val="0"/>
      <w:autoSpaceDN w:val="0"/>
      <w:adjustRightInd w:val="0"/>
      <w:spacing w:line="240" w:lineRule="exact"/>
      <w:ind w:hanging="350"/>
      <w:jc w:val="both"/>
    </w:pPr>
    <w:rPr>
      <w:rFonts w:eastAsia="Times New Roman" w:cs="Times New Roman"/>
      <w:sz w:val="24"/>
      <w:szCs w:val="24"/>
      <w:lang w:eastAsia="ro-RO"/>
    </w:rPr>
  </w:style>
  <w:style w:type="paragraph" w:customStyle="1" w:styleId="Style115">
    <w:name w:val="Style115"/>
    <w:basedOn w:val="Normal"/>
    <w:uiPriority w:val="99"/>
    <w:qFormat/>
    <w:rsid w:val="007257E3"/>
    <w:pPr>
      <w:widowControl w:val="0"/>
      <w:autoSpaceDE w:val="0"/>
      <w:autoSpaceDN w:val="0"/>
      <w:adjustRightInd w:val="0"/>
      <w:spacing w:line="326" w:lineRule="exact"/>
      <w:ind w:hanging="355"/>
      <w:jc w:val="both"/>
    </w:pPr>
    <w:rPr>
      <w:rFonts w:eastAsia="Times New Roman" w:cs="Times New Roman"/>
      <w:sz w:val="24"/>
      <w:szCs w:val="24"/>
      <w:lang w:eastAsia="ro-RO"/>
    </w:rPr>
  </w:style>
  <w:style w:type="paragraph" w:customStyle="1" w:styleId="Style116">
    <w:name w:val="Style116"/>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17">
    <w:name w:val="Style117"/>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18">
    <w:name w:val="Style118"/>
    <w:basedOn w:val="Normal"/>
    <w:uiPriority w:val="99"/>
    <w:qFormat/>
    <w:rsid w:val="007257E3"/>
    <w:pPr>
      <w:widowControl w:val="0"/>
      <w:autoSpaceDE w:val="0"/>
      <w:autoSpaceDN w:val="0"/>
      <w:adjustRightInd w:val="0"/>
      <w:spacing w:line="264" w:lineRule="exact"/>
      <w:jc w:val="both"/>
    </w:pPr>
    <w:rPr>
      <w:rFonts w:eastAsia="Times New Roman" w:cs="Times New Roman"/>
      <w:sz w:val="24"/>
      <w:szCs w:val="24"/>
      <w:lang w:eastAsia="ro-RO"/>
    </w:rPr>
  </w:style>
  <w:style w:type="paragraph" w:customStyle="1" w:styleId="Style119">
    <w:name w:val="Style119"/>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20">
    <w:name w:val="Style120"/>
    <w:basedOn w:val="Normal"/>
    <w:uiPriority w:val="99"/>
    <w:qFormat/>
    <w:rsid w:val="007257E3"/>
    <w:pPr>
      <w:widowControl w:val="0"/>
      <w:autoSpaceDE w:val="0"/>
      <w:autoSpaceDN w:val="0"/>
      <w:adjustRightInd w:val="0"/>
      <w:spacing w:line="240" w:lineRule="exact"/>
      <w:ind w:firstLine="384"/>
    </w:pPr>
    <w:rPr>
      <w:rFonts w:eastAsia="Times New Roman" w:cs="Times New Roman"/>
      <w:sz w:val="24"/>
      <w:szCs w:val="24"/>
      <w:lang w:eastAsia="ro-RO"/>
    </w:rPr>
  </w:style>
  <w:style w:type="paragraph" w:customStyle="1" w:styleId="Style121">
    <w:name w:val="Style121"/>
    <w:basedOn w:val="Normal"/>
    <w:uiPriority w:val="99"/>
    <w:qFormat/>
    <w:rsid w:val="007257E3"/>
    <w:pPr>
      <w:widowControl w:val="0"/>
      <w:autoSpaceDE w:val="0"/>
      <w:autoSpaceDN w:val="0"/>
      <w:adjustRightInd w:val="0"/>
      <w:spacing w:line="316" w:lineRule="exact"/>
      <w:jc w:val="center"/>
    </w:pPr>
    <w:rPr>
      <w:rFonts w:eastAsia="Times New Roman" w:cs="Times New Roman"/>
      <w:sz w:val="24"/>
      <w:szCs w:val="24"/>
      <w:lang w:eastAsia="ro-RO"/>
    </w:rPr>
  </w:style>
  <w:style w:type="paragraph" w:customStyle="1" w:styleId="Style122">
    <w:name w:val="Style122"/>
    <w:basedOn w:val="Normal"/>
    <w:uiPriority w:val="99"/>
    <w:qFormat/>
    <w:rsid w:val="007257E3"/>
    <w:pPr>
      <w:widowControl w:val="0"/>
      <w:autoSpaceDE w:val="0"/>
      <w:autoSpaceDN w:val="0"/>
      <w:adjustRightInd w:val="0"/>
      <w:spacing w:line="240" w:lineRule="auto"/>
      <w:jc w:val="both"/>
    </w:pPr>
    <w:rPr>
      <w:rFonts w:eastAsia="Times New Roman" w:cs="Times New Roman"/>
      <w:sz w:val="24"/>
      <w:szCs w:val="24"/>
      <w:lang w:eastAsia="ro-RO"/>
    </w:rPr>
  </w:style>
  <w:style w:type="paragraph" w:customStyle="1" w:styleId="Style123">
    <w:name w:val="Style123"/>
    <w:basedOn w:val="Normal"/>
    <w:uiPriority w:val="99"/>
    <w:qFormat/>
    <w:rsid w:val="007257E3"/>
    <w:pPr>
      <w:widowControl w:val="0"/>
      <w:autoSpaceDE w:val="0"/>
      <w:autoSpaceDN w:val="0"/>
      <w:adjustRightInd w:val="0"/>
      <w:spacing w:line="326" w:lineRule="exact"/>
      <w:ind w:firstLine="1502"/>
    </w:pPr>
    <w:rPr>
      <w:rFonts w:eastAsia="Times New Roman" w:cs="Times New Roman"/>
      <w:sz w:val="24"/>
      <w:szCs w:val="24"/>
      <w:lang w:eastAsia="ro-RO"/>
    </w:rPr>
  </w:style>
  <w:style w:type="paragraph" w:customStyle="1" w:styleId="Style124">
    <w:name w:val="Style124"/>
    <w:basedOn w:val="Normal"/>
    <w:uiPriority w:val="99"/>
    <w:qFormat/>
    <w:rsid w:val="007257E3"/>
    <w:pPr>
      <w:widowControl w:val="0"/>
      <w:autoSpaceDE w:val="0"/>
      <w:autoSpaceDN w:val="0"/>
      <w:adjustRightInd w:val="0"/>
      <w:spacing w:line="346" w:lineRule="exact"/>
      <w:ind w:firstLine="350"/>
    </w:pPr>
    <w:rPr>
      <w:rFonts w:eastAsia="Times New Roman" w:cs="Times New Roman"/>
      <w:sz w:val="24"/>
      <w:szCs w:val="24"/>
      <w:lang w:eastAsia="ro-RO"/>
    </w:rPr>
  </w:style>
  <w:style w:type="paragraph" w:customStyle="1" w:styleId="Style125">
    <w:name w:val="Style125"/>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26">
    <w:name w:val="Style126"/>
    <w:basedOn w:val="Normal"/>
    <w:uiPriority w:val="99"/>
    <w:qFormat/>
    <w:rsid w:val="007257E3"/>
    <w:pPr>
      <w:widowControl w:val="0"/>
      <w:autoSpaceDE w:val="0"/>
      <w:autoSpaceDN w:val="0"/>
      <w:adjustRightInd w:val="0"/>
      <w:spacing w:line="252" w:lineRule="exact"/>
      <w:ind w:hanging="355"/>
    </w:pPr>
    <w:rPr>
      <w:rFonts w:eastAsia="Times New Roman" w:cs="Times New Roman"/>
      <w:sz w:val="24"/>
      <w:szCs w:val="24"/>
      <w:lang w:eastAsia="ro-RO"/>
    </w:rPr>
  </w:style>
  <w:style w:type="paragraph" w:customStyle="1" w:styleId="Style127">
    <w:name w:val="Style127"/>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28">
    <w:name w:val="Style128"/>
    <w:basedOn w:val="Normal"/>
    <w:uiPriority w:val="99"/>
    <w:qFormat/>
    <w:rsid w:val="007257E3"/>
    <w:pPr>
      <w:widowControl w:val="0"/>
      <w:autoSpaceDE w:val="0"/>
      <w:autoSpaceDN w:val="0"/>
      <w:adjustRightInd w:val="0"/>
      <w:spacing w:line="240" w:lineRule="exact"/>
      <w:jc w:val="both"/>
    </w:pPr>
    <w:rPr>
      <w:rFonts w:eastAsia="Times New Roman" w:cs="Times New Roman"/>
      <w:sz w:val="24"/>
      <w:szCs w:val="24"/>
      <w:lang w:eastAsia="ro-RO"/>
    </w:rPr>
  </w:style>
  <w:style w:type="paragraph" w:customStyle="1" w:styleId="Style129">
    <w:name w:val="Style129"/>
    <w:basedOn w:val="Normal"/>
    <w:uiPriority w:val="99"/>
    <w:qFormat/>
    <w:rsid w:val="007257E3"/>
    <w:pPr>
      <w:widowControl w:val="0"/>
      <w:autoSpaceDE w:val="0"/>
      <w:autoSpaceDN w:val="0"/>
      <w:adjustRightInd w:val="0"/>
      <w:spacing w:line="221" w:lineRule="exact"/>
      <w:ind w:firstLine="101"/>
    </w:pPr>
    <w:rPr>
      <w:rFonts w:eastAsia="Times New Roman" w:cs="Times New Roman"/>
      <w:sz w:val="24"/>
      <w:szCs w:val="24"/>
      <w:lang w:eastAsia="ro-RO"/>
    </w:rPr>
  </w:style>
  <w:style w:type="paragraph" w:customStyle="1" w:styleId="Style130">
    <w:name w:val="Style130"/>
    <w:basedOn w:val="Normal"/>
    <w:uiPriority w:val="99"/>
    <w:qFormat/>
    <w:rsid w:val="007257E3"/>
    <w:pPr>
      <w:widowControl w:val="0"/>
      <w:autoSpaceDE w:val="0"/>
      <w:autoSpaceDN w:val="0"/>
      <w:adjustRightInd w:val="0"/>
      <w:spacing w:line="326" w:lineRule="exact"/>
      <w:ind w:hanging="360"/>
    </w:pPr>
    <w:rPr>
      <w:rFonts w:eastAsia="Times New Roman" w:cs="Times New Roman"/>
      <w:sz w:val="24"/>
      <w:szCs w:val="24"/>
      <w:lang w:eastAsia="ro-RO"/>
    </w:rPr>
  </w:style>
  <w:style w:type="paragraph" w:customStyle="1" w:styleId="Style131">
    <w:name w:val="Style131"/>
    <w:basedOn w:val="Normal"/>
    <w:uiPriority w:val="99"/>
    <w:qFormat/>
    <w:rsid w:val="007257E3"/>
    <w:pPr>
      <w:widowControl w:val="0"/>
      <w:autoSpaceDE w:val="0"/>
      <w:autoSpaceDN w:val="0"/>
      <w:adjustRightInd w:val="0"/>
      <w:spacing w:line="284" w:lineRule="exact"/>
      <w:ind w:firstLine="1291"/>
    </w:pPr>
    <w:rPr>
      <w:rFonts w:eastAsia="Times New Roman" w:cs="Times New Roman"/>
      <w:sz w:val="24"/>
      <w:szCs w:val="24"/>
      <w:lang w:eastAsia="ro-RO"/>
    </w:rPr>
  </w:style>
  <w:style w:type="paragraph" w:customStyle="1" w:styleId="Style132">
    <w:name w:val="Style132"/>
    <w:basedOn w:val="Normal"/>
    <w:uiPriority w:val="99"/>
    <w:qFormat/>
    <w:rsid w:val="007257E3"/>
    <w:pPr>
      <w:widowControl w:val="0"/>
      <w:autoSpaceDE w:val="0"/>
      <w:autoSpaceDN w:val="0"/>
      <w:adjustRightInd w:val="0"/>
      <w:spacing w:line="240" w:lineRule="exact"/>
      <w:ind w:firstLine="374"/>
    </w:pPr>
    <w:rPr>
      <w:rFonts w:eastAsia="Times New Roman" w:cs="Times New Roman"/>
      <w:sz w:val="24"/>
      <w:szCs w:val="24"/>
      <w:lang w:eastAsia="ro-RO"/>
    </w:rPr>
  </w:style>
  <w:style w:type="paragraph" w:customStyle="1" w:styleId="Style133">
    <w:name w:val="Style133"/>
    <w:basedOn w:val="Normal"/>
    <w:uiPriority w:val="99"/>
    <w:qFormat/>
    <w:rsid w:val="007257E3"/>
    <w:pPr>
      <w:widowControl w:val="0"/>
      <w:autoSpaceDE w:val="0"/>
      <w:autoSpaceDN w:val="0"/>
      <w:adjustRightInd w:val="0"/>
      <w:spacing w:line="240" w:lineRule="exact"/>
      <w:ind w:firstLine="998"/>
    </w:pPr>
    <w:rPr>
      <w:rFonts w:eastAsia="Times New Roman" w:cs="Times New Roman"/>
      <w:sz w:val="24"/>
      <w:szCs w:val="24"/>
      <w:lang w:eastAsia="ro-RO"/>
    </w:rPr>
  </w:style>
  <w:style w:type="paragraph" w:customStyle="1" w:styleId="Style134">
    <w:name w:val="Style134"/>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35">
    <w:name w:val="Style135"/>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36">
    <w:name w:val="Style136"/>
    <w:basedOn w:val="Normal"/>
    <w:uiPriority w:val="99"/>
    <w:qFormat/>
    <w:rsid w:val="007257E3"/>
    <w:pPr>
      <w:widowControl w:val="0"/>
      <w:autoSpaceDE w:val="0"/>
      <w:autoSpaceDN w:val="0"/>
      <w:adjustRightInd w:val="0"/>
      <w:spacing w:line="240" w:lineRule="exact"/>
      <w:ind w:hanging="1622"/>
    </w:pPr>
    <w:rPr>
      <w:rFonts w:eastAsia="Times New Roman" w:cs="Times New Roman"/>
      <w:sz w:val="24"/>
      <w:szCs w:val="24"/>
      <w:lang w:eastAsia="ro-RO"/>
    </w:rPr>
  </w:style>
  <w:style w:type="paragraph" w:customStyle="1" w:styleId="Style137">
    <w:name w:val="Style137"/>
    <w:basedOn w:val="Normal"/>
    <w:uiPriority w:val="99"/>
    <w:qFormat/>
    <w:rsid w:val="007257E3"/>
    <w:pPr>
      <w:widowControl w:val="0"/>
      <w:autoSpaceDE w:val="0"/>
      <w:autoSpaceDN w:val="0"/>
      <w:adjustRightInd w:val="0"/>
      <w:spacing w:line="341" w:lineRule="exact"/>
      <w:ind w:hanging="859"/>
    </w:pPr>
    <w:rPr>
      <w:rFonts w:eastAsia="Times New Roman" w:cs="Times New Roman"/>
      <w:sz w:val="24"/>
      <w:szCs w:val="24"/>
      <w:lang w:eastAsia="ro-RO"/>
    </w:rPr>
  </w:style>
  <w:style w:type="paragraph" w:customStyle="1" w:styleId="Style138">
    <w:name w:val="Style138"/>
    <w:basedOn w:val="Normal"/>
    <w:uiPriority w:val="99"/>
    <w:qFormat/>
    <w:rsid w:val="007257E3"/>
    <w:pPr>
      <w:widowControl w:val="0"/>
      <w:autoSpaceDE w:val="0"/>
      <w:autoSpaceDN w:val="0"/>
      <w:adjustRightInd w:val="0"/>
      <w:spacing w:line="327" w:lineRule="exact"/>
      <w:ind w:firstLine="293"/>
    </w:pPr>
    <w:rPr>
      <w:rFonts w:eastAsia="Times New Roman" w:cs="Times New Roman"/>
      <w:sz w:val="24"/>
      <w:szCs w:val="24"/>
      <w:lang w:eastAsia="ro-RO"/>
    </w:rPr>
  </w:style>
  <w:style w:type="paragraph" w:customStyle="1" w:styleId="Style139">
    <w:name w:val="Style139"/>
    <w:basedOn w:val="Normal"/>
    <w:uiPriority w:val="99"/>
    <w:qFormat/>
    <w:rsid w:val="007257E3"/>
    <w:pPr>
      <w:widowControl w:val="0"/>
      <w:autoSpaceDE w:val="0"/>
      <w:autoSpaceDN w:val="0"/>
      <w:adjustRightInd w:val="0"/>
      <w:spacing w:line="329" w:lineRule="exact"/>
    </w:pPr>
    <w:rPr>
      <w:rFonts w:eastAsia="Times New Roman" w:cs="Times New Roman"/>
      <w:sz w:val="24"/>
      <w:szCs w:val="24"/>
      <w:lang w:eastAsia="ro-RO"/>
    </w:rPr>
  </w:style>
  <w:style w:type="paragraph" w:customStyle="1" w:styleId="Style140">
    <w:name w:val="Style140"/>
    <w:basedOn w:val="Normal"/>
    <w:uiPriority w:val="99"/>
    <w:qFormat/>
    <w:rsid w:val="007257E3"/>
    <w:pPr>
      <w:widowControl w:val="0"/>
      <w:autoSpaceDE w:val="0"/>
      <w:autoSpaceDN w:val="0"/>
      <w:adjustRightInd w:val="0"/>
      <w:spacing w:line="326" w:lineRule="exact"/>
      <w:jc w:val="both"/>
    </w:pPr>
    <w:rPr>
      <w:rFonts w:eastAsia="Times New Roman" w:cs="Times New Roman"/>
      <w:sz w:val="24"/>
      <w:szCs w:val="24"/>
      <w:lang w:eastAsia="ro-RO"/>
    </w:rPr>
  </w:style>
  <w:style w:type="paragraph" w:customStyle="1" w:styleId="Style141">
    <w:name w:val="Style141"/>
    <w:basedOn w:val="Normal"/>
    <w:uiPriority w:val="99"/>
    <w:qFormat/>
    <w:rsid w:val="007257E3"/>
    <w:pPr>
      <w:widowControl w:val="0"/>
      <w:autoSpaceDE w:val="0"/>
      <w:autoSpaceDN w:val="0"/>
      <w:adjustRightInd w:val="0"/>
      <w:spacing w:line="338" w:lineRule="exact"/>
      <w:ind w:hanging="1003"/>
    </w:pPr>
    <w:rPr>
      <w:rFonts w:eastAsia="Times New Roman" w:cs="Times New Roman"/>
      <w:sz w:val="24"/>
      <w:szCs w:val="24"/>
      <w:lang w:eastAsia="ro-RO"/>
    </w:rPr>
  </w:style>
  <w:style w:type="paragraph" w:customStyle="1" w:styleId="Style142">
    <w:name w:val="Style142"/>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43">
    <w:name w:val="Style143"/>
    <w:basedOn w:val="Normal"/>
    <w:uiPriority w:val="99"/>
    <w:qFormat/>
    <w:rsid w:val="007257E3"/>
    <w:pPr>
      <w:widowControl w:val="0"/>
      <w:autoSpaceDE w:val="0"/>
      <w:autoSpaceDN w:val="0"/>
      <w:adjustRightInd w:val="0"/>
      <w:spacing w:line="326" w:lineRule="exact"/>
      <w:ind w:firstLine="1310"/>
    </w:pPr>
    <w:rPr>
      <w:rFonts w:eastAsia="Times New Roman" w:cs="Times New Roman"/>
      <w:sz w:val="24"/>
      <w:szCs w:val="24"/>
      <w:lang w:eastAsia="ro-RO"/>
    </w:rPr>
  </w:style>
  <w:style w:type="paragraph" w:customStyle="1" w:styleId="Style144">
    <w:name w:val="Style144"/>
    <w:basedOn w:val="Normal"/>
    <w:uiPriority w:val="99"/>
    <w:qFormat/>
    <w:rsid w:val="007257E3"/>
    <w:pPr>
      <w:widowControl w:val="0"/>
      <w:autoSpaceDE w:val="0"/>
      <w:autoSpaceDN w:val="0"/>
      <w:adjustRightInd w:val="0"/>
      <w:spacing w:line="326" w:lineRule="exact"/>
      <w:ind w:firstLine="715"/>
    </w:pPr>
    <w:rPr>
      <w:rFonts w:eastAsia="Times New Roman" w:cs="Times New Roman"/>
      <w:sz w:val="24"/>
      <w:szCs w:val="24"/>
      <w:lang w:eastAsia="ro-RO"/>
    </w:rPr>
  </w:style>
  <w:style w:type="paragraph" w:customStyle="1" w:styleId="Style145">
    <w:name w:val="Style145"/>
    <w:basedOn w:val="Normal"/>
    <w:uiPriority w:val="99"/>
    <w:qFormat/>
    <w:rsid w:val="007257E3"/>
    <w:pPr>
      <w:widowControl w:val="0"/>
      <w:autoSpaceDE w:val="0"/>
      <w:autoSpaceDN w:val="0"/>
      <w:adjustRightInd w:val="0"/>
      <w:spacing w:line="240" w:lineRule="exact"/>
      <w:ind w:firstLine="168"/>
    </w:pPr>
    <w:rPr>
      <w:rFonts w:eastAsia="Times New Roman" w:cs="Times New Roman"/>
      <w:sz w:val="24"/>
      <w:szCs w:val="24"/>
      <w:lang w:eastAsia="ro-RO"/>
    </w:rPr>
  </w:style>
  <w:style w:type="paragraph" w:customStyle="1" w:styleId="Style146">
    <w:name w:val="Style146"/>
    <w:basedOn w:val="Normal"/>
    <w:uiPriority w:val="99"/>
    <w:qFormat/>
    <w:rsid w:val="007257E3"/>
    <w:pPr>
      <w:widowControl w:val="0"/>
      <w:autoSpaceDE w:val="0"/>
      <w:autoSpaceDN w:val="0"/>
      <w:adjustRightInd w:val="0"/>
      <w:spacing w:line="328" w:lineRule="exact"/>
      <w:ind w:firstLine="850"/>
      <w:jc w:val="both"/>
    </w:pPr>
    <w:rPr>
      <w:rFonts w:eastAsia="Times New Roman" w:cs="Times New Roman"/>
      <w:sz w:val="24"/>
      <w:szCs w:val="24"/>
      <w:lang w:eastAsia="ro-RO"/>
    </w:rPr>
  </w:style>
  <w:style w:type="paragraph" w:customStyle="1" w:styleId="Style147">
    <w:name w:val="Style147"/>
    <w:basedOn w:val="Normal"/>
    <w:uiPriority w:val="99"/>
    <w:qFormat/>
    <w:rsid w:val="007257E3"/>
    <w:pPr>
      <w:widowControl w:val="0"/>
      <w:autoSpaceDE w:val="0"/>
      <w:autoSpaceDN w:val="0"/>
      <w:adjustRightInd w:val="0"/>
      <w:spacing w:line="240" w:lineRule="auto"/>
      <w:jc w:val="both"/>
    </w:pPr>
    <w:rPr>
      <w:rFonts w:eastAsia="Times New Roman" w:cs="Times New Roman"/>
      <w:sz w:val="24"/>
      <w:szCs w:val="24"/>
      <w:lang w:eastAsia="ro-RO"/>
    </w:rPr>
  </w:style>
  <w:style w:type="paragraph" w:customStyle="1" w:styleId="Style148">
    <w:name w:val="Style148"/>
    <w:basedOn w:val="Normal"/>
    <w:uiPriority w:val="99"/>
    <w:qFormat/>
    <w:rsid w:val="007257E3"/>
    <w:pPr>
      <w:widowControl w:val="0"/>
      <w:autoSpaceDE w:val="0"/>
      <w:autoSpaceDN w:val="0"/>
      <w:adjustRightInd w:val="0"/>
      <w:spacing w:line="240" w:lineRule="exact"/>
      <w:ind w:firstLine="2851"/>
    </w:pPr>
    <w:rPr>
      <w:rFonts w:eastAsia="Times New Roman" w:cs="Times New Roman"/>
      <w:sz w:val="24"/>
      <w:szCs w:val="24"/>
      <w:lang w:eastAsia="ro-RO"/>
    </w:rPr>
  </w:style>
  <w:style w:type="paragraph" w:customStyle="1" w:styleId="Style149">
    <w:name w:val="Style149"/>
    <w:basedOn w:val="Normal"/>
    <w:uiPriority w:val="99"/>
    <w:qFormat/>
    <w:rsid w:val="007257E3"/>
    <w:pPr>
      <w:widowControl w:val="0"/>
      <w:autoSpaceDE w:val="0"/>
      <w:autoSpaceDN w:val="0"/>
      <w:adjustRightInd w:val="0"/>
      <w:spacing w:line="218" w:lineRule="exact"/>
      <w:ind w:hanging="355"/>
    </w:pPr>
    <w:rPr>
      <w:rFonts w:eastAsia="Times New Roman" w:cs="Times New Roman"/>
      <w:sz w:val="24"/>
      <w:szCs w:val="24"/>
      <w:lang w:eastAsia="ro-RO"/>
    </w:rPr>
  </w:style>
  <w:style w:type="paragraph" w:customStyle="1" w:styleId="Style150">
    <w:name w:val="Style150"/>
    <w:basedOn w:val="Normal"/>
    <w:uiPriority w:val="99"/>
    <w:qFormat/>
    <w:rsid w:val="007257E3"/>
    <w:pPr>
      <w:widowControl w:val="0"/>
      <w:autoSpaceDE w:val="0"/>
      <w:autoSpaceDN w:val="0"/>
      <w:adjustRightInd w:val="0"/>
      <w:spacing w:line="240" w:lineRule="auto"/>
      <w:jc w:val="both"/>
    </w:pPr>
    <w:rPr>
      <w:rFonts w:eastAsia="Times New Roman" w:cs="Times New Roman"/>
      <w:sz w:val="24"/>
      <w:szCs w:val="24"/>
      <w:lang w:eastAsia="ro-RO"/>
    </w:rPr>
  </w:style>
  <w:style w:type="paragraph" w:customStyle="1" w:styleId="Style151">
    <w:name w:val="Style151"/>
    <w:basedOn w:val="Normal"/>
    <w:uiPriority w:val="99"/>
    <w:qFormat/>
    <w:rsid w:val="007257E3"/>
    <w:pPr>
      <w:widowControl w:val="0"/>
      <w:autoSpaceDE w:val="0"/>
      <w:autoSpaceDN w:val="0"/>
      <w:adjustRightInd w:val="0"/>
      <w:spacing w:line="219" w:lineRule="exact"/>
      <w:ind w:hanging="182"/>
      <w:jc w:val="both"/>
    </w:pPr>
    <w:rPr>
      <w:rFonts w:eastAsia="Times New Roman" w:cs="Times New Roman"/>
      <w:sz w:val="24"/>
      <w:szCs w:val="24"/>
      <w:lang w:eastAsia="ro-RO"/>
    </w:rPr>
  </w:style>
  <w:style w:type="paragraph" w:customStyle="1" w:styleId="Style152">
    <w:name w:val="Style152"/>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53">
    <w:name w:val="Style153"/>
    <w:basedOn w:val="Normal"/>
    <w:uiPriority w:val="99"/>
    <w:qFormat/>
    <w:rsid w:val="007257E3"/>
    <w:pPr>
      <w:widowControl w:val="0"/>
      <w:autoSpaceDE w:val="0"/>
      <w:autoSpaceDN w:val="0"/>
      <w:adjustRightInd w:val="0"/>
      <w:spacing w:line="240" w:lineRule="exact"/>
      <w:ind w:firstLine="715"/>
      <w:jc w:val="both"/>
    </w:pPr>
    <w:rPr>
      <w:rFonts w:eastAsia="Times New Roman" w:cs="Times New Roman"/>
      <w:sz w:val="24"/>
      <w:szCs w:val="24"/>
      <w:lang w:eastAsia="ro-RO"/>
    </w:rPr>
  </w:style>
  <w:style w:type="paragraph" w:customStyle="1" w:styleId="Style154">
    <w:name w:val="Style154"/>
    <w:basedOn w:val="Normal"/>
    <w:uiPriority w:val="99"/>
    <w:qFormat/>
    <w:rsid w:val="007257E3"/>
    <w:pPr>
      <w:widowControl w:val="0"/>
      <w:autoSpaceDE w:val="0"/>
      <w:autoSpaceDN w:val="0"/>
      <w:adjustRightInd w:val="0"/>
      <w:spacing w:line="250" w:lineRule="exact"/>
      <w:ind w:hanging="350"/>
    </w:pPr>
    <w:rPr>
      <w:rFonts w:eastAsia="Times New Roman" w:cs="Times New Roman"/>
      <w:sz w:val="24"/>
      <w:szCs w:val="24"/>
      <w:lang w:eastAsia="ro-RO"/>
    </w:rPr>
  </w:style>
  <w:style w:type="paragraph" w:customStyle="1" w:styleId="Style155">
    <w:name w:val="Style155"/>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56">
    <w:name w:val="Style156"/>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57">
    <w:name w:val="Style157"/>
    <w:basedOn w:val="Normal"/>
    <w:uiPriority w:val="99"/>
    <w:qFormat/>
    <w:rsid w:val="007257E3"/>
    <w:pPr>
      <w:widowControl w:val="0"/>
      <w:autoSpaceDE w:val="0"/>
      <w:autoSpaceDN w:val="0"/>
      <w:adjustRightInd w:val="0"/>
      <w:spacing w:line="240" w:lineRule="exact"/>
      <w:ind w:firstLine="1315"/>
      <w:jc w:val="both"/>
    </w:pPr>
    <w:rPr>
      <w:rFonts w:eastAsia="Times New Roman" w:cs="Times New Roman"/>
      <w:sz w:val="24"/>
      <w:szCs w:val="24"/>
      <w:lang w:eastAsia="ro-RO"/>
    </w:rPr>
  </w:style>
  <w:style w:type="paragraph" w:customStyle="1" w:styleId="Style158">
    <w:name w:val="Style158"/>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59">
    <w:name w:val="Style159"/>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60">
    <w:name w:val="Style160"/>
    <w:basedOn w:val="Normal"/>
    <w:uiPriority w:val="99"/>
    <w:qFormat/>
    <w:rsid w:val="007257E3"/>
    <w:pPr>
      <w:widowControl w:val="0"/>
      <w:autoSpaceDE w:val="0"/>
      <w:autoSpaceDN w:val="0"/>
      <w:adjustRightInd w:val="0"/>
      <w:spacing w:line="329" w:lineRule="exact"/>
      <w:jc w:val="both"/>
    </w:pPr>
    <w:rPr>
      <w:rFonts w:eastAsia="Times New Roman" w:cs="Times New Roman"/>
      <w:sz w:val="24"/>
      <w:szCs w:val="24"/>
      <w:lang w:eastAsia="ro-RO"/>
    </w:rPr>
  </w:style>
  <w:style w:type="paragraph" w:customStyle="1" w:styleId="Style162">
    <w:name w:val="Style162"/>
    <w:basedOn w:val="Normal"/>
    <w:uiPriority w:val="99"/>
    <w:qFormat/>
    <w:rsid w:val="007257E3"/>
    <w:pPr>
      <w:widowControl w:val="0"/>
      <w:autoSpaceDE w:val="0"/>
      <w:autoSpaceDN w:val="0"/>
      <w:adjustRightInd w:val="0"/>
      <w:spacing w:line="254" w:lineRule="exact"/>
      <w:ind w:firstLine="330"/>
    </w:pPr>
    <w:rPr>
      <w:rFonts w:eastAsia="Times New Roman" w:cs="Times New Roman"/>
      <w:sz w:val="24"/>
      <w:szCs w:val="24"/>
      <w:lang w:eastAsia="ro-RO"/>
    </w:rPr>
  </w:style>
  <w:style w:type="paragraph" w:customStyle="1" w:styleId="Style163">
    <w:name w:val="Style163"/>
    <w:basedOn w:val="Normal"/>
    <w:uiPriority w:val="99"/>
    <w:qFormat/>
    <w:rsid w:val="007257E3"/>
    <w:pPr>
      <w:widowControl w:val="0"/>
      <w:autoSpaceDE w:val="0"/>
      <w:autoSpaceDN w:val="0"/>
      <w:adjustRightInd w:val="0"/>
      <w:spacing w:line="218" w:lineRule="exact"/>
      <w:ind w:firstLine="101"/>
    </w:pPr>
    <w:rPr>
      <w:rFonts w:eastAsia="Times New Roman" w:cs="Times New Roman"/>
      <w:sz w:val="24"/>
      <w:szCs w:val="24"/>
      <w:lang w:eastAsia="ro-RO"/>
    </w:rPr>
  </w:style>
  <w:style w:type="character" w:customStyle="1" w:styleId="FontStyle165">
    <w:name w:val="Font Style165"/>
    <w:uiPriority w:val="99"/>
    <w:rsid w:val="007257E3"/>
    <w:rPr>
      <w:rFonts w:ascii="Verdana" w:hAnsi="Verdana" w:cs="Verdana"/>
      <w:b/>
      <w:bCs/>
      <w:smallCaps/>
      <w:sz w:val="30"/>
      <w:szCs w:val="30"/>
    </w:rPr>
  </w:style>
  <w:style w:type="character" w:customStyle="1" w:styleId="FontStyle166">
    <w:name w:val="Font Style166"/>
    <w:uiPriority w:val="99"/>
    <w:rsid w:val="007257E3"/>
    <w:rPr>
      <w:rFonts w:ascii="Verdana" w:hAnsi="Verdana" w:cs="Verdana"/>
      <w:smallCaps/>
      <w:sz w:val="16"/>
      <w:szCs w:val="16"/>
    </w:rPr>
  </w:style>
  <w:style w:type="character" w:customStyle="1" w:styleId="FontStyle168">
    <w:name w:val="Font Style168"/>
    <w:uiPriority w:val="99"/>
    <w:rsid w:val="007257E3"/>
    <w:rPr>
      <w:rFonts w:ascii="Arial Narrow" w:hAnsi="Arial Narrow" w:cs="Arial Narrow"/>
      <w:sz w:val="102"/>
      <w:szCs w:val="102"/>
    </w:rPr>
  </w:style>
  <w:style w:type="character" w:customStyle="1" w:styleId="FontStyle169">
    <w:name w:val="Font Style169"/>
    <w:uiPriority w:val="99"/>
    <w:rsid w:val="007257E3"/>
    <w:rPr>
      <w:rFonts w:ascii="Verdana" w:hAnsi="Verdana" w:cs="Verdana"/>
      <w:i/>
      <w:iCs/>
      <w:sz w:val="18"/>
      <w:szCs w:val="18"/>
    </w:rPr>
  </w:style>
  <w:style w:type="character" w:customStyle="1" w:styleId="FontStyle170">
    <w:name w:val="Font Style170"/>
    <w:uiPriority w:val="99"/>
    <w:rsid w:val="007257E3"/>
    <w:rPr>
      <w:rFonts w:ascii="Verdana" w:hAnsi="Verdana" w:cs="Verdana"/>
      <w:b/>
      <w:bCs/>
      <w:i/>
      <w:iCs/>
      <w:sz w:val="18"/>
      <w:szCs w:val="18"/>
    </w:rPr>
  </w:style>
  <w:style w:type="character" w:customStyle="1" w:styleId="FontStyle172">
    <w:name w:val="Font Style172"/>
    <w:uiPriority w:val="99"/>
    <w:rsid w:val="007257E3"/>
    <w:rPr>
      <w:rFonts w:ascii="Times New Roman" w:hAnsi="Times New Roman" w:cs="Times New Roman"/>
      <w:sz w:val="18"/>
      <w:szCs w:val="18"/>
    </w:rPr>
  </w:style>
  <w:style w:type="character" w:customStyle="1" w:styleId="FontStyle173">
    <w:name w:val="Font Style173"/>
    <w:uiPriority w:val="99"/>
    <w:rsid w:val="007257E3"/>
    <w:rPr>
      <w:rFonts w:ascii="Arial Narrow" w:hAnsi="Arial Narrow" w:cs="Arial Narrow"/>
      <w:sz w:val="30"/>
      <w:szCs w:val="30"/>
    </w:rPr>
  </w:style>
  <w:style w:type="character" w:customStyle="1" w:styleId="FontStyle174">
    <w:name w:val="Font Style174"/>
    <w:uiPriority w:val="99"/>
    <w:rsid w:val="007257E3"/>
    <w:rPr>
      <w:rFonts w:ascii="Verdana" w:hAnsi="Verdana" w:cs="Verdana"/>
      <w:b/>
      <w:bCs/>
      <w:sz w:val="12"/>
      <w:szCs w:val="12"/>
    </w:rPr>
  </w:style>
  <w:style w:type="character" w:customStyle="1" w:styleId="FontStyle175">
    <w:name w:val="Font Style175"/>
    <w:uiPriority w:val="99"/>
    <w:rsid w:val="007257E3"/>
    <w:rPr>
      <w:rFonts w:ascii="Verdana" w:hAnsi="Verdana" w:cs="Verdana"/>
      <w:b/>
      <w:bCs/>
      <w:sz w:val="12"/>
      <w:szCs w:val="12"/>
    </w:rPr>
  </w:style>
  <w:style w:type="character" w:customStyle="1" w:styleId="FontStyle176">
    <w:name w:val="Font Style176"/>
    <w:uiPriority w:val="99"/>
    <w:rsid w:val="007257E3"/>
    <w:rPr>
      <w:rFonts w:ascii="Arial Narrow" w:hAnsi="Arial Narrow" w:cs="Arial Narrow"/>
      <w:sz w:val="10"/>
      <w:szCs w:val="10"/>
    </w:rPr>
  </w:style>
  <w:style w:type="character" w:customStyle="1" w:styleId="FontStyle177">
    <w:name w:val="Font Style177"/>
    <w:uiPriority w:val="99"/>
    <w:rsid w:val="007257E3"/>
    <w:rPr>
      <w:rFonts w:ascii="Arial Narrow" w:hAnsi="Arial Narrow" w:cs="Arial Narrow"/>
      <w:b/>
      <w:bCs/>
      <w:sz w:val="16"/>
      <w:szCs w:val="16"/>
    </w:rPr>
  </w:style>
  <w:style w:type="character" w:customStyle="1" w:styleId="FontStyle178">
    <w:name w:val="Font Style178"/>
    <w:uiPriority w:val="99"/>
    <w:rsid w:val="007257E3"/>
    <w:rPr>
      <w:rFonts w:ascii="Arial Narrow" w:hAnsi="Arial Narrow" w:cs="Arial Narrow"/>
      <w:b/>
      <w:bCs/>
      <w:sz w:val="14"/>
      <w:szCs w:val="14"/>
    </w:rPr>
  </w:style>
  <w:style w:type="character" w:customStyle="1" w:styleId="FontStyle179">
    <w:name w:val="Font Style179"/>
    <w:uiPriority w:val="99"/>
    <w:rsid w:val="007257E3"/>
    <w:rPr>
      <w:rFonts w:ascii="Arial Narrow" w:hAnsi="Arial Narrow" w:cs="Arial Narrow"/>
      <w:b/>
      <w:bCs/>
      <w:smallCaps/>
      <w:sz w:val="14"/>
      <w:szCs w:val="14"/>
    </w:rPr>
  </w:style>
  <w:style w:type="character" w:customStyle="1" w:styleId="FontStyle180">
    <w:name w:val="Font Style180"/>
    <w:uiPriority w:val="99"/>
    <w:rsid w:val="007257E3"/>
    <w:rPr>
      <w:rFonts w:ascii="Verdana" w:hAnsi="Verdana" w:cs="Verdana"/>
      <w:b/>
      <w:bCs/>
      <w:sz w:val="12"/>
      <w:szCs w:val="12"/>
    </w:rPr>
  </w:style>
  <w:style w:type="character" w:customStyle="1" w:styleId="FontStyle181">
    <w:name w:val="Font Style181"/>
    <w:uiPriority w:val="99"/>
    <w:rsid w:val="007257E3"/>
    <w:rPr>
      <w:rFonts w:ascii="Arial Narrow" w:hAnsi="Arial Narrow" w:cs="Arial Narrow"/>
      <w:b/>
      <w:bCs/>
      <w:sz w:val="14"/>
      <w:szCs w:val="14"/>
    </w:rPr>
  </w:style>
  <w:style w:type="character" w:customStyle="1" w:styleId="FontStyle182">
    <w:name w:val="Font Style182"/>
    <w:uiPriority w:val="99"/>
    <w:rsid w:val="007257E3"/>
    <w:rPr>
      <w:rFonts w:ascii="Times New Roman" w:hAnsi="Times New Roman" w:cs="Times New Roman"/>
      <w:sz w:val="14"/>
      <w:szCs w:val="14"/>
    </w:rPr>
  </w:style>
  <w:style w:type="character" w:customStyle="1" w:styleId="FontStyle183">
    <w:name w:val="Font Style183"/>
    <w:uiPriority w:val="99"/>
    <w:rsid w:val="007257E3"/>
    <w:rPr>
      <w:rFonts w:ascii="Arial Narrow" w:hAnsi="Arial Narrow" w:cs="Arial Narrow"/>
      <w:b/>
      <w:bCs/>
      <w:sz w:val="14"/>
      <w:szCs w:val="14"/>
    </w:rPr>
  </w:style>
  <w:style w:type="character" w:customStyle="1" w:styleId="FontStyle184">
    <w:name w:val="Font Style184"/>
    <w:uiPriority w:val="99"/>
    <w:rsid w:val="007257E3"/>
    <w:rPr>
      <w:rFonts w:ascii="Times New Roman" w:hAnsi="Times New Roman" w:cs="Times New Roman"/>
      <w:sz w:val="12"/>
      <w:szCs w:val="12"/>
    </w:rPr>
  </w:style>
  <w:style w:type="character" w:customStyle="1" w:styleId="FontStyle185">
    <w:name w:val="Font Style185"/>
    <w:uiPriority w:val="99"/>
    <w:rsid w:val="007257E3"/>
    <w:rPr>
      <w:rFonts w:ascii="Verdana" w:hAnsi="Verdana" w:cs="Verdana"/>
      <w:b/>
      <w:bCs/>
      <w:i/>
      <w:iCs/>
      <w:sz w:val="10"/>
      <w:szCs w:val="10"/>
    </w:rPr>
  </w:style>
  <w:style w:type="character" w:customStyle="1" w:styleId="FontStyle186">
    <w:name w:val="Font Style186"/>
    <w:uiPriority w:val="99"/>
    <w:rsid w:val="007257E3"/>
    <w:rPr>
      <w:rFonts w:ascii="Verdana" w:hAnsi="Verdana" w:cs="Verdana"/>
      <w:i/>
      <w:iCs/>
      <w:sz w:val="10"/>
      <w:szCs w:val="10"/>
    </w:rPr>
  </w:style>
  <w:style w:type="character" w:customStyle="1" w:styleId="FontStyle187">
    <w:name w:val="Font Style187"/>
    <w:uiPriority w:val="99"/>
    <w:rsid w:val="007257E3"/>
    <w:rPr>
      <w:rFonts w:ascii="Verdana" w:hAnsi="Verdana" w:cs="Verdana"/>
      <w:b/>
      <w:bCs/>
      <w:sz w:val="16"/>
      <w:szCs w:val="16"/>
    </w:rPr>
  </w:style>
  <w:style w:type="character" w:customStyle="1" w:styleId="FontStyle188">
    <w:name w:val="Font Style188"/>
    <w:uiPriority w:val="99"/>
    <w:rsid w:val="007257E3"/>
    <w:rPr>
      <w:rFonts w:ascii="Verdana" w:hAnsi="Verdana" w:cs="Verdana"/>
      <w:b/>
      <w:bCs/>
      <w:sz w:val="20"/>
      <w:szCs w:val="20"/>
    </w:rPr>
  </w:style>
  <w:style w:type="character" w:customStyle="1" w:styleId="FontStyle189">
    <w:name w:val="Font Style189"/>
    <w:uiPriority w:val="99"/>
    <w:rsid w:val="007257E3"/>
    <w:rPr>
      <w:rFonts w:ascii="Verdana" w:hAnsi="Verdana" w:cs="Verdana"/>
      <w:b/>
      <w:bCs/>
      <w:i/>
      <w:iCs/>
      <w:sz w:val="16"/>
      <w:szCs w:val="16"/>
    </w:rPr>
  </w:style>
  <w:style w:type="character" w:customStyle="1" w:styleId="FontStyle190">
    <w:name w:val="Font Style190"/>
    <w:uiPriority w:val="99"/>
    <w:rsid w:val="007257E3"/>
    <w:rPr>
      <w:rFonts w:ascii="Verdana" w:hAnsi="Verdana" w:cs="Verdana"/>
      <w:b/>
      <w:bCs/>
      <w:i/>
      <w:iCs/>
      <w:sz w:val="14"/>
      <w:szCs w:val="14"/>
    </w:rPr>
  </w:style>
  <w:style w:type="character" w:customStyle="1" w:styleId="FontStyle191">
    <w:name w:val="Font Style191"/>
    <w:uiPriority w:val="99"/>
    <w:rsid w:val="007257E3"/>
    <w:rPr>
      <w:rFonts w:ascii="Verdana" w:hAnsi="Verdana" w:cs="Verdana"/>
      <w:b/>
      <w:bCs/>
      <w:spacing w:val="-40"/>
      <w:sz w:val="36"/>
      <w:szCs w:val="36"/>
    </w:rPr>
  </w:style>
  <w:style w:type="character" w:customStyle="1" w:styleId="FontStyle192">
    <w:name w:val="Font Style192"/>
    <w:uiPriority w:val="99"/>
    <w:rsid w:val="007257E3"/>
    <w:rPr>
      <w:rFonts w:ascii="Verdana" w:hAnsi="Verdana" w:cs="Verdana"/>
      <w:b/>
      <w:bCs/>
      <w:sz w:val="18"/>
      <w:szCs w:val="18"/>
    </w:rPr>
  </w:style>
  <w:style w:type="character" w:customStyle="1" w:styleId="FontStyle193">
    <w:name w:val="Font Style193"/>
    <w:uiPriority w:val="99"/>
    <w:rsid w:val="007257E3"/>
    <w:rPr>
      <w:rFonts w:ascii="Verdana" w:hAnsi="Verdana" w:cs="Verdana"/>
      <w:b/>
      <w:bCs/>
      <w:sz w:val="14"/>
      <w:szCs w:val="14"/>
    </w:rPr>
  </w:style>
  <w:style w:type="character" w:customStyle="1" w:styleId="FontStyle194">
    <w:name w:val="Font Style194"/>
    <w:uiPriority w:val="99"/>
    <w:rsid w:val="007257E3"/>
    <w:rPr>
      <w:rFonts w:ascii="Verdana" w:hAnsi="Verdana" w:cs="Verdana"/>
      <w:i/>
      <w:iCs/>
      <w:sz w:val="16"/>
      <w:szCs w:val="16"/>
    </w:rPr>
  </w:style>
  <w:style w:type="character" w:customStyle="1" w:styleId="FontStyle195">
    <w:name w:val="Font Style195"/>
    <w:uiPriority w:val="99"/>
    <w:rsid w:val="007257E3"/>
    <w:rPr>
      <w:rFonts w:ascii="Verdana" w:hAnsi="Verdana" w:cs="Verdana"/>
      <w:b/>
      <w:bCs/>
      <w:sz w:val="22"/>
      <w:szCs w:val="22"/>
    </w:rPr>
  </w:style>
  <w:style w:type="character" w:customStyle="1" w:styleId="FontStyle196">
    <w:name w:val="Font Style196"/>
    <w:uiPriority w:val="99"/>
    <w:rsid w:val="007257E3"/>
    <w:rPr>
      <w:rFonts w:ascii="Verdana" w:hAnsi="Verdana" w:cs="Verdana"/>
      <w:i/>
      <w:iCs/>
      <w:sz w:val="12"/>
      <w:szCs w:val="12"/>
    </w:rPr>
  </w:style>
  <w:style w:type="character" w:customStyle="1" w:styleId="FontStyle200">
    <w:name w:val="Font Style200"/>
    <w:uiPriority w:val="99"/>
    <w:rsid w:val="007257E3"/>
    <w:rPr>
      <w:rFonts w:ascii="Verdana" w:hAnsi="Verdana" w:cs="Verdana"/>
      <w:sz w:val="12"/>
      <w:szCs w:val="12"/>
    </w:rPr>
  </w:style>
  <w:style w:type="character" w:customStyle="1" w:styleId="FontStyle201">
    <w:name w:val="Font Style201"/>
    <w:uiPriority w:val="99"/>
    <w:rsid w:val="007257E3"/>
    <w:rPr>
      <w:rFonts w:ascii="Verdana" w:hAnsi="Verdana" w:cs="Verdana"/>
      <w:i/>
      <w:iCs/>
      <w:sz w:val="74"/>
      <w:szCs w:val="74"/>
    </w:rPr>
  </w:style>
  <w:style w:type="character" w:customStyle="1" w:styleId="FontStyle202">
    <w:name w:val="Font Style202"/>
    <w:uiPriority w:val="99"/>
    <w:rsid w:val="007257E3"/>
    <w:rPr>
      <w:rFonts w:ascii="Arial" w:hAnsi="Arial" w:cs="Arial"/>
      <w:b/>
      <w:bCs/>
      <w:sz w:val="76"/>
      <w:szCs w:val="76"/>
    </w:rPr>
  </w:style>
  <w:style w:type="character" w:customStyle="1" w:styleId="FontStyle203">
    <w:name w:val="Font Style203"/>
    <w:uiPriority w:val="99"/>
    <w:rsid w:val="007257E3"/>
    <w:rPr>
      <w:rFonts w:ascii="Arial" w:hAnsi="Arial" w:cs="Arial"/>
      <w:sz w:val="26"/>
      <w:szCs w:val="26"/>
    </w:rPr>
  </w:style>
  <w:style w:type="character" w:customStyle="1" w:styleId="FontStyle204">
    <w:name w:val="Font Style204"/>
    <w:uiPriority w:val="99"/>
    <w:rsid w:val="007257E3"/>
    <w:rPr>
      <w:rFonts w:ascii="Arial Narrow" w:hAnsi="Arial Narrow" w:cs="Arial Narrow"/>
      <w:i/>
      <w:iCs/>
      <w:sz w:val="94"/>
      <w:szCs w:val="94"/>
    </w:rPr>
  </w:style>
  <w:style w:type="character" w:customStyle="1" w:styleId="FontStyle205">
    <w:name w:val="Font Style205"/>
    <w:uiPriority w:val="99"/>
    <w:rsid w:val="007257E3"/>
    <w:rPr>
      <w:rFonts w:ascii="Arial" w:hAnsi="Arial" w:cs="Arial"/>
      <w:sz w:val="20"/>
      <w:szCs w:val="20"/>
    </w:rPr>
  </w:style>
  <w:style w:type="character" w:customStyle="1" w:styleId="FontStyle206">
    <w:name w:val="Font Style206"/>
    <w:uiPriority w:val="99"/>
    <w:rsid w:val="007257E3"/>
    <w:rPr>
      <w:rFonts w:ascii="Verdana" w:hAnsi="Verdana" w:cs="Verdana"/>
      <w:sz w:val="20"/>
      <w:szCs w:val="20"/>
    </w:rPr>
  </w:style>
  <w:style w:type="character" w:customStyle="1" w:styleId="FontStyle207">
    <w:name w:val="Font Style207"/>
    <w:uiPriority w:val="99"/>
    <w:rsid w:val="007257E3"/>
    <w:rPr>
      <w:rFonts w:ascii="Trebuchet MS" w:hAnsi="Trebuchet MS" w:cs="Trebuchet MS"/>
      <w:b/>
      <w:bCs/>
      <w:sz w:val="16"/>
      <w:szCs w:val="16"/>
    </w:rPr>
  </w:style>
  <w:style w:type="character" w:customStyle="1" w:styleId="FontStyle208">
    <w:name w:val="Font Style208"/>
    <w:uiPriority w:val="99"/>
    <w:rsid w:val="007257E3"/>
    <w:rPr>
      <w:rFonts w:ascii="Arial" w:hAnsi="Arial" w:cs="Arial"/>
      <w:sz w:val="8"/>
      <w:szCs w:val="8"/>
    </w:rPr>
  </w:style>
  <w:style w:type="character" w:customStyle="1" w:styleId="FontStyle209">
    <w:name w:val="Font Style209"/>
    <w:uiPriority w:val="99"/>
    <w:rsid w:val="007257E3"/>
    <w:rPr>
      <w:rFonts w:ascii="Verdana" w:hAnsi="Verdana" w:cs="Verdana"/>
      <w:sz w:val="8"/>
      <w:szCs w:val="8"/>
    </w:rPr>
  </w:style>
  <w:style w:type="character" w:customStyle="1" w:styleId="FontStyle210">
    <w:name w:val="Font Style210"/>
    <w:uiPriority w:val="99"/>
    <w:rsid w:val="007257E3"/>
    <w:rPr>
      <w:rFonts w:ascii="Verdana" w:hAnsi="Verdana" w:cs="Verdana"/>
      <w:b/>
      <w:bCs/>
      <w:sz w:val="14"/>
      <w:szCs w:val="14"/>
    </w:rPr>
  </w:style>
  <w:style w:type="character" w:customStyle="1" w:styleId="FontStyle211">
    <w:name w:val="Font Style211"/>
    <w:uiPriority w:val="99"/>
    <w:rsid w:val="007257E3"/>
    <w:rPr>
      <w:rFonts w:ascii="Verdana" w:hAnsi="Verdana" w:cs="Verdana"/>
      <w:spacing w:val="-10"/>
      <w:sz w:val="10"/>
      <w:szCs w:val="10"/>
    </w:rPr>
  </w:style>
  <w:style w:type="character" w:customStyle="1" w:styleId="FontStyle212">
    <w:name w:val="Font Style212"/>
    <w:uiPriority w:val="99"/>
    <w:rsid w:val="007257E3"/>
    <w:rPr>
      <w:rFonts w:ascii="Verdana" w:hAnsi="Verdana" w:cs="Verdana"/>
      <w:b/>
      <w:bCs/>
      <w:i/>
      <w:iCs/>
      <w:sz w:val="16"/>
      <w:szCs w:val="16"/>
    </w:rPr>
  </w:style>
  <w:style w:type="character" w:customStyle="1" w:styleId="FontStyle213">
    <w:name w:val="Font Style213"/>
    <w:uiPriority w:val="99"/>
    <w:rsid w:val="007257E3"/>
    <w:rPr>
      <w:rFonts w:ascii="Verdana" w:hAnsi="Verdana" w:cs="Verdana"/>
      <w:sz w:val="16"/>
      <w:szCs w:val="16"/>
    </w:rPr>
  </w:style>
  <w:style w:type="character" w:customStyle="1" w:styleId="FontStyle214">
    <w:name w:val="Font Style214"/>
    <w:uiPriority w:val="99"/>
    <w:rsid w:val="007257E3"/>
    <w:rPr>
      <w:rFonts w:ascii="Arial Narrow" w:hAnsi="Arial Narrow" w:cs="Arial Narrow"/>
      <w:sz w:val="58"/>
      <w:szCs w:val="58"/>
    </w:rPr>
  </w:style>
  <w:style w:type="character" w:customStyle="1" w:styleId="FontStyle215">
    <w:name w:val="Font Style215"/>
    <w:uiPriority w:val="99"/>
    <w:rsid w:val="007257E3"/>
    <w:rPr>
      <w:rFonts w:ascii="Verdana" w:hAnsi="Verdana" w:cs="Verdana"/>
      <w:sz w:val="30"/>
      <w:szCs w:val="30"/>
    </w:rPr>
  </w:style>
  <w:style w:type="character" w:customStyle="1" w:styleId="FontStyle216">
    <w:name w:val="Font Style216"/>
    <w:uiPriority w:val="99"/>
    <w:rsid w:val="007257E3"/>
    <w:rPr>
      <w:rFonts w:ascii="Arial Narrow" w:hAnsi="Arial Narrow" w:cs="Arial Narrow"/>
      <w:sz w:val="104"/>
      <w:szCs w:val="104"/>
    </w:rPr>
  </w:style>
  <w:style w:type="character" w:customStyle="1" w:styleId="FontStyle444">
    <w:name w:val="Font Style444"/>
    <w:uiPriority w:val="99"/>
    <w:rsid w:val="007257E3"/>
    <w:rPr>
      <w:rFonts w:ascii="Calibri" w:hAnsi="Calibri" w:cs="Calibri"/>
      <w:b/>
      <w:bCs/>
      <w:sz w:val="14"/>
      <w:szCs w:val="14"/>
    </w:rPr>
  </w:style>
  <w:style w:type="character" w:customStyle="1" w:styleId="FontStyle484">
    <w:name w:val="Font Style484"/>
    <w:uiPriority w:val="99"/>
    <w:rsid w:val="007257E3"/>
    <w:rPr>
      <w:rFonts w:ascii="Times New Roman" w:hAnsi="Times New Roman" w:cs="Times New Roman"/>
      <w:sz w:val="18"/>
      <w:szCs w:val="18"/>
    </w:rPr>
  </w:style>
  <w:style w:type="character" w:customStyle="1" w:styleId="FontStyle445">
    <w:name w:val="Font Style445"/>
    <w:uiPriority w:val="99"/>
    <w:rsid w:val="007257E3"/>
    <w:rPr>
      <w:rFonts w:ascii="Calibri" w:hAnsi="Calibri" w:cs="Calibri"/>
      <w:sz w:val="20"/>
      <w:szCs w:val="20"/>
    </w:rPr>
  </w:style>
  <w:style w:type="character" w:customStyle="1" w:styleId="FontStyle446">
    <w:name w:val="Font Style446"/>
    <w:uiPriority w:val="99"/>
    <w:rsid w:val="007257E3"/>
    <w:rPr>
      <w:rFonts w:ascii="Calibri" w:hAnsi="Calibri" w:cs="Calibri"/>
      <w:b/>
      <w:bCs/>
      <w:sz w:val="20"/>
      <w:szCs w:val="20"/>
    </w:rPr>
  </w:style>
  <w:style w:type="character" w:customStyle="1" w:styleId="FontStyle447">
    <w:name w:val="Font Style447"/>
    <w:uiPriority w:val="99"/>
    <w:rsid w:val="007257E3"/>
    <w:rPr>
      <w:rFonts w:ascii="Calibri" w:hAnsi="Calibri" w:cs="Calibri"/>
      <w:b/>
      <w:bCs/>
      <w:spacing w:val="50"/>
      <w:sz w:val="32"/>
      <w:szCs w:val="32"/>
    </w:rPr>
  </w:style>
  <w:style w:type="character" w:customStyle="1" w:styleId="FontStyle449">
    <w:name w:val="Font Style449"/>
    <w:uiPriority w:val="99"/>
    <w:rsid w:val="007257E3"/>
    <w:rPr>
      <w:rFonts w:ascii="Times New Roman" w:hAnsi="Times New Roman" w:cs="Times New Roman"/>
      <w:b/>
      <w:bCs/>
      <w:spacing w:val="-10"/>
      <w:sz w:val="14"/>
      <w:szCs w:val="14"/>
    </w:rPr>
  </w:style>
  <w:style w:type="paragraph" w:customStyle="1" w:styleId="CaracterCaracterCharCaracterCaracterCharCaracterCaracterCharCaracterCaracterChar1CharCharChar">
    <w:name w:val="Caracter Caracter Char Caracter Caracter Char Caracter Caracter Char Caracter Caracter Char1 Char Char Char"/>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Marker">
    <w:name w:val="Marker"/>
    <w:rsid w:val="007257E3"/>
    <w:rPr>
      <w:noProof w:val="0"/>
      <w:color w:val="0000FF"/>
      <w:lang w:val="en-GB"/>
    </w:rPr>
  </w:style>
  <w:style w:type="character" w:customStyle="1" w:styleId="FontStyle471">
    <w:name w:val="Font Style471"/>
    <w:uiPriority w:val="99"/>
    <w:rsid w:val="007257E3"/>
    <w:rPr>
      <w:rFonts w:ascii="Times New Roman" w:hAnsi="Times New Roman" w:cs="Times New Roman"/>
      <w:b/>
      <w:bCs/>
      <w:i/>
      <w:iCs/>
      <w:sz w:val="20"/>
      <w:szCs w:val="20"/>
    </w:rPr>
  </w:style>
  <w:style w:type="character" w:customStyle="1" w:styleId="FontStyle525">
    <w:name w:val="Font Style525"/>
    <w:uiPriority w:val="99"/>
    <w:rsid w:val="007257E3"/>
    <w:rPr>
      <w:rFonts w:ascii="Calibri" w:hAnsi="Calibri" w:cs="Calibri"/>
      <w:b/>
      <w:bCs/>
      <w:spacing w:val="-10"/>
      <w:sz w:val="40"/>
      <w:szCs w:val="40"/>
    </w:rPr>
  </w:style>
  <w:style w:type="character" w:customStyle="1" w:styleId="FontStyle41">
    <w:name w:val="Font Style41"/>
    <w:uiPriority w:val="99"/>
    <w:rsid w:val="007257E3"/>
    <w:rPr>
      <w:rFonts w:ascii="Times New Roman" w:hAnsi="Times New Roman" w:cs="Times New Roman"/>
      <w:smallCaps/>
      <w:sz w:val="22"/>
      <w:szCs w:val="22"/>
    </w:rPr>
  </w:style>
  <w:style w:type="character" w:customStyle="1" w:styleId="FontStyle43">
    <w:name w:val="Font Style43"/>
    <w:uiPriority w:val="99"/>
    <w:rsid w:val="007257E3"/>
    <w:rPr>
      <w:rFonts w:ascii="Times New Roman" w:hAnsi="Times New Roman" w:cs="Times New Roman"/>
      <w:smallCaps/>
      <w:sz w:val="18"/>
      <w:szCs w:val="18"/>
    </w:rPr>
  </w:style>
  <w:style w:type="character" w:customStyle="1" w:styleId="FontStyle47">
    <w:name w:val="Font Style47"/>
    <w:uiPriority w:val="99"/>
    <w:rsid w:val="007257E3"/>
    <w:rPr>
      <w:rFonts w:ascii="Times New Roman" w:hAnsi="Times New Roman" w:cs="Times New Roman"/>
      <w:i/>
      <w:iCs/>
      <w:sz w:val="24"/>
      <w:szCs w:val="24"/>
    </w:rPr>
  </w:style>
  <w:style w:type="character" w:customStyle="1" w:styleId="FontStyle48">
    <w:name w:val="Font Style48"/>
    <w:uiPriority w:val="99"/>
    <w:rsid w:val="007257E3"/>
    <w:rPr>
      <w:rFonts w:ascii="Times New Roman" w:hAnsi="Times New Roman" w:cs="Times New Roman"/>
      <w:b/>
      <w:bCs/>
      <w:i/>
      <w:iCs/>
      <w:sz w:val="22"/>
      <w:szCs w:val="22"/>
    </w:rPr>
  </w:style>
  <w:style w:type="character" w:customStyle="1" w:styleId="FontStyle50">
    <w:name w:val="Font Style50"/>
    <w:rsid w:val="007257E3"/>
    <w:rPr>
      <w:rFonts w:ascii="Times New Roman" w:hAnsi="Times New Roman" w:cs="Times New Roman"/>
      <w:sz w:val="22"/>
      <w:szCs w:val="22"/>
    </w:rPr>
  </w:style>
  <w:style w:type="character" w:customStyle="1" w:styleId="FontStyle51">
    <w:name w:val="Font Style51"/>
    <w:uiPriority w:val="99"/>
    <w:rsid w:val="007257E3"/>
    <w:rPr>
      <w:rFonts w:ascii="Arial Unicode MS" w:eastAsia="Arial Unicode MS" w:cs="Arial Unicode MS"/>
      <w:sz w:val="14"/>
      <w:szCs w:val="14"/>
    </w:rPr>
  </w:style>
  <w:style w:type="character" w:customStyle="1" w:styleId="FontStyle49">
    <w:name w:val="Font Style49"/>
    <w:uiPriority w:val="99"/>
    <w:rsid w:val="007257E3"/>
    <w:rPr>
      <w:rFonts w:ascii="Times New Roman" w:hAnsi="Times New Roman" w:cs="Times New Roman"/>
      <w:b/>
      <w:bCs/>
      <w:sz w:val="22"/>
      <w:szCs w:val="22"/>
    </w:rPr>
  </w:style>
  <w:style w:type="character" w:customStyle="1" w:styleId="FontStyle450">
    <w:name w:val="Font Style450"/>
    <w:uiPriority w:val="99"/>
    <w:rsid w:val="007257E3"/>
    <w:rPr>
      <w:rFonts w:ascii="Times New Roman" w:hAnsi="Times New Roman" w:cs="Times New Roman"/>
      <w:spacing w:val="-30"/>
      <w:sz w:val="62"/>
      <w:szCs w:val="62"/>
    </w:rPr>
  </w:style>
  <w:style w:type="character" w:customStyle="1" w:styleId="FontStyle483">
    <w:name w:val="Font Style483"/>
    <w:uiPriority w:val="99"/>
    <w:rsid w:val="007257E3"/>
    <w:rPr>
      <w:rFonts w:ascii="Arial Black" w:hAnsi="Arial Black" w:cs="Arial Black"/>
      <w:smallCaps/>
      <w:sz w:val="8"/>
      <w:szCs w:val="8"/>
    </w:rPr>
  </w:style>
  <w:style w:type="character" w:customStyle="1" w:styleId="FontStyle499">
    <w:name w:val="Font Style499"/>
    <w:uiPriority w:val="99"/>
    <w:rsid w:val="007257E3"/>
    <w:rPr>
      <w:rFonts w:ascii="Arial Black" w:hAnsi="Arial Black" w:cs="Arial Black"/>
      <w:smallCaps/>
      <w:sz w:val="8"/>
      <w:szCs w:val="8"/>
    </w:rPr>
  </w:style>
  <w:style w:type="character" w:customStyle="1" w:styleId="FontStyle508">
    <w:name w:val="Font Style508"/>
    <w:uiPriority w:val="99"/>
    <w:rsid w:val="007257E3"/>
    <w:rPr>
      <w:rFonts w:ascii="Calibri" w:hAnsi="Calibri" w:cs="Calibri"/>
      <w:sz w:val="22"/>
      <w:szCs w:val="22"/>
    </w:rPr>
  </w:style>
  <w:style w:type="character" w:customStyle="1" w:styleId="FontStyle113">
    <w:name w:val="Font Style113"/>
    <w:uiPriority w:val="99"/>
    <w:rsid w:val="007257E3"/>
    <w:rPr>
      <w:rFonts w:ascii="Arial Unicode MS" w:eastAsia="Arial Unicode MS" w:cs="Arial Unicode MS"/>
      <w:b/>
      <w:bCs/>
      <w:sz w:val="16"/>
      <w:szCs w:val="16"/>
    </w:rPr>
  </w:style>
  <w:style w:type="paragraph" w:customStyle="1" w:styleId="Text10">
    <w:name w:val="Text 1"/>
    <w:basedOn w:val="Normal"/>
    <w:qFormat/>
    <w:rsid w:val="007257E3"/>
    <w:pPr>
      <w:spacing w:before="120" w:after="120" w:line="240" w:lineRule="auto"/>
      <w:ind w:left="851"/>
      <w:jc w:val="both"/>
    </w:pPr>
    <w:rPr>
      <w:rFonts w:ascii="Times New Roman" w:eastAsia="Times New Roman" w:hAnsi="Times New Roman" w:cs="Times New Roman"/>
      <w:sz w:val="24"/>
      <w:szCs w:val="24"/>
      <w:lang w:val="fr-FR" w:eastAsia="en-GB"/>
    </w:rPr>
  </w:style>
  <w:style w:type="character" w:customStyle="1" w:styleId="FontStyle94">
    <w:name w:val="Font Style94"/>
    <w:uiPriority w:val="99"/>
    <w:rsid w:val="007257E3"/>
    <w:rPr>
      <w:rFonts w:ascii="Arial Unicode MS" w:eastAsia="Arial Unicode MS" w:cs="Arial Unicode MS"/>
      <w:b/>
      <w:bCs/>
      <w:i/>
      <w:iCs/>
      <w:spacing w:val="20"/>
      <w:sz w:val="24"/>
      <w:szCs w:val="24"/>
    </w:rPr>
  </w:style>
  <w:style w:type="character" w:customStyle="1" w:styleId="FontStyle454">
    <w:name w:val="Font Style454"/>
    <w:uiPriority w:val="99"/>
    <w:rsid w:val="007257E3"/>
    <w:rPr>
      <w:rFonts w:ascii="Calibri" w:hAnsi="Calibri" w:cs="Calibri"/>
      <w:b/>
      <w:bCs/>
      <w:spacing w:val="-10"/>
      <w:sz w:val="20"/>
      <w:szCs w:val="20"/>
    </w:rPr>
  </w:style>
  <w:style w:type="paragraph" w:customStyle="1" w:styleId="NormalJustified">
    <w:name w:val="Normal + Justified"/>
    <w:aliases w:val="Line spacing:  1.5 lines"/>
    <w:basedOn w:val="Normal"/>
    <w:link w:val="NormalJustifiedChar"/>
    <w:qFormat/>
    <w:rsid w:val="007257E3"/>
    <w:pPr>
      <w:spacing w:line="240" w:lineRule="auto"/>
    </w:pPr>
    <w:rPr>
      <w:rFonts w:ascii="Times New Roman" w:eastAsia="Times New Roman" w:hAnsi="Times New Roman" w:cs="Times New Roman"/>
      <w:sz w:val="24"/>
      <w:szCs w:val="24"/>
      <w:lang w:val="x-none" w:eastAsia="x-none"/>
    </w:rPr>
  </w:style>
  <w:style w:type="character" w:customStyle="1" w:styleId="NormalJustifiedChar">
    <w:name w:val="Normal + Justified Char"/>
    <w:aliases w:val="Line spacing:  1.5 lines Char Char"/>
    <w:link w:val="NormalJustified"/>
    <w:locked/>
    <w:rsid w:val="007257E3"/>
    <w:rPr>
      <w:rFonts w:ascii="Times New Roman" w:eastAsia="Times New Roman" w:hAnsi="Times New Roman" w:cs="Times New Roman"/>
      <w:sz w:val="24"/>
      <w:szCs w:val="24"/>
      <w:lang w:val="x-none" w:eastAsia="x-none"/>
    </w:rPr>
  </w:style>
  <w:style w:type="paragraph" w:customStyle="1" w:styleId="Style172">
    <w:name w:val="Style172"/>
    <w:basedOn w:val="Normal"/>
    <w:uiPriority w:val="99"/>
    <w:qFormat/>
    <w:rsid w:val="007257E3"/>
    <w:pPr>
      <w:widowControl w:val="0"/>
      <w:autoSpaceDE w:val="0"/>
      <w:autoSpaceDN w:val="0"/>
      <w:adjustRightInd w:val="0"/>
      <w:spacing w:line="240" w:lineRule="auto"/>
    </w:pPr>
    <w:rPr>
      <w:rFonts w:ascii="Calibri" w:eastAsia="Times New Roman" w:hAnsi="Calibri" w:cs="Times New Roman"/>
      <w:sz w:val="24"/>
      <w:szCs w:val="24"/>
      <w:lang w:eastAsia="ro-RO"/>
    </w:rPr>
  </w:style>
  <w:style w:type="character" w:customStyle="1" w:styleId="FontStyle523">
    <w:name w:val="Font Style523"/>
    <w:uiPriority w:val="99"/>
    <w:rsid w:val="007257E3"/>
    <w:rPr>
      <w:rFonts w:ascii="Arial Black" w:hAnsi="Arial Black" w:cs="Arial Black"/>
      <w:smallCaps/>
      <w:spacing w:val="30"/>
      <w:sz w:val="8"/>
      <w:szCs w:val="8"/>
    </w:rPr>
  </w:style>
  <w:style w:type="character" w:customStyle="1" w:styleId="FontStyle473">
    <w:name w:val="Font Style473"/>
    <w:uiPriority w:val="99"/>
    <w:rsid w:val="007257E3"/>
    <w:rPr>
      <w:rFonts w:ascii="Times New Roman" w:hAnsi="Times New Roman" w:cs="Times New Roman"/>
      <w:i/>
      <w:iCs/>
      <w:spacing w:val="30"/>
      <w:sz w:val="28"/>
      <w:szCs w:val="28"/>
    </w:rPr>
  </w:style>
  <w:style w:type="character" w:customStyle="1" w:styleId="FontStyle504">
    <w:name w:val="Font Style504"/>
    <w:uiPriority w:val="99"/>
    <w:rsid w:val="007257E3"/>
    <w:rPr>
      <w:rFonts w:ascii="Times New Roman" w:hAnsi="Times New Roman" w:cs="Times New Roman"/>
      <w:i/>
      <w:iCs/>
      <w:sz w:val="46"/>
      <w:szCs w:val="46"/>
    </w:rPr>
  </w:style>
  <w:style w:type="paragraph" w:customStyle="1" w:styleId="Style166">
    <w:name w:val="Style166"/>
    <w:basedOn w:val="Normal"/>
    <w:uiPriority w:val="99"/>
    <w:qFormat/>
    <w:rsid w:val="007257E3"/>
    <w:pPr>
      <w:widowControl w:val="0"/>
      <w:autoSpaceDE w:val="0"/>
      <w:autoSpaceDN w:val="0"/>
      <w:adjustRightInd w:val="0"/>
      <w:spacing w:line="283" w:lineRule="exact"/>
      <w:ind w:firstLine="355"/>
    </w:pPr>
    <w:rPr>
      <w:rFonts w:ascii="Calibri" w:eastAsia="Times New Roman" w:hAnsi="Calibri" w:cs="Times New Roman"/>
      <w:sz w:val="24"/>
      <w:szCs w:val="24"/>
      <w:lang w:eastAsia="ro-RO"/>
    </w:rPr>
  </w:style>
  <w:style w:type="paragraph" w:customStyle="1" w:styleId="Style167">
    <w:name w:val="Style167"/>
    <w:basedOn w:val="Normal"/>
    <w:uiPriority w:val="99"/>
    <w:qFormat/>
    <w:rsid w:val="007257E3"/>
    <w:pPr>
      <w:widowControl w:val="0"/>
      <w:autoSpaceDE w:val="0"/>
      <w:autoSpaceDN w:val="0"/>
      <w:adjustRightInd w:val="0"/>
      <w:spacing w:line="240" w:lineRule="auto"/>
    </w:pPr>
    <w:rPr>
      <w:rFonts w:ascii="Calibri" w:eastAsia="Times New Roman" w:hAnsi="Calibri" w:cs="Times New Roman"/>
      <w:sz w:val="24"/>
      <w:szCs w:val="24"/>
      <w:lang w:eastAsia="ro-RO"/>
    </w:rPr>
  </w:style>
  <w:style w:type="paragraph" w:customStyle="1" w:styleId="Style171">
    <w:name w:val="Style171"/>
    <w:basedOn w:val="Normal"/>
    <w:uiPriority w:val="99"/>
    <w:qFormat/>
    <w:rsid w:val="007257E3"/>
    <w:pPr>
      <w:widowControl w:val="0"/>
      <w:autoSpaceDE w:val="0"/>
      <w:autoSpaceDN w:val="0"/>
      <w:adjustRightInd w:val="0"/>
      <w:spacing w:line="240" w:lineRule="auto"/>
    </w:pPr>
    <w:rPr>
      <w:rFonts w:ascii="Calibri" w:eastAsia="Times New Roman" w:hAnsi="Calibri" w:cs="Times New Roman"/>
      <w:sz w:val="24"/>
      <w:szCs w:val="24"/>
      <w:lang w:eastAsia="ro-RO"/>
    </w:rPr>
  </w:style>
  <w:style w:type="paragraph" w:customStyle="1" w:styleId="Style174">
    <w:name w:val="Style174"/>
    <w:basedOn w:val="Normal"/>
    <w:uiPriority w:val="99"/>
    <w:qFormat/>
    <w:rsid w:val="007257E3"/>
    <w:pPr>
      <w:widowControl w:val="0"/>
      <w:autoSpaceDE w:val="0"/>
      <w:autoSpaceDN w:val="0"/>
      <w:adjustRightInd w:val="0"/>
      <w:spacing w:line="269" w:lineRule="exact"/>
      <w:ind w:firstLine="691"/>
    </w:pPr>
    <w:rPr>
      <w:rFonts w:ascii="Calibri" w:eastAsia="Times New Roman" w:hAnsi="Calibri" w:cs="Times New Roman"/>
      <w:sz w:val="24"/>
      <w:szCs w:val="24"/>
      <w:lang w:eastAsia="ro-RO"/>
    </w:rPr>
  </w:style>
  <w:style w:type="paragraph" w:customStyle="1" w:styleId="Style176">
    <w:name w:val="Style176"/>
    <w:basedOn w:val="Normal"/>
    <w:uiPriority w:val="99"/>
    <w:qFormat/>
    <w:rsid w:val="007257E3"/>
    <w:pPr>
      <w:widowControl w:val="0"/>
      <w:autoSpaceDE w:val="0"/>
      <w:autoSpaceDN w:val="0"/>
      <w:adjustRightInd w:val="0"/>
      <w:spacing w:line="240" w:lineRule="auto"/>
    </w:pPr>
    <w:rPr>
      <w:rFonts w:ascii="Calibri" w:eastAsia="Times New Roman" w:hAnsi="Calibri" w:cs="Times New Roman"/>
      <w:sz w:val="24"/>
      <w:szCs w:val="24"/>
      <w:lang w:eastAsia="ro-RO"/>
    </w:rPr>
  </w:style>
  <w:style w:type="character" w:customStyle="1" w:styleId="FontStyle451">
    <w:name w:val="Font Style451"/>
    <w:uiPriority w:val="99"/>
    <w:rsid w:val="007257E3"/>
    <w:rPr>
      <w:rFonts w:ascii="Times New Roman" w:hAnsi="Times New Roman" w:cs="Times New Roman"/>
      <w:i/>
      <w:iCs/>
      <w:sz w:val="20"/>
      <w:szCs w:val="20"/>
    </w:rPr>
  </w:style>
  <w:style w:type="character" w:customStyle="1" w:styleId="FontStyle455">
    <w:name w:val="Font Style455"/>
    <w:uiPriority w:val="99"/>
    <w:rsid w:val="007257E3"/>
    <w:rPr>
      <w:rFonts w:ascii="Times New Roman" w:hAnsi="Times New Roman" w:cs="Times New Roman"/>
      <w:b/>
      <w:bCs/>
      <w:sz w:val="20"/>
      <w:szCs w:val="20"/>
    </w:rPr>
  </w:style>
  <w:style w:type="character" w:customStyle="1" w:styleId="FontStyle464">
    <w:name w:val="Font Style464"/>
    <w:uiPriority w:val="99"/>
    <w:rsid w:val="007257E3"/>
    <w:rPr>
      <w:rFonts w:ascii="Times New Roman" w:hAnsi="Times New Roman" w:cs="Times New Roman"/>
      <w:i/>
      <w:iCs/>
      <w:spacing w:val="-30"/>
      <w:sz w:val="32"/>
      <w:szCs w:val="32"/>
    </w:rPr>
  </w:style>
  <w:style w:type="character" w:customStyle="1" w:styleId="FontStyle468">
    <w:name w:val="Font Style468"/>
    <w:uiPriority w:val="99"/>
    <w:rsid w:val="007257E3"/>
    <w:rPr>
      <w:rFonts w:ascii="Times New Roman" w:hAnsi="Times New Roman" w:cs="Times New Roman"/>
      <w:b/>
      <w:bCs/>
      <w:sz w:val="12"/>
      <w:szCs w:val="12"/>
    </w:rPr>
  </w:style>
  <w:style w:type="character" w:customStyle="1" w:styleId="FontStyle475">
    <w:name w:val="Font Style475"/>
    <w:uiPriority w:val="99"/>
    <w:rsid w:val="007257E3"/>
    <w:rPr>
      <w:rFonts w:ascii="Calibri" w:hAnsi="Calibri" w:cs="Calibri"/>
      <w:b/>
      <w:bCs/>
      <w:sz w:val="18"/>
      <w:szCs w:val="18"/>
    </w:rPr>
  </w:style>
  <w:style w:type="character" w:customStyle="1" w:styleId="FontStyle500">
    <w:name w:val="Font Style500"/>
    <w:uiPriority w:val="99"/>
    <w:rsid w:val="007257E3"/>
    <w:rPr>
      <w:rFonts w:ascii="Times New Roman" w:hAnsi="Times New Roman" w:cs="Times New Roman"/>
      <w:smallCaps/>
      <w:sz w:val="28"/>
      <w:szCs w:val="28"/>
    </w:rPr>
  </w:style>
  <w:style w:type="character" w:customStyle="1" w:styleId="FontStyle509">
    <w:name w:val="Font Style509"/>
    <w:uiPriority w:val="99"/>
    <w:rsid w:val="007257E3"/>
    <w:rPr>
      <w:rFonts w:ascii="Times New Roman" w:hAnsi="Times New Roman" w:cs="Times New Roman"/>
      <w:b/>
      <w:bCs/>
      <w:sz w:val="22"/>
      <w:szCs w:val="22"/>
    </w:rPr>
  </w:style>
  <w:style w:type="paragraph" w:customStyle="1" w:styleId="Style183">
    <w:name w:val="Style183"/>
    <w:basedOn w:val="Normal"/>
    <w:uiPriority w:val="99"/>
    <w:qFormat/>
    <w:rsid w:val="007257E3"/>
    <w:pPr>
      <w:widowControl w:val="0"/>
      <w:autoSpaceDE w:val="0"/>
      <w:autoSpaceDN w:val="0"/>
      <w:adjustRightInd w:val="0"/>
      <w:spacing w:line="355" w:lineRule="exact"/>
      <w:jc w:val="center"/>
    </w:pPr>
    <w:rPr>
      <w:rFonts w:ascii="Calibri" w:eastAsia="Times New Roman" w:hAnsi="Calibri" w:cs="Times New Roman"/>
      <w:sz w:val="24"/>
      <w:szCs w:val="24"/>
      <w:lang w:eastAsia="ro-RO"/>
    </w:rPr>
  </w:style>
  <w:style w:type="paragraph" w:customStyle="1" w:styleId="Style211">
    <w:name w:val="Style211"/>
    <w:basedOn w:val="Normal"/>
    <w:uiPriority w:val="99"/>
    <w:qFormat/>
    <w:rsid w:val="007257E3"/>
    <w:pPr>
      <w:widowControl w:val="0"/>
      <w:autoSpaceDE w:val="0"/>
      <w:autoSpaceDN w:val="0"/>
      <w:adjustRightInd w:val="0"/>
      <w:spacing w:line="557" w:lineRule="exact"/>
      <w:ind w:hanging="302"/>
    </w:pPr>
    <w:rPr>
      <w:rFonts w:ascii="Calibri" w:eastAsia="Times New Roman" w:hAnsi="Calibri" w:cs="Times New Roman"/>
      <w:sz w:val="24"/>
      <w:szCs w:val="24"/>
      <w:lang w:eastAsia="ro-RO"/>
    </w:rPr>
  </w:style>
  <w:style w:type="paragraph" w:customStyle="1" w:styleId="WUMlevel2">
    <w:name w:val="WUM level 2"/>
    <w:basedOn w:val="Heading2"/>
    <w:next w:val="Style11"/>
    <w:qFormat/>
    <w:rsid w:val="007257E3"/>
    <w:pPr>
      <w:keepLines w:val="0"/>
      <w:numPr>
        <w:ilvl w:val="0"/>
        <w:numId w:val="0"/>
      </w:numPr>
      <w:tabs>
        <w:tab w:val="left" w:pos="0"/>
        <w:tab w:val="right" w:pos="3769"/>
      </w:tabs>
      <w:suppressAutoHyphens w:val="0"/>
      <w:spacing w:before="0" w:line="240" w:lineRule="auto"/>
      <w:ind w:left="360" w:hanging="1080"/>
      <w:contextualSpacing w:val="0"/>
      <w:jc w:val="both"/>
    </w:pPr>
    <w:rPr>
      <w:rFonts w:ascii="Times New Roman" w:eastAsia="Times New Roman" w:hAnsi="Times New Roman" w:cs="Times New Roman"/>
      <w:iCs/>
      <w:noProof/>
      <w:kern w:val="20"/>
      <w:sz w:val="28"/>
      <w:szCs w:val="28"/>
    </w:rPr>
  </w:style>
  <w:style w:type="paragraph" w:customStyle="1" w:styleId="WUMlevel3">
    <w:name w:val="WUM level 3"/>
    <w:basedOn w:val="Heading3"/>
    <w:qFormat/>
    <w:rsid w:val="007257E3"/>
    <w:pPr>
      <w:keepLines w:val="0"/>
      <w:numPr>
        <w:numId w:val="114"/>
      </w:numPr>
      <w:spacing w:before="120" w:after="60" w:line="240" w:lineRule="auto"/>
      <w:contextualSpacing w:val="0"/>
      <w:jc w:val="both"/>
    </w:pPr>
    <w:rPr>
      <w:rFonts w:ascii="Times New Roman" w:eastAsia="Times New Roman" w:hAnsi="Times New Roman" w:cs="Arial"/>
      <w:b/>
      <w:bCs w:val="0"/>
      <w:i/>
      <w:noProof/>
      <w:sz w:val="26"/>
      <w:szCs w:val="26"/>
      <w:lang w:val="x-none"/>
    </w:rPr>
  </w:style>
  <w:style w:type="paragraph" w:customStyle="1" w:styleId="WUMlevel1">
    <w:name w:val="WUM level 1"/>
    <w:basedOn w:val="Heading1"/>
    <w:qFormat/>
    <w:rsid w:val="007257E3"/>
    <w:pPr>
      <w:keepLines w:val="0"/>
      <w:numPr>
        <w:numId w:val="114"/>
      </w:numPr>
      <w:tabs>
        <w:tab w:val="left" w:pos="0"/>
        <w:tab w:val="num" w:pos="720"/>
      </w:tabs>
      <w:suppressAutoHyphens w:val="0"/>
      <w:spacing w:before="240" w:after="60" w:line="240" w:lineRule="auto"/>
      <w:contextualSpacing w:val="0"/>
    </w:pPr>
    <w:rPr>
      <w:rFonts w:ascii="Arial" w:eastAsia="Times New Roman" w:hAnsi="Arial" w:cs="Times New Roman"/>
      <w:color w:val="auto"/>
      <w:kern w:val="20"/>
      <w:sz w:val="32"/>
      <w:szCs w:val="32"/>
      <w:lang w:val="en-US"/>
    </w:rPr>
  </w:style>
  <w:style w:type="paragraph" w:customStyle="1" w:styleId="Style253">
    <w:name w:val="Style253"/>
    <w:basedOn w:val="Normal"/>
    <w:uiPriority w:val="99"/>
    <w:qFormat/>
    <w:rsid w:val="007257E3"/>
    <w:pPr>
      <w:widowControl w:val="0"/>
      <w:autoSpaceDE w:val="0"/>
      <w:autoSpaceDN w:val="0"/>
      <w:adjustRightInd w:val="0"/>
      <w:spacing w:line="230" w:lineRule="exact"/>
      <w:ind w:hanging="403"/>
      <w:jc w:val="both"/>
    </w:pPr>
    <w:rPr>
      <w:rFonts w:ascii="Arial Narrow" w:eastAsia="Times New Roman" w:hAnsi="Arial Narrow" w:cs="Times New Roman"/>
      <w:sz w:val="24"/>
      <w:szCs w:val="24"/>
      <w:lang w:eastAsia="ro-RO"/>
    </w:rPr>
  </w:style>
  <w:style w:type="character" w:customStyle="1" w:styleId="FontStyle1194">
    <w:name w:val="Font Style1194"/>
    <w:uiPriority w:val="99"/>
    <w:rsid w:val="007257E3"/>
    <w:rPr>
      <w:rFonts w:ascii="Arial Narrow" w:hAnsi="Arial Narrow" w:cs="Arial Narrow"/>
      <w:sz w:val="20"/>
      <w:szCs w:val="20"/>
    </w:rPr>
  </w:style>
  <w:style w:type="character" w:customStyle="1" w:styleId="FontStyle1245">
    <w:name w:val="Font Style1245"/>
    <w:uiPriority w:val="99"/>
    <w:rsid w:val="007257E3"/>
    <w:rPr>
      <w:rFonts w:ascii="Arial Narrow" w:hAnsi="Arial Narrow" w:cs="Arial Narrow"/>
      <w:i/>
      <w:iCs/>
      <w:sz w:val="20"/>
      <w:szCs w:val="20"/>
    </w:rPr>
  </w:style>
  <w:style w:type="paragraph" w:customStyle="1" w:styleId="Style245">
    <w:name w:val="Style245"/>
    <w:basedOn w:val="Normal"/>
    <w:uiPriority w:val="99"/>
    <w:qFormat/>
    <w:rsid w:val="007257E3"/>
    <w:pPr>
      <w:widowControl w:val="0"/>
      <w:autoSpaceDE w:val="0"/>
      <w:autoSpaceDN w:val="0"/>
      <w:adjustRightInd w:val="0"/>
      <w:spacing w:line="230" w:lineRule="exact"/>
      <w:jc w:val="both"/>
    </w:pPr>
    <w:rPr>
      <w:rFonts w:ascii="Arial Narrow" w:eastAsia="Times New Roman" w:hAnsi="Arial Narrow" w:cs="Times New Roman"/>
      <w:sz w:val="24"/>
      <w:szCs w:val="24"/>
      <w:lang w:eastAsia="ro-RO"/>
    </w:rPr>
  </w:style>
  <w:style w:type="paragraph" w:customStyle="1" w:styleId="Style273">
    <w:name w:val="Style273"/>
    <w:basedOn w:val="Normal"/>
    <w:uiPriority w:val="99"/>
    <w:qFormat/>
    <w:rsid w:val="007257E3"/>
    <w:pPr>
      <w:widowControl w:val="0"/>
      <w:autoSpaceDE w:val="0"/>
      <w:autoSpaceDN w:val="0"/>
      <w:adjustRightInd w:val="0"/>
      <w:spacing w:line="240" w:lineRule="auto"/>
    </w:pPr>
    <w:rPr>
      <w:rFonts w:ascii="Arial Narrow" w:eastAsia="Times New Roman" w:hAnsi="Arial Narrow" w:cs="Times New Roman"/>
      <w:sz w:val="24"/>
      <w:szCs w:val="24"/>
      <w:lang w:eastAsia="ro-RO"/>
    </w:rPr>
  </w:style>
  <w:style w:type="character" w:customStyle="1" w:styleId="yshortcuts1">
    <w:name w:val="yshortcuts1"/>
    <w:rsid w:val="007257E3"/>
    <w:rPr>
      <w:color w:val="366388"/>
    </w:rPr>
  </w:style>
  <w:style w:type="character" w:customStyle="1" w:styleId="googqs-tidbit-0">
    <w:name w:val="goog_qs-tidbit-0"/>
    <w:basedOn w:val="DefaultParagraphFont"/>
    <w:rsid w:val="007257E3"/>
  </w:style>
  <w:style w:type="character" w:customStyle="1" w:styleId="googqs-nowrap1">
    <w:name w:val="goog_qs-nowrap1"/>
    <w:rsid w:val="007257E3"/>
    <w:rPr>
      <w:rFonts w:ascii="Arial" w:hAnsi="Arial" w:cs="Arial" w:hint="default"/>
      <w:strike w:val="0"/>
      <w:dstrike w:val="0"/>
      <w:color w:val="000000"/>
      <w:spacing w:val="0"/>
      <w:sz w:val="20"/>
      <w:szCs w:val="20"/>
      <w:u w:val="none"/>
      <w:effect w:val="none"/>
      <w:bdr w:val="none" w:sz="0" w:space="0" w:color="auto" w:frame="1"/>
    </w:rPr>
  </w:style>
  <w:style w:type="character" w:customStyle="1" w:styleId="googqs-query1">
    <w:name w:val="goog_qs-query1"/>
    <w:rsid w:val="007257E3"/>
    <w:rPr>
      <w:rFonts w:ascii="Arial" w:hAnsi="Arial" w:cs="Arial" w:hint="default"/>
      <w:b/>
      <w:bCs/>
      <w:strike w:val="0"/>
      <w:dstrike w:val="0"/>
      <w:color w:val="000000"/>
      <w:spacing w:val="0"/>
      <w:sz w:val="20"/>
      <w:szCs w:val="20"/>
      <w:u w:val="none"/>
      <w:effect w:val="none"/>
      <w:bdr w:val="none" w:sz="0" w:space="0" w:color="auto" w:frame="1"/>
    </w:rPr>
  </w:style>
  <w:style w:type="character" w:customStyle="1" w:styleId="googqs-nowrap2">
    <w:name w:val="goog_qs-nowrap2"/>
    <w:rsid w:val="007257E3"/>
    <w:rPr>
      <w:rFonts w:ascii="Arial" w:hAnsi="Arial" w:cs="Arial" w:hint="default"/>
      <w:b/>
      <w:bCs/>
      <w:strike w:val="0"/>
      <w:dstrike w:val="0"/>
      <w:color w:val="000000"/>
      <w:spacing w:val="0"/>
      <w:sz w:val="20"/>
      <w:szCs w:val="20"/>
      <w:u w:val="none"/>
      <w:effect w:val="none"/>
      <w:bdr w:val="none" w:sz="0" w:space="0" w:color="auto" w:frame="1"/>
    </w:rPr>
  </w:style>
  <w:style w:type="character" w:customStyle="1" w:styleId="googqs-nowrap3">
    <w:name w:val="goog_qs-nowrap3"/>
    <w:rsid w:val="007257E3"/>
    <w:rPr>
      <w:rFonts w:ascii="Arial" w:hAnsi="Arial" w:cs="Arial" w:hint="default"/>
      <w:strike w:val="0"/>
      <w:dstrike w:val="0"/>
      <w:color w:val="000000"/>
      <w:spacing w:val="0"/>
      <w:sz w:val="20"/>
      <w:szCs w:val="20"/>
      <w:u w:val="none"/>
      <w:effect w:val="none"/>
      <w:bdr w:val="none" w:sz="0" w:space="0" w:color="auto" w:frame="1"/>
      <w:shd w:val="clear" w:color="auto" w:fill="auto"/>
    </w:rPr>
  </w:style>
  <w:style w:type="character" w:customStyle="1" w:styleId="googqs-nowrap4">
    <w:name w:val="goog_qs-nowrap4"/>
    <w:rsid w:val="007257E3"/>
    <w:rPr>
      <w:rFonts w:ascii="Arial" w:hAnsi="Arial" w:cs="Arial" w:hint="default"/>
      <w:b/>
      <w:bCs/>
      <w:i w:val="0"/>
      <w:iCs w:val="0"/>
      <w:strike w:val="0"/>
      <w:dstrike w:val="0"/>
      <w:color w:val="000000"/>
      <w:spacing w:val="0"/>
      <w:sz w:val="20"/>
      <w:szCs w:val="20"/>
      <w:u w:val="none"/>
      <w:effect w:val="none"/>
      <w:bdr w:val="none" w:sz="0" w:space="0" w:color="auto" w:frame="1"/>
      <w:shd w:val="clear" w:color="auto" w:fill="auto"/>
    </w:rPr>
  </w:style>
  <w:style w:type="character" w:customStyle="1" w:styleId="googqs-go4">
    <w:name w:val="goog_qs-go4"/>
    <w:rsid w:val="007257E3"/>
    <w:rPr>
      <w:rFonts w:ascii="Arial" w:hAnsi="Arial" w:cs="Arial" w:hint="default"/>
      <w:strike w:val="0"/>
      <w:dstrike w:val="0"/>
      <w:color w:val="2200CC"/>
      <w:spacing w:val="0"/>
      <w:sz w:val="20"/>
      <w:szCs w:val="20"/>
      <w:u w:val="single"/>
      <w:effect w:val="none"/>
      <w:bdr w:val="none" w:sz="0" w:space="0" w:color="auto" w:frame="1"/>
      <w:shd w:val="clear" w:color="auto" w:fill="auto"/>
    </w:rPr>
  </w:style>
  <w:style w:type="character" w:customStyle="1" w:styleId="googqs-nowrap5">
    <w:name w:val="goog_qs-nowrap5"/>
    <w:rsid w:val="007257E3"/>
    <w:rPr>
      <w:rFonts w:ascii="Arial" w:hAnsi="Arial" w:cs="Arial" w:hint="default"/>
      <w:strike w:val="0"/>
      <w:dstrike w:val="0"/>
      <w:color w:val="2200CC"/>
      <w:spacing w:val="0"/>
      <w:sz w:val="20"/>
      <w:szCs w:val="20"/>
      <w:u w:val="single"/>
      <w:effect w:val="none"/>
      <w:bdr w:val="none" w:sz="0" w:space="0" w:color="auto" w:frame="1"/>
      <w:shd w:val="clear" w:color="auto" w:fill="auto"/>
    </w:rPr>
  </w:style>
  <w:style w:type="paragraph" w:customStyle="1" w:styleId="NormalArial">
    <w:name w:val="Normal + Arial"/>
    <w:aliases w:val="First line:  0.5&quot;,Plain Text + Arial,12 pt,Line spacing:  1....,Justified,First line:  0.63 cm"/>
    <w:basedOn w:val="Normal"/>
    <w:qFormat/>
    <w:rsid w:val="007257E3"/>
    <w:pPr>
      <w:spacing w:line="240" w:lineRule="auto"/>
      <w:jc w:val="both"/>
      <w:outlineLvl w:val="0"/>
    </w:pPr>
    <w:rPr>
      <w:rFonts w:ascii="Arial" w:eastAsia="Times New Roman" w:hAnsi="Arial" w:cs="Arial"/>
      <w:b/>
      <w:sz w:val="24"/>
      <w:szCs w:val="24"/>
      <w:lang w:val="it-IT"/>
    </w:rPr>
  </w:style>
  <w:style w:type="paragraph" w:customStyle="1" w:styleId="p47">
    <w:name w:val="p47"/>
    <w:basedOn w:val="Normal"/>
    <w:qFormat/>
    <w:rsid w:val="007257E3"/>
    <w:pPr>
      <w:widowControl w:val="0"/>
      <w:tabs>
        <w:tab w:val="left" w:pos="880"/>
      </w:tabs>
      <w:spacing w:line="240" w:lineRule="auto"/>
      <w:ind w:left="560"/>
    </w:pPr>
    <w:rPr>
      <w:rFonts w:ascii="Times New Roman" w:eastAsia="Times New Roman" w:hAnsi="Times New Roman" w:cs="Times New Roman"/>
      <w:snapToGrid w:val="0"/>
      <w:sz w:val="24"/>
      <w:szCs w:val="20"/>
      <w:lang w:val="en-US" w:eastAsia="ro-RO"/>
    </w:rPr>
  </w:style>
  <w:style w:type="paragraph" w:customStyle="1" w:styleId="StyleHeading2BoldJustifiedLeft0cmHanging102cm">
    <w:name w:val="Style Heading 2 + Bold Justified Left:  0 cm Hanging:  1.02 cm"/>
    <w:basedOn w:val="Heading2"/>
    <w:autoRedefine/>
    <w:qFormat/>
    <w:rsid w:val="007257E3"/>
    <w:pPr>
      <w:keepLines w:val="0"/>
      <w:numPr>
        <w:ilvl w:val="0"/>
        <w:numId w:val="0"/>
      </w:numPr>
      <w:tabs>
        <w:tab w:val="left" w:pos="690"/>
      </w:tabs>
      <w:suppressAutoHyphens w:val="0"/>
      <w:autoSpaceDE w:val="0"/>
      <w:snapToGrid w:val="0"/>
      <w:spacing w:before="120" w:after="120" w:line="240" w:lineRule="auto"/>
      <w:contextualSpacing w:val="0"/>
      <w:jc w:val="both"/>
    </w:pPr>
    <w:rPr>
      <w:rFonts w:ascii="Times New Roman" w:eastAsia="Times New Roman" w:hAnsi="Times New Roman" w:cs="Times New Roman"/>
      <w:b/>
      <w:i/>
      <w:caps/>
      <w:sz w:val="22"/>
      <w:szCs w:val="22"/>
    </w:rPr>
  </w:style>
  <w:style w:type="character" w:customStyle="1" w:styleId="WW8Num1z3">
    <w:name w:val="WW8Num1z3"/>
    <w:rsid w:val="007257E3"/>
    <w:rPr>
      <w:rFonts w:ascii="Symbol" w:hAnsi="Symbol"/>
    </w:rPr>
  </w:style>
  <w:style w:type="paragraph" w:customStyle="1" w:styleId="Puce2">
    <w:name w:val="Puce 2"/>
    <w:basedOn w:val="Normal"/>
    <w:qFormat/>
    <w:rsid w:val="007257E3"/>
    <w:pPr>
      <w:tabs>
        <w:tab w:val="left" w:pos="690"/>
      </w:tabs>
      <w:autoSpaceDE w:val="0"/>
      <w:snapToGrid w:val="0"/>
      <w:spacing w:before="120" w:line="240" w:lineRule="auto"/>
      <w:ind w:left="-108"/>
    </w:pPr>
    <w:rPr>
      <w:rFonts w:ascii="Arial" w:eastAsia="Times New Roman" w:hAnsi="Arial" w:cs="Arial"/>
      <w:sz w:val="20"/>
      <w:szCs w:val="20"/>
      <w:lang w:val="fr-FR" w:eastAsia="fr-FR"/>
    </w:rPr>
  </w:style>
  <w:style w:type="paragraph" w:customStyle="1" w:styleId="Text3">
    <w:name w:val="Text 3"/>
    <w:basedOn w:val="Normal"/>
    <w:qFormat/>
    <w:rsid w:val="007257E3"/>
    <w:pPr>
      <w:tabs>
        <w:tab w:val="left" w:pos="690"/>
        <w:tab w:val="left" w:pos="2302"/>
      </w:tabs>
      <w:autoSpaceDE w:val="0"/>
      <w:snapToGrid w:val="0"/>
      <w:spacing w:before="120" w:after="240" w:line="240" w:lineRule="auto"/>
      <w:ind w:left="1202"/>
    </w:pPr>
    <w:rPr>
      <w:rFonts w:ascii="Times New Roman" w:eastAsia="Times New Roman" w:hAnsi="Times New Roman" w:cs="Times New Roman"/>
      <w:sz w:val="24"/>
      <w:szCs w:val="24"/>
      <w:lang w:val="en-GB" w:eastAsia="en-GB"/>
    </w:rPr>
  </w:style>
  <w:style w:type="paragraph" w:customStyle="1" w:styleId="Text4">
    <w:name w:val="Text 4"/>
    <w:basedOn w:val="Normal"/>
    <w:qFormat/>
    <w:rsid w:val="007257E3"/>
    <w:pPr>
      <w:tabs>
        <w:tab w:val="left" w:pos="690"/>
        <w:tab w:val="left" w:pos="2302"/>
      </w:tabs>
      <w:autoSpaceDE w:val="0"/>
      <w:snapToGrid w:val="0"/>
      <w:spacing w:before="120" w:after="240" w:line="240" w:lineRule="auto"/>
      <w:ind w:left="1202"/>
    </w:pPr>
    <w:rPr>
      <w:rFonts w:ascii="Times New Roman" w:eastAsia="Times New Roman" w:hAnsi="Times New Roman" w:cs="Times New Roman"/>
      <w:sz w:val="24"/>
      <w:szCs w:val="24"/>
      <w:lang w:val="en-GB" w:eastAsia="en-GB"/>
    </w:rPr>
  </w:style>
  <w:style w:type="paragraph" w:customStyle="1" w:styleId="AuflistungRmV-1">
    <w:name w:val="Auflistung RmV-1"/>
    <w:basedOn w:val="Normal"/>
    <w:autoRedefine/>
    <w:qFormat/>
    <w:rsid w:val="007257E3"/>
    <w:pPr>
      <w:tabs>
        <w:tab w:val="left" w:pos="690"/>
        <w:tab w:val="num" w:pos="720"/>
      </w:tabs>
      <w:autoSpaceDE w:val="0"/>
      <w:snapToGrid w:val="0"/>
      <w:spacing w:before="120" w:after="120" w:line="240" w:lineRule="auto"/>
      <w:ind w:left="3175" w:hanging="3175"/>
    </w:pPr>
    <w:rPr>
      <w:rFonts w:ascii="Arial" w:eastAsia="Times New Roman" w:hAnsi="Arial" w:cs="Arial"/>
      <w:noProof/>
      <w:sz w:val="22"/>
      <w:szCs w:val="22"/>
      <w:lang w:val="en-GB"/>
    </w:rPr>
  </w:style>
  <w:style w:type="character" w:customStyle="1" w:styleId="BodyTextChar1">
    <w:name w:val="Body Text Char1"/>
    <w:aliases w:val="Body Text Char Char1,Body Text Char Char Char2,BodyText Char1,(Norm) Char1,BT Char1,bt Char1,Body Text Char2 Char1,Body Text Char1 Char Char1,Body Text Char Char Char Char1,Tegn Char Char Char Char1,Caracter Char,heading3 Char1"/>
    <w:locked/>
    <w:rsid w:val="007257E3"/>
    <w:rPr>
      <w:sz w:val="24"/>
      <w:szCs w:val="24"/>
      <w:lang w:val="en-GB" w:eastAsia="en-US" w:bidi="ar-SA"/>
    </w:rPr>
  </w:style>
  <w:style w:type="character" w:customStyle="1" w:styleId="articol1">
    <w:name w:val="articol1"/>
    <w:rsid w:val="007257E3"/>
    <w:rPr>
      <w:b/>
      <w:bCs/>
      <w:color w:val="auto"/>
    </w:rPr>
  </w:style>
  <w:style w:type="character" w:customStyle="1" w:styleId="alineat1">
    <w:name w:val="alineat1"/>
    <w:rsid w:val="007257E3"/>
    <w:rPr>
      <w:b/>
      <w:bCs/>
      <w:color w:val="000000"/>
    </w:rPr>
  </w:style>
  <w:style w:type="paragraph" w:customStyle="1" w:styleId="Blockquote">
    <w:name w:val="Blockquote"/>
    <w:basedOn w:val="Normal"/>
    <w:qFormat/>
    <w:rsid w:val="007257E3"/>
    <w:pPr>
      <w:widowControl w:val="0"/>
      <w:tabs>
        <w:tab w:val="left" w:pos="690"/>
      </w:tabs>
      <w:autoSpaceDE w:val="0"/>
      <w:snapToGrid w:val="0"/>
      <w:spacing w:before="100" w:after="100" w:line="240" w:lineRule="auto"/>
      <w:ind w:left="360" w:right="360"/>
    </w:pPr>
    <w:rPr>
      <w:rFonts w:ascii="Times New Roman" w:eastAsia="Times New Roman" w:hAnsi="Times New Roman" w:cs="Times New Roman"/>
      <w:sz w:val="24"/>
      <w:szCs w:val="24"/>
      <w:lang w:val="it-IT"/>
    </w:rPr>
  </w:style>
  <w:style w:type="character" w:customStyle="1" w:styleId="litera1">
    <w:name w:val="litera1"/>
    <w:rsid w:val="007257E3"/>
    <w:rPr>
      <w:b/>
      <w:bCs/>
      <w:color w:val="000000"/>
    </w:rPr>
  </w:style>
  <w:style w:type="character" w:customStyle="1" w:styleId="linie1">
    <w:name w:val="linie1"/>
    <w:rsid w:val="007257E3"/>
    <w:rPr>
      <w:b/>
      <w:bCs/>
      <w:color w:val="000000"/>
    </w:rPr>
  </w:style>
  <w:style w:type="paragraph" w:customStyle="1" w:styleId="ListNumberLevel2">
    <w:name w:val="List Number (Level 2)"/>
    <w:basedOn w:val="Normal"/>
    <w:qFormat/>
    <w:rsid w:val="007257E3"/>
    <w:pPr>
      <w:tabs>
        <w:tab w:val="left" w:pos="690"/>
        <w:tab w:val="num" w:pos="1417"/>
      </w:tabs>
      <w:autoSpaceDE w:val="0"/>
      <w:snapToGrid w:val="0"/>
      <w:spacing w:before="120" w:after="240" w:line="240" w:lineRule="auto"/>
      <w:ind w:left="1417" w:hanging="708"/>
    </w:pPr>
    <w:rPr>
      <w:rFonts w:ascii="Times New Roman" w:eastAsia="Times New Roman" w:hAnsi="Times New Roman" w:cs="Times New Roman"/>
      <w:sz w:val="24"/>
      <w:szCs w:val="24"/>
      <w:lang w:val="en-GB"/>
    </w:rPr>
  </w:style>
  <w:style w:type="paragraph" w:customStyle="1" w:styleId="ListNumberLevel3">
    <w:name w:val="List Number (Level 3)"/>
    <w:basedOn w:val="Normal"/>
    <w:qFormat/>
    <w:rsid w:val="007257E3"/>
    <w:pPr>
      <w:tabs>
        <w:tab w:val="left" w:pos="690"/>
        <w:tab w:val="num" w:pos="2160"/>
      </w:tabs>
      <w:autoSpaceDE w:val="0"/>
      <w:snapToGrid w:val="0"/>
      <w:spacing w:before="120" w:after="240" w:line="240" w:lineRule="auto"/>
      <w:ind w:left="2160" w:hanging="360"/>
    </w:pPr>
    <w:rPr>
      <w:rFonts w:ascii="Times New Roman" w:eastAsia="Times New Roman" w:hAnsi="Times New Roman" w:cs="Times New Roman"/>
      <w:sz w:val="24"/>
      <w:szCs w:val="24"/>
      <w:lang w:val="en-GB"/>
    </w:rPr>
  </w:style>
  <w:style w:type="paragraph" w:customStyle="1" w:styleId="ListNumberLevel4">
    <w:name w:val="List Number (Level 4)"/>
    <w:basedOn w:val="Normal"/>
    <w:qFormat/>
    <w:rsid w:val="007257E3"/>
    <w:pPr>
      <w:tabs>
        <w:tab w:val="left" w:pos="690"/>
        <w:tab w:val="num" w:pos="2880"/>
      </w:tabs>
      <w:autoSpaceDE w:val="0"/>
      <w:snapToGrid w:val="0"/>
      <w:spacing w:before="120" w:after="240" w:line="240" w:lineRule="auto"/>
      <w:ind w:left="2880" w:hanging="360"/>
    </w:pPr>
    <w:rPr>
      <w:rFonts w:ascii="Times New Roman" w:eastAsia="Times New Roman" w:hAnsi="Times New Roman" w:cs="Times New Roman"/>
      <w:sz w:val="24"/>
      <w:szCs w:val="24"/>
      <w:lang w:val="en-GB"/>
    </w:rPr>
  </w:style>
  <w:style w:type="paragraph" w:customStyle="1" w:styleId="Par1">
    <w:name w:val="Par_1"/>
    <w:basedOn w:val="Normal"/>
    <w:qFormat/>
    <w:rsid w:val="007257E3"/>
    <w:pPr>
      <w:tabs>
        <w:tab w:val="left" w:pos="690"/>
      </w:tabs>
      <w:autoSpaceDE w:val="0"/>
      <w:snapToGrid w:val="0"/>
      <w:spacing w:before="120" w:line="240" w:lineRule="auto"/>
      <w:ind w:left="580" w:hanging="580"/>
    </w:pPr>
    <w:rPr>
      <w:rFonts w:ascii="Times New Roman" w:eastAsia="Times New Roman" w:hAnsi="Times New Roman" w:cs="Times New Roman"/>
      <w:color w:val="000000"/>
      <w:lang w:val="it-IT" w:eastAsia="en-GB"/>
    </w:rPr>
  </w:style>
  <w:style w:type="paragraph" w:customStyle="1" w:styleId="NumPar3">
    <w:name w:val="NumPar 3"/>
    <w:basedOn w:val="Heading3"/>
    <w:next w:val="Text3"/>
    <w:qFormat/>
    <w:rsid w:val="007257E3"/>
    <w:pPr>
      <w:keepNext w:val="0"/>
      <w:keepLines w:val="0"/>
      <w:numPr>
        <w:numId w:val="4"/>
      </w:numPr>
      <w:tabs>
        <w:tab w:val="left" w:pos="690"/>
      </w:tabs>
      <w:autoSpaceDE w:val="0"/>
      <w:snapToGrid w:val="0"/>
      <w:spacing w:before="100" w:beforeAutospacing="1" w:after="240" w:line="240" w:lineRule="auto"/>
      <w:ind w:left="1140" w:hanging="780"/>
      <w:contextualSpacing w:val="0"/>
      <w:jc w:val="both"/>
      <w:outlineLvl w:val="9"/>
    </w:pPr>
    <w:rPr>
      <w:rFonts w:ascii="Times New Roman" w:eastAsia="Times New Roman" w:hAnsi="Times New Roman" w:cs="Arial"/>
      <w:bCs w:val="0"/>
      <w:sz w:val="24"/>
      <w:lang w:val="x-none" w:eastAsia="en-GB"/>
    </w:rPr>
  </w:style>
  <w:style w:type="paragraph" w:customStyle="1" w:styleId="ListDash">
    <w:name w:val="List Dash"/>
    <w:basedOn w:val="Normal"/>
    <w:qFormat/>
    <w:rsid w:val="007257E3"/>
    <w:pPr>
      <w:tabs>
        <w:tab w:val="left" w:pos="690"/>
        <w:tab w:val="num" w:pos="720"/>
      </w:tabs>
      <w:autoSpaceDE w:val="0"/>
      <w:snapToGrid w:val="0"/>
      <w:spacing w:before="120" w:after="240" w:line="240" w:lineRule="auto"/>
      <w:ind w:left="720" w:hanging="360"/>
    </w:pPr>
    <w:rPr>
      <w:rFonts w:ascii="Times New Roman" w:eastAsia="Times New Roman" w:hAnsi="Times New Roman" w:cs="Times New Roman"/>
      <w:sz w:val="24"/>
      <w:szCs w:val="24"/>
      <w:lang w:val="en-GB"/>
    </w:rPr>
  </w:style>
  <w:style w:type="paragraph" w:customStyle="1" w:styleId="ListDash1">
    <w:name w:val="List Dash 1"/>
    <w:basedOn w:val="Text10"/>
    <w:qFormat/>
    <w:rsid w:val="007257E3"/>
    <w:pPr>
      <w:tabs>
        <w:tab w:val="left" w:pos="690"/>
        <w:tab w:val="num" w:pos="720"/>
      </w:tabs>
      <w:autoSpaceDE w:val="0"/>
      <w:snapToGrid w:val="0"/>
      <w:spacing w:after="240"/>
      <w:ind w:left="720" w:hanging="360"/>
      <w:jc w:val="left"/>
    </w:pPr>
    <w:rPr>
      <w:lang w:val="en-GB" w:eastAsia="en-US"/>
    </w:rPr>
  </w:style>
  <w:style w:type="paragraph" w:customStyle="1" w:styleId="ListDash2">
    <w:name w:val="List Dash 2"/>
    <w:basedOn w:val="Text2"/>
    <w:qFormat/>
    <w:rsid w:val="007257E3"/>
    <w:pPr>
      <w:numPr>
        <w:numId w:val="0"/>
      </w:numPr>
      <w:tabs>
        <w:tab w:val="left" w:pos="690"/>
        <w:tab w:val="num" w:pos="720"/>
      </w:tabs>
      <w:autoSpaceDE w:val="0"/>
      <w:snapToGrid w:val="0"/>
      <w:spacing w:after="240" w:line="240" w:lineRule="auto"/>
      <w:ind w:left="720" w:hanging="360"/>
    </w:pPr>
    <w:rPr>
      <w:szCs w:val="24"/>
      <w:lang w:val="en-GB" w:eastAsia="en-US"/>
    </w:rPr>
  </w:style>
  <w:style w:type="paragraph" w:customStyle="1" w:styleId="ListDash3">
    <w:name w:val="List Dash 3"/>
    <w:basedOn w:val="Text3"/>
    <w:qFormat/>
    <w:rsid w:val="007257E3"/>
    <w:pPr>
      <w:tabs>
        <w:tab w:val="clear" w:pos="2302"/>
        <w:tab w:val="num" w:pos="1571"/>
      </w:tabs>
      <w:ind w:left="1571" w:hanging="360"/>
    </w:pPr>
    <w:rPr>
      <w:lang w:eastAsia="en-US"/>
    </w:rPr>
  </w:style>
  <w:style w:type="paragraph" w:customStyle="1" w:styleId="ListDash4">
    <w:name w:val="List Dash 4"/>
    <w:basedOn w:val="Text4"/>
    <w:qFormat/>
    <w:rsid w:val="007257E3"/>
    <w:pPr>
      <w:tabs>
        <w:tab w:val="clear" w:pos="2302"/>
      </w:tabs>
      <w:ind w:left="3195" w:hanging="360"/>
    </w:pPr>
    <w:rPr>
      <w:lang w:eastAsia="en-US"/>
    </w:rPr>
  </w:style>
  <w:style w:type="paragraph" w:customStyle="1" w:styleId="ListNumber1">
    <w:name w:val="List Number 1"/>
    <w:basedOn w:val="Text10"/>
    <w:qFormat/>
    <w:rsid w:val="007257E3"/>
    <w:pPr>
      <w:tabs>
        <w:tab w:val="left" w:pos="690"/>
        <w:tab w:val="num" w:pos="861"/>
      </w:tabs>
      <w:autoSpaceDE w:val="0"/>
      <w:snapToGrid w:val="0"/>
      <w:spacing w:after="240"/>
      <w:ind w:left="861" w:hanging="435"/>
      <w:jc w:val="left"/>
    </w:pPr>
    <w:rPr>
      <w:lang w:val="en-GB" w:eastAsia="en-US"/>
    </w:rPr>
  </w:style>
  <w:style w:type="paragraph" w:customStyle="1" w:styleId="ListNumber1Level2">
    <w:name w:val="List Number 1 (Level 2)"/>
    <w:basedOn w:val="Text10"/>
    <w:qFormat/>
    <w:rsid w:val="007257E3"/>
    <w:pPr>
      <w:tabs>
        <w:tab w:val="left" w:pos="690"/>
        <w:tab w:val="num" w:pos="861"/>
      </w:tabs>
      <w:autoSpaceDE w:val="0"/>
      <w:snapToGrid w:val="0"/>
      <w:spacing w:after="240"/>
      <w:ind w:left="861" w:hanging="435"/>
      <w:jc w:val="left"/>
    </w:pPr>
    <w:rPr>
      <w:lang w:val="en-GB" w:eastAsia="en-US"/>
    </w:rPr>
  </w:style>
  <w:style w:type="paragraph" w:customStyle="1" w:styleId="ListNumber2Level2">
    <w:name w:val="List Number 2 (Level 2)"/>
    <w:basedOn w:val="Text2"/>
    <w:qFormat/>
    <w:rsid w:val="007257E3"/>
    <w:pPr>
      <w:numPr>
        <w:numId w:val="0"/>
      </w:numPr>
      <w:tabs>
        <w:tab w:val="left" w:pos="690"/>
      </w:tabs>
      <w:autoSpaceDE w:val="0"/>
      <w:snapToGrid w:val="0"/>
      <w:spacing w:after="240" w:line="240" w:lineRule="auto"/>
    </w:pPr>
    <w:rPr>
      <w:szCs w:val="24"/>
      <w:lang w:val="en-GB" w:eastAsia="en-US"/>
    </w:rPr>
  </w:style>
  <w:style w:type="paragraph" w:customStyle="1" w:styleId="ListNumber3Level2">
    <w:name w:val="List Number 3 (Level 2)"/>
    <w:basedOn w:val="Text3"/>
    <w:qFormat/>
    <w:rsid w:val="007257E3"/>
    <w:pPr>
      <w:tabs>
        <w:tab w:val="clear" w:pos="2302"/>
      </w:tabs>
      <w:ind w:left="720" w:hanging="360"/>
    </w:pPr>
    <w:rPr>
      <w:lang w:eastAsia="en-US"/>
    </w:rPr>
  </w:style>
  <w:style w:type="paragraph" w:customStyle="1" w:styleId="ListNumber4Level2">
    <w:name w:val="List Number 4 (Level 2)"/>
    <w:basedOn w:val="Text4"/>
    <w:qFormat/>
    <w:rsid w:val="007257E3"/>
    <w:pPr>
      <w:tabs>
        <w:tab w:val="clear" w:pos="2302"/>
        <w:tab w:val="num" w:pos="1530"/>
      </w:tabs>
      <w:ind w:left="1530" w:hanging="360"/>
    </w:pPr>
    <w:rPr>
      <w:lang w:eastAsia="en-US"/>
    </w:rPr>
  </w:style>
  <w:style w:type="paragraph" w:customStyle="1" w:styleId="ListNumber1Level3">
    <w:name w:val="List Number 1 (Level 3)"/>
    <w:basedOn w:val="Text10"/>
    <w:qFormat/>
    <w:rsid w:val="007257E3"/>
    <w:pPr>
      <w:tabs>
        <w:tab w:val="left" w:pos="690"/>
        <w:tab w:val="num" w:pos="861"/>
      </w:tabs>
      <w:autoSpaceDE w:val="0"/>
      <w:snapToGrid w:val="0"/>
      <w:spacing w:after="240"/>
      <w:ind w:left="861" w:hanging="435"/>
      <w:jc w:val="left"/>
    </w:pPr>
    <w:rPr>
      <w:lang w:val="en-GB" w:eastAsia="en-US"/>
    </w:rPr>
  </w:style>
  <w:style w:type="paragraph" w:customStyle="1" w:styleId="ListNumber2Level3">
    <w:name w:val="List Number 2 (Level 3)"/>
    <w:basedOn w:val="Text2"/>
    <w:qFormat/>
    <w:rsid w:val="007257E3"/>
    <w:pPr>
      <w:numPr>
        <w:numId w:val="0"/>
      </w:numPr>
      <w:tabs>
        <w:tab w:val="left" w:pos="690"/>
      </w:tabs>
      <w:autoSpaceDE w:val="0"/>
      <w:snapToGrid w:val="0"/>
      <w:spacing w:after="240" w:line="240" w:lineRule="auto"/>
    </w:pPr>
    <w:rPr>
      <w:szCs w:val="24"/>
      <w:lang w:val="en-GB" w:eastAsia="en-US"/>
    </w:rPr>
  </w:style>
  <w:style w:type="paragraph" w:customStyle="1" w:styleId="ListNumber3Level3">
    <w:name w:val="List Number 3 (Level 3)"/>
    <w:basedOn w:val="Text3"/>
    <w:qFormat/>
    <w:rsid w:val="007257E3"/>
    <w:pPr>
      <w:tabs>
        <w:tab w:val="clear" w:pos="2302"/>
      </w:tabs>
      <w:ind w:left="720" w:hanging="360"/>
    </w:pPr>
    <w:rPr>
      <w:lang w:eastAsia="en-US"/>
    </w:rPr>
  </w:style>
  <w:style w:type="paragraph" w:customStyle="1" w:styleId="ListNumber4Level3">
    <w:name w:val="List Number 4 (Level 3)"/>
    <w:basedOn w:val="Text4"/>
    <w:qFormat/>
    <w:rsid w:val="007257E3"/>
    <w:pPr>
      <w:tabs>
        <w:tab w:val="clear" w:pos="2302"/>
        <w:tab w:val="num" w:pos="2250"/>
      </w:tabs>
      <w:ind w:left="2250" w:hanging="180"/>
    </w:pPr>
    <w:rPr>
      <w:lang w:eastAsia="en-US"/>
    </w:rPr>
  </w:style>
  <w:style w:type="paragraph" w:customStyle="1" w:styleId="ListNumber1Level4">
    <w:name w:val="List Number 1 (Level 4)"/>
    <w:basedOn w:val="Text10"/>
    <w:qFormat/>
    <w:rsid w:val="007257E3"/>
    <w:pPr>
      <w:tabs>
        <w:tab w:val="left" w:pos="690"/>
        <w:tab w:val="num" w:pos="861"/>
      </w:tabs>
      <w:autoSpaceDE w:val="0"/>
      <w:snapToGrid w:val="0"/>
      <w:spacing w:after="240"/>
      <w:ind w:left="861" w:hanging="435"/>
      <w:jc w:val="left"/>
    </w:pPr>
    <w:rPr>
      <w:lang w:val="en-GB" w:eastAsia="en-US"/>
    </w:rPr>
  </w:style>
  <w:style w:type="paragraph" w:customStyle="1" w:styleId="ListNumber2Level4">
    <w:name w:val="List Number 2 (Level 4)"/>
    <w:basedOn w:val="Text2"/>
    <w:qFormat/>
    <w:rsid w:val="007257E3"/>
    <w:pPr>
      <w:numPr>
        <w:numId w:val="0"/>
      </w:numPr>
      <w:tabs>
        <w:tab w:val="left" w:pos="690"/>
      </w:tabs>
      <w:autoSpaceDE w:val="0"/>
      <w:snapToGrid w:val="0"/>
      <w:spacing w:after="240" w:line="240" w:lineRule="auto"/>
    </w:pPr>
    <w:rPr>
      <w:szCs w:val="24"/>
      <w:lang w:val="en-GB" w:eastAsia="en-US"/>
    </w:rPr>
  </w:style>
  <w:style w:type="paragraph" w:customStyle="1" w:styleId="ListNumber3Level4">
    <w:name w:val="List Number 3 (Level 4)"/>
    <w:basedOn w:val="Text3"/>
    <w:qFormat/>
    <w:rsid w:val="007257E3"/>
    <w:pPr>
      <w:tabs>
        <w:tab w:val="clear" w:pos="2302"/>
      </w:tabs>
      <w:ind w:left="720" w:hanging="360"/>
    </w:pPr>
    <w:rPr>
      <w:lang w:eastAsia="en-US"/>
    </w:rPr>
  </w:style>
  <w:style w:type="paragraph" w:customStyle="1" w:styleId="ListNumber4Level4">
    <w:name w:val="List Number 4 (Level 4)"/>
    <w:basedOn w:val="Text4"/>
    <w:qFormat/>
    <w:rsid w:val="007257E3"/>
    <w:pPr>
      <w:tabs>
        <w:tab w:val="clear" w:pos="2302"/>
        <w:tab w:val="num" w:pos="2970"/>
      </w:tabs>
      <w:ind w:left="2970" w:hanging="360"/>
    </w:pPr>
    <w:rPr>
      <w:lang w:eastAsia="en-US"/>
    </w:rPr>
  </w:style>
  <w:style w:type="paragraph" w:customStyle="1" w:styleId="SectionTitle">
    <w:name w:val="SectionTitle"/>
    <w:basedOn w:val="Normal"/>
    <w:next w:val="Heading1"/>
    <w:qFormat/>
    <w:rsid w:val="007257E3"/>
    <w:pPr>
      <w:keepNext/>
      <w:tabs>
        <w:tab w:val="left" w:pos="690"/>
      </w:tabs>
      <w:autoSpaceDE w:val="0"/>
      <w:snapToGrid w:val="0"/>
      <w:spacing w:before="120" w:after="480" w:line="240" w:lineRule="auto"/>
      <w:ind w:left="-108"/>
      <w:jc w:val="center"/>
    </w:pPr>
    <w:rPr>
      <w:rFonts w:ascii="Times New Roman" w:eastAsia="Times New Roman" w:hAnsi="Times New Roman" w:cs="Times New Roman"/>
      <w:b/>
      <w:bCs/>
      <w:smallCaps/>
      <w:sz w:val="28"/>
      <w:szCs w:val="28"/>
      <w:lang w:val="en-GB" w:eastAsia="en-GB"/>
    </w:rPr>
  </w:style>
  <w:style w:type="paragraph" w:customStyle="1" w:styleId="StyleSectionTitleArial12ptAfter0pt">
    <w:name w:val="Style SectionTitle + Arial 12 pt After:  0 pt"/>
    <w:basedOn w:val="SectionTitle"/>
    <w:qFormat/>
    <w:rsid w:val="007257E3"/>
    <w:pPr>
      <w:spacing w:after="0"/>
    </w:pPr>
    <w:rPr>
      <w:rFonts w:ascii="Arial" w:hAnsi="Arial" w:cs="Arial"/>
      <w:sz w:val="24"/>
      <w:szCs w:val="24"/>
    </w:rPr>
  </w:style>
  <w:style w:type="paragraph" w:customStyle="1" w:styleId="StyleText2ArialBoldCenteredLeft0cmAfter0pt">
    <w:name w:val="Style Text 2 + Arial Bold Centered Left:  0 cm After:  0 pt"/>
    <w:basedOn w:val="Text2"/>
    <w:qFormat/>
    <w:rsid w:val="007257E3"/>
    <w:pPr>
      <w:numPr>
        <w:numId w:val="0"/>
      </w:numPr>
      <w:tabs>
        <w:tab w:val="left" w:pos="690"/>
        <w:tab w:val="left" w:pos="2161"/>
      </w:tabs>
      <w:autoSpaceDE w:val="0"/>
      <w:snapToGrid w:val="0"/>
      <w:spacing w:after="0" w:line="240" w:lineRule="auto"/>
      <w:jc w:val="center"/>
      <w:outlineLvl w:val="1"/>
    </w:pPr>
    <w:rPr>
      <w:rFonts w:ascii="Arial" w:hAnsi="Arial" w:cs="Arial"/>
      <w:b/>
      <w:bCs/>
      <w:szCs w:val="24"/>
      <w:lang w:val="en-GB" w:eastAsia="en-GB"/>
    </w:rPr>
  </w:style>
  <w:style w:type="paragraph" w:customStyle="1" w:styleId="SubTitle1">
    <w:name w:val="SubTitle 1"/>
    <w:basedOn w:val="Normal"/>
    <w:next w:val="SubTitle2"/>
    <w:qFormat/>
    <w:rsid w:val="007257E3"/>
    <w:pPr>
      <w:tabs>
        <w:tab w:val="left" w:pos="690"/>
      </w:tabs>
      <w:autoSpaceDE w:val="0"/>
      <w:snapToGrid w:val="0"/>
      <w:spacing w:before="120" w:after="240" w:line="240" w:lineRule="auto"/>
      <w:ind w:left="-108"/>
      <w:jc w:val="center"/>
    </w:pPr>
    <w:rPr>
      <w:rFonts w:ascii="Times New Roman" w:eastAsia="Times New Roman" w:hAnsi="Times New Roman" w:cs="Times New Roman"/>
      <w:b/>
      <w:bCs/>
      <w:sz w:val="40"/>
      <w:szCs w:val="40"/>
      <w:lang w:val="en-GB" w:eastAsia="en-GB"/>
    </w:rPr>
  </w:style>
  <w:style w:type="paragraph" w:customStyle="1" w:styleId="SubTitle2">
    <w:name w:val="SubTitle 2"/>
    <w:basedOn w:val="Normal"/>
    <w:link w:val="SubTitle2Char"/>
    <w:qFormat/>
    <w:rsid w:val="007257E3"/>
    <w:pPr>
      <w:tabs>
        <w:tab w:val="left" w:pos="690"/>
      </w:tabs>
      <w:autoSpaceDE w:val="0"/>
      <w:snapToGrid w:val="0"/>
      <w:spacing w:before="120" w:after="240" w:line="240" w:lineRule="auto"/>
      <w:ind w:left="-108"/>
      <w:jc w:val="center"/>
    </w:pPr>
    <w:rPr>
      <w:rFonts w:ascii="Times New Roman" w:eastAsia="Times New Roman" w:hAnsi="Times New Roman" w:cs="Times New Roman"/>
      <w:b/>
      <w:bCs/>
      <w:sz w:val="32"/>
      <w:szCs w:val="32"/>
      <w:lang w:val="en-GB" w:eastAsia="en-GB"/>
    </w:rPr>
  </w:style>
  <w:style w:type="paragraph" w:customStyle="1" w:styleId="DefaultText2">
    <w:name w:val="Default Text:2"/>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noProof/>
      <w:sz w:val="24"/>
      <w:szCs w:val="24"/>
      <w:lang w:val="it-IT"/>
    </w:rPr>
  </w:style>
  <w:style w:type="paragraph" w:customStyle="1" w:styleId="DefaultText1">
    <w:name w:val="Default Text:1"/>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noProof/>
      <w:sz w:val="24"/>
      <w:szCs w:val="24"/>
      <w:lang w:val="it-IT"/>
    </w:rPr>
  </w:style>
  <w:style w:type="character" w:customStyle="1" w:styleId="noticetext">
    <w:name w:val="noticetext"/>
    <w:basedOn w:val="DefaultParagraphFont"/>
    <w:rsid w:val="007257E3"/>
  </w:style>
  <w:style w:type="character" w:customStyle="1" w:styleId="noticeheading3">
    <w:name w:val="noticeheading3"/>
    <w:basedOn w:val="DefaultParagraphFont"/>
    <w:rsid w:val="007257E3"/>
  </w:style>
  <w:style w:type="paragraph" w:customStyle="1" w:styleId="textcslovan">
    <w:name w:val="text císlovaný"/>
    <w:basedOn w:val="Heading8"/>
    <w:qFormat/>
    <w:rsid w:val="007257E3"/>
    <w:pPr>
      <w:keepNext w:val="0"/>
      <w:keepLines w:val="0"/>
      <w:widowControl w:val="0"/>
      <w:numPr>
        <w:ilvl w:val="0"/>
        <w:numId w:val="0"/>
      </w:numPr>
      <w:spacing w:before="240" w:line="240" w:lineRule="exact"/>
      <w:ind w:left="567" w:hanging="567"/>
      <w:contextualSpacing w:val="0"/>
      <w:jc w:val="both"/>
      <w:outlineLvl w:val="9"/>
    </w:pPr>
    <w:rPr>
      <w:rFonts w:ascii="Arial" w:eastAsia="Times New Roman" w:hAnsi="Arial" w:cs="Arial"/>
      <w:b w:val="0"/>
      <w:sz w:val="24"/>
      <w:szCs w:val="24"/>
      <w:lang w:val="cs-CZ"/>
    </w:rPr>
  </w:style>
  <w:style w:type="paragraph" w:customStyle="1" w:styleId="text-3mezera">
    <w:name w:val="text - 3 mezera"/>
    <w:basedOn w:val="Normal"/>
    <w:qFormat/>
    <w:rsid w:val="007257E3"/>
    <w:pPr>
      <w:widowControl w:val="0"/>
      <w:tabs>
        <w:tab w:val="left" w:pos="690"/>
      </w:tabs>
      <w:autoSpaceDE w:val="0"/>
      <w:snapToGrid w:val="0"/>
      <w:spacing w:before="60" w:line="240" w:lineRule="exact"/>
      <w:ind w:left="-108"/>
    </w:pPr>
    <w:rPr>
      <w:rFonts w:ascii="Arial" w:eastAsia="Times New Roman" w:hAnsi="Arial" w:cs="Arial"/>
      <w:sz w:val="24"/>
      <w:szCs w:val="24"/>
      <w:lang w:val="cs-CZ"/>
    </w:rPr>
  </w:style>
  <w:style w:type="paragraph" w:customStyle="1" w:styleId="tabulka">
    <w:name w:val="tabulka"/>
    <w:basedOn w:val="text-3mezera"/>
    <w:qFormat/>
    <w:rsid w:val="007257E3"/>
    <w:pPr>
      <w:spacing w:before="120"/>
      <w:jc w:val="center"/>
    </w:pPr>
    <w:rPr>
      <w:sz w:val="20"/>
      <w:szCs w:val="20"/>
    </w:rPr>
  </w:style>
  <w:style w:type="paragraph" w:customStyle="1" w:styleId="Address">
    <w:name w:val="Address"/>
    <w:basedOn w:val="Normal"/>
    <w:qFormat/>
    <w:rsid w:val="007257E3"/>
    <w:pPr>
      <w:tabs>
        <w:tab w:val="left" w:pos="690"/>
      </w:tabs>
      <w:autoSpaceDE w:val="0"/>
      <w:snapToGrid w:val="0"/>
      <w:spacing w:before="120" w:line="240" w:lineRule="auto"/>
      <w:ind w:left="-108"/>
    </w:pPr>
    <w:rPr>
      <w:rFonts w:ascii="Arial" w:eastAsia="Times New Roman" w:hAnsi="Arial" w:cs="Arial"/>
      <w:sz w:val="20"/>
      <w:szCs w:val="20"/>
      <w:lang w:val="en-GB" w:eastAsia="ro-RO"/>
    </w:rPr>
  </w:style>
  <w:style w:type="paragraph" w:customStyle="1" w:styleId="AddressTL">
    <w:name w:val="AddressTL"/>
    <w:basedOn w:val="Normal"/>
    <w:next w:val="Normal"/>
    <w:qFormat/>
    <w:rsid w:val="007257E3"/>
    <w:pPr>
      <w:tabs>
        <w:tab w:val="left" w:pos="690"/>
      </w:tabs>
      <w:autoSpaceDE w:val="0"/>
      <w:snapToGrid w:val="0"/>
      <w:spacing w:before="120" w:after="720" w:line="240" w:lineRule="auto"/>
      <w:ind w:left="-108"/>
    </w:pPr>
    <w:rPr>
      <w:rFonts w:ascii="Arial" w:eastAsia="Times New Roman" w:hAnsi="Arial" w:cs="Arial"/>
      <w:sz w:val="20"/>
      <w:szCs w:val="20"/>
      <w:lang w:val="en-GB" w:eastAsia="ro-RO"/>
    </w:rPr>
  </w:style>
  <w:style w:type="paragraph" w:customStyle="1" w:styleId="AddressTR">
    <w:name w:val="AddressTR"/>
    <w:basedOn w:val="Normal"/>
    <w:next w:val="Normal"/>
    <w:qFormat/>
    <w:rsid w:val="007257E3"/>
    <w:pPr>
      <w:tabs>
        <w:tab w:val="left" w:pos="690"/>
      </w:tabs>
      <w:autoSpaceDE w:val="0"/>
      <w:snapToGrid w:val="0"/>
      <w:spacing w:before="120" w:after="720" w:line="240" w:lineRule="auto"/>
      <w:ind w:left="5103"/>
    </w:pPr>
    <w:rPr>
      <w:rFonts w:ascii="Arial" w:eastAsia="Times New Roman" w:hAnsi="Arial" w:cs="Arial"/>
      <w:sz w:val="20"/>
      <w:szCs w:val="20"/>
      <w:lang w:val="en-GB" w:eastAsia="ro-RO"/>
    </w:rPr>
  </w:style>
  <w:style w:type="paragraph" w:customStyle="1" w:styleId="ChapterTitle">
    <w:name w:val="ChapterTitle"/>
    <w:basedOn w:val="Normal"/>
    <w:next w:val="SectionTitle"/>
    <w:qFormat/>
    <w:rsid w:val="007257E3"/>
    <w:pPr>
      <w:keepNext/>
      <w:tabs>
        <w:tab w:val="left" w:pos="690"/>
      </w:tabs>
      <w:autoSpaceDE w:val="0"/>
      <w:snapToGrid w:val="0"/>
      <w:spacing w:before="120" w:after="480" w:line="240" w:lineRule="auto"/>
      <w:ind w:left="-108"/>
      <w:jc w:val="center"/>
    </w:pPr>
    <w:rPr>
      <w:rFonts w:ascii="Arial" w:eastAsia="Times New Roman" w:hAnsi="Arial" w:cs="Arial"/>
      <w:b/>
      <w:bCs/>
      <w:sz w:val="32"/>
      <w:szCs w:val="32"/>
      <w:lang w:val="en-GB" w:eastAsia="ro-RO"/>
    </w:rPr>
  </w:style>
  <w:style w:type="paragraph" w:customStyle="1" w:styleId="References">
    <w:name w:val="References"/>
    <w:basedOn w:val="Normal"/>
    <w:next w:val="AddressTR"/>
    <w:qFormat/>
    <w:rsid w:val="007257E3"/>
    <w:pPr>
      <w:tabs>
        <w:tab w:val="left" w:pos="690"/>
      </w:tabs>
      <w:autoSpaceDE w:val="0"/>
      <w:snapToGrid w:val="0"/>
      <w:spacing w:before="120" w:after="240" w:line="240" w:lineRule="auto"/>
      <w:ind w:left="5103"/>
    </w:pPr>
    <w:rPr>
      <w:rFonts w:ascii="Arial" w:eastAsia="Times New Roman" w:hAnsi="Arial" w:cs="Arial"/>
      <w:sz w:val="20"/>
      <w:szCs w:val="20"/>
      <w:lang w:val="en-GB" w:eastAsia="ro-RO"/>
    </w:rPr>
  </w:style>
  <w:style w:type="paragraph" w:customStyle="1" w:styleId="DoubSign">
    <w:name w:val="DoubSign"/>
    <w:basedOn w:val="Normal"/>
    <w:next w:val="Enclosures"/>
    <w:qFormat/>
    <w:rsid w:val="007257E3"/>
    <w:pPr>
      <w:tabs>
        <w:tab w:val="left" w:pos="690"/>
        <w:tab w:val="left" w:pos="5103"/>
      </w:tabs>
      <w:autoSpaceDE w:val="0"/>
      <w:snapToGrid w:val="0"/>
      <w:spacing w:before="1200" w:line="240" w:lineRule="auto"/>
      <w:ind w:left="-108"/>
    </w:pPr>
    <w:rPr>
      <w:rFonts w:ascii="Arial" w:eastAsia="Times New Roman" w:hAnsi="Arial" w:cs="Arial"/>
      <w:sz w:val="20"/>
      <w:szCs w:val="20"/>
      <w:lang w:val="en-GB" w:eastAsia="ro-RO"/>
    </w:rPr>
  </w:style>
  <w:style w:type="paragraph" w:customStyle="1" w:styleId="Enclosures">
    <w:name w:val="Enclosures"/>
    <w:basedOn w:val="Normal"/>
    <w:qFormat/>
    <w:rsid w:val="007257E3"/>
    <w:pPr>
      <w:keepNext/>
      <w:keepLines/>
      <w:tabs>
        <w:tab w:val="left" w:pos="690"/>
        <w:tab w:val="left" w:pos="5642"/>
      </w:tabs>
      <w:autoSpaceDE w:val="0"/>
      <w:snapToGrid w:val="0"/>
      <w:spacing w:before="480" w:line="240" w:lineRule="auto"/>
      <w:ind w:left="1191" w:hanging="1191"/>
    </w:pPr>
    <w:rPr>
      <w:rFonts w:ascii="Arial" w:eastAsia="Times New Roman" w:hAnsi="Arial" w:cs="Arial"/>
      <w:sz w:val="20"/>
      <w:szCs w:val="20"/>
      <w:lang w:val="en-GB" w:eastAsia="ro-RO"/>
    </w:rPr>
  </w:style>
  <w:style w:type="paragraph" w:customStyle="1" w:styleId="NoteHead">
    <w:name w:val="NoteHead"/>
    <w:basedOn w:val="Normal"/>
    <w:next w:val="Subject"/>
    <w:qFormat/>
    <w:rsid w:val="007257E3"/>
    <w:pPr>
      <w:tabs>
        <w:tab w:val="left" w:pos="690"/>
      </w:tabs>
      <w:autoSpaceDE w:val="0"/>
      <w:snapToGrid w:val="0"/>
      <w:spacing w:before="720" w:after="720" w:line="240" w:lineRule="auto"/>
      <w:ind w:left="-108"/>
      <w:jc w:val="center"/>
    </w:pPr>
    <w:rPr>
      <w:rFonts w:ascii="Arial" w:eastAsia="Times New Roman" w:hAnsi="Arial" w:cs="Arial"/>
      <w:b/>
      <w:bCs/>
      <w:smallCaps/>
      <w:sz w:val="20"/>
      <w:szCs w:val="20"/>
      <w:lang w:val="en-GB" w:eastAsia="ro-RO"/>
    </w:rPr>
  </w:style>
  <w:style w:type="paragraph" w:customStyle="1" w:styleId="Subject">
    <w:name w:val="Subject"/>
    <w:basedOn w:val="Normal"/>
    <w:next w:val="Normal"/>
    <w:qFormat/>
    <w:rsid w:val="007257E3"/>
    <w:pPr>
      <w:tabs>
        <w:tab w:val="left" w:pos="690"/>
      </w:tabs>
      <w:autoSpaceDE w:val="0"/>
      <w:snapToGrid w:val="0"/>
      <w:spacing w:before="120" w:after="480" w:line="240" w:lineRule="auto"/>
      <w:ind w:left="1191" w:hanging="1191"/>
    </w:pPr>
    <w:rPr>
      <w:rFonts w:ascii="Arial" w:eastAsia="Times New Roman" w:hAnsi="Arial" w:cs="Arial"/>
      <w:b/>
      <w:bCs/>
      <w:sz w:val="20"/>
      <w:szCs w:val="20"/>
      <w:lang w:val="en-GB" w:eastAsia="ro-RO"/>
    </w:rPr>
  </w:style>
  <w:style w:type="paragraph" w:customStyle="1" w:styleId="NoteList">
    <w:name w:val="NoteList"/>
    <w:basedOn w:val="Normal"/>
    <w:next w:val="Subject"/>
    <w:qFormat/>
    <w:rsid w:val="007257E3"/>
    <w:pPr>
      <w:tabs>
        <w:tab w:val="left" w:pos="690"/>
        <w:tab w:val="left" w:pos="5823"/>
      </w:tabs>
      <w:autoSpaceDE w:val="0"/>
      <w:snapToGrid w:val="0"/>
      <w:spacing w:before="720" w:after="720" w:line="240" w:lineRule="auto"/>
      <w:ind w:left="5104" w:hanging="3119"/>
    </w:pPr>
    <w:rPr>
      <w:rFonts w:ascii="Arial" w:eastAsia="Times New Roman" w:hAnsi="Arial" w:cs="Arial"/>
      <w:b/>
      <w:bCs/>
      <w:smallCaps/>
      <w:sz w:val="20"/>
      <w:szCs w:val="20"/>
      <w:lang w:val="en-GB" w:eastAsia="ro-RO"/>
    </w:rPr>
  </w:style>
  <w:style w:type="paragraph" w:customStyle="1" w:styleId="NumPar1">
    <w:name w:val="NumPar 1"/>
    <w:basedOn w:val="Heading1"/>
    <w:next w:val="Text10"/>
    <w:qFormat/>
    <w:rsid w:val="007257E3"/>
    <w:pPr>
      <w:keepNext w:val="0"/>
      <w:keepLines w:val="0"/>
      <w:numPr>
        <w:numId w:val="0"/>
      </w:numPr>
      <w:tabs>
        <w:tab w:val="left" w:pos="690"/>
      </w:tabs>
      <w:suppressAutoHyphens w:val="0"/>
      <w:autoSpaceDE w:val="0"/>
      <w:snapToGrid w:val="0"/>
      <w:spacing w:before="120" w:after="20" w:line="240" w:lineRule="auto"/>
      <w:ind w:left="483" w:hanging="483"/>
      <w:contextualSpacing w:val="0"/>
      <w:outlineLvl w:val="9"/>
    </w:pPr>
    <w:rPr>
      <w:rFonts w:ascii="Arial" w:eastAsia="Times New Roman" w:hAnsi="Arial" w:cs="Times New Roman"/>
      <w:bCs w:val="0"/>
      <w:color w:val="auto"/>
      <w:kern w:val="28"/>
      <w:sz w:val="22"/>
      <w:u w:val="single"/>
      <w:lang w:val="x-none" w:eastAsia="ro-RO"/>
    </w:rPr>
  </w:style>
  <w:style w:type="paragraph" w:customStyle="1" w:styleId="NumPar2">
    <w:name w:val="NumPar 2"/>
    <w:basedOn w:val="Heading2"/>
    <w:next w:val="Text2"/>
    <w:qFormat/>
    <w:rsid w:val="007257E3"/>
    <w:pPr>
      <w:keepNext w:val="0"/>
      <w:keepLines w:val="0"/>
      <w:numPr>
        <w:ilvl w:val="0"/>
        <w:numId w:val="0"/>
      </w:numPr>
      <w:tabs>
        <w:tab w:val="left" w:pos="690"/>
      </w:tabs>
      <w:suppressAutoHyphens w:val="0"/>
      <w:autoSpaceDE w:val="0"/>
      <w:snapToGrid w:val="0"/>
      <w:spacing w:before="120" w:line="240" w:lineRule="auto"/>
      <w:ind w:left="-360" w:firstLine="720"/>
      <w:contextualSpacing w:val="0"/>
      <w:jc w:val="both"/>
      <w:outlineLvl w:val="9"/>
    </w:pPr>
    <w:rPr>
      <w:rFonts w:ascii="Arial" w:eastAsia="Times New Roman" w:hAnsi="Arial" w:cs="Times New Roman"/>
      <w:bCs w:val="0"/>
      <w:sz w:val="22"/>
      <w:szCs w:val="22"/>
      <w:u w:val="single"/>
      <w:lang w:eastAsia="ro-RO"/>
    </w:rPr>
  </w:style>
  <w:style w:type="paragraph" w:customStyle="1" w:styleId="NumPar4">
    <w:name w:val="NumPar 4"/>
    <w:basedOn w:val="Heading4"/>
    <w:next w:val="Text4"/>
    <w:qFormat/>
    <w:rsid w:val="007257E3"/>
    <w:pPr>
      <w:keepNext w:val="0"/>
      <w:keepLines w:val="0"/>
      <w:numPr>
        <w:ilvl w:val="0"/>
        <w:numId w:val="0"/>
      </w:numPr>
      <w:tabs>
        <w:tab w:val="left" w:pos="690"/>
        <w:tab w:val="num" w:pos="2880"/>
      </w:tabs>
      <w:autoSpaceDE w:val="0"/>
      <w:snapToGrid w:val="0"/>
      <w:spacing w:before="240" w:after="60" w:line="240" w:lineRule="auto"/>
      <w:ind w:left="2880" w:hanging="360"/>
      <w:contextualSpacing w:val="0"/>
      <w:jc w:val="both"/>
      <w:outlineLvl w:val="9"/>
    </w:pPr>
    <w:rPr>
      <w:rFonts w:ascii="Arial" w:eastAsia="Times New Roman" w:hAnsi="Arial" w:cs="Arial"/>
      <w:b/>
      <w:bCs w:val="0"/>
      <w:i/>
      <w:iCs w:val="0"/>
      <w:sz w:val="20"/>
      <w:szCs w:val="20"/>
      <w:lang w:eastAsia="ro-RO"/>
    </w:rPr>
  </w:style>
  <w:style w:type="paragraph" w:customStyle="1" w:styleId="PartTitle">
    <w:name w:val="PartTitle"/>
    <w:basedOn w:val="Normal"/>
    <w:next w:val="ChapterTitle"/>
    <w:qFormat/>
    <w:rsid w:val="007257E3"/>
    <w:pPr>
      <w:keepNext/>
      <w:pageBreakBefore/>
      <w:tabs>
        <w:tab w:val="left" w:pos="690"/>
      </w:tabs>
      <w:autoSpaceDE w:val="0"/>
      <w:snapToGrid w:val="0"/>
      <w:spacing w:before="120" w:after="480" w:line="240" w:lineRule="auto"/>
      <w:ind w:left="-108"/>
      <w:jc w:val="center"/>
    </w:pPr>
    <w:rPr>
      <w:rFonts w:ascii="Arial" w:eastAsia="Times New Roman" w:hAnsi="Arial" w:cs="Arial"/>
      <w:b/>
      <w:bCs/>
      <w:sz w:val="36"/>
      <w:szCs w:val="36"/>
      <w:lang w:val="en-GB" w:eastAsia="ro-RO"/>
    </w:rPr>
  </w:style>
  <w:style w:type="paragraph" w:customStyle="1" w:styleId="YReferences">
    <w:name w:val="YReferences"/>
    <w:basedOn w:val="Normal"/>
    <w:next w:val="Normal"/>
    <w:qFormat/>
    <w:rsid w:val="007257E3"/>
    <w:pPr>
      <w:tabs>
        <w:tab w:val="left" w:pos="690"/>
      </w:tabs>
      <w:autoSpaceDE w:val="0"/>
      <w:snapToGrid w:val="0"/>
      <w:spacing w:before="120" w:after="480" w:line="240" w:lineRule="auto"/>
      <w:ind w:left="1191" w:hanging="1191"/>
    </w:pPr>
    <w:rPr>
      <w:rFonts w:ascii="Arial" w:eastAsia="Times New Roman" w:hAnsi="Arial" w:cs="Arial"/>
      <w:sz w:val="20"/>
      <w:szCs w:val="20"/>
      <w:lang w:val="en-GB" w:eastAsia="ro-RO"/>
    </w:rPr>
  </w:style>
  <w:style w:type="paragraph" w:customStyle="1" w:styleId="Heading2b">
    <w:name w:val="Heading2b"/>
    <w:basedOn w:val="Normal"/>
    <w:qFormat/>
    <w:rsid w:val="007257E3"/>
    <w:pPr>
      <w:tabs>
        <w:tab w:val="left" w:pos="690"/>
      </w:tabs>
      <w:autoSpaceDE w:val="0"/>
      <w:snapToGrid w:val="0"/>
      <w:spacing w:before="120" w:after="240" w:line="240" w:lineRule="auto"/>
      <w:ind w:left="567" w:hanging="567"/>
      <w:jc w:val="center"/>
    </w:pPr>
    <w:rPr>
      <w:rFonts w:ascii="Arial" w:eastAsia="Times New Roman" w:hAnsi="Arial" w:cs="Arial"/>
      <w:b/>
      <w:bCs/>
      <w:sz w:val="20"/>
      <w:szCs w:val="20"/>
      <w:u w:val="single"/>
      <w:lang w:val="en-GB" w:eastAsia="ro-RO"/>
    </w:rPr>
  </w:style>
  <w:style w:type="paragraph" w:customStyle="1" w:styleId="maintexte">
    <w:name w:val="maintexte"/>
    <w:basedOn w:val="Normal"/>
    <w:qFormat/>
    <w:rsid w:val="007257E3"/>
    <w:pPr>
      <w:widowControl w:val="0"/>
      <w:tabs>
        <w:tab w:val="left" w:pos="690"/>
      </w:tabs>
      <w:autoSpaceDE w:val="0"/>
      <w:snapToGrid w:val="0"/>
      <w:spacing w:before="120" w:line="360" w:lineRule="auto"/>
      <w:ind w:left="-108"/>
    </w:pPr>
    <w:rPr>
      <w:rFonts w:ascii="Times New Roman" w:eastAsia="Times New Roman" w:hAnsi="Times New Roman" w:cs="Times New Roman"/>
      <w:sz w:val="22"/>
      <w:szCs w:val="22"/>
      <w:lang w:val="en-GB" w:eastAsia="ro-RO"/>
    </w:rPr>
  </w:style>
  <w:style w:type="paragraph" w:customStyle="1" w:styleId="colonne">
    <w:name w:val="colonne"/>
    <w:basedOn w:val="Normal"/>
    <w:qFormat/>
    <w:rsid w:val="007257E3"/>
    <w:pPr>
      <w:tabs>
        <w:tab w:val="left" w:pos="690"/>
      </w:tabs>
      <w:autoSpaceDE w:val="0"/>
      <w:snapToGrid w:val="0"/>
      <w:spacing w:before="120" w:after="120" w:line="240" w:lineRule="auto"/>
      <w:ind w:left="-108"/>
    </w:pPr>
    <w:rPr>
      <w:rFonts w:ascii="Optima" w:eastAsia="Times New Roman" w:hAnsi="Optima" w:cs="Optima"/>
      <w:sz w:val="22"/>
      <w:szCs w:val="22"/>
      <w:lang w:val="en-GB"/>
    </w:rPr>
  </w:style>
  <w:style w:type="paragraph" w:customStyle="1" w:styleId="Contact">
    <w:name w:val="Contact"/>
    <w:basedOn w:val="Normal"/>
    <w:next w:val="Normal"/>
    <w:qFormat/>
    <w:rsid w:val="007257E3"/>
    <w:pPr>
      <w:tabs>
        <w:tab w:val="left" w:pos="690"/>
      </w:tabs>
      <w:autoSpaceDE w:val="0"/>
      <w:snapToGrid w:val="0"/>
      <w:spacing w:before="120" w:after="480" w:line="240" w:lineRule="auto"/>
      <w:ind w:left="567" w:hanging="567"/>
    </w:pPr>
    <w:rPr>
      <w:rFonts w:ascii="Times New Roman" w:eastAsia="Times New Roman" w:hAnsi="Times New Roman" w:cs="Times New Roman"/>
      <w:sz w:val="24"/>
      <w:szCs w:val="24"/>
      <w:lang w:val="en-GB"/>
    </w:rPr>
  </w:style>
  <w:style w:type="paragraph" w:customStyle="1" w:styleId="TOCHeading1">
    <w:name w:val="TOC Heading1"/>
    <w:basedOn w:val="Normal"/>
    <w:next w:val="Normal"/>
    <w:qFormat/>
    <w:rsid w:val="007257E3"/>
    <w:pPr>
      <w:keepNext/>
      <w:tabs>
        <w:tab w:val="left" w:pos="690"/>
      </w:tabs>
      <w:autoSpaceDE w:val="0"/>
      <w:snapToGrid w:val="0"/>
      <w:spacing w:before="240" w:after="240" w:line="240" w:lineRule="auto"/>
      <w:ind w:left="-108"/>
      <w:jc w:val="center"/>
    </w:pPr>
    <w:rPr>
      <w:rFonts w:ascii="Times New Roman" w:eastAsia="Times New Roman" w:hAnsi="Times New Roman" w:cs="Times New Roman"/>
      <w:b/>
      <w:bCs/>
      <w:sz w:val="24"/>
      <w:szCs w:val="24"/>
      <w:lang w:val="en-GB"/>
    </w:rPr>
  </w:style>
  <w:style w:type="paragraph" w:customStyle="1" w:styleId="ListBullet0">
    <w:name w:val="ListBullet"/>
    <w:basedOn w:val="Normal"/>
    <w:qFormat/>
    <w:rsid w:val="007257E3"/>
    <w:pPr>
      <w:tabs>
        <w:tab w:val="left" w:pos="690"/>
      </w:tabs>
      <w:autoSpaceDE w:val="0"/>
      <w:snapToGrid w:val="0"/>
      <w:spacing w:before="120" w:line="240" w:lineRule="auto"/>
      <w:ind w:left="2061" w:hanging="360"/>
    </w:pPr>
    <w:rPr>
      <w:rFonts w:ascii="Arial" w:eastAsia="Times New Roman" w:hAnsi="Arial" w:cs="Arial"/>
      <w:sz w:val="22"/>
      <w:szCs w:val="22"/>
      <w:lang w:val="it-IT" w:eastAsia="it-IT"/>
    </w:rPr>
  </w:style>
  <w:style w:type="paragraph" w:customStyle="1" w:styleId="OutlineIndented">
    <w:name w:val="Outline (Indented)"/>
    <w:basedOn w:val="Normal"/>
    <w:qFormat/>
    <w:rsid w:val="007257E3"/>
    <w:pPr>
      <w:tabs>
        <w:tab w:val="left" w:pos="690"/>
      </w:tabs>
      <w:overflowPunct w:val="0"/>
      <w:autoSpaceDE w:val="0"/>
      <w:autoSpaceDN w:val="0"/>
      <w:adjustRightInd w:val="0"/>
      <w:snapToGrid w:val="0"/>
      <w:spacing w:before="120" w:line="240" w:lineRule="auto"/>
      <w:ind w:left="-108"/>
      <w:textAlignment w:val="baseline"/>
    </w:pPr>
    <w:rPr>
      <w:rFonts w:ascii="Times New Roman" w:eastAsia="Times New Roman" w:hAnsi="Times New Roman" w:cs="Times New Roman"/>
      <w:sz w:val="24"/>
      <w:szCs w:val="24"/>
      <w:lang w:val="it-IT"/>
    </w:rPr>
  </w:style>
  <w:style w:type="paragraph" w:customStyle="1" w:styleId="Table-Head">
    <w:name w:val="Table-Head"/>
    <w:basedOn w:val="Normal"/>
    <w:autoRedefine/>
    <w:qFormat/>
    <w:rsid w:val="007257E3"/>
    <w:pPr>
      <w:keepNext/>
      <w:tabs>
        <w:tab w:val="left" w:pos="690"/>
        <w:tab w:val="center" w:pos="4153"/>
        <w:tab w:val="right" w:pos="8306"/>
      </w:tabs>
      <w:autoSpaceDE w:val="0"/>
      <w:autoSpaceDN w:val="0"/>
      <w:adjustRightInd w:val="0"/>
      <w:snapToGrid w:val="0"/>
      <w:spacing w:before="60" w:after="20" w:line="240" w:lineRule="auto"/>
      <w:ind w:left="-122"/>
      <w:jc w:val="center"/>
    </w:pPr>
    <w:rPr>
      <w:rFonts w:ascii="Times New Roman" w:eastAsia="Times New Roman" w:hAnsi="Times New Roman" w:cs="Times New Roman"/>
      <w:b/>
      <w:bCs/>
      <w:sz w:val="22"/>
      <w:szCs w:val="22"/>
    </w:rPr>
  </w:style>
  <w:style w:type="paragraph" w:customStyle="1" w:styleId="Table-title">
    <w:name w:val="Table-title"/>
    <w:basedOn w:val="Normal"/>
    <w:autoRedefine/>
    <w:qFormat/>
    <w:rsid w:val="007257E3"/>
    <w:pPr>
      <w:keepNext/>
      <w:tabs>
        <w:tab w:val="left" w:pos="690"/>
        <w:tab w:val="left" w:pos="2431"/>
        <w:tab w:val="left" w:pos="6358"/>
      </w:tabs>
      <w:autoSpaceDE w:val="0"/>
      <w:autoSpaceDN w:val="0"/>
      <w:adjustRightInd w:val="0"/>
      <w:snapToGrid w:val="0"/>
      <w:spacing w:before="120" w:after="40" w:line="240" w:lineRule="auto"/>
      <w:ind w:left="1022" w:hanging="1022"/>
    </w:pPr>
    <w:rPr>
      <w:rFonts w:ascii="Arial" w:eastAsia="Times New Roman" w:hAnsi="Arial" w:cs="Arial"/>
      <w:b/>
      <w:bCs/>
      <w:sz w:val="20"/>
      <w:szCs w:val="20"/>
    </w:rPr>
  </w:style>
  <w:style w:type="paragraph" w:customStyle="1" w:styleId="BulletInTable">
    <w:name w:val="BulletInTable"/>
    <w:basedOn w:val="Normal"/>
    <w:autoRedefine/>
    <w:qFormat/>
    <w:rsid w:val="007257E3"/>
    <w:pPr>
      <w:keepNext/>
      <w:tabs>
        <w:tab w:val="num" w:pos="306"/>
        <w:tab w:val="left" w:pos="690"/>
        <w:tab w:val="right" w:pos="8306"/>
      </w:tabs>
      <w:autoSpaceDE w:val="0"/>
      <w:autoSpaceDN w:val="0"/>
      <w:adjustRightInd w:val="0"/>
      <w:snapToGrid w:val="0"/>
      <w:spacing w:before="60" w:after="20" w:line="240" w:lineRule="auto"/>
      <w:ind w:left="301" w:hanging="301"/>
    </w:pPr>
    <w:rPr>
      <w:rFonts w:ascii="Arial" w:eastAsia="Times New Roman" w:hAnsi="Arial" w:cs="Arial"/>
      <w:sz w:val="20"/>
      <w:szCs w:val="20"/>
    </w:rPr>
  </w:style>
  <w:style w:type="paragraph" w:customStyle="1" w:styleId="CaracterCaracterCharChar">
    <w:name w:val="Caracter Caracter Char Char"/>
    <w:basedOn w:val="Normal"/>
    <w:qFormat/>
    <w:rsid w:val="007257E3"/>
    <w:pPr>
      <w:tabs>
        <w:tab w:val="left" w:pos="709"/>
      </w:tabs>
      <w:autoSpaceDE w:val="0"/>
      <w:snapToGrid w:val="0"/>
      <w:spacing w:before="120" w:line="240" w:lineRule="auto"/>
      <w:ind w:left="-108"/>
    </w:pPr>
    <w:rPr>
      <w:rFonts w:ascii="Tahoma" w:eastAsia="Times New Roman" w:hAnsi="Tahoma" w:cs="Tahoma"/>
      <w:sz w:val="24"/>
      <w:szCs w:val="24"/>
      <w:lang w:val="pl-PL" w:eastAsia="pl-PL"/>
    </w:rPr>
  </w:style>
  <w:style w:type="paragraph" w:customStyle="1" w:styleId="t1Char">
    <w:name w:val="t1 Char"/>
    <w:basedOn w:val="Normal"/>
    <w:link w:val="t1CharChar"/>
    <w:qFormat/>
    <w:rsid w:val="007257E3"/>
    <w:pPr>
      <w:tabs>
        <w:tab w:val="left" w:pos="690"/>
      </w:tabs>
      <w:autoSpaceDE w:val="0"/>
      <w:snapToGrid w:val="0"/>
      <w:spacing w:before="40" w:after="40" w:line="240" w:lineRule="auto"/>
      <w:ind w:left="720" w:hanging="360"/>
    </w:pPr>
    <w:rPr>
      <w:rFonts w:ascii="Arial" w:eastAsia="Times New Roman" w:hAnsi="Arial" w:cs="Times New Roman"/>
      <w:sz w:val="24"/>
      <w:szCs w:val="24"/>
      <w:lang w:val="it-IT" w:eastAsia="x-none"/>
    </w:rPr>
  </w:style>
  <w:style w:type="character" w:customStyle="1" w:styleId="t1CharChar">
    <w:name w:val="t1 Char Char"/>
    <w:link w:val="t1Char"/>
    <w:locked/>
    <w:rsid w:val="007257E3"/>
    <w:rPr>
      <w:rFonts w:ascii="Arial" w:eastAsia="Times New Roman" w:hAnsi="Arial" w:cs="Times New Roman"/>
      <w:sz w:val="24"/>
      <w:szCs w:val="24"/>
      <w:lang w:val="it-IT" w:eastAsia="x-none"/>
    </w:rPr>
  </w:style>
  <w:style w:type="paragraph" w:customStyle="1" w:styleId="Bulleted">
    <w:name w:val="Bulleted"/>
    <w:aliases w:val="hanging 1cm"/>
    <w:basedOn w:val="Normal"/>
    <w:next w:val="Normal"/>
    <w:qFormat/>
    <w:rsid w:val="007257E3"/>
    <w:pPr>
      <w:tabs>
        <w:tab w:val="num" w:pos="360"/>
        <w:tab w:val="left" w:pos="690"/>
        <w:tab w:val="left" w:pos="851"/>
      </w:tabs>
      <w:autoSpaceDE w:val="0"/>
      <w:snapToGrid w:val="0"/>
      <w:spacing w:before="120" w:line="240" w:lineRule="auto"/>
      <w:ind w:left="360" w:hanging="360"/>
    </w:pPr>
    <w:rPr>
      <w:rFonts w:ascii="Arial" w:eastAsia="Times New Roman" w:hAnsi="Arial" w:cs="Arial"/>
      <w:sz w:val="22"/>
      <w:szCs w:val="22"/>
      <w:lang w:val="en-GB" w:eastAsia="en-GB"/>
    </w:rPr>
  </w:style>
  <w:style w:type="paragraph" w:customStyle="1" w:styleId="StyleAfter6pt">
    <w:name w:val="Style After:  6 pt"/>
    <w:basedOn w:val="Normal"/>
    <w:autoRedefine/>
    <w:qFormat/>
    <w:rsid w:val="007257E3"/>
    <w:pPr>
      <w:tabs>
        <w:tab w:val="left" w:pos="690"/>
      </w:tabs>
      <w:autoSpaceDE w:val="0"/>
      <w:snapToGrid w:val="0"/>
      <w:spacing w:before="120" w:after="120" w:line="240" w:lineRule="auto"/>
      <w:ind w:left="-108"/>
    </w:pPr>
    <w:rPr>
      <w:rFonts w:ascii="Times New Roman" w:eastAsia="Times New Roman" w:hAnsi="Times New Roman" w:cs="Times New Roman"/>
      <w:sz w:val="24"/>
      <w:szCs w:val="24"/>
      <w:lang w:val="it-IT"/>
    </w:rPr>
  </w:style>
  <w:style w:type="paragraph" w:customStyle="1" w:styleId="StyleSubTitle2Left">
    <w:name w:val="Style SubTitle 2 + Left"/>
    <w:basedOn w:val="SubTitle2"/>
    <w:link w:val="StyleSubTitle2LeftChar"/>
    <w:autoRedefine/>
    <w:qFormat/>
    <w:rsid w:val="007257E3"/>
    <w:pPr>
      <w:ind w:firstLine="108"/>
      <w:jc w:val="left"/>
    </w:pPr>
    <w:rPr>
      <w:rFonts w:ascii="Times New Roman Bold" w:hAnsi="Times New Roman Bold"/>
      <w:sz w:val="28"/>
      <w:szCs w:val="28"/>
    </w:rPr>
  </w:style>
  <w:style w:type="character" w:customStyle="1" w:styleId="StyleArial14ptBlack">
    <w:name w:val="Style Arial 14 pt Black"/>
    <w:rsid w:val="007257E3"/>
    <w:rPr>
      <w:rFonts w:ascii="Times New Roman" w:hAnsi="Times New Roman" w:cs="Times New Roman"/>
      <w:color w:val="000000"/>
      <w:sz w:val="24"/>
      <w:szCs w:val="24"/>
    </w:rPr>
  </w:style>
  <w:style w:type="character" w:customStyle="1" w:styleId="StyleArial14ptBlack1">
    <w:name w:val="Style Arial 14 pt Black1"/>
    <w:rsid w:val="007257E3"/>
    <w:rPr>
      <w:rFonts w:ascii="Arial" w:hAnsi="Arial" w:cs="Arial"/>
      <w:color w:val="000000"/>
      <w:sz w:val="28"/>
      <w:szCs w:val="28"/>
    </w:rPr>
  </w:style>
  <w:style w:type="paragraph" w:customStyle="1" w:styleId="ZchnZchnCharZchnZchnCharCharCaracterCaracter">
    <w:name w:val="Zchn Zchn Char Zchn Zchn Char Char Caracter Caracte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character" w:customStyle="1" w:styleId="SubTitle2Char">
    <w:name w:val="SubTitle 2 Char"/>
    <w:link w:val="SubTitle2"/>
    <w:locked/>
    <w:rsid w:val="007257E3"/>
    <w:rPr>
      <w:rFonts w:ascii="Times New Roman" w:eastAsia="Times New Roman" w:hAnsi="Times New Roman" w:cs="Times New Roman"/>
      <w:b/>
      <w:bCs/>
      <w:sz w:val="32"/>
      <w:szCs w:val="32"/>
      <w:lang w:val="en-GB" w:eastAsia="en-GB"/>
    </w:rPr>
  </w:style>
  <w:style w:type="character" w:customStyle="1" w:styleId="StyleSubTitle2LeftChar">
    <w:name w:val="Style SubTitle 2 + Left Char"/>
    <w:link w:val="StyleSubTitle2Left"/>
    <w:locked/>
    <w:rsid w:val="007257E3"/>
    <w:rPr>
      <w:rFonts w:ascii="Times New Roman Bold" w:eastAsia="Times New Roman" w:hAnsi="Times New Roman Bold" w:cs="Times New Roman"/>
      <w:b/>
      <w:bCs/>
      <w:sz w:val="28"/>
      <w:szCs w:val="28"/>
      <w:lang w:val="en-GB" w:eastAsia="en-GB"/>
    </w:rPr>
  </w:style>
  <w:style w:type="paragraph" w:customStyle="1" w:styleId="CaracterCaracterCaracterCaracterCharCharCharCharCharCharZchnZchnCharCaracterCaracter">
    <w:name w:val="Caracter Caracter Caracter Caracter Char Char Char Char Char Char Zchn Zchn Char Caracter Caracte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paragraph" w:customStyle="1" w:styleId="ZchnZchnCharCharCharCharCharCharZchnZchn">
    <w:name w:val="Zchn Zchn Char Char Char Char Char Char Zchn Zchn"/>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color w:val="000000"/>
      <w:sz w:val="22"/>
      <w:szCs w:val="22"/>
      <w:lang w:val="pl-PL" w:eastAsia="pl-PL"/>
    </w:rPr>
  </w:style>
  <w:style w:type="paragraph" w:customStyle="1" w:styleId="CharChar2CaracterCharCharCaracterCharCharCaracterCharCharCaracterCaracterCharCharCaracterCharCharCaracterCaracterCharCharCaracterCaracterCharCharCaracterCaracter">
    <w:name w:val="Char Char2 Caracter Char Char Caracter Char Char Caracter Char Char Caracter Caracter Char Char Caracter Char Char Caracter Caracter Char Char Caracter Caracter Char Char Caracter Caracte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character" w:customStyle="1" w:styleId="pt1">
    <w:name w:val="pt1"/>
    <w:rsid w:val="007257E3"/>
    <w:rPr>
      <w:b/>
      <w:bCs/>
      <w:color w:val="auto"/>
    </w:rPr>
  </w:style>
  <w:style w:type="paragraph" w:customStyle="1" w:styleId="ZchnZchnChar">
    <w:name w:val="Zchn Zchn Cha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paragraph" w:customStyle="1" w:styleId="CaracterCaracterCaracterCaracterCharCharCharCharCharChar">
    <w:name w:val="Caracter Caracter Caracter Caracter Char Char Char Char Char Cha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paragraph" w:customStyle="1" w:styleId="CharChar1CaracterCaracterCharCharCaracterCaracterCharCaracterCaracterChar">
    <w:name w:val="Char Char1 Caracter Caracter Char Char Caracter Caracter Char Caracter Caracter Char"/>
    <w:basedOn w:val="Normal"/>
    <w:qFormat/>
    <w:rsid w:val="007257E3"/>
    <w:pPr>
      <w:tabs>
        <w:tab w:val="left" w:pos="690"/>
      </w:tabs>
      <w:autoSpaceDE w:val="0"/>
      <w:snapToGrid w:val="0"/>
      <w:spacing w:before="120" w:after="160" w:line="240" w:lineRule="exact"/>
      <w:ind w:left="-108"/>
    </w:pPr>
    <w:rPr>
      <w:rFonts w:ascii="Tahoma" w:eastAsia="Times New Roman" w:hAnsi="Tahoma" w:cs="Tahoma"/>
      <w:sz w:val="20"/>
      <w:szCs w:val="20"/>
      <w:lang w:val="en-US"/>
    </w:rPr>
  </w:style>
  <w:style w:type="paragraph" w:customStyle="1" w:styleId="CharCharCaracterCaracterCharChar">
    <w:name w:val="Char Char Caracter Caracter Char Char"/>
    <w:basedOn w:val="Normal"/>
    <w:qFormat/>
    <w:rsid w:val="007257E3"/>
    <w:pPr>
      <w:tabs>
        <w:tab w:val="left" w:pos="709"/>
      </w:tabs>
      <w:autoSpaceDE w:val="0"/>
      <w:snapToGrid w:val="0"/>
      <w:spacing w:before="120" w:line="240" w:lineRule="auto"/>
      <w:ind w:left="-108"/>
    </w:pPr>
    <w:rPr>
      <w:rFonts w:ascii="Tahoma" w:eastAsia="Times New Roman" w:hAnsi="Tahoma" w:cs="Tahoma"/>
      <w:sz w:val="24"/>
      <w:szCs w:val="24"/>
      <w:lang w:val="pl-PL" w:eastAsia="pl-PL"/>
    </w:rPr>
  </w:style>
  <w:style w:type="paragraph" w:customStyle="1" w:styleId="CharChar1CaracterCaracterCharCharCaracterCaracterCharCharChar1CharCharCharCharCharCharCharCharCharCharCharCharChar">
    <w:name w:val="Char Char1 Caracter Caracter Char Char Caracter Caracter Char Char Char1 Char Char Char Char Char Char Char Char Char Char Char Char Char"/>
    <w:basedOn w:val="Normal"/>
    <w:qFormat/>
    <w:rsid w:val="007257E3"/>
    <w:pPr>
      <w:tabs>
        <w:tab w:val="left" w:pos="690"/>
      </w:tabs>
      <w:autoSpaceDE w:val="0"/>
      <w:snapToGrid w:val="0"/>
      <w:spacing w:before="120" w:after="160" w:line="240" w:lineRule="exact"/>
      <w:ind w:left="-108"/>
    </w:pPr>
    <w:rPr>
      <w:rFonts w:ascii="Tahoma" w:eastAsia="Times New Roman" w:hAnsi="Tahoma" w:cs="Tahoma"/>
      <w:sz w:val="20"/>
      <w:szCs w:val="20"/>
      <w:lang w:val="en-US"/>
    </w:rPr>
  </w:style>
  <w:style w:type="paragraph" w:customStyle="1" w:styleId="CharCaracterCaracterCharChar">
    <w:name w:val="Char Caracter Caracter Char Cha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paragraph" w:customStyle="1" w:styleId="CharChar1CaracterCaracterCharCharCaracterCaracterCharCaracterCaracter">
    <w:name w:val="Char Char1 Caracter Caracter Char Char Caracter Caracter Char Caracter Caracter"/>
    <w:basedOn w:val="Normal"/>
    <w:qFormat/>
    <w:rsid w:val="007257E3"/>
    <w:pPr>
      <w:tabs>
        <w:tab w:val="left" w:pos="690"/>
      </w:tabs>
      <w:autoSpaceDE w:val="0"/>
      <w:snapToGrid w:val="0"/>
      <w:spacing w:before="120" w:after="160" w:line="240" w:lineRule="exact"/>
      <w:ind w:left="-108"/>
    </w:pPr>
    <w:rPr>
      <w:rFonts w:ascii="Tahoma" w:eastAsia="Times New Roman" w:hAnsi="Tahoma" w:cs="Tahoma"/>
      <w:sz w:val="20"/>
      <w:szCs w:val="20"/>
      <w:lang w:val="en-US"/>
    </w:rPr>
  </w:style>
  <w:style w:type="paragraph" w:customStyle="1" w:styleId="CharChar1CaracterCaracterCharCharCaracterCaracterCharCaracterCaracterCharCaracterCaracter">
    <w:name w:val="Char Char1 Caracter Caracter Char Char Caracter Caracter Char Caracter Caracter Char Caracter Caracter"/>
    <w:basedOn w:val="Normal"/>
    <w:qFormat/>
    <w:rsid w:val="007257E3"/>
    <w:pPr>
      <w:tabs>
        <w:tab w:val="left" w:pos="690"/>
      </w:tabs>
      <w:autoSpaceDE w:val="0"/>
      <w:snapToGrid w:val="0"/>
      <w:spacing w:before="120" w:after="160" w:line="240" w:lineRule="exact"/>
      <w:ind w:left="-108"/>
    </w:pPr>
    <w:rPr>
      <w:rFonts w:ascii="Tahoma" w:eastAsia="Times New Roman" w:hAnsi="Tahoma" w:cs="Tahoma"/>
      <w:sz w:val="20"/>
      <w:szCs w:val="20"/>
      <w:lang w:val="en-US"/>
    </w:rPr>
  </w:style>
  <w:style w:type="paragraph" w:customStyle="1" w:styleId="CaracterCaracterCharChar1">
    <w:name w:val="Caracter Caracter Char Char1"/>
    <w:basedOn w:val="Normal"/>
    <w:qFormat/>
    <w:rsid w:val="007257E3"/>
    <w:pPr>
      <w:tabs>
        <w:tab w:val="left" w:pos="709"/>
      </w:tabs>
      <w:autoSpaceDE w:val="0"/>
      <w:snapToGrid w:val="0"/>
      <w:spacing w:before="120" w:line="240" w:lineRule="auto"/>
      <w:ind w:left="-108"/>
    </w:pPr>
    <w:rPr>
      <w:rFonts w:ascii="Tahoma" w:eastAsia="Times New Roman" w:hAnsi="Tahoma" w:cs="Tahoma"/>
      <w:sz w:val="24"/>
      <w:szCs w:val="24"/>
      <w:lang w:val="pl-PL" w:eastAsia="pl-PL"/>
    </w:rPr>
  </w:style>
  <w:style w:type="paragraph" w:customStyle="1" w:styleId="CharChar1CaracterCaracterCharCharCaracterCaracterCharCaracterCaracterCharCaracterCaracterCharCaracterCaracterChar">
    <w:name w:val="Char Char1 Caracter Caracter Char Char Caracter Caracter Char Caracter Caracter Char Caracter Caracter Char Caracter Caracter Char"/>
    <w:basedOn w:val="Normal"/>
    <w:qFormat/>
    <w:rsid w:val="007257E3"/>
    <w:pPr>
      <w:tabs>
        <w:tab w:val="left" w:pos="690"/>
      </w:tabs>
      <w:autoSpaceDE w:val="0"/>
      <w:snapToGrid w:val="0"/>
      <w:spacing w:before="120" w:after="160" w:line="240" w:lineRule="exact"/>
      <w:ind w:left="-108"/>
    </w:pPr>
    <w:rPr>
      <w:rFonts w:ascii="Tahoma" w:eastAsia="Times New Roman" w:hAnsi="Tahoma" w:cs="Tahoma"/>
      <w:sz w:val="20"/>
      <w:szCs w:val="20"/>
      <w:lang w:val="en-US"/>
    </w:rPr>
  </w:style>
  <w:style w:type="paragraph" w:customStyle="1" w:styleId="CharChar1CaracterCaracterCharCharCaracterCaracterCharCharChar1CharCharCharCharCharCharCharCharCharCharCharCharCharCaracterCaracterChar">
    <w:name w:val="Char Char1 Caracter Caracter Char Char Caracter Caracter Char Char Char1 Char Char Char Char Char Char Char Char Char Char Char Char Char Caracter Caracter Char"/>
    <w:basedOn w:val="Normal"/>
    <w:qFormat/>
    <w:rsid w:val="007257E3"/>
    <w:pPr>
      <w:tabs>
        <w:tab w:val="left" w:pos="690"/>
      </w:tabs>
      <w:autoSpaceDE w:val="0"/>
      <w:snapToGrid w:val="0"/>
      <w:spacing w:before="120" w:after="160" w:line="240" w:lineRule="exact"/>
      <w:ind w:left="-108"/>
    </w:pPr>
    <w:rPr>
      <w:rFonts w:ascii="Tahoma" w:eastAsia="Times New Roman" w:hAnsi="Tahoma" w:cs="Tahoma"/>
      <w:sz w:val="20"/>
      <w:szCs w:val="20"/>
      <w:lang w:val="en-US"/>
    </w:rPr>
  </w:style>
  <w:style w:type="paragraph" w:customStyle="1" w:styleId="CaracterCaracterCharCharCaracterCaracterCharChar">
    <w:name w:val="Caracter Caracter Char Char Caracter Caracter Char Char"/>
    <w:basedOn w:val="Normal"/>
    <w:qFormat/>
    <w:rsid w:val="007257E3"/>
    <w:pPr>
      <w:tabs>
        <w:tab w:val="left" w:pos="709"/>
      </w:tabs>
      <w:autoSpaceDE w:val="0"/>
      <w:snapToGrid w:val="0"/>
      <w:spacing w:before="120" w:line="240" w:lineRule="auto"/>
      <w:ind w:left="-108"/>
    </w:pPr>
    <w:rPr>
      <w:rFonts w:ascii="Tahoma" w:eastAsia="Times New Roman" w:hAnsi="Tahoma" w:cs="Tahoma"/>
      <w:sz w:val="24"/>
      <w:szCs w:val="24"/>
      <w:lang w:val="pl-PL" w:eastAsia="pl-PL"/>
    </w:rPr>
  </w:style>
  <w:style w:type="paragraph" w:customStyle="1" w:styleId="CaracterCaracterCharCharCaracterCaracterCharCharCaracterCaracterCharChar">
    <w:name w:val="Caracter Caracter Char Char Caracter Caracter Char Char Caracter Caracter Char Char"/>
    <w:basedOn w:val="Normal"/>
    <w:qFormat/>
    <w:rsid w:val="007257E3"/>
    <w:pPr>
      <w:tabs>
        <w:tab w:val="left" w:pos="709"/>
      </w:tabs>
      <w:autoSpaceDE w:val="0"/>
      <w:snapToGrid w:val="0"/>
      <w:spacing w:before="120" w:line="240" w:lineRule="auto"/>
      <w:ind w:left="-108"/>
    </w:pPr>
    <w:rPr>
      <w:rFonts w:ascii="Tahoma" w:eastAsia="Times New Roman" w:hAnsi="Tahoma" w:cs="Tahoma"/>
      <w:sz w:val="24"/>
      <w:szCs w:val="24"/>
      <w:lang w:val="pl-PL" w:eastAsia="pl-PL"/>
    </w:rPr>
  </w:style>
  <w:style w:type="paragraph" w:customStyle="1" w:styleId="CharChar1CaracterCaracterCharChar">
    <w:name w:val="Char Char1 Caracter Caracter Char Cha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paragraph" w:customStyle="1" w:styleId="CaracterCaracterCharCharCaracterCaracter">
    <w:name w:val="Caracter Caracter Char Char Caracter Caracte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paragraph" w:customStyle="1" w:styleId="CharCharCaracterCaracterZchnZchn">
    <w:name w:val="Char Char Caracter Caracter Zchn Zchn"/>
    <w:basedOn w:val="Normal"/>
    <w:qFormat/>
    <w:rsid w:val="007257E3"/>
    <w:pPr>
      <w:tabs>
        <w:tab w:val="left" w:pos="709"/>
      </w:tabs>
      <w:autoSpaceDE w:val="0"/>
      <w:snapToGrid w:val="0"/>
      <w:spacing w:before="120" w:line="240" w:lineRule="auto"/>
      <w:ind w:left="-108"/>
    </w:pPr>
    <w:rPr>
      <w:rFonts w:ascii="Tahoma" w:eastAsia="Times New Roman" w:hAnsi="Tahoma" w:cs="Tahoma"/>
      <w:sz w:val="24"/>
      <w:szCs w:val="24"/>
      <w:lang w:val="pl-PL" w:eastAsia="pl-PL"/>
    </w:rPr>
  </w:style>
  <w:style w:type="paragraph" w:customStyle="1" w:styleId="CharCharCharCharChar">
    <w:name w:val="Char Char Char Char Char"/>
    <w:basedOn w:val="Normal"/>
    <w:qFormat/>
    <w:rsid w:val="007257E3"/>
    <w:pPr>
      <w:tabs>
        <w:tab w:val="left" w:pos="709"/>
      </w:tabs>
      <w:autoSpaceDE w:val="0"/>
      <w:snapToGrid w:val="0"/>
      <w:spacing w:before="120" w:line="240" w:lineRule="auto"/>
      <w:ind w:left="-108"/>
    </w:pPr>
    <w:rPr>
      <w:rFonts w:ascii="Tahoma" w:eastAsia="Times New Roman" w:hAnsi="Tahoma" w:cs="Tahoma"/>
      <w:sz w:val="24"/>
      <w:szCs w:val="24"/>
      <w:lang w:val="pl-PL" w:eastAsia="pl-PL"/>
    </w:rPr>
  </w:style>
  <w:style w:type="paragraph" w:customStyle="1" w:styleId="ZchnZchnCharZchnZchnCharCharCaracterCaracterChar">
    <w:name w:val="Zchn Zchn Char Zchn Zchn Char Char Caracter Caracter Cha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paragraph" w:customStyle="1" w:styleId="Formatvorlageberschrift2Fett">
    <w:name w:val="Formatvorlage Überschrift 2 + Fett"/>
    <w:basedOn w:val="Heading2"/>
    <w:autoRedefine/>
    <w:qFormat/>
    <w:rsid w:val="007257E3"/>
    <w:pPr>
      <w:keepLines w:val="0"/>
      <w:numPr>
        <w:ilvl w:val="0"/>
        <w:numId w:val="0"/>
      </w:numPr>
      <w:tabs>
        <w:tab w:val="num" w:pos="576"/>
        <w:tab w:val="left" w:pos="690"/>
      </w:tabs>
      <w:suppressAutoHyphens w:val="0"/>
      <w:autoSpaceDE w:val="0"/>
      <w:snapToGrid w:val="0"/>
      <w:spacing w:before="120" w:after="120" w:line="240" w:lineRule="auto"/>
      <w:ind w:left="576" w:hanging="576"/>
      <w:contextualSpacing w:val="0"/>
    </w:pPr>
    <w:rPr>
      <w:rFonts w:ascii="Times New Roman" w:eastAsia="Times New Roman" w:hAnsi="Times New Roman" w:cs="Times New Roman"/>
      <w:b/>
      <w:w w:val="86"/>
      <w:sz w:val="22"/>
      <w:szCs w:val="22"/>
      <w:lang w:val="x-none"/>
    </w:rPr>
  </w:style>
  <w:style w:type="paragraph" w:customStyle="1" w:styleId="Formatvorlageberschrift2BlockLinks085cmHngend127cmVo">
    <w:name w:val="Formatvorlage Überschrift 2 + Block Links:  085 cm Hängend:  127 cm Vo..."/>
    <w:basedOn w:val="Heading2"/>
    <w:autoRedefine/>
    <w:qFormat/>
    <w:rsid w:val="007257E3"/>
    <w:pPr>
      <w:keepLines w:val="0"/>
      <w:numPr>
        <w:ilvl w:val="0"/>
        <w:numId w:val="0"/>
      </w:numPr>
      <w:tabs>
        <w:tab w:val="num" w:pos="576"/>
        <w:tab w:val="left" w:pos="690"/>
      </w:tabs>
      <w:suppressAutoHyphens w:val="0"/>
      <w:autoSpaceDE w:val="0"/>
      <w:snapToGrid w:val="0"/>
      <w:spacing w:before="240" w:after="240" w:line="240" w:lineRule="auto"/>
      <w:ind w:left="576" w:hanging="576"/>
      <w:contextualSpacing w:val="0"/>
      <w:jc w:val="both"/>
    </w:pPr>
    <w:rPr>
      <w:rFonts w:ascii="Times New Roman" w:eastAsia="Times New Roman" w:hAnsi="Times New Roman" w:cs="Times New Roman"/>
      <w:b/>
      <w:w w:val="86"/>
      <w:sz w:val="22"/>
      <w:szCs w:val="22"/>
      <w:lang w:val="x-none"/>
    </w:rPr>
  </w:style>
  <w:style w:type="paragraph" w:customStyle="1" w:styleId="Formatvorlageberschrift2FettBlockLinks0cmErsteZeile0cm">
    <w:name w:val="Formatvorlage Überschrift 2 + Fett Block Links:  0 cm Erste Zeile:  0 cm"/>
    <w:basedOn w:val="Heading2"/>
    <w:autoRedefine/>
    <w:qFormat/>
    <w:rsid w:val="007257E3"/>
    <w:pPr>
      <w:keepLines w:val="0"/>
      <w:numPr>
        <w:numId w:val="115"/>
      </w:numPr>
      <w:tabs>
        <w:tab w:val="num" w:pos="432"/>
        <w:tab w:val="left" w:pos="690"/>
      </w:tabs>
      <w:suppressAutoHyphens w:val="0"/>
      <w:autoSpaceDE w:val="0"/>
      <w:snapToGrid w:val="0"/>
      <w:spacing w:before="120" w:after="120" w:line="240" w:lineRule="auto"/>
      <w:contextualSpacing w:val="0"/>
      <w:jc w:val="both"/>
    </w:pPr>
    <w:rPr>
      <w:rFonts w:ascii="Times New Roman" w:eastAsia="Times New Roman" w:hAnsi="Times New Roman" w:cs="Times New Roman"/>
      <w:b/>
      <w:w w:val="86"/>
      <w:sz w:val="22"/>
      <w:szCs w:val="22"/>
      <w:lang w:val="x-none"/>
    </w:rPr>
  </w:style>
  <w:style w:type="paragraph" w:customStyle="1" w:styleId="Formatvorlageberschrift2FettBlockLinks0cmErsteZeile0cm1">
    <w:name w:val="Formatvorlage Überschrift 2 + Fett Block Links:  0 cm Erste Zeile:  0 cm1"/>
    <w:basedOn w:val="Heading2"/>
    <w:link w:val="Formatvorlageberschrift2FettBlockLinks0cmErsteZeile0cm1Zchn"/>
    <w:autoRedefine/>
    <w:qFormat/>
    <w:rsid w:val="007257E3"/>
    <w:pPr>
      <w:keepLines w:val="0"/>
      <w:numPr>
        <w:ilvl w:val="0"/>
        <w:numId w:val="0"/>
      </w:numPr>
      <w:tabs>
        <w:tab w:val="num" w:pos="284"/>
        <w:tab w:val="num" w:pos="360"/>
        <w:tab w:val="left" w:pos="690"/>
        <w:tab w:val="num" w:pos="792"/>
        <w:tab w:val="num" w:pos="1134"/>
      </w:tabs>
      <w:suppressAutoHyphens w:val="0"/>
      <w:autoSpaceDE w:val="0"/>
      <w:snapToGrid w:val="0"/>
      <w:spacing w:before="120" w:after="120" w:line="240" w:lineRule="auto"/>
      <w:ind w:left="360" w:hanging="360"/>
      <w:contextualSpacing w:val="0"/>
      <w:jc w:val="both"/>
    </w:pPr>
    <w:rPr>
      <w:rFonts w:ascii="Times New Roman" w:eastAsia="Times New Roman" w:hAnsi="Times New Roman" w:cs="Times New Roman"/>
      <w:b/>
      <w:w w:val="86"/>
      <w:sz w:val="24"/>
      <w:szCs w:val="24"/>
      <w:lang w:val="x-none" w:eastAsia="x-none"/>
    </w:rPr>
  </w:style>
  <w:style w:type="character" w:customStyle="1" w:styleId="Formatvorlageberschrift2FettBlockLinks0cmErsteZeile0cm1Zchn">
    <w:name w:val="Formatvorlage Überschrift 2 + Fett Block Links:  0 cm Erste Zeile:  0 cm1 Zchn"/>
    <w:link w:val="Formatvorlageberschrift2FettBlockLinks0cmErsteZeile0cm1"/>
    <w:locked/>
    <w:rsid w:val="007257E3"/>
    <w:rPr>
      <w:rFonts w:ascii="Times New Roman" w:eastAsia="Times New Roman" w:hAnsi="Times New Roman" w:cs="Times New Roman"/>
      <w:b/>
      <w:bCs/>
      <w:w w:val="86"/>
      <w:sz w:val="24"/>
      <w:szCs w:val="24"/>
      <w:lang w:val="x-none" w:eastAsia="x-none"/>
    </w:rPr>
  </w:style>
  <w:style w:type="paragraph" w:customStyle="1" w:styleId="Formatvorlageberschrift2TimesNewRoman12ptBlock">
    <w:name w:val="Formatvorlage Überschrift 2 + Times New Roman 12 pt Block"/>
    <w:basedOn w:val="Heading2"/>
    <w:autoRedefine/>
    <w:qFormat/>
    <w:rsid w:val="007257E3"/>
    <w:pPr>
      <w:keepLines w:val="0"/>
      <w:numPr>
        <w:ilvl w:val="0"/>
        <w:numId w:val="0"/>
      </w:numPr>
      <w:tabs>
        <w:tab w:val="left" w:pos="690"/>
        <w:tab w:val="num" w:pos="1200"/>
      </w:tabs>
      <w:suppressAutoHyphens w:val="0"/>
      <w:autoSpaceDE w:val="0"/>
      <w:snapToGrid w:val="0"/>
      <w:spacing w:before="120" w:after="240" w:line="240" w:lineRule="auto"/>
      <w:ind w:left="720" w:hanging="720"/>
      <w:contextualSpacing w:val="0"/>
      <w:jc w:val="both"/>
    </w:pPr>
    <w:rPr>
      <w:rFonts w:ascii="Times New Roman" w:eastAsia="Times New Roman" w:hAnsi="Times New Roman" w:cs="Times New Roman"/>
      <w:b/>
      <w:caps/>
      <w:w w:val="86"/>
      <w:sz w:val="24"/>
      <w:szCs w:val="24"/>
      <w:lang w:eastAsia="en-GB"/>
    </w:rPr>
  </w:style>
  <w:style w:type="paragraph" w:customStyle="1" w:styleId="Formatvorlageberschrift112pt">
    <w:name w:val="Formatvorlage Überschrift 1 + 12 pt"/>
    <w:basedOn w:val="Heading1"/>
    <w:autoRedefine/>
    <w:qFormat/>
    <w:rsid w:val="007257E3"/>
    <w:pPr>
      <w:keepLines w:val="0"/>
      <w:numPr>
        <w:numId w:val="0"/>
      </w:numPr>
      <w:tabs>
        <w:tab w:val="num" w:pos="480"/>
        <w:tab w:val="left" w:pos="690"/>
      </w:tabs>
      <w:suppressAutoHyphens w:val="0"/>
      <w:autoSpaceDE w:val="0"/>
      <w:snapToGrid w:val="0"/>
      <w:spacing w:before="240" w:after="240" w:line="240" w:lineRule="auto"/>
      <w:ind w:left="480" w:hanging="480"/>
      <w:contextualSpacing w:val="0"/>
    </w:pPr>
    <w:rPr>
      <w:rFonts w:ascii="Times New Roman" w:eastAsia="Times New Roman" w:hAnsi="Times New Roman" w:cs="Times New Roman"/>
      <w:b/>
      <w:smallCaps/>
      <w:color w:val="auto"/>
      <w:kern w:val="28"/>
      <w:sz w:val="22"/>
      <w:lang w:eastAsia="en-GB"/>
    </w:rPr>
  </w:style>
  <w:style w:type="paragraph" w:customStyle="1" w:styleId="CharCharCaracterCaracter">
    <w:name w:val="Char Char Caracter Caracter"/>
    <w:basedOn w:val="Normal"/>
    <w:next w:val="Normal"/>
    <w:qFormat/>
    <w:rsid w:val="007257E3"/>
    <w:pPr>
      <w:tabs>
        <w:tab w:val="left" w:pos="690"/>
      </w:tabs>
      <w:autoSpaceDE w:val="0"/>
      <w:snapToGrid w:val="0"/>
      <w:spacing w:before="120" w:after="160" w:line="240" w:lineRule="exact"/>
      <w:ind w:left="-108"/>
    </w:pPr>
    <w:rPr>
      <w:rFonts w:ascii="Tahoma" w:eastAsia="Times New Roman" w:hAnsi="Tahoma" w:cs="Tahoma"/>
      <w:sz w:val="24"/>
      <w:szCs w:val="24"/>
      <w:lang w:val="en-US"/>
    </w:rPr>
  </w:style>
  <w:style w:type="paragraph" w:customStyle="1" w:styleId="CaracterCaracterCaracterCaracterCharCharCharCharCharCharZchnZchn">
    <w:name w:val="Caracter Caracter Caracter Caracter Char Char Char Char Char Char Zchn Zchn"/>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character" w:customStyle="1" w:styleId="StyleTitleLeftChar">
    <w:name w:val="Style Title + Left Char"/>
    <w:rsid w:val="007257E3"/>
    <w:rPr>
      <w:rFonts w:ascii="Times New Roman Bold" w:hAnsi="Times New Roman Bold" w:cs="Times New Roman Bold"/>
      <w:b/>
      <w:i/>
      <w:kern w:val="28"/>
      <w:sz w:val="24"/>
      <w:szCs w:val="24"/>
      <w:lang w:val="ro-RO" w:eastAsia="en-GB" w:bidi="ar-SA"/>
    </w:rPr>
  </w:style>
  <w:style w:type="paragraph" w:customStyle="1" w:styleId="CharZchnZchn">
    <w:name w:val="Char Zchn Zchn"/>
    <w:basedOn w:val="Normal"/>
    <w:autoRedefine/>
    <w:qFormat/>
    <w:rsid w:val="007257E3"/>
    <w:pPr>
      <w:numPr>
        <w:numId w:val="116"/>
      </w:numPr>
      <w:tabs>
        <w:tab w:val="left" w:pos="690"/>
      </w:tabs>
      <w:autoSpaceDE w:val="0"/>
      <w:snapToGrid w:val="0"/>
      <w:spacing w:before="120" w:line="240" w:lineRule="auto"/>
    </w:pPr>
    <w:rPr>
      <w:rFonts w:ascii="Times New Roman" w:eastAsia="Times New Roman" w:hAnsi="Times New Roman" w:cs="Times New Roman"/>
      <w:sz w:val="24"/>
      <w:szCs w:val="24"/>
      <w:lang w:val="pl-PL" w:eastAsia="pl-PL"/>
    </w:rPr>
  </w:style>
  <w:style w:type="paragraph" w:customStyle="1" w:styleId="Figure">
    <w:name w:val="Figure"/>
    <w:basedOn w:val="Normal"/>
    <w:qFormat/>
    <w:rsid w:val="007257E3"/>
    <w:pPr>
      <w:tabs>
        <w:tab w:val="left" w:pos="690"/>
      </w:tabs>
      <w:autoSpaceDE w:val="0"/>
      <w:snapToGrid w:val="0"/>
      <w:spacing w:before="120" w:line="240" w:lineRule="auto"/>
      <w:ind w:left="-108"/>
      <w:jc w:val="center"/>
    </w:pPr>
    <w:rPr>
      <w:rFonts w:ascii="Arial" w:eastAsia="Times New Roman" w:hAnsi="Arial" w:cs="Arial"/>
      <w:sz w:val="20"/>
      <w:szCs w:val="20"/>
      <w:lang w:val="it-IT"/>
    </w:rPr>
  </w:style>
  <w:style w:type="paragraph" w:customStyle="1" w:styleId="CharZchnZchnZchnZchn">
    <w:name w:val="Char Zchn Zchn Zchn Zchn"/>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paragraph" w:customStyle="1" w:styleId="Puce1">
    <w:name w:val="Puce 1"/>
    <w:basedOn w:val="Normal"/>
    <w:link w:val="Puce1Car"/>
    <w:qFormat/>
    <w:rsid w:val="007257E3"/>
    <w:pPr>
      <w:autoSpaceDE w:val="0"/>
      <w:snapToGrid w:val="0"/>
      <w:spacing w:line="240" w:lineRule="auto"/>
      <w:ind w:left="-108"/>
    </w:pPr>
    <w:rPr>
      <w:rFonts w:ascii="Arial" w:eastAsia="Times New Roman" w:hAnsi="Arial" w:cs="Times New Roman"/>
      <w:sz w:val="24"/>
      <w:szCs w:val="24"/>
      <w:lang w:val="fr-FR" w:eastAsia="fr-FR"/>
    </w:rPr>
  </w:style>
  <w:style w:type="character" w:customStyle="1" w:styleId="StyleCar">
    <w:name w:val="Style Car"/>
    <w:locked/>
    <w:rsid w:val="007257E3"/>
    <w:rPr>
      <w:rFonts w:ascii="Arial" w:eastAsia="Times New Roman" w:hAnsi="Arial" w:cs="Times New Roman"/>
      <w:sz w:val="24"/>
      <w:szCs w:val="24"/>
      <w:lang w:val="en-GB" w:eastAsia="en-GB"/>
    </w:rPr>
  </w:style>
  <w:style w:type="character" w:customStyle="1" w:styleId="Puce1Car">
    <w:name w:val="Puce 1 Car"/>
    <w:link w:val="Puce1"/>
    <w:locked/>
    <w:rsid w:val="007257E3"/>
    <w:rPr>
      <w:rFonts w:ascii="Arial" w:eastAsia="Times New Roman" w:hAnsi="Arial" w:cs="Times New Roman"/>
      <w:sz w:val="24"/>
      <w:szCs w:val="24"/>
      <w:lang w:val="fr-FR" w:eastAsia="fr-FR"/>
    </w:rPr>
  </w:style>
  <w:style w:type="paragraph" w:customStyle="1" w:styleId="Texte">
    <w:name w:val="Texte"/>
    <w:basedOn w:val="Normal"/>
    <w:qFormat/>
    <w:rsid w:val="007257E3"/>
    <w:pPr>
      <w:autoSpaceDE w:val="0"/>
      <w:snapToGrid w:val="0"/>
      <w:spacing w:line="240" w:lineRule="auto"/>
      <w:ind w:left="-108"/>
    </w:pPr>
    <w:rPr>
      <w:rFonts w:ascii="Arial" w:eastAsia="Times New Roman" w:hAnsi="Arial" w:cs="Arial"/>
      <w:sz w:val="20"/>
      <w:szCs w:val="20"/>
      <w:lang w:val="fr-FR" w:eastAsia="fr-FR"/>
    </w:rPr>
  </w:style>
  <w:style w:type="paragraph" w:customStyle="1" w:styleId="CarCar">
    <w:name w:val="Car Car"/>
    <w:basedOn w:val="Normal"/>
    <w:qFormat/>
    <w:rsid w:val="007257E3"/>
    <w:pPr>
      <w:autoSpaceDE w:val="0"/>
      <w:snapToGrid w:val="0"/>
      <w:spacing w:line="240" w:lineRule="auto"/>
      <w:ind w:left="-108"/>
    </w:pPr>
    <w:rPr>
      <w:rFonts w:ascii="Times New Roman" w:eastAsia="Times New Roman" w:hAnsi="Times New Roman" w:cs="Times New Roman"/>
      <w:sz w:val="24"/>
      <w:szCs w:val="24"/>
      <w:lang w:val="pl-PL" w:eastAsia="pl-PL"/>
    </w:rPr>
  </w:style>
  <w:style w:type="paragraph" w:customStyle="1" w:styleId="CaracterCharCharCharCharCharCharCharCharCharCharCharChar">
    <w:name w:val="Caracter Char Char Char Char Char Char Char Char Char Char Char Char"/>
    <w:basedOn w:val="Normal"/>
    <w:qFormat/>
    <w:rsid w:val="007257E3"/>
    <w:pPr>
      <w:autoSpaceDE w:val="0"/>
      <w:snapToGrid w:val="0"/>
      <w:spacing w:line="240" w:lineRule="auto"/>
      <w:ind w:left="-108"/>
    </w:pPr>
    <w:rPr>
      <w:rFonts w:ascii="Times New Roman" w:eastAsia="Times New Roman" w:hAnsi="Times New Roman" w:cs="Times New Roman"/>
      <w:sz w:val="24"/>
      <w:szCs w:val="24"/>
      <w:lang w:val="pl-PL" w:eastAsia="pl-PL"/>
    </w:rPr>
  </w:style>
  <w:style w:type="paragraph" w:customStyle="1" w:styleId="CaracterCharCharCaracterCharCharCaracterCharCharCharCharCaracterCharCharCaracter">
    <w:name w:val="Caracter Char Char Caracter Char Char Caracter Char Char Char Char Caracter Char Char Caracter"/>
    <w:basedOn w:val="Normal"/>
    <w:qFormat/>
    <w:rsid w:val="007257E3"/>
    <w:pPr>
      <w:autoSpaceDE w:val="0"/>
      <w:snapToGrid w:val="0"/>
      <w:spacing w:line="240" w:lineRule="auto"/>
      <w:ind w:left="-108"/>
    </w:pPr>
    <w:rPr>
      <w:rFonts w:ascii="Times New Roman" w:eastAsia="Times New Roman" w:hAnsi="Times New Roman" w:cs="Times New Roman"/>
      <w:sz w:val="24"/>
      <w:szCs w:val="24"/>
      <w:lang w:val="pl-PL" w:eastAsia="pl-PL"/>
    </w:rPr>
  </w:style>
  <w:style w:type="paragraph" w:customStyle="1" w:styleId="CaracterCaracterCaracterCaracterCharCharCharCharCharCharZchnZchnChar">
    <w:name w:val="Caracter Caracter Caracter Caracter Char Char Char Char Char Char Zchn Zchn Char"/>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CharZchnZchnCharCharCharCharCharCharCharCharCharCharCharCharCaracterCaracterCharCaracterCaracterChar">
    <w:name w:val="Char Zchn Zchn Char Char Char Char Char Char Char Char Char Char Char Char Caracter Caracter Char Caracter Caracter Char"/>
    <w:basedOn w:val="Normal"/>
    <w:qFormat/>
    <w:rsid w:val="007257E3"/>
    <w:pPr>
      <w:tabs>
        <w:tab w:val="left" w:pos="-6240"/>
      </w:tabs>
      <w:spacing w:line="240" w:lineRule="auto"/>
      <w:ind w:right="-40"/>
    </w:pPr>
    <w:rPr>
      <w:rFonts w:ascii="Times New Roman" w:eastAsia="Times New Roman" w:hAnsi="Times New Roman" w:cs="Times New Roman"/>
      <w:sz w:val="24"/>
      <w:szCs w:val="24"/>
      <w:lang w:val="pl-PL" w:eastAsia="pl-PL"/>
    </w:rPr>
  </w:style>
  <w:style w:type="paragraph" w:customStyle="1" w:styleId="CharChar2CaracterCharCharCaracterCharCharCaracterCharCharCaracterCaracterCharCharCaracterCharCharCaracterCaracterCharCharCaracterCaracterCharCharCaracterCaracter1">
    <w:name w:val="Char Char2 Caracter Char Char Caracter Char Char Caracter Char Char Caracter Caracter Char Char Caracter Char Char Caracter Caracter Char Char Caracter Caracter Char Char Caracter Caracter1"/>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StyleLeft15cm">
    <w:name w:val="Style Left:  15 cm"/>
    <w:basedOn w:val="Normal"/>
    <w:qFormat/>
    <w:rsid w:val="007257E3"/>
    <w:pPr>
      <w:spacing w:before="200" w:line="288" w:lineRule="auto"/>
      <w:ind w:left="851"/>
      <w:jc w:val="both"/>
    </w:pPr>
    <w:rPr>
      <w:rFonts w:ascii="Arial" w:eastAsia="Times New Roman" w:hAnsi="Arial" w:cs="Arial"/>
      <w:sz w:val="20"/>
      <w:szCs w:val="20"/>
      <w:lang w:val="en-GB"/>
    </w:rPr>
  </w:style>
  <w:style w:type="paragraph" w:customStyle="1" w:styleId="CharChar2CharCharCharChar">
    <w:name w:val="Char Char2 Char Char Char Char"/>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WW8Num7z3">
    <w:name w:val="WW8Num7z3"/>
    <w:rsid w:val="007257E3"/>
    <w:rPr>
      <w:rFonts w:ascii="Symbol" w:hAnsi="Symbol" w:cs="Symbol"/>
    </w:rPr>
  </w:style>
  <w:style w:type="paragraph" w:customStyle="1" w:styleId="Caracter1">
    <w:name w:val="Caracter1"/>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Fejlc4CharChar">
    <w:name w:val="Fejléc4 Char Char"/>
    <w:rsid w:val="007257E3"/>
    <w:rPr>
      <w:rFonts w:ascii="Calibri" w:eastAsia="Times New Roman" w:hAnsi="Calibri" w:cs="Calibri"/>
      <w:sz w:val="24"/>
      <w:szCs w:val="24"/>
      <w:lang w:val="en-US" w:eastAsia="en-US"/>
    </w:rPr>
  </w:style>
  <w:style w:type="paragraph" w:customStyle="1" w:styleId="NormalTimesNewRoman">
    <w:name w:val="Normal + Times New Roman"/>
    <w:aliases w:val="Line spacing:  1 lines"/>
    <w:basedOn w:val="Normal"/>
    <w:qFormat/>
    <w:rsid w:val="007257E3"/>
    <w:pPr>
      <w:keepLines/>
      <w:framePr w:hSpace="180" w:wrap="auto" w:vAnchor="text" w:hAnchor="margin" w:y="74"/>
      <w:spacing w:line="360" w:lineRule="auto"/>
    </w:pPr>
    <w:rPr>
      <w:rFonts w:ascii="Times New Roman" w:eastAsia="Times New Roman" w:hAnsi="Times New Roman" w:cs="Times New Roman"/>
      <w:lang w:val="en-US" w:eastAsia="de-AT"/>
    </w:rPr>
  </w:style>
  <w:style w:type="paragraph" w:customStyle="1" w:styleId="111">
    <w:name w:val="111"/>
    <w:basedOn w:val="Normal"/>
    <w:qFormat/>
    <w:rsid w:val="007257E3"/>
    <w:pPr>
      <w:numPr>
        <w:numId w:val="117"/>
      </w:numPr>
      <w:spacing w:line="240" w:lineRule="auto"/>
    </w:pPr>
    <w:rPr>
      <w:rFonts w:ascii="Times New Roman" w:eastAsia="Times New Roman" w:hAnsi="Times New Roman" w:cs="Times New Roman"/>
      <w:b/>
      <w:bCs/>
      <w:sz w:val="22"/>
      <w:szCs w:val="22"/>
      <w:lang w:val="pl-PL" w:eastAsia="pl-PL"/>
    </w:rPr>
  </w:style>
  <w:style w:type="paragraph" w:customStyle="1" w:styleId="CaracterCaracterCharCaracterCaracterCharCaracterCaracterCharCaracterCaracterCharCaracterCaracter1CharCharCar">
    <w:name w:val="Caracter Caracter Char Caracter Caracter Char Caracter Caracter Char Caracter Caracter Char Caracter Caracter1 Char Char Car"/>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mediumtext1">
    <w:name w:val="medium_text1"/>
    <w:rsid w:val="007257E3"/>
    <w:rPr>
      <w:b/>
      <w:bCs/>
      <w:sz w:val="24"/>
      <w:szCs w:val="24"/>
      <w:lang w:val="pl-PL" w:eastAsia="pl-PL"/>
    </w:rPr>
  </w:style>
  <w:style w:type="character" w:customStyle="1" w:styleId="longtext1">
    <w:name w:val="long_text1"/>
    <w:rsid w:val="007257E3"/>
    <w:rPr>
      <w:b/>
      <w:bCs/>
      <w:sz w:val="20"/>
      <w:szCs w:val="20"/>
      <w:lang w:val="pl-PL" w:eastAsia="pl-PL"/>
    </w:rPr>
  </w:style>
  <w:style w:type="character" w:customStyle="1" w:styleId="mediumtext">
    <w:name w:val="medium_text"/>
    <w:basedOn w:val="DefaultParagraphFont"/>
    <w:rsid w:val="007257E3"/>
  </w:style>
  <w:style w:type="character" w:customStyle="1" w:styleId="CharChar20">
    <w:name w:val="Char Char20"/>
    <w:rsid w:val="007257E3"/>
    <w:rPr>
      <w:rFonts w:ascii="Arial" w:hAnsi="Arial" w:cs="Arial"/>
      <w:color w:val="auto"/>
      <w:sz w:val="24"/>
      <w:szCs w:val="24"/>
      <w:lang w:val="en-GB" w:eastAsia="ar-SA" w:bidi="ar-SA"/>
    </w:rPr>
  </w:style>
  <w:style w:type="character" w:customStyle="1" w:styleId="shorttext1">
    <w:name w:val="short_text1"/>
    <w:rsid w:val="007257E3"/>
    <w:rPr>
      <w:sz w:val="29"/>
      <w:szCs w:val="29"/>
    </w:rPr>
  </w:style>
  <w:style w:type="paragraph" w:customStyle="1" w:styleId="CharZchnZchnCharCharCharCharCharCharCharCharCharCharCharCharCaracterCaracterCharCaracterCaracter">
    <w:name w:val="Char Zchn Zchn Char Char Char Char Char Char Char Char Char Char Char Char Caracter Caracter Char Caracter Caracter"/>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font0">
    <w:name w:val="font0"/>
    <w:basedOn w:val="Normal"/>
    <w:qFormat/>
    <w:rsid w:val="007257E3"/>
    <w:pPr>
      <w:spacing w:before="100" w:beforeAutospacing="1" w:after="100" w:afterAutospacing="1" w:line="240" w:lineRule="auto"/>
    </w:pPr>
    <w:rPr>
      <w:rFonts w:ascii="Arial" w:eastAsia="Times New Roman" w:hAnsi="Arial" w:cs="Arial"/>
      <w:sz w:val="20"/>
      <w:szCs w:val="20"/>
      <w:lang w:eastAsia="ro-RO"/>
    </w:rPr>
  </w:style>
  <w:style w:type="numbering" w:customStyle="1" w:styleId="Bumbi3">
    <w:name w:val="Bumbi3"/>
    <w:rsid w:val="007257E3"/>
    <w:pPr>
      <w:numPr>
        <w:numId w:val="155"/>
      </w:numPr>
    </w:pPr>
  </w:style>
  <w:style w:type="numbering" w:customStyle="1" w:styleId="Bumbi-3">
    <w:name w:val="Bumbi -3"/>
    <w:rsid w:val="007257E3"/>
    <w:pPr>
      <w:numPr>
        <w:numId w:val="94"/>
      </w:numPr>
    </w:pPr>
  </w:style>
  <w:style w:type="numbering" w:customStyle="1" w:styleId="TabelBumbi">
    <w:name w:val="Tabel Bumbi"/>
    <w:rsid w:val="007257E3"/>
    <w:pPr>
      <w:numPr>
        <w:numId w:val="136"/>
      </w:numPr>
    </w:pPr>
  </w:style>
  <w:style w:type="numbering" w:customStyle="1" w:styleId="Bumbiabc0">
    <w:name w:val="Bumbi abc"/>
    <w:rsid w:val="007257E3"/>
    <w:pPr>
      <w:numPr>
        <w:numId w:val="161"/>
      </w:numPr>
    </w:pPr>
  </w:style>
  <w:style w:type="paragraph" w:customStyle="1" w:styleId="CharZchnZchnCharCharCharCharCharCharCharCharCharCharCharCharCaracterCaracterCharCaracterCaracterChar2">
    <w:name w:val="Char Zchn Zchn Char Char Char Char Char Char Char Char Char Char Char Char Caracter Caracter Char Caracter Caracter Char2"/>
    <w:basedOn w:val="Normal"/>
    <w:qFormat/>
    <w:rsid w:val="007257E3"/>
    <w:pPr>
      <w:tabs>
        <w:tab w:val="left" w:pos="-6240"/>
      </w:tabs>
      <w:spacing w:line="240" w:lineRule="auto"/>
      <w:ind w:right="-40"/>
      <w:jc w:val="center"/>
    </w:pPr>
    <w:rPr>
      <w:rFonts w:ascii="Times New Roman" w:eastAsia="Times New Roman" w:hAnsi="Times New Roman" w:cs="Times New Roman"/>
      <w:sz w:val="24"/>
      <w:szCs w:val="24"/>
      <w:lang w:val="pl-PL" w:eastAsia="pl-PL"/>
    </w:rPr>
  </w:style>
  <w:style w:type="character" w:customStyle="1" w:styleId="WW8Num13z0">
    <w:name w:val="WW8Num13z0"/>
    <w:rsid w:val="007257E3"/>
    <w:rPr>
      <w:sz w:val="22"/>
    </w:rPr>
  </w:style>
  <w:style w:type="paragraph" w:customStyle="1" w:styleId="H2">
    <w:name w:val="H2"/>
    <w:basedOn w:val="Normal"/>
    <w:autoRedefine/>
    <w:qFormat/>
    <w:rsid w:val="007257E3"/>
    <w:pPr>
      <w:spacing w:line="240" w:lineRule="auto"/>
      <w:jc w:val="both"/>
    </w:pPr>
    <w:rPr>
      <w:rFonts w:ascii="Times New Roman" w:eastAsia="Times New Roman" w:hAnsi="Times New Roman" w:cs="Times New Roman"/>
      <w:b/>
      <w:bCs/>
      <w:sz w:val="24"/>
      <w:szCs w:val="24"/>
    </w:rPr>
  </w:style>
  <w:style w:type="character" w:customStyle="1" w:styleId="FontStyle1198">
    <w:name w:val="Font Style1198"/>
    <w:uiPriority w:val="99"/>
    <w:rsid w:val="007257E3"/>
    <w:rPr>
      <w:rFonts w:ascii="Arial Narrow" w:hAnsi="Arial Narrow" w:cs="Arial Narrow"/>
      <w:b/>
      <w:bCs/>
      <w:sz w:val="20"/>
      <w:szCs w:val="20"/>
    </w:rPr>
  </w:style>
  <w:style w:type="character" w:customStyle="1" w:styleId="FontStyle1220">
    <w:name w:val="Font Style1220"/>
    <w:uiPriority w:val="99"/>
    <w:rsid w:val="007257E3"/>
    <w:rPr>
      <w:rFonts w:ascii="Arial Narrow" w:hAnsi="Arial Narrow" w:cs="Arial Narrow"/>
      <w:b/>
      <w:bCs/>
      <w:i/>
      <w:iCs/>
      <w:sz w:val="20"/>
      <w:szCs w:val="20"/>
    </w:rPr>
  </w:style>
  <w:style w:type="paragraph" w:customStyle="1" w:styleId="Style188">
    <w:name w:val="Style188"/>
    <w:basedOn w:val="Normal"/>
    <w:uiPriority w:val="99"/>
    <w:qFormat/>
    <w:rsid w:val="007257E3"/>
    <w:pPr>
      <w:widowControl w:val="0"/>
      <w:autoSpaceDE w:val="0"/>
      <w:autoSpaceDN w:val="0"/>
      <w:adjustRightInd w:val="0"/>
      <w:spacing w:line="226" w:lineRule="exact"/>
      <w:ind w:hanging="533"/>
    </w:pPr>
    <w:rPr>
      <w:rFonts w:ascii="Arial Narrow" w:eastAsia="Times New Roman" w:hAnsi="Arial Narrow" w:cs="Times New Roman"/>
      <w:sz w:val="24"/>
      <w:szCs w:val="24"/>
      <w:lang w:eastAsia="ro-RO"/>
    </w:rPr>
  </w:style>
  <w:style w:type="character" w:customStyle="1" w:styleId="FontStyle1211">
    <w:name w:val="Font Style1211"/>
    <w:uiPriority w:val="99"/>
    <w:rsid w:val="007257E3"/>
    <w:rPr>
      <w:rFonts w:ascii="Arial" w:hAnsi="Arial" w:cs="Arial"/>
      <w:sz w:val="16"/>
      <w:szCs w:val="16"/>
    </w:rPr>
  </w:style>
  <w:style w:type="character" w:customStyle="1" w:styleId="FontStyle1218">
    <w:name w:val="Font Style1218"/>
    <w:uiPriority w:val="99"/>
    <w:rsid w:val="007257E3"/>
    <w:rPr>
      <w:rFonts w:ascii="Arial Narrow" w:hAnsi="Arial Narrow" w:cs="Arial Narrow"/>
      <w:b/>
      <w:bCs/>
      <w:sz w:val="22"/>
      <w:szCs w:val="22"/>
    </w:rPr>
  </w:style>
  <w:style w:type="character" w:customStyle="1" w:styleId="FontStyle1219">
    <w:name w:val="Font Style1219"/>
    <w:uiPriority w:val="99"/>
    <w:rsid w:val="007257E3"/>
    <w:rPr>
      <w:rFonts w:ascii="Arial Narrow" w:hAnsi="Arial Narrow" w:cs="Arial Narrow"/>
      <w:b/>
      <w:bCs/>
      <w:smallCaps/>
      <w:sz w:val="22"/>
      <w:szCs w:val="22"/>
    </w:rPr>
  </w:style>
  <w:style w:type="character" w:customStyle="1" w:styleId="FontStyle1224">
    <w:name w:val="Font Style1224"/>
    <w:uiPriority w:val="99"/>
    <w:rsid w:val="007257E3"/>
    <w:rPr>
      <w:rFonts w:ascii="Arial Narrow" w:hAnsi="Arial Narrow" w:cs="Arial Narrow"/>
      <w:b/>
      <w:bCs/>
      <w:smallCaps/>
      <w:sz w:val="12"/>
      <w:szCs w:val="12"/>
    </w:rPr>
  </w:style>
  <w:style w:type="character" w:customStyle="1" w:styleId="FontStyle1227">
    <w:name w:val="Font Style1227"/>
    <w:uiPriority w:val="99"/>
    <w:rsid w:val="007257E3"/>
    <w:rPr>
      <w:rFonts w:ascii="Arial Narrow" w:hAnsi="Arial Narrow" w:cs="Arial Narrow"/>
      <w:b/>
      <w:bCs/>
      <w:sz w:val="14"/>
      <w:szCs w:val="14"/>
    </w:rPr>
  </w:style>
  <w:style w:type="character" w:customStyle="1" w:styleId="FontStyle1229">
    <w:name w:val="Font Style1229"/>
    <w:uiPriority w:val="99"/>
    <w:rsid w:val="007257E3"/>
    <w:rPr>
      <w:rFonts w:ascii="Arial Narrow" w:hAnsi="Arial Narrow" w:cs="Arial Narrow"/>
      <w:b/>
      <w:bCs/>
      <w:smallCaps/>
      <w:sz w:val="18"/>
      <w:szCs w:val="18"/>
    </w:rPr>
  </w:style>
  <w:style w:type="paragraph" w:customStyle="1" w:styleId="Style164">
    <w:name w:val="Style164"/>
    <w:basedOn w:val="Normal"/>
    <w:uiPriority w:val="99"/>
    <w:qFormat/>
    <w:rsid w:val="007257E3"/>
    <w:pPr>
      <w:widowControl w:val="0"/>
      <w:autoSpaceDE w:val="0"/>
      <w:autoSpaceDN w:val="0"/>
      <w:adjustRightInd w:val="0"/>
      <w:spacing w:line="178" w:lineRule="exact"/>
      <w:ind w:hanging="379"/>
      <w:jc w:val="both"/>
    </w:pPr>
    <w:rPr>
      <w:rFonts w:ascii="Arial Narrow" w:eastAsia="Times New Roman" w:hAnsi="Arial Narrow" w:cs="Times New Roman"/>
      <w:sz w:val="24"/>
      <w:szCs w:val="24"/>
      <w:lang w:eastAsia="ro-RO"/>
    </w:rPr>
  </w:style>
  <w:style w:type="paragraph" w:customStyle="1" w:styleId="Style185">
    <w:name w:val="Style185"/>
    <w:basedOn w:val="Normal"/>
    <w:uiPriority w:val="99"/>
    <w:qFormat/>
    <w:rsid w:val="007257E3"/>
    <w:pPr>
      <w:widowControl w:val="0"/>
      <w:autoSpaceDE w:val="0"/>
      <w:autoSpaceDN w:val="0"/>
      <w:adjustRightInd w:val="0"/>
      <w:spacing w:line="226" w:lineRule="exact"/>
      <w:ind w:hanging="427"/>
    </w:pPr>
    <w:rPr>
      <w:rFonts w:ascii="Arial Narrow" w:eastAsia="Times New Roman" w:hAnsi="Arial Narrow" w:cs="Times New Roman"/>
      <w:sz w:val="24"/>
      <w:szCs w:val="24"/>
      <w:lang w:eastAsia="ro-RO"/>
    </w:rPr>
  </w:style>
  <w:style w:type="character" w:customStyle="1" w:styleId="FontStyle1206">
    <w:name w:val="Font Style1206"/>
    <w:uiPriority w:val="99"/>
    <w:rsid w:val="007257E3"/>
    <w:rPr>
      <w:rFonts w:ascii="Arial" w:hAnsi="Arial" w:cs="Arial"/>
      <w:spacing w:val="10"/>
      <w:sz w:val="18"/>
      <w:szCs w:val="18"/>
    </w:rPr>
  </w:style>
  <w:style w:type="table" w:customStyle="1" w:styleId="ColorfulGrid1">
    <w:name w:val="Colorful Grid1"/>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List1">
    <w:name w:val="Colorful List1"/>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paragraph" w:customStyle="1" w:styleId="CharCharCharZchnZchnCharCharCharZchnZchnCharCharChar1CharCharZchnZchn">
    <w:name w:val="Char Char Char Zchn Zchn Char Char Char Zchn Zchn Char Char Char1 Char Char Zchn Zchn"/>
    <w:basedOn w:val="Normal"/>
    <w:uiPriority w:val="99"/>
    <w:qFormat/>
    <w:rsid w:val="007257E3"/>
    <w:pPr>
      <w:shd w:val="clear" w:color="auto" w:fill="CCFFCC"/>
      <w:spacing w:line="240" w:lineRule="auto"/>
    </w:pPr>
    <w:rPr>
      <w:rFonts w:ascii="Arial" w:eastAsia="Times New Roman" w:hAnsi="Arial" w:cs="Arial"/>
      <w:sz w:val="22"/>
      <w:szCs w:val="22"/>
      <w:lang w:val="pl-PL" w:eastAsia="pl-PL"/>
    </w:rPr>
  </w:style>
  <w:style w:type="paragraph" w:customStyle="1" w:styleId="Style195">
    <w:name w:val="Style195"/>
    <w:basedOn w:val="Normal"/>
    <w:uiPriority w:val="99"/>
    <w:qFormat/>
    <w:rsid w:val="007257E3"/>
    <w:pPr>
      <w:widowControl w:val="0"/>
      <w:autoSpaceDE w:val="0"/>
      <w:autoSpaceDN w:val="0"/>
      <w:adjustRightInd w:val="0"/>
      <w:spacing w:line="240" w:lineRule="auto"/>
    </w:pPr>
    <w:rPr>
      <w:rFonts w:ascii="Calibri" w:eastAsia="Times New Roman" w:hAnsi="Calibri" w:cs="Times New Roman"/>
      <w:sz w:val="24"/>
      <w:szCs w:val="24"/>
      <w:lang w:eastAsia="ro-RO"/>
    </w:rPr>
  </w:style>
  <w:style w:type="paragraph" w:customStyle="1" w:styleId="Style220">
    <w:name w:val="Style220"/>
    <w:basedOn w:val="Normal"/>
    <w:uiPriority w:val="99"/>
    <w:qFormat/>
    <w:rsid w:val="007257E3"/>
    <w:pPr>
      <w:widowControl w:val="0"/>
      <w:autoSpaceDE w:val="0"/>
      <w:autoSpaceDN w:val="0"/>
      <w:adjustRightInd w:val="0"/>
      <w:spacing w:line="206" w:lineRule="exact"/>
      <w:jc w:val="both"/>
    </w:pPr>
    <w:rPr>
      <w:rFonts w:ascii="Calibri" w:eastAsia="Times New Roman" w:hAnsi="Calibri" w:cs="Times New Roman"/>
      <w:sz w:val="24"/>
      <w:szCs w:val="24"/>
      <w:lang w:eastAsia="ro-RO"/>
    </w:rPr>
  </w:style>
  <w:style w:type="paragraph" w:customStyle="1" w:styleId="Style315">
    <w:name w:val="Style315"/>
    <w:basedOn w:val="Normal"/>
    <w:uiPriority w:val="99"/>
    <w:qFormat/>
    <w:rsid w:val="007257E3"/>
    <w:pPr>
      <w:widowControl w:val="0"/>
      <w:autoSpaceDE w:val="0"/>
      <w:autoSpaceDN w:val="0"/>
      <w:adjustRightInd w:val="0"/>
      <w:spacing w:line="276" w:lineRule="exact"/>
      <w:ind w:hanging="408"/>
    </w:pPr>
    <w:rPr>
      <w:rFonts w:ascii="Calibri" w:eastAsia="Times New Roman" w:hAnsi="Calibri" w:cs="Times New Roman"/>
      <w:sz w:val="24"/>
      <w:szCs w:val="24"/>
      <w:lang w:eastAsia="ro-RO"/>
    </w:rPr>
  </w:style>
  <w:style w:type="paragraph" w:customStyle="1" w:styleId="Style323">
    <w:name w:val="Style323"/>
    <w:basedOn w:val="Normal"/>
    <w:uiPriority w:val="99"/>
    <w:qFormat/>
    <w:rsid w:val="007257E3"/>
    <w:pPr>
      <w:widowControl w:val="0"/>
      <w:autoSpaceDE w:val="0"/>
      <w:autoSpaceDN w:val="0"/>
      <w:adjustRightInd w:val="0"/>
      <w:spacing w:line="240" w:lineRule="auto"/>
    </w:pPr>
    <w:rPr>
      <w:rFonts w:ascii="Calibri" w:eastAsia="Times New Roman" w:hAnsi="Calibri" w:cs="Times New Roman"/>
      <w:sz w:val="24"/>
      <w:szCs w:val="24"/>
      <w:lang w:eastAsia="ro-RO"/>
    </w:rPr>
  </w:style>
  <w:style w:type="paragraph" w:customStyle="1" w:styleId="Style331">
    <w:name w:val="Style331"/>
    <w:basedOn w:val="Normal"/>
    <w:uiPriority w:val="99"/>
    <w:qFormat/>
    <w:rsid w:val="007257E3"/>
    <w:pPr>
      <w:widowControl w:val="0"/>
      <w:autoSpaceDE w:val="0"/>
      <w:autoSpaceDN w:val="0"/>
      <w:adjustRightInd w:val="0"/>
      <w:spacing w:line="278" w:lineRule="exact"/>
    </w:pPr>
    <w:rPr>
      <w:rFonts w:ascii="Calibri" w:eastAsia="Times New Roman" w:hAnsi="Calibri" w:cs="Times New Roman"/>
      <w:sz w:val="24"/>
      <w:szCs w:val="24"/>
      <w:lang w:eastAsia="ro-RO"/>
    </w:rPr>
  </w:style>
  <w:style w:type="paragraph" w:customStyle="1" w:styleId="Style360">
    <w:name w:val="Style360"/>
    <w:basedOn w:val="Normal"/>
    <w:uiPriority w:val="99"/>
    <w:qFormat/>
    <w:rsid w:val="007257E3"/>
    <w:pPr>
      <w:widowControl w:val="0"/>
      <w:autoSpaceDE w:val="0"/>
      <w:autoSpaceDN w:val="0"/>
      <w:adjustRightInd w:val="0"/>
      <w:spacing w:line="240" w:lineRule="auto"/>
    </w:pPr>
    <w:rPr>
      <w:rFonts w:ascii="Calibri" w:eastAsia="Times New Roman" w:hAnsi="Calibri" w:cs="Times New Roman"/>
      <w:sz w:val="24"/>
      <w:szCs w:val="24"/>
      <w:lang w:eastAsia="ro-RO"/>
    </w:rPr>
  </w:style>
  <w:style w:type="character" w:customStyle="1" w:styleId="FontStyle619">
    <w:name w:val="Font Style619"/>
    <w:uiPriority w:val="99"/>
    <w:rsid w:val="007257E3"/>
    <w:rPr>
      <w:rFonts w:ascii="Calibri" w:hAnsi="Calibri" w:cs="Calibri"/>
      <w:sz w:val="20"/>
      <w:szCs w:val="20"/>
    </w:rPr>
  </w:style>
  <w:style w:type="character" w:customStyle="1" w:styleId="FontStyle20">
    <w:name w:val="Font Style20"/>
    <w:uiPriority w:val="99"/>
    <w:rsid w:val="007257E3"/>
    <w:rPr>
      <w:rFonts w:ascii="Times New Roman" w:hAnsi="Times New Roman" w:cs="Times New Roman"/>
      <w:sz w:val="22"/>
      <w:szCs w:val="22"/>
    </w:rPr>
  </w:style>
  <w:style w:type="character" w:customStyle="1" w:styleId="FontStyle18">
    <w:name w:val="Font Style18"/>
    <w:uiPriority w:val="99"/>
    <w:rsid w:val="007257E3"/>
    <w:rPr>
      <w:rFonts w:ascii="Times New Roman" w:hAnsi="Times New Roman" w:cs="Times New Roman"/>
      <w:b/>
      <w:bCs/>
      <w:sz w:val="22"/>
      <w:szCs w:val="22"/>
    </w:rPr>
  </w:style>
  <w:style w:type="character" w:customStyle="1" w:styleId="FontStyle21">
    <w:name w:val="Font Style21"/>
    <w:uiPriority w:val="99"/>
    <w:rsid w:val="007257E3"/>
    <w:rPr>
      <w:rFonts w:ascii="Times New Roman" w:hAnsi="Times New Roman" w:cs="Times New Roman"/>
      <w:i/>
      <w:iCs/>
      <w:sz w:val="22"/>
      <w:szCs w:val="22"/>
    </w:rPr>
  </w:style>
  <w:style w:type="character" w:customStyle="1" w:styleId="FontStyle19">
    <w:name w:val="Font Style19"/>
    <w:uiPriority w:val="99"/>
    <w:rsid w:val="007257E3"/>
    <w:rPr>
      <w:rFonts w:ascii="Times New Roman" w:hAnsi="Times New Roman" w:cs="Times New Roman"/>
      <w:b/>
      <w:bCs/>
      <w:i/>
      <w:iCs/>
      <w:sz w:val="22"/>
      <w:szCs w:val="22"/>
    </w:rPr>
  </w:style>
  <w:style w:type="character" w:customStyle="1" w:styleId="tli1">
    <w:name w:val="tli1"/>
    <w:basedOn w:val="DefaultParagraphFont"/>
    <w:rsid w:val="007257E3"/>
  </w:style>
  <w:style w:type="character" w:customStyle="1" w:styleId="imcfromentry1">
    <w:name w:val="imcfromentry1"/>
    <w:rsid w:val="007257E3"/>
    <w:rPr>
      <w:rFonts w:ascii="Arial" w:hAnsi="Arial" w:cs="Arial" w:hint="default"/>
    </w:rPr>
  </w:style>
  <w:style w:type="character" w:customStyle="1" w:styleId="Bullet1Char">
    <w:name w:val="Bullet 1 Char"/>
    <w:link w:val="Bullet10"/>
    <w:rsid w:val="007257E3"/>
    <w:rPr>
      <w:rFonts w:ascii="Times" w:eastAsia="Calibri" w:hAnsi="Times" w:cs="Times"/>
      <w:sz w:val="24"/>
      <w:szCs w:val="24"/>
      <w:lang w:val="en-US" w:eastAsia="ko-KR"/>
    </w:rPr>
  </w:style>
  <w:style w:type="paragraph" w:customStyle="1" w:styleId="Headingforfigures">
    <w:name w:val="Heading for figures"/>
    <w:basedOn w:val="NormalIndent"/>
    <w:qFormat/>
    <w:rsid w:val="007257E3"/>
    <w:pPr>
      <w:spacing w:before="60" w:after="120" w:line="240" w:lineRule="auto"/>
      <w:jc w:val="both"/>
    </w:pPr>
    <w:rPr>
      <w:rFonts w:ascii="Calibri" w:eastAsia="Times New Roman" w:hAnsi="Calibri" w:cs="Times New Roman"/>
      <w:i/>
      <w:sz w:val="24"/>
      <w:szCs w:val="22"/>
      <w:lang w:eastAsia="en-GB"/>
    </w:rPr>
  </w:style>
  <w:style w:type="paragraph" w:customStyle="1" w:styleId="Caracter7CharCharCaracterCharCharCaracterCharCharCaracterCharCharCaracterCharCharCaracterCharCharCaracterCharCharCaracterCharCharCaracterCharCharCaracterCharCharChar">
    <w:name w:val="Caracter7 Char Char Caracter Char Char Caracter Char Char Caracter Char Char Caracter Char Char Caracter Char Char Caracter Char Char Caracter Char Char Caracter Char Char Caracter Char Char Char"/>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style310">
    <w:name w:val="style31"/>
    <w:rsid w:val="007257E3"/>
    <w:rPr>
      <w:color w:val="FFFFB7"/>
    </w:rPr>
  </w:style>
  <w:style w:type="character" w:customStyle="1" w:styleId="FontStyle1213">
    <w:name w:val="Font Style1213"/>
    <w:uiPriority w:val="99"/>
    <w:rsid w:val="007257E3"/>
    <w:rPr>
      <w:rFonts w:ascii="Franklin Gothic Book" w:hAnsi="Franklin Gothic Book" w:cs="Franklin Gothic Book"/>
      <w:b/>
      <w:bCs/>
      <w:sz w:val="40"/>
      <w:szCs w:val="40"/>
    </w:rPr>
  </w:style>
  <w:style w:type="character" w:customStyle="1" w:styleId="FontStyle1216">
    <w:name w:val="Font Style1216"/>
    <w:uiPriority w:val="99"/>
    <w:rsid w:val="007257E3"/>
    <w:rPr>
      <w:rFonts w:ascii="Arial Narrow" w:hAnsi="Arial Narrow" w:cs="Arial Narrow"/>
      <w:b/>
      <w:bCs/>
      <w:i/>
      <w:iCs/>
      <w:sz w:val="22"/>
      <w:szCs w:val="22"/>
    </w:rPr>
  </w:style>
  <w:style w:type="character" w:customStyle="1" w:styleId="FontStyle1228">
    <w:name w:val="Font Style1228"/>
    <w:uiPriority w:val="99"/>
    <w:rsid w:val="007257E3"/>
    <w:rPr>
      <w:rFonts w:ascii="Arial" w:hAnsi="Arial" w:cs="Arial"/>
      <w:b/>
      <w:bCs/>
      <w:smallCaps/>
      <w:sz w:val="14"/>
      <w:szCs w:val="14"/>
    </w:rPr>
  </w:style>
  <w:style w:type="character" w:customStyle="1" w:styleId="FontStyle98">
    <w:name w:val="Font Style98"/>
    <w:uiPriority w:val="99"/>
    <w:rsid w:val="007257E3"/>
    <w:rPr>
      <w:rFonts w:ascii="Arial Narrow" w:hAnsi="Arial Narrow" w:cs="Arial Narrow"/>
      <w:sz w:val="20"/>
      <w:szCs w:val="20"/>
    </w:rPr>
  </w:style>
  <w:style w:type="character" w:customStyle="1" w:styleId="FontStyle95">
    <w:name w:val="Font Style95"/>
    <w:uiPriority w:val="99"/>
    <w:rsid w:val="007257E3"/>
    <w:rPr>
      <w:rFonts w:ascii="Arial Narrow" w:hAnsi="Arial Narrow" w:cs="Arial Narrow"/>
      <w:b/>
      <w:bCs/>
      <w:i/>
      <w:iCs/>
      <w:sz w:val="20"/>
      <w:szCs w:val="20"/>
    </w:rPr>
  </w:style>
  <w:style w:type="character" w:customStyle="1" w:styleId="Heading4CharChar">
    <w:name w:val="Heading 4 Char Char"/>
    <w:rsid w:val="007257E3"/>
    <w:rPr>
      <w:rFonts w:ascii="Calibri" w:hAnsi="Calibri"/>
      <w:b/>
      <w:color w:val="000080"/>
      <w:sz w:val="28"/>
      <w:szCs w:val="22"/>
      <w:lang w:val="ro-RO" w:eastAsia="en-GB" w:bidi="ar-SA"/>
    </w:rPr>
  </w:style>
  <w:style w:type="character" w:customStyle="1" w:styleId="Bullet2CharChar">
    <w:name w:val="Bullet 2 Char Char"/>
    <w:link w:val="Bullet20"/>
    <w:rsid w:val="007257E3"/>
    <w:rPr>
      <w:rFonts w:ascii="Arial" w:eastAsia="Times New Roman" w:hAnsi="Arial" w:cs="Times New Roman"/>
      <w:lang w:val="x-none" w:eastAsia="x-none"/>
    </w:rPr>
  </w:style>
  <w:style w:type="character" w:customStyle="1" w:styleId="do1">
    <w:name w:val="do1"/>
    <w:rsid w:val="007257E3"/>
    <w:rPr>
      <w:b/>
      <w:bCs/>
      <w:sz w:val="26"/>
      <w:szCs w:val="26"/>
    </w:rPr>
  </w:style>
  <w:style w:type="character" w:customStyle="1" w:styleId="FontStyle92">
    <w:name w:val="Font Style92"/>
    <w:uiPriority w:val="99"/>
    <w:rsid w:val="007257E3"/>
    <w:rPr>
      <w:rFonts w:ascii="Times New Roman" w:hAnsi="Times New Roman" w:cs="Times New Roman"/>
      <w:i/>
      <w:iCs/>
      <w:sz w:val="18"/>
      <w:szCs w:val="18"/>
    </w:rPr>
  </w:style>
  <w:style w:type="character" w:customStyle="1" w:styleId="FontStyle97">
    <w:name w:val="Font Style97"/>
    <w:uiPriority w:val="99"/>
    <w:rsid w:val="007257E3"/>
    <w:rPr>
      <w:rFonts w:ascii="Times New Roman" w:hAnsi="Times New Roman" w:cs="Times New Roman"/>
      <w:sz w:val="18"/>
      <w:szCs w:val="18"/>
    </w:rPr>
  </w:style>
  <w:style w:type="character" w:customStyle="1" w:styleId="FontStyle104">
    <w:name w:val="Font Style104"/>
    <w:uiPriority w:val="99"/>
    <w:rsid w:val="007257E3"/>
    <w:rPr>
      <w:rFonts w:ascii="Times New Roman" w:hAnsi="Times New Roman" w:cs="Times New Roman"/>
      <w:b/>
      <w:bCs/>
      <w:spacing w:val="10"/>
      <w:sz w:val="18"/>
      <w:szCs w:val="18"/>
    </w:rPr>
  </w:style>
  <w:style w:type="character" w:customStyle="1" w:styleId="FontStyle114">
    <w:name w:val="Font Style114"/>
    <w:uiPriority w:val="99"/>
    <w:rsid w:val="007257E3"/>
    <w:rPr>
      <w:rFonts w:ascii="Georgia" w:hAnsi="Georgia" w:cs="Georgia"/>
      <w:b/>
      <w:bCs/>
      <w:sz w:val="8"/>
      <w:szCs w:val="8"/>
    </w:rPr>
  </w:style>
  <w:style w:type="character" w:customStyle="1" w:styleId="FontStyle118">
    <w:name w:val="Font Style118"/>
    <w:uiPriority w:val="99"/>
    <w:rsid w:val="007257E3"/>
    <w:rPr>
      <w:rFonts w:ascii="Times New Roman" w:hAnsi="Times New Roman" w:cs="Times New Roman"/>
      <w:b/>
      <w:bCs/>
      <w:i/>
      <w:iCs/>
      <w:sz w:val="12"/>
      <w:szCs w:val="12"/>
    </w:rPr>
  </w:style>
  <w:style w:type="character" w:customStyle="1" w:styleId="FontStyle96">
    <w:name w:val="Font Style96"/>
    <w:uiPriority w:val="99"/>
    <w:rsid w:val="007257E3"/>
    <w:rPr>
      <w:rFonts w:ascii="Times New Roman" w:hAnsi="Times New Roman" w:cs="Times New Roman"/>
      <w:b/>
      <w:bCs/>
      <w:sz w:val="18"/>
      <w:szCs w:val="18"/>
    </w:rPr>
  </w:style>
  <w:style w:type="character" w:customStyle="1" w:styleId="FontStyle124">
    <w:name w:val="Font Style124"/>
    <w:uiPriority w:val="99"/>
    <w:rsid w:val="007257E3"/>
    <w:rPr>
      <w:rFonts w:ascii="Times New Roman" w:hAnsi="Times New Roman" w:cs="Times New Roman"/>
      <w:sz w:val="22"/>
      <w:szCs w:val="22"/>
    </w:rPr>
  </w:style>
  <w:style w:type="character" w:customStyle="1" w:styleId="FontStyle125">
    <w:name w:val="Font Style125"/>
    <w:uiPriority w:val="99"/>
    <w:rsid w:val="007257E3"/>
    <w:rPr>
      <w:rFonts w:ascii="MS Reference Sans Serif" w:hAnsi="MS Reference Sans Serif" w:cs="MS Reference Sans Serif"/>
      <w:sz w:val="16"/>
      <w:szCs w:val="16"/>
    </w:rPr>
  </w:style>
  <w:style w:type="character" w:customStyle="1" w:styleId="FontStyle126">
    <w:name w:val="Font Style126"/>
    <w:uiPriority w:val="99"/>
    <w:rsid w:val="007257E3"/>
    <w:rPr>
      <w:rFonts w:ascii="Times New Roman" w:hAnsi="Times New Roman" w:cs="Times New Roman"/>
      <w:sz w:val="20"/>
      <w:szCs w:val="20"/>
    </w:rPr>
  </w:style>
  <w:style w:type="character" w:customStyle="1" w:styleId="FontStyle127">
    <w:name w:val="Font Style127"/>
    <w:uiPriority w:val="99"/>
    <w:rsid w:val="007257E3"/>
    <w:rPr>
      <w:rFonts w:ascii="Franklin Gothic Medium Cond" w:hAnsi="Franklin Gothic Medium Cond" w:cs="Franklin Gothic Medium Cond"/>
      <w:sz w:val="22"/>
      <w:szCs w:val="22"/>
    </w:rPr>
  </w:style>
  <w:style w:type="character" w:customStyle="1" w:styleId="FontStyle123">
    <w:name w:val="Font Style123"/>
    <w:uiPriority w:val="99"/>
    <w:rsid w:val="007257E3"/>
    <w:rPr>
      <w:rFonts w:ascii="MS Reference Sans Serif" w:hAnsi="MS Reference Sans Serif" w:cs="MS Reference Sans Serif"/>
      <w:sz w:val="14"/>
      <w:szCs w:val="14"/>
    </w:rPr>
  </w:style>
  <w:style w:type="character" w:customStyle="1" w:styleId="FontStyle128">
    <w:name w:val="Font Style128"/>
    <w:uiPriority w:val="99"/>
    <w:rsid w:val="007257E3"/>
    <w:rPr>
      <w:rFonts w:ascii="MS Reference Sans Serif" w:hAnsi="MS Reference Sans Serif" w:cs="MS Reference Sans Serif"/>
      <w:b/>
      <w:bCs/>
      <w:i/>
      <w:iCs/>
      <w:spacing w:val="10"/>
      <w:sz w:val="16"/>
      <w:szCs w:val="16"/>
    </w:rPr>
  </w:style>
  <w:style w:type="character" w:customStyle="1" w:styleId="FontStyle129">
    <w:name w:val="Font Style129"/>
    <w:uiPriority w:val="99"/>
    <w:rsid w:val="007257E3"/>
    <w:rPr>
      <w:rFonts w:ascii="MS Reference Sans Serif" w:hAnsi="MS Reference Sans Serif" w:cs="MS Reference Sans Serif"/>
      <w:i/>
      <w:iCs/>
      <w:spacing w:val="10"/>
      <w:sz w:val="14"/>
      <w:szCs w:val="14"/>
    </w:rPr>
  </w:style>
  <w:style w:type="character" w:customStyle="1" w:styleId="FontStyle107">
    <w:name w:val="Font Style107"/>
    <w:uiPriority w:val="99"/>
    <w:rsid w:val="007257E3"/>
    <w:rPr>
      <w:rFonts w:ascii="Verdana" w:hAnsi="Verdana" w:cs="Verdana"/>
      <w:sz w:val="16"/>
      <w:szCs w:val="16"/>
    </w:rPr>
  </w:style>
  <w:style w:type="character" w:customStyle="1" w:styleId="FontStyle108">
    <w:name w:val="Font Style108"/>
    <w:uiPriority w:val="99"/>
    <w:rsid w:val="007257E3"/>
    <w:rPr>
      <w:rFonts w:ascii="Verdana" w:hAnsi="Verdana" w:cs="Verdana"/>
      <w:b/>
      <w:bCs/>
      <w:sz w:val="16"/>
      <w:szCs w:val="16"/>
    </w:rPr>
  </w:style>
  <w:style w:type="character" w:customStyle="1" w:styleId="FontStyle91">
    <w:name w:val="Font Style91"/>
    <w:uiPriority w:val="99"/>
    <w:rsid w:val="007257E3"/>
    <w:rPr>
      <w:rFonts w:ascii="Times New Roman" w:hAnsi="Times New Roman" w:cs="Times New Roman"/>
      <w:b/>
      <w:bCs/>
      <w:sz w:val="20"/>
      <w:szCs w:val="20"/>
    </w:rPr>
  </w:style>
  <w:style w:type="character" w:customStyle="1" w:styleId="FontStyle105">
    <w:name w:val="Font Style105"/>
    <w:uiPriority w:val="99"/>
    <w:rsid w:val="007257E3"/>
    <w:rPr>
      <w:rFonts w:ascii="Franklin Gothic Medium" w:hAnsi="Franklin Gothic Medium" w:cs="Franklin Gothic Medium"/>
      <w:sz w:val="42"/>
      <w:szCs w:val="42"/>
    </w:rPr>
  </w:style>
  <w:style w:type="character" w:customStyle="1" w:styleId="FontStyle109">
    <w:name w:val="Font Style109"/>
    <w:uiPriority w:val="99"/>
    <w:rsid w:val="007257E3"/>
    <w:rPr>
      <w:rFonts w:ascii="Times New Roman" w:hAnsi="Times New Roman" w:cs="Times New Roman"/>
      <w:sz w:val="22"/>
      <w:szCs w:val="22"/>
    </w:rPr>
  </w:style>
  <w:style w:type="character" w:customStyle="1" w:styleId="FontStyle117">
    <w:name w:val="Font Style117"/>
    <w:uiPriority w:val="99"/>
    <w:rsid w:val="007257E3"/>
    <w:rPr>
      <w:rFonts w:ascii="Georgia" w:hAnsi="Georgia" w:cs="Georgia"/>
      <w:b/>
      <w:bCs/>
      <w:sz w:val="10"/>
      <w:szCs w:val="10"/>
    </w:rPr>
  </w:style>
  <w:style w:type="character" w:customStyle="1" w:styleId="googqs-tidbit1">
    <w:name w:val="goog_qs-tidbit1"/>
    <w:rsid w:val="007257E3"/>
    <w:rPr>
      <w:vanish w:val="0"/>
      <w:webHidden w:val="0"/>
      <w:specVanish w:val="0"/>
    </w:rPr>
  </w:style>
  <w:style w:type="paragraph" w:customStyle="1" w:styleId="CharZchnZchnCharCharCharCharCharCharCharCharCharCharCharCharCaracterCaracterCharCaracterCaracterChar1">
    <w:name w:val="Char Zchn Zchn Char Char Char Char Char Char Char Char Char Char Char Char Caracter Caracter Char Caracter Caracter Char1"/>
    <w:basedOn w:val="Normal"/>
    <w:qFormat/>
    <w:rsid w:val="007257E3"/>
    <w:pPr>
      <w:tabs>
        <w:tab w:val="left" w:pos="-6240"/>
      </w:tabs>
      <w:spacing w:line="240" w:lineRule="auto"/>
      <w:ind w:right="-40"/>
      <w:jc w:val="center"/>
    </w:pPr>
    <w:rPr>
      <w:rFonts w:ascii="Times New Roman" w:eastAsia="Times New Roman" w:hAnsi="Times New Roman" w:cs="Times New Roman"/>
      <w:sz w:val="24"/>
      <w:szCs w:val="24"/>
      <w:lang w:val="pl-PL" w:eastAsia="pl-PL"/>
    </w:rPr>
  </w:style>
  <w:style w:type="paragraph" w:customStyle="1" w:styleId="CharChar18">
    <w:name w:val="Char Char18"/>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paragraph" w:customStyle="1" w:styleId="StyleHeading512pt">
    <w:name w:val="Style Heading 5 + 12 pt"/>
    <w:basedOn w:val="Heading5"/>
    <w:next w:val="Heading5"/>
    <w:qFormat/>
    <w:rsid w:val="007257E3"/>
    <w:pPr>
      <w:keepNext w:val="0"/>
      <w:keepLines w:val="0"/>
      <w:numPr>
        <w:ilvl w:val="0"/>
        <w:numId w:val="108"/>
      </w:numPr>
      <w:tabs>
        <w:tab w:val="num" w:pos="435"/>
        <w:tab w:val="num" w:pos="1008"/>
      </w:tabs>
      <w:spacing w:before="240" w:after="60" w:line="240" w:lineRule="auto"/>
      <w:contextualSpacing w:val="0"/>
      <w:jc w:val="both"/>
    </w:pPr>
    <w:rPr>
      <w:rFonts w:ascii="Times New Roman" w:eastAsia="Times New Roman" w:hAnsi="Times New Roman" w:cs="Times New Roman"/>
      <w:i/>
      <w:iCs/>
      <w:sz w:val="24"/>
      <w:szCs w:val="24"/>
      <w:u w:val="none"/>
    </w:rPr>
  </w:style>
  <w:style w:type="paragraph" w:customStyle="1" w:styleId="StyleHeading1ComicSansMS11ptBlueAllcapsLeft0">
    <w:name w:val="Style Heading 1 + Comic Sans MS 11 pt Blue All caps Left:  0&quot; ..."/>
    <w:basedOn w:val="Heading1"/>
    <w:qFormat/>
    <w:rsid w:val="007257E3"/>
    <w:pPr>
      <w:keepLines w:val="0"/>
      <w:numPr>
        <w:numId w:val="119"/>
      </w:numPr>
      <w:suppressAutoHyphens w:val="0"/>
      <w:spacing w:before="240" w:after="60" w:line="264" w:lineRule="auto"/>
      <w:contextualSpacing w:val="0"/>
    </w:pPr>
    <w:rPr>
      <w:rFonts w:ascii="Comic Sans MS" w:eastAsia="Times New Roman" w:hAnsi="Comic Sans MS" w:cs="Comic Sans MS"/>
      <w:b/>
      <w:color w:val="0000FF"/>
      <w:kern w:val="32"/>
      <w:sz w:val="24"/>
      <w:szCs w:val="24"/>
      <w:lang w:val="en-US"/>
    </w:rPr>
  </w:style>
  <w:style w:type="paragraph" w:customStyle="1" w:styleId="CharCharCharCaracterCaracter">
    <w:name w:val="Char Char Char Caracter Caracter"/>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Buline">
    <w:name w:val="Buline"/>
    <w:basedOn w:val="Normal"/>
    <w:next w:val="ListBullet"/>
    <w:qFormat/>
    <w:rsid w:val="007257E3"/>
    <w:pPr>
      <w:tabs>
        <w:tab w:val="num" w:pos="425"/>
      </w:tabs>
      <w:spacing w:before="60" w:after="60" w:line="240" w:lineRule="auto"/>
      <w:ind w:left="425" w:hanging="425"/>
      <w:jc w:val="both"/>
    </w:pPr>
    <w:rPr>
      <w:rFonts w:ascii="Times New Roman" w:eastAsia="Times New Roman" w:hAnsi="Times New Roman" w:cs="Times New Roman"/>
      <w:sz w:val="24"/>
      <w:szCs w:val="24"/>
    </w:rPr>
  </w:style>
  <w:style w:type="paragraph" w:customStyle="1" w:styleId="Brd">
    <w:name w:val="Brřd"/>
    <w:basedOn w:val="Normal"/>
    <w:qFormat/>
    <w:rsid w:val="007257E3"/>
    <w:pPr>
      <w:autoSpaceDE w:val="0"/>
      <w:autoSpaceDN w:val="0"/>
      <w:adjustRightInd w:val="0"/>
      <w:jc w:val="both"/>
      <w:textAlignment w:val="center"/>
    </w:pPr>
    <w:rPr>
      <w:rFonts w:ascii="Univers LT Std 45 Light" w:eastAsia="Times New Roman" w:hAnsi="Univers LT Std 45 Light" w:cs="Univers LT Std 45 Light"/>
      <w:color w:val="000000"/>
      <w:sz w:val="19"/>
      <w:szCs w:val="19"/>
      <w:lang w:val="en-GB"/>
    </w:rPr>
  </w:style>
  <w:style w:type="paragraph" w:customStyle="1" w:styleId="Citat">
    <w:name w:val="Citat"/>
    <w:basedOn w:val="Normal"/>
    <w:qFormat/>
    <w:rsid w:val="007257E3"/>
    <w:pPr>
      <w:autoSpaceDE w:val="0"/>
      <w:autoSpaceDN w:val="0"/>
      <w:adjustRightInd w:val="0"/>
      <w:spacing w:line="400" w:lineRule="atLeast"/>
      <w:textAlignment w:val="center"/>
    </w:pPr>
    <w:rPr>
      <w:rFonts w:ascii="Univers LT Std 45 Light" w:eastAsia="Times New Roman" w:hAnsi="Univers LT Std 45 Light" w:cs="Univers LT Std 45 Light"/>
      <w:color w:val="000000"/>
      <w:sz w:val="32"/>
      <w:szCs w:val="32"/>
      <w:lang w:val="en-GB"/>
    </w:rPr>
  </w:style>
  <w:style w:type="paragraph" w:customStyle="1" w:styleId="Standard1xeingerckt">
    <w:name w:val="Standard 1x eingerückt"/>
    <w:basedOn w:val="Normal"/>
    <w:qFormat/>
    <w:rsid w:val="007257E3"/>
    <w:pPr>
      <w:numPr>
        <w:numId w:val="120"/>
      </w:numPr>
      <w:overflowPunct w:val="0"/>
      <w:autoSpaceDE w:val="0"/>
      <w:autoSpaceDN w:val="0"/>
      <w:adjustRightInd w:val="0"/>
      <w:spacing w:line="360" w:lineRule="atLeast"/>
      <w:jc w:val="both"/>
      <w:textAlignment w:val="baseline"/>
    </w:pPr>
    <w:rPr>
      <w:rFonts w:ascii="Arial" w:eastAsia="Times New Roman" w:hAnsi="Arial" w:cs="Arial"/>
      <w:sz w:val="22"/>
      <w:szCs w:val="22"/>
      <w:lang w:val="de-DE" w:eastAsia="de-DE"/>
    </w:rPr>
  </w:style>
  <w:style w:type="character" w:customStyle="1" w:styleId="Heading3wonumberChar1">
    <w:name w:val="=Heading 3 w/o number Char1"/>
    <w:aliases w:val="PA Appendix Minor Char Char,Heading 8 Char1,PA Appendix Minor Char1,DNV-H8 Char1,Lev 8 Char1,Center Bold Char1,action Char1,Annexe3 Char1,Aston Légende Char1,t Char1,Text Char1,T8 Char1,text Char1,Legal Level 1.1.1. Char1"/>
    <w:locked/>
    <w:rsid w:val="007257E3"/>
    <w:rPr>
      <w:rFonts w:ascii="Arial" w:hAnsi="Arial" w:cs="Arial"/>
      <w:b/>
      <w:bCs/>
      <w:lang w:val="en-GB" w:eastAsia="en-US"/>
    </w:rPr>
  </w:style>
  <w:style w:type="paragraph" w:customStyle="1" w:styleId="Titrearticle">
    <w:name w:val="Titre article"/>
    <w:basedOn w:val="Normal"/>
    <w:next w:val="Normal"/>
    <w:link w:val="TitrearticleChar"/>
    <w:qFormat/>
    <w:rsid w:val="007257E3"/>
    <w:pPr>
      <w:keepNext/>
      <w:spacing w:before="360" w:after="120" w:line="240" w:lineRule="auto"/>
      <w:jc w:val="center"/>
    </w:pPr>
    <w:rPr>
      <w:rFonts w:ascii="Times New Roman" w:eastAsia="Times New Roman" w:hAnsi="Times New Roman" w:cs="Times New Roman"/>
      <w:i/>
      <w:iCs/>
      <w:sz w:val="24"/>
      <w:szCs w:val="24"/>
      <w:lang w:val="fr-FR" w:eastAsia="en-GB"/>
    </w:rPr>
  </w:style>
  <w:style w:type="paragraph" w:customStyle="1" w:styleId="Point1">
    <w:name w:val="Point 1"/>
    <w:basedOn w:val="Normal"/>
    <w:qFormat/>
    <w:rsid w:val="007257E3"/>
    <w:pPr>
      <w:spacing w:before="120" w:after="120" w:line="240" w:lineRule="auto"/>
      <w:ind w:left="1418" w:hanging="567"/>
      <w:jc w:val="both"/>
    </w:pPr>
    <w:rPr>
      <w:rFonts w:ascii="Times New Roman" w:eastAsia="Times New Roman" w:hAnsi="Times New Roman" w:cs="Times New Roman"/>
      <w:sz w:val="24"/>
      <w:szCs w:val="24"/>
      <w:lang w:val="fr-FR" w:eastAsia="en-GB"/>
    </w:rPr>
  </w:style>
  <w:style w:type="paragraph" w:customStyle="1" w:styleId="Point0">
    <w:name w:val="Point 0"/>
    <w:basedOn w:val="Normal"/>
    <w:qFormat/>
    <w:rsid w:val="007257E3"/>
    <w:pPr>
      <w:spacing w:before="120" w:after="120" w:line="360" w:lineRule="auto"/>
      <w:ind w:left="850" w:hanging="850"/>
    </w:pPr>
    <w:rPr>
      <w:rFonts w:ascii="Times New Roman" w:eastAsia="Times New Roman" w:hAnsi="Times New Roman" w:cs="Times New Roman"/>
      <w:sz w:val="24"/>
      <w:szCs w:val="24"/>
    </w:rPr>
  </w:style>
  <w:style w:type="character" w:customStyle="1" w:styleId="TitrearticleChar">
    <w:name w:val="Titre article Char"/>
    <w:link w:val="Titrearticle"/>
    <w:locked/>
    <w:rsid w:val="007257E3"/>
    <w:rPr>
      <w:rFonts w:ascii="Times New Roman" w:eastAsia="Times New Roman" w:hAnsi="Times New Roman" w:cs="Times New Roman"/>
      <w:i/>
      <w:iCs/>
      <w:sz w:val="24"/>
      <w:szCs w:val="24"/>
      <w:lang w:val="fr-FR" w:eastAsia="en-GB"/>
    </w:rPr>
  </w:style>
  <w:style w:type="paragraph" w:customStyle="1" w:styleId="Utanindrag">
    <w:name w:val="Utan indrag"/>
    <w:basedOn w:val="Normal"/>
    <w:qFormat/>
    <w:rsid w:val="007257E3"/>
    <w:pPr>
      <w:tabs>
        <w:tab w:val="left" w:pos="851"/>
        <w:tab w:val="left" w:pos="1701"/>
        <w:tab w:val="left" w:pos="2552"/>
        <w:tab w:val="left" w:pos="3402"/>
        <w:tab w:val="left" w:pos="4253"/>
        <w:tab w:val="left" w:pos="5103"/>
        <w:tab w:val="left" w:pos="5954"/>
        <w:tab w:val="left" w:pos="6804"/>
        <w:tab w:val="left" w:pos="7655"/>
        <w:tab w:val="left" w:pos="8505"/>
        <w:tab w:val="left" w:pos="9356"/>
        <w:tab w:val="left" w:pos="10206"/>
      </w:tabs>
      <w:autoSpaceDE w:val="0"/>
      <w:autoSpaceDN w:val="0"/>
      <w:spacing w:line="240" w:lineRule="auto"/>
      <w:jc w:val="both"/>
    </w:pPr>
    <w:rPr>
      <w:rFonts w:ascii="Times New Roman" w:eastAsia="Times New Roman" w:hAnsi="Times New Roman" w:cs="Times New Roman"/>
      <w:sz w:val="24"/>
      <w:szCs w:val="24"/>
      <w:lang w:val="sv-SE"/>
    </w:rPr>
  </w:style>
  <w:style w:type="paragraph" w:customStyle="1" w:styleId="CharCharCharCharCharChar1ZchnZchn1CharCharZchnZchnCharChar">
    <w:name w:val="Char Char Char Char Char Char1 Zchn Zchn1 Char Char Zchn Zchn Char Char"/>
    <w:basedOn w:val="Normal"/>
    <w:qFormat/>
    <w:rsid w:val="007257E3"/>
    <w:pPr>
      <w:tabs>
        <w:tab w:val="left" w:pos="709"/>
      </w:tabs>
      <w:spacing w:line="240" w:lineRule="auto"/>
    </w:pPr>
    <w:rPr>
      <w:rFonts w:ascii="Tahoma" w:eastAsia="Times New Roman" w:hAnsi="Tahoma" w:cs="Tahoma"/>
      <w:sz w:val="24"/>
      <w:szCs w:val="24"/>
      <w:lang w:val="pl-PL" w:eastAsia="pl-PL"/>
    </w:rPr>
  </w:style>
  <w:style w:type="paragraph" w:customStyle="1" w:styleId="BodyText210">
    <w:name w:val="Body Text 21"/>
    <w:basedOn w:val="Normal"/>
    <w:qFormat/>
    <w:rsid w:val="007257E3"/>
    <w:pPr>
      <w:widowControl w:val="0"/>
      <w:spacing w:line="240" w:lineRule="auto"/>
      <w:jc w:val="both"/>
    </w:pPr>
    <w:rPr>
      <w:rFonts w:ascii="Times New Roman" w:eastAsia="Times New Roman" w:hAnsi="Times New Roman" w:cs="Times New Roman"/>
      <w:sz w:val="24"/>
      <w:szCs w:val="24"/>
      <w:lang w:val="en-US"/>
    </w:rPr>
  </w:style>
  <w:style w:type="paragraph" w:customStyle="1" w:styleId="Columnbodytext">
    <w:name w:val="Column body text"/>
    <w:basedOn w:val="Normal"/>
    <w:qFormat/>
    <w:rsid w:val="007257E3"/>
    <w:pPr>
      <w:suppressAutoHyphens/>
      <w:spacing w:after="120" w:line="288" w:lineRule="auto"/>
      <w:jc w:val="both"/>
    </w:pPr>
    <w:rPr>
      <w:rFonts w:ascii="Arial" w:eastAsia="Times New Roman" w:hAnsi="Arial" w:cs="Arial"/>
      <w:w w:val="105"/>
      <w:sz w:val="20"/>
      <w:szCs w:val="20"/>
      <w:lang w:val="en-GB"/>
    </w:rPr>
  </w:style>
  <w:style w:type="paragraph" w:customStyle="1" w:styleId="StyleComicSansMSBoldLinespacingMultiple12li">
    <w:name w:val="Style Comic Sans MS Bold Line spacing:  Multiple 1.2 li"/>
    <w:basedOn w:val="Normal"/>
    <w:qFormat/>
    <w:rsid w:val="007257E3"/>
    <w:pPr>
      <w:numPr>
        <w:numId w:val="121"/>
      </w:numPr>
      <w:spacing w:line="288" w:lineRule="auto"/>
    </w:pPr>
    <w:rPr>
      <w:rFonts w:ascii="Comic Sans MS" w:eastAsia="Times New Roman" w:hAnsi="Comic Sans MS" w:cs="Comic Sans MS"/>
      <w:b/>
      <w:bCs/>
      <w:kern w:val="32"/>
      <w:sz w:val="24"/>
      <w:szCs w:val="24"/>
      <w:lang w:val="en-US"/>
    </w:rPr>
  </w:style>
  <w:style w:type="paragraph" w:customStyle="1" w:styleId="CharCharCharZchnZchnCharCharCharZchnZchnCharChar">
    <w:name w:val="Char Char Char Zchn Zchn Char Char Char Zchn Zchn Char Char"/>
    <w:basedOn w:val="Normal"/>
    <w:qFormat/>
    <w:rsid w:val="007257E3"/>
    <w:pPr>
      <w:shd w:val="clear" w:color="auto" w:fill="FFFF99"/>
      <w:spacing w:line="240" w:lineRule="auto"/>
    </w:pPr>
    <w:rPr>
      <w:rFonts w:ascii="Arial" w:eastAsia="Times New Roman" w:hAnsi="Arial" w:cs="Arial"/>
      <w:sz w:val="22"/>
      <w:szCs w:val="22"/>
      <w:lang w:val="pl-PL" w:eastAsia="pl-PL"/>
    </w:rPr>
  </w:style>
  <w:style w:type="paragraph" w:customStyle="1" w:styleId="CharCharCharZchnZchnCharCharCharZchnZchnCharCharChar1CharCharZchnZchnCharCharZchnZchn">
    <w:name w:val="Char Char Char Zchn Zchn Char Char Char Zchn Zchn Char Char Char1 Char Char Zchn Zchn Char Char Zchn Zchn"/>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CharCharCharZchnZchnCharCharCharZchnZchnCharCharChar1">
    <w:name w:val="Char Char Char Zchn Zchn Char Char Char Zchn Zchn Char Char Char1"/>
    <w:basedOn w:val="Normal"/>
    <w:qFormat/>
    <w:rsid w:val="007257E3"/>
    <w:pPr>
      <w:shd w:val="clear" w:color="auto" w:fill="FFCC99"/>
      <w:spacing w:line="240" w:lineRule="auto"/>
    </w:pPr>
    <w:rPr>
      <w:rFonts w:ascii="Arial" w:eastAsia="Times New Roman" w:hAnsi="Arial" w:cs="Arial"/>
      <w:sz w:val="22"/>
      <w:szCs w:val="22"/>
      <w:lang w:val="pl-PL" w:eastAsia="pl-PL"/>
    </w:rPr>
  </w:style>
  <w:style w:type="paragraph" w:customStyle="1" w:styleId="Tableheader">
    <w:name w:val="Table header"/>
    <w:basedOn w:val="Normal"/>
    <w:qFormat/>
    <w:rsid w:val="007257E3"/>
    <w:rPr>
      <w:rFonts w:ascii="Arial" w:eastAsia="Times New Roman" w:hAnsi="Arial" w:cs="Arial"/>
      <w:b/>
      <w:bCs/>
      <w:sz w:val="20"/>
      <w:szCs w:val="20"/>
      <w:lang w:val="en-GB"/>
    </w:rPr>
  </w:style>
  <w:style w:type="paragraph" w:customStyle="1" w:styleId="CharCharCharChar1">
    <w:name w:val="Char Char Char Char1"/>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CharCharCharZchnZchnCharCharCharZchnZchnCharCharZchnZchn">
    <w:name w:val="Char Char Char Zchn Zchn Char Char Char Zchn Zchn Char Char Zchn Zchn"/>
    <w:basedOn w:val="Normal"/>
    <w:qFormat/>
    <w:rsid w:val="007257E3"/>
    <w:pPr>
      <w:shd w:val="clear" w:color="auto" w:fill="FFFF99"/>
      <w:spacing w:line="240" w:lineRule="auto"/>
    </w:pPr>
    <w:rPr>
      <w:rFonts w:ascii="Arial" w:eastAsia="Times New Roman" w:hAnsi="Arial" w:cs="Arial"/>
      <w:sz w:val="22"/>
      <w:szCs w:val="22"/>
      <w:lang w:val="pl-PL" w:eastAsia="pl-PL"/>
    </w:rPr>
  </w:style>
  <w:style w:type="paragraph" w:customStyle="1" w:styleId="TOC">
    <w:name w:val="TOC"/>
    <w:basedOn w:val="Normal"/>
    <w:qFormat/>
    <w:rsid w:val="007257E3"/>
    <w:pPr>
      <w:widowControl w:val="0"/>
      <w:tabs>
        <w:tab w:val="right" w:leader="dot" w:pos="8504"/>
      </w:tabs>
      <w:spacing w:before="168" w:after="168" w:line="240" w:lineRule="auto"/>
      <w:jc w:val="both"/>
    </w:pPr>
    <w:rPr>
      <w:rFonts w:ascii="Helvetica" w:eastAsia="Times New Roman" w:hAnsi="Helvetica" w:cs="Helvetica"/>
      <w:sz w:val="24"/>
      <w:szCs w:val="24"/>
      <w:lang w:val="hu-HU" w:eastAsia="de-DE"/>
    </w:rPr>
  </w:style>
  <w:style w:type="paragraph" w:customStyle="1" w:styleId="CharCharCharCharCharChar1">
    <w:name w:val="Char Char Char Char Char Char1"/>
    <w:basedOn w:val="Normal"/>
    <w:qFormat/>
    <w:rsid w:val="007257E3"/>
    <w:pPr>
      <w:tabs>
        <w:tab w:val="left" w:pos="709"/>
      </w:tabs>
      <w:spacing w:line="240" w:lineRule="auto"/>
    </w:pPr>
    <w:rPr>
      <w:rFonts w:ascii="Tahoma" w:eastAsia="Times New Roman" w:hAnsi="Tahoma" w:cs="Tahoma"/>
      <w:sz w:val="24"/>
      <w:szCs w:val="24"/>
      <w:lang w:val="pl-PL" w:eastAsia="pl-PL"/>
    </w:rPr>
  </w:style>
  <w:style w:type="character" w:customStyle="1" w:styleId="leftframetextblack1">
    <w:name w:val="leftframetextblack1"/>
    <w:rsid w:val="007257E3"/>
    <w:rPr>
      <w:rFonts w:ascii="Verdana" w:hAnsi="Verdana" w:cs="Verdana"/>
      <w:color w:val="000000"/>
      <w:sz w:val="17"/>
      <w:szCs w:val="17"/>
      <w:u w:val="none"/>
      <w:effect w:val="none"/>
    </w:rPr>
  </w:style>
  <w:style w:type="paragraph" w:customStyle="1" w:styleId="t11">
    <w:name w:val="t11"/>
    <w:basedOn w:val="Normal"/>
    <w:qFormat/>
    <w:rsid w:val="007257E3"/>
    <w:pPr>
      <w:spacing w:before="100" w:beforeAutospacing="1" w:line="240" w:lineRule="atLeast"/>
    </w:pPr>
    <w:rPr>
      <w:rFonts w:ascii="Times New Roman" w:eastAsia="Times New Roman" w:hAnsi="Times New Roman" w:cs="Times New Roman"/>
      <w:sz w:val="24"/>
      <w:szCs w:val="24"/>
      <w:lang w:val="de-DE" w:eastAsia="de-DE"/>
    </w:rPr>
  </w:style>
  <w:style w:type="paragraph" w:customStyle="1" w:styleId="Bildtext">
    <w:name w:val="Bildtext"/>
    <w:basedOn w:val="Normal"/>
    <w:qFormat/>
    <w:rsid w:val="007257E3"/>
    <w:pPr>
      <w:suppressAutoHyphens/>
      <w:spacing w:before="100" w:after="200" w:line="240" w:lineRule="auto"/>
      <w:jc w:val="both"/>
    </w:pPr>
    <w:rPr>
      <w:rFonts w:ascii="Helvetica" w:eastAsia="Times New Roman" w:hAnsi="Helvetica" w:cs="Helvetica"/>
      <w:i/>
      <w:iCs/>
      <w:lang w:val="en-GB"/>
    </w:rPr>
  </w:style>
  <w:style w:type="paragraph" w:customStyle="1" w:styleId="Pa8">
    <w:name w:val="Pa8"/>
    <w:basedOn w:val="Normal"/>
    <w:next w:val="Normal"/>
    <w:qFormat/>
    <w:rsid w:val="007257E3"/>
    <w:pPr>
      <w:autoSpaceDE w:val="0"/>
      <w:autoSpaceDN w:val="0"/>
      <w:adjustRightInd w:val="0"/>
      <w:spacing w:after="240" w:line="180" w:lineRule="atLeast"/>
    </w:pPr>
    <w:rPr>
      <w:rFonts w:ascii="NXXXSA+Dax-Regular" w:eastAsia="Times New Roman" w:hAnsi="NXXXSA+Dax-Regular" w:cs="NXXXSA+Dax-Regular"/>
      <w:sz w:val="24"/>
      <w:szCs w:val="24"/>
      <w:lang w:val="en-US"/>
    </w:rPr>
  </w:style>
  <w:style w:type="paragraph" w:customStyle="1" w:styleId="TFpTableFootnote">
    <w:name w:val="TFpTableFootnote"/>
    <w:basedOn w:val="Normal"/>
    <w:next w:val="Normal"/>
    <w:semiHidden/>
    <w:qFormat/>
    <w:rsid w:val="007257E3"/>
    <w:pPr>
      <w:spacing w:before="120" w:line="240" w:lineRule="auto"/>
    </w:pPr>
    <w:rPr>
      <w:rFonts w:ascii="Arial" w:eastAsia="Times New Roman" w:hAnsi="Arial" w:cs="Arial"/>
      <w:lang w:val="en-GB"/>
    </w:rPr>
  </w:style>
  <w:style w:type="paragraph" w:customStyle="1" w:styleId="Pa10">
    <w:name w:val="Pa10"/>
    <w:basedOn w:val="Default"/>
    <w:next w:val="Default"/>
    <w:qFormat/>
    <w:rsid w:val="007257E3"/>
    <w:pPr>
      <w:spacing w:after="0" w:line="180" w:lineRule="atLeast"/>
    </w:pPr>
    <w:rPr>
      <w:rFonts w:ascii="NXXXSA+Dax-Regular" w:hAnsi="NXXXSA+Dax-Regular" w:cs="NXXXSA+Dax-Regular"/>
      <w:color w:val="auto"/>
    </w:rPr>
  </w:style>
  <w:style w:type="paragraph" w:customStyle="1" w:styleId="StyleBullet1BeforeAuto">
    <w:name w:val="Style Bullet 1 + Before:  Auto"/>
    <w:basedOn w:val="Bullet10"/>
    <w:link w:val="StyleBullet1BeforeAutoChar"/>
    <w:semiHidden/>
    <w:qFormat/>
    <w:rsid w:val="007257E3"/>
    <w:pPr>
      <w:tabs>
        <w:tab w:val="clear" w:pos="360"/>
      </w:tabs>
      <w:spacing w:before="120" w:after="120"/>
      <w:ind w:left="0" w:firstLine="0"/>
      <w:jc w:val="both"/>
    </w:pPr>
    <w:rPr>
      <w:rFonts w:ascii="Arial" w:eastAsiaTheme="minorHAnsi" w:hAnsi="Arial" w:cstheme="minorBidi"/>
      <w:smallCaps/>
      <w:sz w:val="22"/>
      <w:szCs w:val="22"/>
      <w:lang w:val="it-IT" w:eastAsia="de-DE"/>
    </w:rPr>
  </w:style>
  <w:style w:type="paragraph" w:customStyle="1" w:styleId="KopfzeileHautdepage">
    <w:name w:val="Kopfzeile.Haut de page"/>
    <w:basedOn w:val="Normal"/>
    <w:qFormat/>
    <w:rsid w:val="007257E3"/>
    <w:pPr>
      <w:tabs>
        <w:tab w:val="center" w:pos="4536"/>
        <w:tab w:val="right" w:pos="9072"/>
      </w:tabs>
      <w:spacing w:before="100" w:beforeAutospacing="1" w:line="240" w:lineRule="auto"/>
    </w:pPr>
    <w:rPr>
      <w:rFonts w:ascii="Times New Roman" w:eastAsia="Times New Roman" w:hAnsi="Times New Roman" w:cs="Times New Roman"/>
      <w:sz w:val="20"/>
      <w:szCs w:val="20"/>
      <w:lang w:val="en-GB" w:eastAsia="de-DE"/>
    </w:rPr>
  </w:style>
  <w:style w:type="paragraph" w:customStyle="1" w:styleId="ps">
    <w:name w:val="ps"/>
    <w:basedOn w:val="Default"/>
    <w:next w:val="Default"/>
    <w:qFormat/>
    <w:rsid w:val="007257E3"/>
    <w:pPr>
      <w:spacing w:after="120" w:line="240" w:lineRule="auto"/>
    </w:pPr>
    <w:rPr>
      <w:rFonts w:ascii="Times New Roman" w:hAnsi="Times New Roman" w:cs="Times New Roman"/>
      <w:color w:val="auto"/>
    </w:rPr>
  </w:style>
  <w:style w:type="paragraph" w:customStyle="1" w:styleId="a0">
    <w:name w:val="Íîðìàëåí"/>
    <w:basedOn w:val="Default"/>
    <w:next w:val="Default"/>
    <w:qFormat/>
    <w:rsid w:val="007257E3"/>
    <w:pPr>
      <w:spacing w:after="0" w:line="240" w:lineRule="auto"/>
    </w:pPr>
    <w:rPr>
      <w:rFonts w:ascii="Times New Roman" w:hAnsi="Times New Roman" w:cs="Times New Roman"/>
      <w:color w:val="auto"/>
    </w:rPr>
  </w:style>
  <w:style w:type="paragraph" w:customStyle="1" w:styleId="a1">
    <w:name w:val="Çàãëàâèå"/>
    <w:basedOn w:val="Default"/>
    <w:next w:val="Default"/>
    <w:qFormat/>
    <w:rsid w:val="007257E3"/>
    <w:pPr>
      <w:spacing w:after="0" w:line="240" w:lineRule="auto"/>
    </w:pPr>
    <w:rPr>
      <w:rFonts w:ascii="Times New Roman" w:hAnsi="Times New Roman" w:cs="Times New Roman"/>
      <w:color w:val="auto"/>
    </w:rPr>
  </w:style>
  <w:style w:type="paragraph" w:customStyle="1" w:styleId="StyleStyleBullet1BeforeAutoLatinBold">
    <w:name w:val="Style Style Bullet 1 + Before:  Auto + (Latin) Bold"/>
    <w:basedOn w:val="StyleBullet1BeforeAuto"/>
    <w:link w:val="StyleStyleBullet1BeforeAutoLatinBoldChar"/>
    <w:semiHidden/>
    <w:qFormat/>
    <w:rsid w:val="007257E3"/>
    <w:pPr>
      <w:spacing w:after="60"/>
    </w:pPr>
    <w:rPr>
      <w:b/>
      <w:bCs/>
      <w:smallCaps w:val="0"/>
    </w:rPr>
  </w:style>
  <w:style w:type="character" w:customStyle="1" w:styleId="StyleBullet1BeforeAutoChar">
    <w:name w:val="Style Bullet 1 + Before:  Auto Char"/>
    <w:link w:val="StyleBullet1BeforeAuto"/>
    <w:semiHidden/>
    <w:locked/>
    <w:rsid w:val="007257E3"/>
    <w:rPr>
      <w:rFonts w:ascii="Arial" w:hAnsi="Arial"/>
      <w:smallCaps/>
      <w:sz w:val="22"/>
      <w:szCs w:val="22"/>
      <w:lang w:val="it-IT" w:eastAsia="de-DE"/>
    </w:rPr>
  </w:style>
  <w:style w:type="character" w:customStyle="1" w:styleId="StyleStyleBullet1BeforeAutoLatinBoldChar">
    <w:name w:val="Style Style Bullet 1 + Before:  Auto + (Latin) Bold Char"/>
    <w:link w:val="StyleStyleBullet1BeforeAutoLatinBold"/>
    <w:semiHidden/>
    <w:locked/>
    <w:rsid w:val="007257E3"/>
    <w:rPr>
      <w:rFonts w:ascii="Arial" w:hAnsi="Arial"/>
      <w:b/>
      <w:bCs/>
      <w:sz w:val="22"/>
      <w:szCs w:val="22"/>
      <w:lang w:val="it-IT" w:eastAsia="de-DE"/>
    </w:rPr>
  </w:style>
  <w:style w:type="paragraph" w:customStyle="1" w:styleId="Spiegelstrich1">
    <w:name w:val="Spiegelstrich1"/>
    <w:basedOn w:val="Normal"/>
    <w:qFormat/>
    <w:rsid w:val="007257E3"/>
    <w:pPr>
      <w:tabs>
        <w:tab w:val="left" w:pos="284"/>
        <w:tab w:val="num" w:pos="360"/>
      </w:tabs>
      <w:spacing w:before="100" w:beforeAutospacing="1" w:line="240" w:lineRule="auto"/>
      <w:ind w:left="284" w:hanging="284"/>
    </w:pPr>
    <w:rPr>
      <w:rFonts w:ascii="Times" w:eastAsia="Times New Roman" w:hAnsi="Times" w:cs="Times"/>
      <w:sz w:val="24"/>
      <w:szCs w:val="24"/>
      <w:lang w:val="en-GB" w:eastAsia="de-DE"/>
    </w:rPr>
  </w:style>
  <w:style w:type="paragraph" w:customStyle="1" w:styleId="encabezadotabla">
    <w:name w:val="encabezado tabla"/>
    <w:basedOn w:val="Normal"/>
    <w:semiHidden/>
    <w:qFormat/>
    <w:rsid w:val="007257E3"/>
    <w:pPr>
      <w:keepNext/>
      <w:spacing w:before="60" w:beforeAutospacing="1" w:after="60" w:line="240" w:lineRule="auto"/>
      <w:jc w:val="center"/>
    </w:pPr>
    <w:rPr>
      <w:rFonts w:ascii="Arial" w:eastAsia="Times New Roman" w:hAnsi="Arial" w:cs="Arial"/>
      <w:b/>
      <w:bCs/>
      <w:smallCaps/>
      <w:sz w:val="20"/>
      <w:szCs w:val="20"/>
      <w:lang w:val="es-ES" w:eastAsia="es-ES"/>
    </w:rPr>
  </w:style>
  <w:style w:type="paragraph" w:customStyle="1" w:styleId="FootnoteText1">
    <w:name w:val="Footnote Text1"/>
    <w:basedOn w:val="Normal"/>
    <w:link w:val="FootnotetextChar0"/>
    <w:semiHidden/>
    <w:qFormat/>
    <w:rsid w:val="007257E3"/>
    <w:pPr>
      <w:autoSpaceDE w:val="0"/>
      <w:autoSpaceDN w:val="0"/>
      <w:adjustRightInd w:val="0"/>
      <w:spacing w:line="240" w:lineRule="auto"/>
    </w:pPr>
    <w:rPr>
      <w:rFonts w:ascii="Arial" w:eastAsia="Times New Roman" w:hAnsi="Arial" w:cs="Times New Roman"/>
      <w:sz w:val="20"/>
      <w:szCs w:val="20"/>
      <w:lang w:val="en-GB" w:eastAsia="x-none"/>
    </w:rPr>
  </w:style>
  <w:style w:type="character" w:customStyle="1" w:styleId="FootnotetextChar0">
    <w:name w:val="Footnote text Char"/>
    <w:link w:val="FootnoteText1"/>
    <w:semiHidden/>
    <w:locked/>
    <w:rsid w:val="007257E3"/>
    <w:rPr>
      <w:rFonts w:ascii="Arial" w:eastAsia="Times New Roman" w:hAnsi="Arial" w:cs="Times New Roman"/>
      <w:sz w:val="20"/>
      <w:szCs w:val="20"/>
      <w:lang w:val="en-GB" w:eastAsia="x-none"/>
    </w:rPr>
  </w:style>
  <w:style w:type="paragraph" w:customStyle="1" w:styleId="Tabletitle">
    <w:name w:val="Table title"/>
    <w:basedOn w:val="Normal"/>
    <w:link w:val="TabletitleCharChar"/>
    <w:qFormat/>
    <w:rsid w:val="007257E3"/>
    <w:pPr>
      <w:suppressAutoHyphens/>
      <w:spacing w:before="120" w:after="60" w:line="240" w:lineRule="auto"/>
      <w:jc w:val="both"/>
    </w:pPr>
    <w:rPr>
      <w:rFonts w:ascii="Arial" w:eastAsia="Times New Roman" w:hAnsi="Arial" w:cs="Times New Roman"/>
      <w:b/>
      <w:bCs/>
      <w:smallCaps/>
      <w:sz w:val="20"/>
      <w:szCs w:val="20"/>
      <w:lang w:val="x-none" w:eastAsia="x-none"/>
    </w:rPr>
  </w:style>
  <w:style w:type="paragraph" w:customStyle="1" w:styleId="StyleencabezadotablaBeforeAutoAfter0pt">
    <w:name w:val="Style encabezado tabla + Before:  Auto After:  0 pt"/>
    <w:basedOn w:val="encabezadotabla"/>
    <w:qFormat/>
    <w:rsid w:val="007257E3"/>
    <w:pPr>
      <w:spacing w:before="120" w:beforeAutospacing="0" w:after="0"/>
    </w:pPr>
  </w:style>
  <w:style w:type="paragraph" w:customStyle="1" w:styleId="StyleTabletitleCentered">
    <w:name w:val="Style Table title + Centered"/>
    <w:basedOn w:val="Tabletitle"/>
    <w:qFormat/>
    <w:rsid w:val="007257E3"/>
    <w:pPr>
      <w:spacing w:before="60"/>
      <w:jc w:val="center"/>
    </w:pPr>
  </w:style>
  <w:style w:type="paragraph" w:customStyle="1" w:styleId="TITULOTABLA">
    <w:name w:val="TITULO TABLA"/>
    <w:basedOn w:val="Normal"/>
    <w:next w:val="Normal"/>
    <w:qFormat/>
    <w:rsid w:val="007257E3"/>
    <w:pPr>
      <w:keepNext/>
      <w:tabs>
        <w:tab w:val="left" w:pos="1418"/>
      </w:tabs>
      <w:spacing w:before="40" w:beforeAutospacing="1" w:after="40" w:line="240" w:lineRule="auto"/>
      <w:jc w:val="center"/>
    </w:pPr>
    <w:rPr>
      <w:rFonts w:ascii="Arial" w:eastAsia="Times New Roman" w:hAnsi="Arial" w:cs="Arial"/>
      <w:b/>
      <w:bCs/>
      <w:smallCaps/>
      <w:sz w:val="20"/>
      <w:szCs w:val="20"/>
      <w:lang w:val="es-ES" w:eastAsia="es-ES"/>
    </w:rPr>
  </w:style>
  <w:style w:type="paragraph" w:customStyle="1" w:styleId="Style3a">
    <w:name w:val="Style 3"/>
    <w:basedOn w:val="Normal"/>
    <w:qFormat/>
    <w:rsid w:val="007257E3"/>
    <w:pPr>
      <w:widowControl w:val="0"/>
      <w:autoSpaceDE w:val="0"/>
      <w:autoSpaceDN w:val="0"/>
      <w:spacing w:line="360" w:lineRule="auto"/>
    </w:pPr>
    <w:rPr>
      <w:rFonts w:ascii="Times New Roman" w:eastAsia="Times New Roman" w:hAnsi="Times New Roman" w:cs="Times New Roman"/>
      <w:sz w:val="24"/>
      <w:szCs w:val="24"/>
      <w:lang w:val="de-DE" w:eastAsia="en-GB"/>
    </w:rPr>
  </w:style>
  <w:style w:type="character" w:customStyle="1" w:styleId="sttpar1">
    <w:name w:val="st_tpar1"/>
    <w:rsid w:val="007257E3"/>
    <w:rPr>
      <w:rFonts w:cs="Times New Roman"/>
      <w:color w:val="000000"/>
    </w:rPr>
  </w:style>
  <w:style w:type="character" w:customStyle="1" w:styleId="spelle">
    <w:name w:val="spelle"/>
    <w:rsid w:val="007257E3"/>
    <w:rPr>
      <w:rFonts w:cs="Times New Roman"/>
    </w:rPr>
  </w:style>
  <w:style w:type="paragraph" w:customStyle="1" w:styleId="TEXTDETABELjusti">
    <w:name w:val="TEXT DE TABEL justi"/>
    <w:basedOn w:val="Normal"/>
    <w:qFormat/>
    <w:rsid w:val="007257E3"/>
    <w:pPr>
      <w:spacing w:before="40" w:after="40" w:line="240" w:lineRule="auto"/>
      <w:jc w:val="both"/>
    </w:pPr>
    <w:rPr>
      <w:rFonts w:ascii="Times New Roman" w:eastAsia="Times New Roman" w:hAnsi="Times New Roman" w:cs="Times New Roman"/>
      <w:kern w:val="144"/>
      <w:sz w:val="22"/>
      <w:szCs w:val="22"/>
      <w:lang w:val="en-GB"/>
    </w:rPr>
  </w:style>
  <w:style w:type="paragraph" w:customStyle="1" w:styleId="CharCharCharZchnZchnCharCharCharZchnZchn">
    <w:name w:val="Char Char Char Zchn Zchn Char Char Char Zchn Zchn"/>
    <w:basedOn w:val="Normal"/>
    <w:qFormat/>
    <w:rsid w:val="007257E3"/>
    <w:pPr>
      <w:shd w:val="clear" w:color="auto" w:fill="FFFF99"/>
      <w:spacing w:line="240" w:lineRule="auto"/>
    </w:pPr>
    <w:rPr>
      <w:rFonts w:ascii="Arial" w:eastAsia="Times New Roman" w:hAnsi="Arial" w:cs="Arial"/>
      <w:sz w:val="22"/>
      <w:szCs w:val="22"/>
      <w:lang w:val="pl-PL" w:eastAsia="pl-PL"/>
    </w:rPr>
  </w:style>
  <w:style w:type="character" w:customStyle="1" w:styleId="tal1">
    <w:name w:val="tal1"/>
    <w:rsid w:val="007257E3"/>
    <w:rPr>
      <w:rFonts w:cs="Times New Roman"/>
    </w:rPr>
  </w:style>
  <w:style w:type="paragraph" w:customStyle="1" w:styleId="CharCharCharCharCharChar1ZchnZchn1">
    <w:name w:val="Char Char Char Char Char Char1 Zchn Zchn1"/>
    <w:basedOn w:val="Normal"/>
    <w:qFormat/>
    <w:rsid w:val="007257E3"/>
    <w:pPr>
      <w:tabs>
        <w:tab w:val="left" w:pos="709"/>
      </w:tabs>
      <w:spacing w:line="240" w:lineRule="auto"/>
    </w:pPr>
    <w:rPr>
      <w:rFonts w:ascii="Tahoma" w:eastAsia="Times New Roman" w:hAnsi="Tahoma" w:cs="Tahoma"/>
      <w:sz w:val="24"/>
      <w:szCs w:val="24"/>
      <w:lang w:val="pl-PL" w:eastAsia="pl-PL"/>
    </w:rPr>
  </w:style>
  <w:style w:type="character" w:customStyle="1" w:styleId="Fejlc2Zchn">
    <w:name w:val="Fejléc 2 Zchn"/>
    <w:aliases w:val="Titre secondaire (2) Zchn,sous-chapitre Zchn1,a Titlu 2 Zchn1,a Titlu 2 Char Zchn1,PA Major Section Zchn1,h2 Zchn1,h21 Zchn1,Major Zchn1,Project 2 Zchn1,RFS 2 Zchn1,2 Zchn1,numbered indent 2 Zchn1,ni2 Zchn1,Reset numbering Zchn1,A Zchn1"/>
    <w:semiHidden/>
    <w:rsid w:val="007257E3"/>
    <w:rPr>
      <w:rFonts w:ascii="Verdana" w:hAnsi="Verdana" w:cs="Verdana"/>
      <w:b/>
      <w:bCs/>
      <w:caps/>
      <w:sz w:val="28"/>
      <w:szCs w:val="28"/>
      <w:lang w:val="en-US" w:eastAsia="en-US"/>
    </w:rPr>
  </w:style>
  <w:style w:type="paragraph" w:customStyle="1" w:styleId="BoxBlau">
    <w:name w:val="Box Blau"/>
    <w:basedOn w:val="Normal"/>
    <w:qFormat/>
    <w:rsid w:val="007257E3"/>
    <w:pPr>
      <w:tabs>
        <w:tab w:val="num" w:pos="360"/>
      </w:tabs>
      <w:spacing w:before="60" w:after="180" w:line="288" w:lineRule="auto"/>
      <w:ind w:left="360" w:hanging="360"/>
      <w:jc w:val="both"/>
    </w:pPr>
    <w:rPr>
      <w:rFonts w:ascii="Arial" w:eastAsia="Times New Roman" w:hAnsi="Arial" w:cs="Arial"/>
      <w:sz w:val="22"/>
      <w:szCs w:val="22"/>
      <w:lang w:val="en-US" w:eastAsia="de-DE"/>
    </w:rPr>
  </w:style>
  <w:style w:type="paragraph" w:customStyle="1" w:styleId="Tabelle">
    <w:name w:val="Tabelle"/>
    <w:basedOn w:val="BodyText"/>
    <w:qFormat/>
    <w:rsid w:val="007257E3"/>
    <w:pPr>
      <w:overflowPunct w:val="0"/>
      <w:autoSpaceDE w:val="0"/>
      <w:autoSpaceDN w:val="0"/>
      <w:adjustRightInd w:val="0"/>
      <w:spacing w:before="20" w:after="20" w:line="240" w:lineRule="auto"/>
      <w:ind w:left="57" w:right="57"/>
      <w:textAlignment w:val="baseline"/>
    </w:pPr>
    <w:rPr>
      <w:rFonts w:ascii="Times New Roman" w:eastAsia="Times New Roman" w:hAnsi="Times New Roman" w:cs="Times New Roman"/>
      <w:sz w:val="22"/>
      <w:szCs w:val="22"/>
      <w:lang w:val="fr-FR" w:eastAsia="de-DE"/>
    </w:rPr>
  </w:style>
  <w:style w:type="character" w:customStyle="1" w:styleId="FunotentextfZchn">
    <w:name w:val="Fußnotentextf Zchn"/>
    <w:aliases w:val="single space Zchn,footnote text Zchn,Fußnote Zchn,-E Fußnotentext Zchn,Fußnotentext Ursprung Zchn Zchn"/>
    <w:rsid w:val="007257E3"/>
    <w:rPr>
      <w:rFonts w:ascii="Verdana" w:hAnsi="Verdana" w:cs="Verdana"/>
      <w:sz w:val="16"/>
      <w:szCs w:val="16"/>
      <w:lang w:val="en-GB"/>
    </w:rPr>
  </w:style>
  <w:style w:type="character" w:customStyle="1" w:styleId="PAPicoSectionChar1">
    <w:name w:val="PA Pico Section Char1"/>
    <w:aliases w:val="h5 Char Char,Heading 5 Char1,Kop 1A Char1,1.1.1.1.1 Char1,h5 Char1,DNV-H5 Char1,Roman list Char1,Lev 5 Char1,5 sub-bullet Char1,sb Char1,H5 Char1,Titre 1.1111 Char1,Aston T5 Char1,(Shift Ctrl 5) Char1,DO NOT USE_h5 Char1"/>
    <w:locked/>
    <w:rsid w:val="007257E3"/>
    <w:rPr>
      <w:rFonts w:ascii="Arial" w:hAnsi="Arial" w:cs="Arial"/>
      <w:b/>
      <w:bCs/>
      <w:i/>
      <w:iCs/>
      <w:sz w:val="22"/>
      <w:szCs w:val="22"/>
      <w:lang w:val="en-GB" w:eastAsia="en-US"/>
    </w:rPr>
  </w:style>
  <w:style w:type="character" w:customStyle="1" w:styleId="Heading6Char2">
    <w:name w:val="Heading 6 Char2"/>
    <w:aliases w:val="PA Appendix Char1,Appendix Char1"/>
    <w:locked/>
    <w:rsid w:val="007257E3"/>
    <w:rPr>
      <w:rFonts w:ascii="Arial" w:hAnsi="Arial" w:cs="Arial"/>
      <w:b/>
      <w:bCs/>
      <w:sz w:val="32"/>
      <w:szCs w:val="32"/>
      <w:lang w:val="en-GB" w:eastAsia="en-US" w:bidi="ar-SA"/>
    </w:rPr>
  </w:style>
  <w:style w:type="character" w:customStyle="1" w:styleId="Heading7Char1">
    <w:name w:val="Heading 7 Char1"/>
    <w:aliases w:val="PA Appendix Major Char1,DNV-H7 Char1,letter list Char1,lettered list Char1,Lev 7 Char1,H7 Char1,Annexe2 Char1,Aston T7 Char1,(Shift Ctrl 7) Char1,T7 Char1,1.2.3.4.5.6.7. Char1,Legal Level 1.1. Char1,L7 Char1,Annexe 1 Char1,nul Char1"/>
    <w:uiPriority w:val="99"/>
    <w:locked/>
    <w:rsid w:val="007257E3"/>
    <w:rPr>
      <w:rFonts w:ascii="Arial" w:hAnsi="Arial" w:cs="Arial"/>
      <w:b/>
      <w:bCs/>
      <w:sz w:val="24"/>
      <w:szCs w:val="24"/>
      <w:lang w:val="en-GB" w:eastAsia="en-US" w:bidi="ar-SA"/>
    </w:rPr>
  </w:style>
  <w:style w:type="character" w:customStyle="1" w:styleId="Heading9Char1">
    <w:name w:val="Heading 9 Char1"/>
    <w:aliases w:val="Reference Appendix Char1,DNV-H9 Char1,Lev 9 Char1,progress Char1,Annexe4 Char1,App Heading Char1,Legal Level 1.1.1.1. Char1,Annexe 3 Char1,Renvoi Vert Char1,Edf Titre 9 Char1,Heading 9 CFMU Char1,Chapitre niveau 9 Char1,h9 Char1"/>
    <w:locked/>
    <w:rsid w:val="007257E3"/>
    <w:rPr>
      <w:rFonts w:ascii="Arial" w:hAnsi="Arial" w:cs="Arial"/>
      <w:i/>
      <w:iCs/>
      <w:lang w:val="en-GB" w:eastAsia="en-US" w:bidi="ar-SA"/>
    </w:rPr>
  </w:style>
  <w:style w:type="character" w:customStyle="1" w:styleId="HoofdstukZchn">
    <w:name w:val="Hoofdstuk Zchn"/>
    <w:aliases w:val="Heading 1 Char Char Char Zchn,Titre principal (1) Zchn,Nombre Proyecto Zchn,Titre principal (1)1 Zchn,Titre principal (1)2 Zchn,Nombre Proyecto1 Zchn,Heading left 1 Zchn,Chapitre Zchn,h1 Zchn,H1 Zchn,H11 Zchn,H12 Zchn,H111 Zchn,H13 Zchn"/>
    <w:rsid w:val="007257E3"/>
    <w:rPr>
      <w:rFonts w:ascii="Verdana" w:hAnsi="Verdana" w:cs="Verdana"/>
      <w:b/>
      <w:bCs/>
      <w:caps/>
      <w:color w:val="auto"/>
      <w:kern w:val="32"/>
      <w:sz w:val="32"/>
      <w:szCs w:val="32"/>
      <w:lang w:val="en-US" w:eastAsia="en-US"/>
    </w:rPr>
  </w:style>
  <w:style w:type="character" w:customStyle="1" w:styleId="sous-chapitreZchn">
    <w:name w:val="sous-chapitre Zchn"/>
    <w:aliases w:val="a Titlu 2 Zchn,a Titlu 2 Char Zchn,PA Major Section Zchn,h2 Zchn,h21 Zchn,Major Zchn,Project 2 Zchn,RFS 2 Zchn,2 Zchn,numbered indent 2 Zchn,ni2 Zchn,Reset numbering Zchn,Reset numbering1 Zchn,level2 Zchn,level 2 Zchn,Char Zchn,A Zch"/>
    <w:rsid w:val="007257E3"/>
    <w:rPr>
      <w:rFonts w:ascii="Arial" w:hAnsi="Arial" w:cs="Arial"/>
      <w:b/>
      <w:bCs/>
      <w:i/>
      <w:iCs/>
      <w:sz w:val="28"/>
      <w:szCs w:val="28"/>
      <w:lang w:val="ro-RO" w:eastAsia="de-DE"/>
    </w:rPr>
  </w:style>
  <w:style w:type="character" w:customStyle="1" w:styleId="L3Zchn">
    <w:name w:val="L3 Zchn"/>
    <w:aliases w:val="Sous-titre (3) Zchn,Section Zchn,h3 Zchn,PA Minor Section Zchn,Minor Zchn,3 Zchn,numbered indent 3 Zchn,ni3 Zchn,Level 1 - 1 Zchn,Level 1 - 11 Zchn,Third Level Head Zchn,h3 sub heading Zchn Zchn"/>
    <w:rsid w:val="007257E3"/>
    <w:rPr>
      <w:rFonts w:ascii="Verdana" w:hAnsi="Verdana" w:cs="Verdana"/>
      <w:b/>
      <w:bCs/>
      <w:sz w:val="28"/>
      <w:szCs w:val="28"/>
      <w:lang w:val="en-US" w:eastAsia="en-US"/>
    </w:rPr>
  </w:style>
  <w:style w:type="character" w:customStyle="1" w:styleId="BodyTextCharCharZchn">
    <w:name w:val="Body Text Char Char Zchn"/>
    <w:aliases w:val="BodyText Zchn,(Norm) Zchn,BT Zchn,bt Zchn,Body Text Char2 Zchn,Body Text Char1 Char Zchn,Body Text Char Char Char Zchn,Tegn Char Char Char Zchn,Tegn Char1 Char Zchn,Body Text Char Char1 Zchn,Tegn Char Char1 Zchn,Tegn Char2 Zch"/>
    <w:rsid w:val="007257E3"/>
    <w:rPr>
      <w:rFonts w:cs="Times New Roman"/>
      <w:sz w:val="24"/>
      <w:szCs w:val="24"/>
    </w:rPr>
  </w:style>
  <w:style w:type="paragraph" w:customStyle="1" w:styleId="berschriftTabelle">
    <w:name w:val="Überschrift Tabelle"/>
    <w:basedOn w:val="BodyText"/>
    <w:qFormat/>
    <w:rsid w:val="007257E3"/>
    <w:pPr>
      <w:overflowPunct w:val="0"/>
      <w:autoSpaceDE w:val="0"/>
      <w:autoSpaceDN w:val="0"/>
      <w:adjustRightInd w:val="0"/>
      <w:spacing w:after="0" w:line="240" w:lineRule="auto"/>
      <w:ind w:left="1559" w:right="28" w:hanging="1559"/>
      <w:textAlignment w:val="baseline"/>
    </w:pPr>
    <w:rPr>
      <w:rFonts w:ascii="Times New Roman" w:eastAsia="Times New Roman" w:hAnsi="Times New Roman" w:cs="Times New Roman"/>
      <w:sz w:val="22"/>
      <w:szCs w:val="22"/>
      <w:lang w:val="fr-FR" w:eastAsia="de-DE"/>
    </w:rPr>
  </w:style>
  <w:style w:type="paragraph" w:customStyle="1" w:styleId="Liste1Zeile">
    <w:name w:val="Liste 1. Zeile"/>
    <w:basedOn w:val="List"/>
    <w:next w:val="List"/>
    <w:qFormat/>
    <w:rsid w:val="007257E3"/>
    <w:pPr>
      <w:tabs>
        <w:tab w:val="num" w:pos="224"/>
        <w:tab w:val="right" w:pos="284"/>
        <w:tab w:val="num" w:pos="720"/>
        <w:tab w:val="num" w:pos="851"/>
      </w:tabs>
      <w:overflowPunct w:val="0"/>
      <w:autoSpaceDE w:val="0"/>
      <w:autoSpaceDN w:val="0"/>
      <w:adjustRightInd w:val="0"/>
      <w:spacing w:before="80" w:after="40" w:line="240" w:lineRule="auto"/>
      <w:ind w:left="0" w:right="28" w:firstLine="0"/>
      <w:contextualSpacing w:val="0"/>
      <w:jc w:val="both"/>
      <w:textAlignment w:val="baseline"/>
    </w:pPr>
    <w:rPr>
      <w:rFonts w:ascii="Times New Roman" w:eastAsia="Times New Roman" w:hAnsi="Times New Roman" w:cs="Times New Roman"/>
      <w:sz w:val="22"/>
      <w:szCs w:val="22"/>
      <w:lang w:val="en-GB" w:eastAsia="de-DE"/>
    </w:rPr>
  </w:style>
  <w:style w:type="paragraph" w:customStyle="1" w:styleId="ListeletzteZeile">
    <w:name w:val="Liste letzte Zeile"/>
    <w:basedOn w:val="List"/>
    <w:next w:val="BodyText"/>
    <w:qFormat/>
    <w:rsid w:val="007257E3"/>
    <w:pPr>
      <w:tabs>
        <w:tab w:val="num" w:pos="224"/>
        <w:tab w:val="right" w:pos="284"/>
        <w:tab w:val="num" w:pos="720"/>
        <w:tab w:val="num" w:pos="851"/>
      </w:tabs>
      <w:overflowPunct w:val="0"/>
      <w:autoSpaceDE w:val="0"/>
      <w:autoSpaceDN w:val="0"/>
      <w:adjustRightInd w:val="0"/>
      <w:spacing w:before="40" w:after="80" w:line="240" w:lineRule="auto"/>
      <w:ind w:left="0" w:right="28" w:firstLine="0"/>
      <w:contextualSpacing w:val="0"/>
      <w:jc w:val="both"/>
      <w:textAlignment w:val="baseline"/>
    </w:pPr>
    <w:rPr>
      <w:rFonts w:ascii="Times New Roman" w:eastAsia="Times New Roman" w:hAnsi="Times New Roman" w:cs="Times New Roman"/>
      <w:sz w:val="22"/>
      <w:szCs w:val="22"/>
      <w:lang w:val="en-GB" w:eastAsia="de-DE"/>
    </w:rPr>
  </w:style>
  <w:style w:type="paragraph" w:customStyle="1" w:styleId="Cover1-title">
    <w:name w:val="Cover 1 - title"/>
    <w:basedOn w:val="Normal"/>
    <w:next w:val="Normal"/>
    <w:qFormat/>
    <w:rsid w:val="007257E3"/>
    <w:pPr>
      <w:overflowPunct w:val="0"/>
      <w:autoSpaceDE w:val="0"/>
      <w:autoSpaceDN w:val="0"/>
      <w:adjustRightInd w:val="0"/>
      <w:spacing w:line="240" w:lineRule="auto"/>
      <w:jc w:val="right"/>
      <w:textAlignment w:val="baseline"/>
    </w:pPr>
    <w:rPr>
      <w:rFonts w:ascii="Arial" w:eastAsia="Times New Roman" w:hAnsi="Arial" w:cs="Arial"/>
      <w:b/>
      <w:bCs/>
      <w:sz w:val="48"/>
      <w:szCs w:val="48"/>
      <w:lang w:val="en-GB" w:eastAsia="da-DK"/>
    </w:rPr>
  </w:style>
  <w:style w:type="paragraph" w:customStyle="1" w:styleId="Cover-title2">
    <w:name w:val="Cover - title 2"/>
    <w:basedOn w:val="Normal"/>
    <w:next w:val="Normal"/>
    <w:qFormat/>
    <w:rsid w:val="007257E3"/>
    <w:pPr>
      <w:overflowPunct w:val="0"/>
      <w:autoSpaceDE w:val="0"/>
      <w:autoSpaceDN w:val="0"/>
      <w:adjustRightInd w:val="0"/>
      <w:spacing w:line="240" w:lineRule="auto"/>
      <w:jc w:val="right"/>
      <w:textAlignment w:val="baseline"/>
    </w:pPr>
    <w:rPr>
      <w:rFonts w:ascii="Arial" w:eastAsia="Times New Roman" w:hAnsi="Arial" w:cs="Arial"/>
      <w:b/>
      <w:bCs/>
      <w:sz w:val="32"/>
      <w:szCs w:val="32"/>
      <w:lang w:val="en-GB" w:eastAsia="da-DK"/>
    </w:rPr>
  </w:style>
  <w:style w:type="character" w:customStyle="1" w:styleId="BodyTextCharCharZchn1">
    <w:name w:val="Body Text Char Char Zchn1"/>
    <w:aliases w:val="BodyText Zchn1,(Norm) Zchn1,BT Zchn1,bt Zchn1,Body Text Char2 Zchn1,Body Text Char1 Char Zchn1,Body Text Char Char Char Zchn1,Tegn Char Char Char Zchn1,Tegn Char1 Char Zchn1,Body Text Char Char1 Zchn1,Tegn Char Char1 Zchn1"/>
    <w:rsid w:val="007257E3"/>
    <w:rPr>
      <w:rFonts w:ascii="Arial" w:hAnsi="Arial" w:cs="Arial"/>
      <w:lang w:val="ro-RO" w:eastAsia="en-US"/>
    </w:rPr>
  </w:style>
  <w:style w:type="character" w:customStyle="1" w:styleId="FunotentextfZchn1">
    <w:name w:val="Fußnotentextf Zchn1"/>
    <w:aliases w:val="single space Zchn1,footnote text Zchn1,Fußnote Zchn1,-E Fußnotentext Zchn1,Fußnotentext Ursprung Zchn Zchn1"/>
    <w:semiHidden/>
    <w:locked/>
    <w:rsid w:val="007257E3"/>
    <w:rPr>
      <w:rFonts w:cs="Times New Roman"/>
      <w:lang w:val="en-US" w:eastAsia="ro-RO"/>
    </w:rPr>
  </w:style>
  <w:style w:type="paragraph" w:customStyle="1" w:styleId="ZchnZchnCharCharZchnZchnCharChar">
    <w:name w:val="Zchn Zchn Char Char Zchn Zchn Char Char"/>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ZchnZchn3">
    <w:name w:val="Zchn Zchn3"/>
    <w:rsid w:val="007257E3"/>
    <w:rPr>
      <w:rFonts w:ascii="Arial" w:hAnsi="Arial" w:cs="Arial"/>
      <w:color w:val="000000"/>
      <w:lang w:val="en-US" w:eastAsia="en-US"/>
    </w:rPr>
  </w:style>
  <w:style w:type="character" w:customStyle="1" w:styleId="li1">
    <w:name w:val="li1"/>
    <w:rsid w:val="007257E3"/>
    <w:rPr>
      <w:rFonts w:cs="Times New Roman"/>
      <w:b/>
      <w:bCs/>
      <w:color w:val="auto"/>
    </w:rPr>
  </w:style>
  <w:style w:type="paragraph" w:customStyle="1" w:styleId="ZchnZchnCharCharZchnZchnCharCharZchnZchnCharChar">
    <w:name w:val="Zchn Zchn Char Char Zchn Zchn Char Char Zchn Zchn Char Char"/>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Heading2eu">
    <w:name w:val="Heading 2 eu"/>
    <w:basedOn w:val="Heading2"/>
    <w:link w:val="Heading2euChar"/>
    <w:qFormat/>
    <w:rsid w:val="007257E3"/>
    <w:pPr>
      <w:keepLines w:val="0"/>
      <w:numPr>
        <w:ilvl w:val="0"/>
        <w:numId w:val="0"/>
      </w:numPr>
      <w:tabs>
        <w:tab w:val="num" w:pos="576"/>
      </w:tabs>
      <w:suppressAutoHyphens w:val="0"/>
      <w:spacing w:before="240" w:after="60" w:line="240" w:lineRule="auto"/>
      <w:ind w:left="576" w:hanging="576"/>
      <w:contextualSpacing w:val="0"/>
      <w:jc w:val="both"/>
    </w:pPr>
    <w:rPr>
      <w:rFonts w:ascii="Arial" w:eastAsia="Times New Roman" w:hAnsi="Arial" w:cs="Times New Roman"/>
      <w:b/>
      <w:sz w:val="24"/>
      <w:szCs w:val="24"/>
      <w:lang w:eastAsia="de-DE"/>
    </w:rPr>
  </w:style>
  <w:style w:type="character" w:customStyle="1" w:styleId="sp1">
    <w:name w:val="sp1"/>
    <w:rsid w:val="007257E3"/>
    <w:rPr>
      <w:rFonts w:cs="Times New Roman"/>
      <w:b/>
      <w:bCs/>
      <w:color w:val="auto"/>
    </w:rPr>
  </w:style>
  <w:style w:type="character" w:customStyle="1" w:styleId="tsp1">
    <w:name w:val="tsp1"/>
    <w:rsid w:val="007257E3"/>
    <w:rPr>
      <w:rFonts w:cs="Times New Roman"/>
    </w:rPr>
  </w:style>
  <w:style w:type="paragraph" w:customStyle="1" w:styleId="CharChar1Char">
    <w:name w:val="Char Char1 Char"/>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ZchnZchn2">
    <w:name w:val="Zchn Zchn2"/>
    <w:rsid w:val="007257E3"/>
    <w:rPr>
      <w:rFonts w:ascii="Arial" w:hAnsi="Arial" w:cs="Arial"/>
      <w:sz w:val="24"/>
      <w:szCs w:val="24"/>
      <w:lang w:val="en-GB" w:eastAsia="de-DE"/>
    </w:rPr>
  </w:style>
  <w:style w:type="paragraph" w:customStyle="1" w:styleId="table0">
    <w:name w:val="table"/>
    <w:basedOn w:val="Normal"/>
    <w:qFormat/>
    <w:rsid w:val="007257E3"/>
    <w:pPr>
      <w:spacing w:before="120" w:line="240" w:lineRule="auto"/>
    </w:pPr>
    <w:rPr>
      <w:rFonts w:ascii="Times New Roman" w:eastAsia="Times New Roman" w:hAnsi="Times New Roman" w:cs="Times New Roman"/>
      <w:sz w:val="20"/>
      <w:szCs w:val="20"/>
      <w:lang w:val="en-GB"/>
    </w:rPr>
  </w:style>
  <w:style w:type="paragraph" w:customStyle="1" w:styleId="CharCharZchnZchnCharChar">
    <w:name w:val="Char Char Zchn Zchn Char Char"/>
    <w:basedOn w:val="Normal"/>
    <w:qFormat/>
    <w:rsid w:val="007257E3"/>
    <w:pPr>
      <w:tabs>
        <w:tab w:val="left" w:pos="709"/>
      </w:tabs>
      <w:spacing w:line="240" w:lineRule="auto"/>
    </w:pPr>
    <w:rPr>
      <w:rFonts w:ascii="Tahoma" w:eastAsia="Times New Roman" w:hAnsi="Tahoma" w:cs="Tahoma"/>
      <w:sz w:val="24"/>
      <w:szCs w:val="24"/>
      <w:lang w:val="pl-PL" w:eastAsia="pl-PL"/>
    </w:rPr>
  </w:style>
  <w:style w:type="paragraph" w:customStyle="1" w:styleId="Textdetabel">
    <w:name w:val="Text de tabel"/>
    <w:basedOn w:val="Normal"/>
    <w:qFormat/>
    <w:rsid w:val="007257E3"/>
    <w:pPr>
      <w:spacing w:line="240" w:lineRule="auto"/>
      <w:jc w:val="center"/>
    </w:pPr>
    <w:rPr>
      <w:rFonts w:ascii="Times New Roman" w:eastAsia="Times New Roman" w:hAnsi="Times New Roman" w:cs="Times New Roman"/>
    </w:rPr>
  </w:style>
  <w:style w:type="paragraph" w:customStyle="1" w:styleId="Adnotaritabel">
    <w:name w:val="Adnotari tabel"/>
    <w:basedOn w:val="Normal"/>
    <w:qFormat/>
    <w:rsid w:val="007257E3"/>
    <w:pPr>
      <w:spacing w:line="240" w:lineRule="auto"/>
    </w:pPr>
    <w:rPr>
      <w:rFonts w:ascii="Times New Roman" w:eastAsia="Times New Roman" w:hAnsi="Times New Roman" w:cs="Times New Roman"/>
      <w:sz w:val="20"/>
      <w:szCs w:val="20"/>
    </w:rPr>
  </w:style>
  <w:style w:type="paragraph" w:customStyle="1" w:styleId="listnumerotat">
    <w:name w:val="list numerotat"/>
    <w:basedOn w:val="Normal"/>
    <w:qFormat/>
    <w:rsid w:val="007257E3"/>
    <w:pPr>
      <w:tabs>
        <w:tab w:val="num" w:pos="360"/>
      </w:tabs>
      <w:spacing w:before="120" w:after="120" w:line="240" w:lineRule="auto"/>
      <w:ind w:left="360"/>
    </w:pPr>
    <w:rPr>
      <w:rFonts w:ascii="Times New Roman" w:eastAsia="Times New Roman" w:hAnsi="Times New Roman" w:cs="Times New Roman"/>
      <w:sz w:val="24"/>
      <w:szCs w:val="24"/>
    </w:rPr>
  </w:style>
  <w:style w:type="paragraph" w:customStyle="1" w:styleId="NormalText">
    <w:name w:val="Normal Text"/>
    <w:basedOn w:val="Normal"/>
    <w:qFormat/>
    <w:rsid w:val="007257E3"/>
    <w:pPr>
      <w:spacing w:before="240" w:line="300" w:lineRule="auto"/>
      <w:jc w:val="both"/>
    </w:pPr>
    <w:rPr>
      <w:rFonts w:ascii="Arial" w:eastAsia="Times New Roman" w:hAnsi="Arial" w:cs="Arial"/>
      <w:sz w:val="23"/>
      <w:szCs w:val="23"/>
    </w:rPr>
  </w:style>
  <w:style w:type="paragraph" w:customStyle="1" w:styleId="NormalBold1">
    <w:name w:val="Normal Bold1"/>
    <w:basedOn w:val="Normal"/>
    <w:qFormat/>
    <w:rsid w:val="007257E3"/>
    <w:pPr>
      <w:spacing w:before="120" w:line="300" w:lineRule="auto"/>
      <w:ind w:left="720" w:hanging="360"/>
    </w:pPr>
    <w:rPr>
      <w:rFonts w:ascii="Arial" w:eastAsia="Times New Roman" w:hAnsi="Arial" w:cs="Arial"/>
      <w:sz w:val="23"/>
      <w:szCs w:val="23"/>
    </w:rPr>
  </w:style>
  <w:style w:type="paragraph" w:customStyle="1" w:styleId="TabelIndhold">
    <w:name w:val="TabelIndhold"/>
    <w:basedOn w:val="Normal"/>
    <w:qFormat/>
    <w:rsid w:val="007257E3"/>
    <w:pPr>
      <w:spacing w:before="60" w:after="60" w:line="240" w:lineRule="auto"/>
    </w:pPr>
    <w:rPr>
      <w:rFonts w:ascii="Helvetica" w:eastAsia="Times New Roman" w:hAnsi="Helvetica" w:cs="Helvetica"/>
      <w:lang w:val="da-DK"/>
    </w:rPr>
  </w:style>
  <w:style w:type="paragraph" w:customStyle="1" w:styleId="Figurtekst">
    <w:name w:val="Figurtekst"/>
    <w:basedOn w:val="Normal"/>
    <w:qFormat/>
    <w:rsid w:val="007257E3"/>
    <w:pPr>
      <w:tabs>
        <w:tab w:val="left" w:pos="284"/>
        <w:tab w:val="left" w:pos="567"/>
        <w:tab w:val="left" w:pos="851"/>
        <w:tab w:val="left" w:pos="1134"/>
        <w:tab w:val="left" w:pos="1701"/>
        <w:tab w:val="left" w:pos="5670"/>
      </w:tabs>
      <w:spacing w:line="240" w:lineRule="auto"/>
      <w:jc w:val="both"/>
    </w:pPr>
    <w:rPr>
      <w:rFonts w:ascii="Palatino" w:eastAsia="Times New Roman" w:hAnsi="Palatino" w:cs="Palatino"/>
      <w:sz w:val="20"/>
      <w:szCs w:val="20"/>
      <w:lang w:val="da-DK"/>
    </w:rPr>
  </w:style>
  <w:style w:type="paragraph" w:customStyle="1" w:styleId="Titlu4">
    <w:name w:val="Titlu4"/>
    <w:basedOn w:val="Normal"/>
    <w:qFormat/>
    <w:rsid w:val="007257E3"/>
    <w:pPr>
      <w:keepNext/>
      <w:spacing w:before="240" w:after="120" w:line="240" w:lineRule="auto"/>
      <w:ind w:left="1080" w:hanging="1080"/>
      <w:jc w:val="both"/>
      <w:outlineLvl w:val="1"/>
    </w:pPr>
    <w:rPr>
      <w:rFonts w:ascii="Times New Roman" w:eastAsia="Times New Roman" w:hAnsi="Times New Roman" w:cs="Times New Roman"/>
      <w:b/>
      <w:bCs/>
      <w:i/>
      <w:iCs/>
      <w:color w:val="333333"/>
      <w:spacing w:val="5"/>
      <w:sz w:val="24"/>
      <w:szCs w:val="24"/>
      <w:u w:val="single"/>
      <w:lang w:val="fr-FR"/>
    </w:rPr>
  </w:style>
  <w:style w:type="paragraph" w:customStyle="1" w:styleId="StyleHeading1TimesNewRoman12ptPinkJustified">
    <w:name w:val="Style Heading 1 + Times New Roman 12 pt Pink Justified"/>
    <w:basedOn w:val="Heading1"/>
    <w:qFormat/>
    <w:rsid w:val="007257E3"/>
    <w:pPr>
      <w:keepNext w:val="0"/>
      <w:keepLines w:val="0"/>
      <w:widowControl w:val="0"/>
      <w:numPr>
        <w:numId w:val="0"/>
      </w:numPr>
      <w:suppressAutoHyphens w:val="0"/>
      <w:spacing w:before="240" w:after="60" w:line="240" w:lineRule="auto"/>
      <w:contextualSpacing w:val="0"/>
      <w:jc w:val="both"/>
    </w:pPr>
    <w:rPr>
      <w:rFonts w:ascii="Helvetica" w:eastAsia="Times New Roman" w:hAnsi="Helvetica" w:cs="Helvetica"/>
      <w:b/>
      <w:i/>
      <w:iCs/>
      <w:smallCaps/>
      <w:color w:val="000080"/>
      <w:sz w:val="24"/>
      <w:szCs w:val="24"/>
      <w:lang w:val="x-none"/>
    </w:rPr>
  </w:style>
  <w:style w:type="paragraph" w:customStyle="1" w:styleId="Marginnote">
    <w:name w:val="Marginnote"/>
    <w:basedOn w:val="BodyText"/>
    <w:qFormat/>
    <w:rsid w:val="007257E3"/>
    <w:pPr>
      <w:framePr w:w="2552" w:wrap="auto" w:vAnchor="text" w:hAnchor="page" w:x="1135" w:y="1"/>
      <w:tabs>
        <w:tab w:val="left" w:pos="284"/>
        <w:tab w:val="left" w:pos="567"/>
        <w:tab w:val="left" w:pos="851"/>
        <w:tab w:val="left" w:pos="1134"/>
        <w:tab w:val="left" w:pos="1701"/>
        <w:tab w:val="left" w:pos="5670"/>
      </w:tabs>
      <w:suppressAutoHyphens/>
      <w:spacing w:after="0" w:line="240" w:lineRule="auto"/>
      <w:ind w:right="28"/>
    </w:pPr>
    <w:rPr>
      <w:rFonts w:ascii="Palatino" w:eastAsia="Times New Roman" w:hAnsi="Palatino" w:cs="Palatino"/>
      <w:i/>
      <w:iCs/>
      <w:sz w:val="22"/>
      <w:szCs w:val="22"/>
      <w:lang w:val="da-DK"/>
    </w:rPr>
  </w:style>
  <w:style w:type="paragraph" w:customStyle="1" w:styleId="Eaoaeaa">
    <w:name w:val="Eaoae?aa"/>
    <w:basedOn w:val="Normal"/>
    <w:qFormat/>
    <w:rsid w:val="007257E3"/>
    <w:pPr>
      <w:widowControl w:val="0"/>
      <w:tabs>
        <w:tab w:val="center" w:pos="4153"/>
        <w:tab w:val="right" w:pos="8306"/>
      </w:tabs>
      <w:spacing w:line="240" w:lineRule="auto"/>
    </w:pPr>
    <w:rPr>
      <w:rFonts w:ascii="Times New Roman" w:eastAsia="Times New Roman" w:hAnsi="Times New Roman" w:cs="Times New Roman"/>
      <w:sz w:val="20"/>
      <w:szCs w:val="20"/>
      <w:lang w:val="en-US" w:eastAsia="de-DE"/>
    </w:rPr>
  </w:style>
  <w:style w:type="paragraph" w:customStyle="1" w:styleId="FrontPage1">
    <w:name w:val="FrontPage1"/>
    <w:basedOn w:val="Normal"/>
    <w:next w:val="BodyText"/>
    <w:qFormat/>
    <w:rsid w:val="007257E3"/>
    <w:pPr>
      <w:suppressAutoHyphens/>
      <w:spacing w:after="160" w:line="320" w:lineRule="exact"/>
    </w:pPr>
    <w:rPr>
      <w:rFonts w:ascii="Arial" w:eastAsia="Times New Roman" w:hAnsi="Arial" w:cs="Arial"/>
      <w:sz w:val="28"/>
      <w:szCs w:val="28"/>
      <w:lang w:val="en-GB" w:eastAsia="da-DK"/>
    </w:rPr>
  </w:style>
  <w:style w:type="paragraph" w:customStyle="1" w:styleId="FrontPage2">
    <w:name w:val="FrontPage2"/>
    <w:next w:val="BodyText"/>
    <w:qFormat/>
    <w:rsid w:val="007257E3"/>
    <w:pPr>
      <w:suppressAutoHyphens/>
      <w:spacing w:after="160" w:line="400" w:lineRule="exact"/>
    </w:pPr>
    <w:rPr>
      <w:rFonts w:ascii="Arial Black" w:eastAsia="Times New Roman" w:hAnsi="Arial Black" w:cs="Arial Black"/>
      <w:sz w:val="36"/>
      <w:szCs w:val="36"/>
      <w:lang w:val="en-GB" w:eastAsia="da-DK"/>
    </w:rPr>
  </w:style>
  <w:style w:type="paragraph" w:customStyle="1" w:styleId="Caption12pt">
    <w:name w:val="Caption + 12 pt"/>
    <w:basedOn w:val="Caption"/>
    <w:autoRedefine/>
    <w:qFormat/>
    <w:rsid w:val="007257E3"/>
    <w:pPr>
      <w:spacing w:before="0" w:after="0" w:line="240" w:lineRule="auto"/>
      <w:jc w:val="both"/>
    </w:pPr>
    <w:rPr>
      <w:rFonts w:ascii="Times New Roman" w:eastAsia="Times New Roman" w:hAnsi="Times New Roman" w:cs="Times New Roman"/>
      <w:color w:val="auto"/>
      <w:sz w:val="24"/>
      <w:szCs w:val="24"/>
      <w:lang w:eastAsia="en-GB"/>
    </w:rPr>
  </w:style>
  <w:style w:type="character" w:customStyle="1" w:styleId="Caption12ptChar">
    <w:name w:val="Caption + 12 pt Char"/>
    <w:rsid w:val="007257E3"/>
    <w:rPr>
      <w:rFonts w:cs="Times New Roman"/>
      <w:b/>
      <w:bCs/>
      <w:sz w:val="24"/>
      <w:szCs w:val="24"/>
      <w:lang w:val="en-GB" w:eastAsia="en-GB"/>
    </w:rPr>
  </w:style>
  <w:style w:type="paragraph" w:customStyle="1" w:styleId="StyleHeading1">
    <w:name w:val="Style Heading 1"/>
    <w:aliases w:val="título 1 + Dark Blue"/>
    <w:basedOn w:val="Heading1"/>
    <w:qFormat/>
    <w:rsid w:val="007257E3"/>
    <w:pPr>
      <w:keepNext w:val="0"/>
      <w:keepLines w:val="0"/>
      <w:widowControl w:val="0"/>
      <w:numPr>
        <w:numId w:val="0"/>
      </w:numPr>
      <w:tabs>
        <w:tab w:val="num" w:pos="1080"/>
      </w:tabs>
      <w:suppressAutoHyphens w:val="0"/>
      <w:spacing w:before="960" w:after="120" w:line="240" w:lineRule="auto"/>
      <w:ind w:left="2160" w:hanging="360"/>
      <w:contextualSpacing w:val="0"/>
    </w:pPr>
    <w:rPr>
      <w:rFonts w:ascii="Helvetica" w:eastAsia="Times New Roman" w:hAnsi="Helvetica" w:cs="Helvetica"/>
      <w:b/>
      <w:color w:val="000080"/>
      <w:kern w:val="28"/>
      <w:sz w:val="24"/>
      <w:szCs w:val="24"/>
    </w:rPr>
  </w:style>
  <w:style w:type="paragraph" w:customStyle="1" w:styleId="StyleHeading3HelveticaDarkBlue">
    <w:name w:val="Style Heading 3 + Helvetica Dark Blue"/>
    <w:basedOn w:val="Heading3"/>
    <w:qFormat/>
    <w:rsid w:val="007257E3"/>
    <w:pPr>
      <w:keepLines w:val="0"/>
      <w:numPr>
        <w:numId w:val="4"/>
      </w:numPr>
      <w:tabs>
        <w:tab w:val="left" w:pos="1985"/>
      </w:tabs>
      <w:spacing w:before="120" w:after="120" w:line="240" w:lineRule="auto"/>
      <w:ind w:left="1814" w:hanging="680"/>
      <w:contextualSpacing w:val="0"/>
      <w:jc w:val="both"/>
    </w:pPr>
    <w:rPr>
      <w:rFonts w:ascii="Helvetica" w:eastAsia="Times New Roman" w:hAnsi="Helvetica" w:cs="Helvetica"/>
      <w:bCs w:val="0"/>
      <w:i/>
      <w:iCs/>
      <w:color w:val="000080"/>
      <w:sz w:val="24"/>
    </w:rPr>
  </w:style>
  <w:style w:type="paragraph" w:customStyle="1" w:styleId="StyleHeading2">
    <w:name w:val="Style Heading 2"/>
    <w:aliases w:val="TIT-PLIEGO PAC + Dark Blue"/>
    <w:basedOn w:val="Heading2"/>
    <w:qFormat/>
    <w:rsid w:val="007257E3"/>
    <w:pPr>
      <w:keepNext w:val="0"/>
      <w:keepLines w:val="0"/>
      <w:widowControl w:val="0"/>
      <w:numPr>
        <w:ilvl w:val="0"/>
        <w:numId w:val="0"/>
      </w:numPr>
      <w:tabs>
        <w:tab w:val="num" w:pos="567"/>
      </w:tabs>
      <w:suppressAutoHyphens w:val="0"/>
      <w:spacing w:before="240" w:after="120" w:line="240" w:lineRule="auto"/>
      <w:ind w:left="567" w:hanging="567"/>
      <w:contextualSpacing w:val="0"/>
    </w:pPr>
    <w:rPr>
      <w:rFonts w:ascii="Helvetica" w:eastAsia="Times New Roman" w:hAnsi="Helvetica" w:cs="Helvetica"/>
      <w:b/>
      <w:i/>
      <w:iCs/>
      <w:color w:val="000080"/>
      <w:sz w:val="24"/>
      <w:szCs w:val="24"/>
    </w:rPr>
  </w:style>
  <w:style w:type="paragraph" w:customStyle="1" w:styleId="TextH3-1gugu">
    <w:name w:val="Text H3-1 gugu"/>
    <w:basedOn w:val="Normal"/>
    <w:qFormat/>
    <w:rsid w:val="007257E3"/>
    <w:pPr>
      <w:tabs>
        <w:tab w:val="num" w:pos="643"/>
      </w:tabs>
      <w:spacing w:line="240" w:lineRule="auto"/>
      <w:ind w:left="643" w:hanging="360"/>
    </w:pPr>
    <w:rPr>
      <w:rFonts w:ascii="Times New Roman" w:eastAsia="Times New Roman" w:hAnsi="Times New Roman" w:cs="Times New Roman"/>
      <w:sz w:val="20"/>
      <w:szCs w:val="20"/>
      <w:lang w:val="en-US"/>
    </w:rPr>
  </w:style>
  <w:style w:type="paragraph" w:customStyle="1" w:styleId="TEXTDETABEL0">
    <w:name w:val="TEXT DE TABEL"/>
    <w:basedOn w:val="Normal"/>
    <w:qFormat/>
    <w:rsid w:val="007257E3"/>
    <w:pPr>
      <w:spacing w:before="40" w:after="40" w:line="240" w:lineRule="auto"/>
    </w:pPr>
    <w:rPr>
      <w:rFonts w:ascii="Times New Roman" w:eastAsia="Times New Roman" w:hAnsi="Times New Roman" w:cs="Times New Roman"/>
      <w:kern w:val="144"/>
      <w:lang w:val="en-GB"/>
    </w:rPr>
  </w:style>
  <w:style w:type="paragraph" w:customStyle="1" w:styleId="aLista">
    <w:name w:val="a Lista"/>
    <w:basedOn w:val="Normal"/>
    <w:qFormat/>
    <w:rsid w:val="007257E3"/>
    <w:pPr>
      <w:tabs>
        <w:tab w:val="num" w:pos="1800"/>
      </w:tabs>
      <w:spacing w:before="120" w:after="120" w:line="240" w:lineRule="auto"/>
      <w:ind w:left="1800" w:hanging="360"/>
    </w:pPr>
    <w:rPr>
      <w:rFonts w:ascii="Times New Roman" w:eastAsia="Times New Roman" w:hAnsi="Times New Roman" w:cs="Times New Roman"/>
      <w:kern w:val="144"/>
      <w:sz w:val="20"/>
      <w:szCs w:val="20"/>
      <w:lang w:val="en-GB"/>
    </w:rPr>
  </w:style>
  <w:style w:type="paragraph" w:customStyle="1" w:styleId="aliniament">
    <w:name w:val="aliniament"/>
    <w:basedOn w:val="Normal"/>
    <w:qFormat/>
    <w:rsid w:val="007257E3"/>
    <w:pPr>
      <w:spacing w:line="240" w:lineRule="auto"/>
    </w:pPr>
    <w:rPr>
      <w:rFonts w:ascii="Times New Roman" w:eastAsia="Times New Roman" w:hAnsi="Times New Roman" w:cs="Times New Roman"/>
      <w:b/>
      <w:bCs/>
      <w:caps/>
      <w:sz w:val="24"/>
      <w:szCs w:val="24"/>
    </w:rPr>
  </w:style>
  <w:style w:type="paragraph" w:customStyle="1" w:styleId="bulinenivel2">
    <w:name w:val="buline nivel 2"/>
    <w:basedOn w:val="Normal"/>
    <w:qFormat/>
    <w:rsid w:val="007257E3"/>
    <w:pPr>
      <w:tabs>
        <w:tab w:val="left" w:pos="360"/>
        <w:tab w:val="left" w:pos="454"/>
      </w:tabs>
      <w:spacing w:before="60" w:after="60" w:line="240" w:lineRule="auto"/>
      <w:ind w:left="851" w:hanging="397"/>
      <w:jc w:val="both"/>
    </w:pPr>
    <w:rPr>
      <w:rFonts w:ascii="Times New Roman" w:eastAsia="Times New Roman" w:hAnsi="Times New Roman" w:cs="Times New Roman"/>
      <w:sz w:val="24"/>
      <w:szCs w:val="24"/>
    </w:rPr>
  </w:style>
  <w:style w:type="paragraph" w:customStyle="1" w:styleId="TableBody">
    <w:name w:val="Table Body"/>
    <w:qFormat/>
    <w:rsid w:val="007257E3"/>
    <w:pPr>
      <w:spacing w:line="240" w:lineRule="auto"/>
    </w:pPr>
    <w:rPr>
      <w:rFonts w:ascii="Times New Roman" w:eastAsia="Times New Roman" w:hAnsi="Times New Roman" w:cs="Times New Roman"/>
      <w:sz w:val="20"/>
      <w:szCs w:val="20"/>
      <w:lang w:val="en-US"/>
    </w:rPr>
  </w:style>
  <w:style w:type="paragraph" w:customStyle="1" w:styleId="TableFooter">
    <w:name w:val="Table Footer"/>
    <w:basedOn w:val="Normal"/>
    <w:qFormat/>
    <w:rsid w:val="007257E3"/>
    <w:pPr>
      <w:spacing w:before="60" w:after="60" w:line="240" w:lineRule="auto"/>
      <w:jc w:val="both"/>
    </w:pPr>
    <w:rPr>
      <w:rFonts w:ascii="Times New Roman" w:eastAsia="Times New Roman" w:hAnsi="Times New Roman" w:cs="Times New Roman"/>
      <w:sz w:val="16"/>
      <w:szCs w:val="16"/>
      <w:lang w:val="en-CA"/>
    </w:rPr>
  </w:style>
  <w:style w:type="paragraph" w:customStyle="1" w:styleId="StyleTableHeadingTimesNewRoman">
    <w:name w:val="Style Table Heading + Times New Roman"/>
    <w:basedOn w:val="Normal"/>
    <w:qFormat/>
    <w:rsid w:val="007257E3"/>
    <w:pPr>
      <w:spacing w:before="60" w:after="60" w:line="240" w:lineRule="auto"/>
      <w:jc w:val="both"/>
      <w:outlineLvl w:val="7"/>
    </w:pPr>
    <w:rPr>
      <w:rFonts w:ascii="Times New Roman" w:eastAsia="Times New Roman" w:hAnsi="Times New Roman" w:cs="Times New Roman"/>
      <w:b/>
      <w:bCs/>
      <w:sz w:val="22"/>
      <w:szCs w:val="22"/>
      <w:lang w:val="en-CA"/>
    </w:rPr>
  </w:style>
  <w:style w:type="character" w:customStyle="1" w:styleId="Char1CharChar">
    <w:name w:val="Char1 Char Char"/>
    <w:rsid w:val="007257E3"/>
    <w:rPr>
      <w:rFonts w:cs="Times New Roman"/>
      <w:b/>
      <w:bCs/>
      <w:kern w:val="144"/>
      <w:sz w:val="24"/>
      <w:szCs w:val="24"/>
      <w:lang w:val="ro-RO" w:eastAsia="en-US"/>
    </w:rPr>
  </w:style>
  <w:style w:type="paragraph" w:customStyle="1" w:styleId="FuzeileSeite1Firmenangaben">
    <w:name w:val="Fußzeile Seite 1 Firmenangaben"/>
    <w:basedOn w:val="Normal"/>
    <w:qFormat/>
    <w:rsid w:val="007257E3"/>
    <w:pPr>
      <w:spacing w:line="180" w:lineRule="exact"/>
    </w:pPr>
    <w:rPr>
      <w:rFonts w:ascii="Arial" w:eastAsia="Times New Roman" w:hAnsi="Arial" w:cs="Arial"/>
      <w:sz w:val="12"/>
      <w:szCs w:val="12"/>
      <w:lang w:val="de-DE" w:eastAsia="de-DE"/>
    </w:rPr>
  </w:style>
  <w:style w:type="paragraph" w:customStyle="1" w:styleId="ZchnZchnZchnZchn">
    <w:name w:val="Zchn Zchn Zchn Zchn"/>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Heading2euChar">
    <w:name w:val="Heading 2 eu Char"/>
    <w:link w:val="Heading2eu"/>
    <w:locked/>
    <w:rsid w:val="007257E3"/>
    <w:rPr>
      <w:rFonts w:ascii="Arial" w:eastAsia="Times New Roman" w:hAnsi="Arial" w:cs="Times New Roman"/>
      <w:b/>
      <w:bCs/>
      <w:sz w:val="24"/>
      <w:szCs w:val="24"/>
      <w:lang w:val="ro-RO" w:eastAsia="de-DE"/>
    </w:rPr>
  </w:style>
  <w:style w:type="character" w:customStyle="1" w:styleId="ConclusionStyle">
    <w:name w:val="Conclusion Style"/>
    <w:rsid w:val="007257E3"/>
    <w:rPr>
      <w:rFonts w:ascii="Verdana" w:hAnsi="Verdana" w:cs="Verdana"/>
      <w:sz w:val="22"/>
      <w:szCs w:val="22"/>
      <w:u w:val="none"/>
      <w:shd w:val="clear" w:color="auto" w:fill="00FFFF"/>
    </w:rPr>
  </w:style>
  <w:style w:type="paragraph" w:customStyle="1" w:styleId="Char1CaracterCaracterCaracter">
    <w:name w:val="Char1 Caracter Caracter Caracter"/>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A10">
    <w:name w:val="A1"/>
    <w:rsid w:val="007257E3"/>
    <w:rPr>
      <w:b/>
      <w:color w:val="auto"/>
      <w:sz w:val="46"/>
    </w:rPr>
  </w:style>
  <w:style w:type="paragraph" w:customStyle="1" w:styleId="TableContents">
    <w:name w:val="Table Contents"/>
    <w:basedOn w:val="Normal"/>
    <w:qFormat/>
    <w:rsid w:val="007257E3"/>
    <w:pPr>
      <w:widowControl w:val="0"/>
      <w:suppressLineNumbers/>
      <w:suppressAutoHyphens/>
      <w:spacing w:line="240" w:lineRule="auto"/>
    </w:pPr>
    <w:rPr>
      <w:rFonts w:ascii="Times New Roman" w:eastAsia="Times New Roman" w:hAnsi="Times New Roman" w:cs="Times New Roman"/>
      <w:kern w:val="1"/>
      <w:sz w:val="24"/>
      <w:szCs w:val="24"/>
    </w:rPr>
  </w:style>
  <w:style w:type="paragraph" w:customStyle="1" w:styleId="ZchnZchn18Char">
    <w:name w:val="Zchn Zchn18 Char"/>
    <w:basedOn w:val="Normal"/>
    <w:qFormat/>
    <w:rsid w:val="007257E3"/>
    <w:pPr>
      <w:tabs>
        <w:tab w:val="left" w:pos="709"/>
      </w:tabs>
      <w:spacing w:line="240" w:lineRule="auto"/>
    </w:pPr>
    <w:rPr>
      <w:rFonts w:ascii="Tahoma" w:eastAsia="Times New Roman" w:hAnsi="Tahoma" w:cs="Tahoma"/>
      <w:sz w:val="24"/>
      <w:szCs w:val="24"/>
      <w:lang w:val="pl-PL" w:eastAsia="pl-PL"/>
    </w:rPr>
  </w:style>
  <w:style w:type="character" w:customStyle="1" w:styleId="IntenseQuoteChar1">
    <w:name w:val="Intense Quote Char1"/>
    <w:basedOn w:val="DefaultParagraphFont"/>
    <w:uiPriority w:val="30"/>
    <w:rsid w:val="007257E3"/>
    <w:rPr>
      <w:b/>
      <w:bCs/>
      <w:i/>
      <w:iCs/>
      <w:color w:val="05326E" w:themeColor="accent1"/>
    </w:rPr>
  </w:style>
  <w:style w:type="character" w:customStyle="1" w:styleId="ZchnZchn19">
    <w:name w:val="Zchn Zchn19"/>
    <w:semiHidden/>
    <w:locked/>
    <w:rsid w:val="007257E3"/>
    <w:rPr>
      <w:rFonts w:cs="Times New Roman"/>
      <w:sz w:val="24"/>
      <w:szCs w:val="24"/>
      <w:lang w:val="en-US" w:eastAsia="en-US"/>
    </w:rPr>
  </w:style>
  <w:style w:type="paragraph" w:customStyle="1" w:styleId="ZchnZchn18CharChar">
    <w:name w:val="Zchn Zchn18 Char Char"/>
    <w:basedOn w:val="Normal"/>
    <w:qFormat/>
    <w:rsid w:val="007257E3"/>
    <w:pPr>
      <w:tabs>
        <w:tab w:val="left" w:pos="709"/>
      </w:tabs>
      <w:spacing w:line="240" w:lineRule="auto"/>
    </w:pPr>
    <w:rPr>
      <w:rFonts w:ascii="Tahoma" w:eastAsia="Times New Roman" w:hAnsi="Tahoma" w:cs="Tahoma"/>
      <w:sz w:val="24"/>
      <w:szCs w:val="24"/>
      <w:lang w:val="pl-PL" w:eastAsia="pl-PL"/>
    </w:rPr>
  </w:style>
  <w:style w:type="paragraph" w:customStyle="1" w:styleId="CVNormal">
    <w:name w:val="CV Normal"/>
    <w:basedOn w:val="Normal"/>
    <w:qFormat/>
    <w:rsid w:val="007257E3"/>
    <w:pPr>
      <w:suppressAutoHyphens/>
      <w:spacing w:line="240" w:lineRule="auto"/>
      <w:ind w:left="113" w:right="113"/>
    </w:pPr>
    <w:rPr>
      <w:rFonts w:ascii="Arial Narrow" w:eastAsia="Times New Roman" w:hAnsi="Arial Narrow" w:cs="Arial Narrow"/>
      <w:sz w:val="20"/>
      <w:szCs w:val="20"/>
      <w:lang w:eastAsia="ar-SA"/>
    </w:rPr>
  </w:style>
  <w:style w:type="paragraph" w:customStyle="1" w:styleId="CaracterCaracterCharCharZchnZchn">
    <w:name w:val="Caracter Caracter Char Char Zchn Zchn"/>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searchterm4">
    <w:name w:val="searchterm4"/>
    <w:rsid w:val="007257E3"/>
    <w:rPr>
      <w:rFonts w:cs="Times New Roman"/>
    </w:rPr>
  </w:style>
  <w:style w:type="character" w:customStyle="1" w:styleId="searchterm5">
    <w:name w:val="searchterm5"/>
    <w:rsid w:val="007257E3"/>
    <w:rPr>
      <w:rFonts w:cs="Times New Roman"/>
    </w:rPr>
  </w:style>
  <w:style w:type="character" w:customStyle="1" w:styleId="med11">
    <w:name w:val="med11"/>
    <w:rsid w:val="007257E3"/>
    <w:rPr>
      <w:rFonts w:cs="Times New Roman"/>
      <w:sz w:val="20"/>
      <w:szCs w:val="20"/>
    </w:rPr>
  </w:style>
  <w:style w:type="character" w:customStyle="1" w:styleId="arial131">
    <w:name w:val="arial_131"/>
    <w:rsid w:val="007257E3"/>
    <w:rPr>
      <w:rFonts w:ascii="Arial" w:hAnsi="Arial" w:cs="Arial"/>
      <w:color w:val="000000"/>
      <w:sz w:val="22"/>
      <w:szCs w:val="22"/>
    </w:rPr>
  </w:style>
  <w:style w:type="character" w:customStyle="1" w:styleId="CharacterStyle3">
    <w:name w:val="Character Style 3"/>
    <w:rsid w:val="007257E3"/>
    <w:rPr>
      <w:sz w:val="22"/>
    </w:rPr>
  </w:style>
  <w:style w:type="paragraph" w:customStyle="1" w:styleId="A111SubSubSubTitlu">
    <w:name w:val="A.1.1.1.   SubSubSubTitlu"/>
    <w:basedOn w:val="Normal"/>
    <w:next w:val="Normal"/>
    <w:autoRedefine/>
    <w:qFormat/>
    <w:rsid w:val="007257E3"/>
    <w:pPr>
      <w:keepNext/>
      <w:pBdr>
        <w:top w:val="single" w:sz="2" w:space="1" w:color="000000"/>
        <w:left w:val="single" w:sz="2" w:space="1" w:color="000000"/>
        <w:bottom w:val="single" w:sz="2" w:space="1" w:color="000000"/>
        <w:right w:val="single" w:sz="2" w:space="1" w:color="000000"/>
      </w:pBdr>
      <w:shd w:val="clear" w:color="auto" w:fill="EAF1DD"/>
      <w:spacing w:before="240" w:after="60" w:line="240" w:lineRule="auto"/>
      <w:ind w:right="57"/>
      <w:jc w:val="both"/>
      <w:outlineLvl w:val="1"/>
    </w:pPr>
    <w:rPr>
      <w:rFonts w:ascii="Arial" w:eastAsia="Times New Roman" w:hAnsi="Arial" w:cs="Arial"/>
      <w:i/>
      <w:iCs/>
      <w:sz w:val="24"/>
      <w:szCs w:val="24"/>
    </w:rPr>
  </w:style>
  <w:style w:type="numbering" w:customStyle="1" w:styleId="StyleOutlinenumberedWingdingssymbolComplexTimesNewRom">
    <w:name w:val="Style Outline numbered Wingdings (symbol) (Complex) Times New Rom..."/>
    <w:rsid w:val="007257E3"/>
    <w:pPr>
      <w:numPr>
        <w:numId w:val="133"/>
      </w:numPr>
    </w:pPr>
  </w:style>
  <w:style w:type="paragraph" w:customStyle="1" w:styleId="SubiectComentariu">
    <w:name w:val="Subiect Comentariu"/>
    <w:basedOn w:val="CommentText"/>
    <w:next w:val="CommentText"/>
    <w:semiHidden/>
    <w:qFormat/>
    <w:rsid w:val="007257E3"/>
    <w:rPr>
      <w:rFonts w:ascii="Times New Roman" w:eastAsia="Times New Roman" w:hAnsi="Times New Roman" w:cs="Times New Roman"/>
      <w:b/>
      <w:bCs/>
      <w:lang w:eastAsia="ro-RO"/>
    </w:rPr>
  </w:style>
  <w:style w:type="paragraph" w:customStyle="1" w:styleId="ZchnZchn15">
    <w:name w:val="Zchn Zchn15"/>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paragraph" w:customStyle="1" w:styleId="ZchnZchn17">
    <w:name w:val="Zchn Zchn17"/>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paragraph" w:customStyle="1" w:styleId="GedankenstrichStandard1Char">
    <w:name w:val="Gedankenstrich Standard 1 Char"/>
    <w:basedOn w:val="Normal"/>
    <w:link w:val="GedankenstrichStandard1CharChar"/>
    <w:qFormat/>
    <w:rsid w:val="007257E3"/>
    <w:pPr>
      <w:autoSpaceDE w:val="0"/>
      <w:autoSpaceDN w:val="0"/>
      <w:spacing w:after="120" w:line="300" w:lineRule="exact"/>
      <w:jc w:val="both"/>
    </w:pPr>
    <w:rPr>
      <w:rFonts w:ascii="Arial" w:eastAsia="Times New Roman" w:hAnsi="Arial" w:cs="Times New Roman"/>
      <w:sz w:val="22"/>
      <w:szCs w:val="20"/>
      <w:lang w:val="en-GB" w:eastAsia="x-none"/>
    </w:rPr>
  </w:style>
  <w:style w:type="character" w:customStyle="1" w:styleId="GedankenstrichStandard1CharChar">
    <w:name w:val="Gedankenstrich Standard 1 Char Char"/>
    <w:link w:val="GedankenstrichStandard1Char"/>
    <w:rsid w:val="007257E3"/>
    <w:rPr>
      <w:rFonts w:ascii="Arial" w:eastAsia="Times New Roman" w:hAnsi="Arial" w:cs="Times New Roman"/>
      <w:sz w:val="22"/>
      <w:szCs w:val="20"/>
      <w:lang w:val="en-GB" w:eastAsia="x-none"/>
    </w:rPr>
  </w:style>
  <w:style w:type="paragraph" w:customStyle="1" w:styleId="CaracterCaracter2">
    <w:name w:val="Caracter Caracter2"/>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FontStyle130">
    <w:name w:val="Font Style130"/>
    <w:uiPriority w:val="99"/>
    <w:rsid w:val="007257E3"/>
    <w:rPr>
      <w:rFonts w:ascii="Arial Narrow" w:hAnsi="Arial Narrow" w:cs="Arial Narrow"/>
      <w:b/>
      <w:bCs/>
      <w:sz w:val="20"/>
      <w:szCs w:val="20"/>
    </w:rPr>
  </w:style>
  <w:style w:type="paragraph" w:customStyle="1" w:styleId="Style298">
    <w:name w:val="Style298"/>
    <w:basedOn w:val="Normal"/>
    <w:uiPriority w:val="99"/>
    <w:qFormat/>
    <w:rsid w:val="007257E3"/>
    <w:pPr>
      <w:widowControl w:val="0"/>
      <w:autoSpaceDE w:val="0"/>
      <w:autoSpaceDN w:val="0"/>
      <w:adjustRightInd w:val="0"/>
      <w:spacing w:line="278" w:lineRule="exact"/>
      <w:ind w:firstLine="350"/>
    </w:pPr>
    <w:rPr>
      <w:rFonts w:ascii="Calibri" w:eastAsia="Times New Roman" w:hAnsi="Calibri" w:cs="Times New Roman"/>
      <w:sz w:val="24"/>
      <w:szCs w:val="24"/>
      <w:lang w:eastAsia="ro-RO"/>
    </w:rPr>
  </w:style>
  <w:style w:type="paragraph" w:customStyle="1" w:styleId="Style349">
    <w:name w:val="Style349"/>
    <w:basedOn w:val="Normal"/>
    <w:uiPriority w:val="99"/>
    <w:qFormat/>
    <w:rsid w:val="007257E3"/>
    <w:pPr>
      <w:widowControl w:val="0"/>
      <w:autoSpaceDE w:val="0"/>
      <w:autoSpaceDN w:val="0"/>
      <w:adjustRightInd w:val="0"/>
      <w:spacing w:line="278" w:lineRule="exact"/>
      <w:ind w:firstLine="355"/>
      <w:jc w:val="both"/>
    </w:pPr>
    <w:rPr>
      <w:rFonts w:ascii="Calibri" w:eastAsia="Times New Roman" w:hAnsi="Calibri" w:cs="Times New Roman"/>
      <w:sz w:val="24"/>
      <w:szCs w:val="24"/>
      <w:lang w:eastAsia="ro-RO"/>
    </w:rPr>
  </w:style>
  <w:style w:type="paragraph" w:customStyle="1" w:styleId="OiaeaeiYiio2">
    <w:name w:val="O?ia eaeiYiio 2"/>
    <w:basedOn w:val="Normal"/>
    <w:qFormat/>
    <w:rsid w:val="007257E3"/>
    <w:pPr>
      <w:widowControl w:val="0"/>
      <w:spacing w:line="240" w:lineRule="auto"/>
      <w:jc w:val="right"/>
    </w:pPr>
    <w:rPr>
      <w:rFonts w:ascii="Times New Roman" w:eastAsia="Times New Roman" w:hAnsi="Times New Roman" w:cs="Times New Roman"/>
      <w:i/>
      <w:iCs/>
      <w:sz w:val="16"/>
      <w:szCs w:val="16"/>
      <w:lang w:val="en-US"/>
    </w:rPr>
  </w:style>
  <w:style w:type="paragraph" w:customStyle="1" w:styleId="CharChar181">
    <w:name w:val="Char Char181"/>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character" w:customStyle="1" w:styleId="N1Zchn">
    <w:name w:val="N1 Zchn"/>
    <w:link w:val="N1"/>
    <w:rsid w:val="007257E3"/>
    <w:rPr>
      <w:rFonts w:ascii="Arial" w:eastAsia="Times New Roman" w:hAnsi="Arial" w:cs="Times New Roman"/>
      <w:sz w:val="22"/>
      <w:szCs w:val="22"/>
      <w:lang w:val="de-DE" w:eastAsia="de-DE"/>
    </w:rPr>
  </w:style>
  <w:style w:type="character" w:customStyle="1" w:styleId="FontStyle14">
    <w:name w:val="Font Style14"/>
    <w:uiPriority w:val="99"/>
    <w:rsid w:val="007257E3"/>
    <w:rPr>
      <w:rFonts w:ascii="Times New Roman" w:hAnsi="Times New Roman" w:cs="Times New Roman"/>
      <w:sz w:val="22"/>
      <w:szCs w:val="22"/>
    </w:rPr>
  </w:style>
  <w:style w:type="paragraph" w:customStyle="1" w:styleId="CharCharCharCaracterCaracterCaracterCharCharCharCharChar">
    <w:name w:val="Char Char Char Caracter Caracter Caracter Char Char Char Char Char"/>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CharChar183">
    <w:name w:val="Char Char183"/>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paragraph" w:customStyle="1" w:styleId="Style235">
    <w:name w:val="Style235"/>
    <w:basedOn w:val="Normal"/>
    <w:uiPriority w:val="99"/>
    <w:qFormat/>
    <w:rsid w:val="007257E3"/>
    <w:pPr>
      <w:widowControl w:val="0"/>
      <w:autoSpaceDE w:val="0"/>
      <w:autoSpaceDN w:val="0"/>
      <w:adjustRightInd w:val="0"/>
      <w:spacing w:line="324" w:lineRule="exact"/>
    </w:pPr>
    <w:rPr>
      <w:rFonts w:ascii="Arial Narrow" w:eastAsia="Times New Roman" w:hAnsi="Arial Narrow" w:cs="Times New Roman"/>
      <w:sz w:val="24"/>
      <w:szCs w:val="24"/>
      <w:lang w:eastAsia="ro-RO"/>
    </w:rPr>
  </w:style>
  <w:style w:type="paragraph" w:customStyle="1" w:styleId="Style305">
    <w:name w:val="Style305"/>
    <w:basedOn w:val="Normal"/>
    <w:uiPriority w:val="99"/>
    <w:qFormat/>
    <w:rsid w:val="007257E3"/>
    <w:pPr>
      <w:widowControl w:val="0"/>
      <w:autoSpaceDE w:val="0"/>
      <w:autoSpaceDN w:val="0"/>
      <w:adjustRightInd w:val="0"/>
      <w:spacing w:line="590" w:lineRule="exact"/>
    </w:pPr>
    <w:rPr>
      <w:rFonts w:ascii="Arial Narrow" w:eastAsia="Times New Roman" w:hAnsi="Arial Narrow" w:cs="Times New Roman"/>
      <w:sz w:val="24"/>
      <w:szCs w:val="24"/>
      <w:lang w:eastAsia="ro-RO"/>
    </w:rPr>
  </w:style>
  <w:style w:type="paragraph" w:customStyle="1" w:styleId="Style312">
    <w:name w:val="Style312"/>
    <w:basedOn w:val="Normal"/>
    <w:uiPriority w:val="99"/>
    <w:qFormat/>
    <w:rsid w:val="007257E3"/>
    <w:pPr>
      <w:widowControl w:val="0"/>
      <w:autoSpaceDE w:val="0"/>
      <w:autoSpaceDN w:val="0"/>
      <w:adjustRightInd w:val="0"/>
      <w:spacing w:line="230" w:lineRule="exact"/>
      <w:ind w:hanging="413"/>
      <w:jc w:val="both"/>
    </w:pPr>
    <w:rPr>
      <w:rFonts w:ascii="Arial Narrow" w:eastAsia="Times New Roman" w:hAnsi="Arial Narrow" w:cs="Times New Roman"/>
      <w:sz w:val="24"/>
      <w:szCs w:val="24"/>
      <w:lang w:eastAsia="ro-RO"/>
    </w:rPr>
  </w:style>
  <w:style w:type="paragraph" w:customStyle="1" w:styleId="Style317">
    <w:name w:val="Style317"/>
    <w:basedOn w:val="Normal"/>
    <w:uiPriority w:val="99"/>
    <w:qFormat/>
    <w:rsid w:val="007257E3"/>
    <w:pPr>
      <w:widowControl w:val="0"/>
      <w:autoSpaceDE w:val="0"/>
      <w:autoSpaceDN w:val="0"/>
      <w:adjustRightInd w:val="0"/>
      <w:spacing w:line="240" w:lineRule="auto"/>
      <w:jc w:val="right"/>
    </w:pPr>
    <w:rPr>
      <w:rFonts w:ascii="Arial Narrow" w:eastAsia="Times New Roman" w:hAnsi="Arial Narrow" w:cs="Times New Roman"/>
      <w:sz w:val="24"/>
      <w:szCs w:val="24"/>
      <w:lang w:eastAsia="ro-RO"/>
    </w:rPr>
  </w:style>
  <w:style w:type="paragraph" w:customStyle="1" w:styleId="Style321">
    <w:name w:val="Style321"/>
    <w:basedOn w:val="Normal"/>
    <w:uiPriority w:val="99"/>
    <w:qFormat/>
    <w:rsid w:val="007257E3"/>
    <w:pPr>
      <w:widowControl w:val="0"/>
      <w:autoSpaceDE w:val="0"/>
      <w:autoSpaceDN w:val="0"/>
      <w:adjustRightInd w:val="0"/>
      <w:spacing w:line="326" w:lineRule="exact"/>
      <w:ind w:firstLine="350"/>
    </w:pPr>
    <w:rPr>
      <w:rFonts w:ascii="Arial Narrow" w:eastAsia="Times New Roman" w:hAnsi="Arial Narrow" w:cs="Times New Roman"/>
      <w:sz w:val="24"/>
      <w:szCs w:val="24"/>
      <w:lang w:eastAsia="ro-RO"/>
    </w:rPr>
  </w:style>
  <w:style w:type="character" w:customStyle="1" w:styleId="FontStyle1184">
    <w:name w:val="Font Style1184"/>
    <w:uiPriority w:val="99"/>
    <w:rsid w:val="007257E3"/>
    <w:rPr>
      <w:rFonts w:ascii="Arial Narrow" w:hAnsi="Arial Narrow" w:cs="Arial Narrow"/>
      <w:b/>
      <w:bCs/>
      <w:smallCaps/>
      <w:sz w:val="26"/>
      <w:szCs w:val="26"/>
    </w:rPr>
  </w:style>
  <w:style w:type="character" w:customStyle="1" w:styleId="FontStyle1195">
    <w:name w:val="Font Style1195"/>
    <w:uiPriority w:val="99"/>
    <w:rsid w:val="007257E3"/>
    <w:rPr>
      <w:rFonts w:ascii="Arial Narrow" w:hAnsi="Arial Narrow" w:cs="Arial Narrow"/>
      <w:b/>
      <w:bCs/>
      <w:sz w:val="26"/>
      <w:szCs w:val="26"/>
    </w:rPr>
  </w:style>
  <w:style w:type="character" w:customStyle="1" w:styleId="FontStyle1286">
    <w:name w:val="Font Style1286"/>
    <w:uiPriority w:val="99"/>
    <w:rsid w:val="007257E3"/>
    <w:rPr>
      <w:rFonts w:ascii="Arial" w:hAnsi="Arial" w:cs="Arial"/>
      <w:b/>
      <w:bCs/>
      <w:smallCaps/>
      <w:sz w:val="22"/>
      <w:szCs w:val="22"/>
    </w:rPr>
  </w:style>
  <w:style w:type="paragraph" w:customStyle="1" w:styleId="l2nbuton">
    <w:name w:val="l2nbuton"/>
    <w:basedOn w:val="Normal"/>
    <w:qFormat/>
    <w:rsid w:val="007257E3"/>
    <w:pPr>
      <w:pBdr>
        <w:top w:val="single" w:sz="6" w:space="0" w:color="A6AEB4"/>
        <w:left w:val="single" w:sz="6" w:space="0" w:color="A6AEB4"/>
        <w:bottom w:val="single" w:sz="6" w:space="0" w:color="000000"/>
        <w:right w:val="single" w:sz="6" w:space="0" w:color="000000"/>
      </w:pBdr>
      <w:shd w:val="clear" w:color="auto" w:fill="B32035"/>
      <w:spacing w:before="100" w:beforeAutospacing="1" w:after="100" w:afterAutospacing="1" w:line="240" w:lineRule="auto"/>
    </w:pPr>
    <w:rPr>
      <w:rFonts w:eastAsia="Times New Roman" w:cs="Times New Roman"/>
      <w:b/>
      <w:bCs/>
      <w:color w:val="FFFFFF"/>
      <w:sz w:val="17"/>
      <w:szCs w:val="17"/>
      <w:lang w:eastAsia="ro-RO"/>
    </w:rPr>
  </w:style>
  <w:style w:type="paragraph" w:customStyle="1" w:styleId="NormalIndent1">
    <w:name w:val="Normal Indent 1"/>
    <w:basedOn w:val="NormalIndent"/>
    <w:qFormat/>
    <w:rsid w:val="007257E3"/>
    <w:pPr>
      <w:spacing w:line="240" w:lineRule="auto"/>
      <w:ind w:left="1260"/>
    </w:pPr>
    <w:rPr>
      <w:rFonts w:ascii="Times New Roman" w:eastAsia="Times New Roman" w:hAnsi="Times New Roman" w:cs="Times New Roman"/>
      <w:i/>
      <w:sz w:val="24"/>
      <w:szCs w:val="24"/>
      <w:lang w:val="en-US"/>
    </w:rPr>
  </w:style>
  <w:style w:type="paragraph" w:customStyle="1" w:styleId="TableHeading">
    <w:name w:val="Table Heading"/>
    <w:basedOn w:val="TableContents"/>
    <w:qFormat/>
    <w:rsid w:val="007257E3"/>
    <w:pPr>
      <w:suppressLineNumbers w:val="0"/>
      <w:spacing w:after="120"/>
    </w:pPr>
    <w:rPr>
      <w:rFonts w:ascii="Nimbus Roman No9 L" w:eastAsia="HG Mincho Light J" w:hAnsi="Nimbus Roman No9 L"/>
      <w:color w:val="000000"/>
      <w:kern w:val="0"/>
      <w:lang w:val="en-US"/>
    </w:rPr>
  </w:style>
  <w:style w:type="paragraph" w:customStyle="1" w:styleId="Normalnospace">
    <w:name w:val="Normal no space"/>
    <w:basedOn w:val="Normal"/>
    <w:qFormat/>
    <w:rsid w:val="007257E3"/>
    <w:pPr>
      <w:keepNext/>
      <w:spacing w:before="120" w:after="120" w:line="240" w:lineRule="auto"/>
      <w:jc w:val="both"/>
    </w:pPr>
    <w:rPr>
      <w:rFonts w:ascii="Times New Roman" w:eastAsia="Times New Roman" w:hAnsi="Times New Roman" w:cs="Times New Roman"/>
      <w:snapToGrid w:val="0"/>
      <w:sz w:val="22"/>
      <w:szCs w:val="20"/>
      <w:lang w:val="en-GB"/>
    </w:rPr>
  </w:style>
  <w:style w:type="paragraph" w:customStyle="1" w:styleId="Normalsmallnospace">
    <w:name w:val="Normal small no space"/>
    <w:basedOn w:val="Normal"/>
    <w:qFormat/>
    <w:rsid w:val="007257E3"/>
    <w:pPr>
      <w:keepNext/>
      <w:spacing w:line="240" w:lineRule="auto"/>
      <w:jc w:val="both"/>
    </w:pPr>
    <w:rPr>
      <w:rFonts w:ascii="Times New Roman" w:eastAsia="Times New Roman" w:hAnsi="Times New Roman" w:cs="Times New Roman"/>
      <w:snapToGrid w:val="0"/>
      <w:sz w:val="20"/>
      <w:szCs w:val="20"/>
      <w:lang w:val="en-GB"/>
    </w:rPr>
  </w:style>
  <w:style w:type="paragraph" w:customStyle="1" w:styleId="Bullet30">
    <w:name w:val="Bullet 3"/>
    <w:basedOn w:val="Bullet20"/>
    <w:qFormat/>
    <w:rsid w:val="007257E3"/>
    <w:pPr>
      <w:numPr>
        <w:numId w:val="124"/>
      </w:numPr>
      <w:tabs>
        <w:tab w:val="num" w:pos="3195"/>
      </w:tabs>
      <w:spacing w:after="100" w:line="220" w:lineRule="atLeast"/>
      <w:ind w:left="851"/>
      <w:jc w:val="left"/>
    </w:pPr>
    <w:rPr>
      <w:rFonts w:ascii="Trebuchet MS" w:hAnsi="Trebuchet MS"/>
      <w:color w:val="786860"/>
      <w:sz w:val="20"/>
      <w:szCs w:val="24"/>
      <w:lang w:val="en-GB"/>
    </w:rPr>
  </w:style>
  <w:style w:type="paragraph" w:customStyle="1" w:styleId="Cover2">
    <w:name w:val="Cover 2"/>
    <w:next w:val="Cover3"/>
    <w:qFormat/>
    <w:rsid w:val="007257E3"/>
    <w:pPr>
      <w:spacing w:line="240" w:lineRule="auto"/>
    </w:pPr>
    <w:rPr>
      <w:rFonts w:ascii="Trebuchet MS" w:eastAsia="Times New Roman" w:hAnsi="Trebuchet MS" w:cs="Times New Roman"/>
      <w:b/>
      <w:bCs/>
      <w:sz w:val="44"/>
      <w:szCs w:val="36"/>
      <w:lang w:val="en-US"/>
    </w:rPr>
  </w:style>
  <w:style w:type="paragraph" w:customStyle="1" w:styleId="Cover3">
    <w:name w:val="Cover 3"/>
    <w:qFormat/>
    <w:rsid w:val="007257E3"/>
    <w:pPr>
      <w:spacing w:line="240" w:lineRule="auto"/>
    </w:pPr>
    <w:rPr>
      <w:rFonts w:ascii="Trebuchet MS" w:eastAsia="Times New Roman" w:hAnsi="Trebuchet MS" w:cs="Arial"/>
      <w:b/>
      <w:color w:val="62CAE3"/>
      <w:sz w:val="32"/>
      <w:szCs w:val="28"/>
      <w:lang w:val="en-GB"/>
    </w:rPr>
  </w:style>
  <w:style w:type="paragraph" w:customStyle="1" w:styleId="Cover1">
    <w:name w:val="Cover 1"/>
    <w:link w:val="Cover1Char"/>
    <w:qFormat/>
    <w:rsid w:val="007257E3"/>
    <w:pPr>
      <w:spacing w:before="3360" w:line="240" w:lineRule="auto"/>
    </w:pPr>
    <w:rPr>
      <w:rFonts w:ascii="Trebuchet MS" w:eastAsia="Times New Roman" w:hAnsi="Trebuchet MS" w:cs="Times New Roman"/>
      <w:color w:val="786860"/>
      <w:kern w:val="22"/>
      <w:szCs w:val="20"/>
      <w:lang w:val="en-GB"/>
    </w:rPr>
  </w:style>
  <w:style w:type="paragraph" w:customStyle="1" w:styleId="Cover4">
    <w:name w:val="Cover 4"/>
    <w:qFormat/>
    <w:rsid w:val="007257E3"/>
    <w:pPr>
      <w:spacing w:line="240" w:lineRule="auto"/>
    </w:pPr>
    <w:rPr>
      <w:rFonts w:ascii="Trebuchet MS" w:eastAsia="Times New Roman" w:hAnsi="Trebuchet MS" w:cs="Arial"/>
      <w:color w:val="62CAE3"/>
      <w:sz w:val="28"/>
      <w:szCs w:val="28"/>
      <w:lang w:val="en-GB"/>
    </w:rPr>
  </w:style>
  <w:style w:type="paragraph" w:customStyle="1" w:styleId="CoverDate">
    <w:name w:val="Cover Date"/>
    <w:qFormat/>
    <w:rsid w:val="007257E3"/>
    <w:pPr>
      <w:spacing w:line="240" w:lineRule="auto"/>
    </w:pPr>
    <w:rPr>
      <w:rFonts w:ascii="Trebuchet MS" w:eastAsia="Times New Roman" w:hAnsi="Trebuchet MS" w:cs="Arial"/>
      <w:color w:val="62CAE3"/>
      <w:sz w:val="28"/>
      <w:szCs w:val="28"/>
      <w:lang w:val="en-GB"/>
    </w:rPr>
  </w:style>
  <w:style w:type="paragraph" w:customStyle="1" w:styleId="Coverdisclaimer">
    <w:name w:val="Cover disclaimer"/>
    <w:qFormat/>
    <w:rsid w:val="007257E3"/>
    <w:pPr>
      <w:spacing w:after="120" w:line="240" w:lineRule="auto"/>
    </w:pPr>
    <w:rPr>
      <w:rFonts w:ascii="Trebuchet MS" w:eastAsia="Times New Roman" w:hAnsi="Trebuchet MS" w:cs="Arial"/>
      <w:color w:val="786860"/>
      <w:sz w:val="14"/>
      <w:szCs w:val="14"/>
      <w:lang w:val="en-US"/>
    </w:rPr>
  </w:style>
  <w:style w:type="paragraph" w:customStyle="1" w:styleId="LetterBDOaddress">
    <w:name w:val="Letter_BDO address"/>
    <w:qFormat/>
    <w:rsid w:val="007257E3"/>
    <w:pPr>
      <w:spacing w:line="240" w:lineRule="auto"/>
    </w:pPr>
    <w:rPr>
      <w:rFonts w:ascii="Trebuchet MS" w:eastAsia="Times New Roman" w:hAnsi="Trebuchet MS" w:cs="Times New Roman"/>
      <w:color w:val="786860"/>
      <w:sz w:val="16"/>
      <w:szCs w:val="24"/>
      <w:lang w:val="en-GB"/>
    </w:rPr>
  </w:style>
  <w:style w:type="paragraph" w:customStyle="1" w:styleId="Letterclientaddress">
    <w:name w:val="Letter_client address"/>
    <w:qFormat/>
    <w:rsid w:val="007257E3"/>
    <w:pPr>
      <w:spacing w:line="240" w:lineRule="auto"/>
    </w:pPr>
    <w:rPr>
      <w:rFonts w:ascii="Trebuchet MS" w:eastAsia="Times New Roman" w:hAnsi="Trebuchet MS" w:cs="Times New Roman"/>
      <w:color w:val="786860"/>
      <w:sz w:val="20"/>
      <w:szCs w:val="24"/>
      <w:lang w:val="en-GB"/>
    </w:rPr>
  </w:style>
  <w:style w:type="paragraph" w:customStyle="1" w:styleId="Letterfooter">
    <w:name w:val="Letter_footer"/>
    <w:basedOn w:val="Normal"/>
    <w:qFormat/>
    <w:rsid w:val="007257E3"/>
    <w:pPr>
      <w:spacing w:line="220" w:lineRule="atLeast"/>
    </w:pPr>
    <w:rPr>
      <w:rFonts w:ascii="Trebuchet MS" w:eastAsia="Times New Roman" w:hAnsi="Trebuchet MS" w:cs="Times New Roman"/>
      <w:b/>
      <w:color w:val="786860"/>
      <w:sz w:val="16"/>
      <w:szCs w:val="24"/>
      <w:lang w:val="en-GB"/>
    </w:rPr>
  </w:style>
  <w:style w:type="paragraph" w:customStyle="1" w:styleId="Figuretabletextleft">
    <w:name w:val="Figure table text left"/>
    <w:qFormat/>
    <w:rsid w:val="007257E3"/>
    <w:pPr>
      <w:spacing w:before="60" w:after="60" w:line="220" w:lineRule="atLeast"/>
    </w:pPr>
    <w:rPr>
      <w:rFonts w:ascii="Trebuchet MS" w:eastAsia="Times New Roman" w:hAnsi="Trebuchet MS" w:cs="Times New Roman"/>
      <w:color w:val="5F5F5F"/>
      <w:szCs w:val="24"/>
      <w:lang w:val="en-US"/>
    </w:rPr>
  </w:style>
  <w:style w:type="paragraph" w:customStyle="1" w:styleId="SectionNumber">
    <w:name w:val="Section Number"/>
    <w:next w:val="SectionTitle0"/>
    <w:qFormat/>
    <w:rsid w:val="007257E3"/>
    <w:pPr>
      <w:pageBreakBefore/>
      <w:spacing w:before="3000" w:line="240" w:lineRule="auto"/>
      <w:jc w:val="right"/>
    </w:pPr>
    <w:rPr>
      <w:rFonts w:ascii="Trebuchet MS" w:eastAsia="Times New Roman" w:hAnsi="Trebuchet MS" w:cs="Times New Roman"/>
      <w:b/>
      <w:color w:val="ED1A3B"/>
      <w:sz w:val="52"/>
      <w:szCs w:val="24"/>
      <w:lang w:val="en-GB"/>
    </w:rPr>
  </w:style>
  <w:style w:type="paragraph" w:customStyle="1" w:styleId="BannerHeadline">
    <w:name w:val="Banner Headline"/>
    <w:next w:val="Normal"/>
    <w:qFormat/>
    <w:rsid w:val="007257E3"/>
    <w:pPr>
      <w:keepNext/>
      <w:pageBreakBefore/>
      <w:spacing w:after="100" w:line="240" w:lineRule="auto"/>
    </w:pPr>
    <w:rPr>
      <w:rFonts w:ascii="Trebuchet MS" w:eastAsia="Times New Roman" w:hAnsi="Trebuchet MS" w:cs="Times New Roman"/>
      <w:b/>
      <w:color w:val="786860"/>
      <w:sz w:val="36"/>
      <w:szCs w:val="24"/>
      <w:lang w:val="en-GB"/>
    </w:rPr>
  </w:style>
  <w:style w:type="paragraph" w:customStyle="1" w:styleId="Texttableleft">
    <w:name w:val="Text table left"/>
    <w:basedOn w:val="Normal"/>
    <w:qFormat/>
    <w:rsid w:val="007257E3"/>
    <w:pPr>
      <w:spacing w:before="60" w:after="60" w:line="220" w:lineRule="atLeast"/>
    </w:pPr>
    <w:rPr>
      <w:rFonts w:ascii="Trebuchet MS" w:eastAsia="Times New Roman" w:hAnsi="Trebuchet MS" w:cs="Times New Roman"/>
      <w:color w:val="786860"/>
      <w:lang w:val="en-GB"/>
    </w:rPr>
  </w:style>
  <w:style w:type="paragraph" w:customStyle="1" w:styleId="Coverlogo">
    <w:name w:val="Cover logo"/>
    <w:next w:val="Normal"/>
    <w:qFormat/>
    <w:rsid w:val="007257E3"/>
    <w:pPr>
      <w:spacing w:line="240" w:lineRule="auto"/>
      <w:jc w:val="right"/>
    </w:pPr>
    <w:rPr>
      <w:rFonts w:ascii="Trebuchet MS" w:eastAsia="Times New Roman" w:hAnsi="Trebuchet MS" w:cs="Times New Roman"/>
      <w:color w:val="786860"/>
      <w:kern w:val="22"/>
      <w:szCs w:val="20"/>
      <w:lang w:val="en-GB"/>
    </w:rPr>
  </w:style>
  <w:style w:type="paragraph" w:customStyle="1" w:styleId="Letterlogo">
    <w:name w:val="Letter_logo"/>
    <w:basedOn w:val="Letterclientaddress"/>
    <w:qFormat/>
    <w:rsid w:val="007257E3"/>
    <w:rPr>
      <w:sz w:val="18"/>
    </w:rPr>
  </w:style>
  <w:style w:type="paragraph" w:customStyle="1" w:styleId="Footermainbody">
    <w:name w:val="Footer_main body"/>
    <w:qFormat/>
    <w:rsid w:val="007257E3"/>
    <w:pPr>
      <w:tabs>
        <w:tab w:val="center" w:pos="4320"/>
        <w:tab w:val="right" w:pos="8640"/>
      </w:tabs>
      <w:spacing w:before="40" w:line="240" w:lineRule="auto"/>
    </w:pPr>
    <w:rPr>
      <w:rFonts w:ascii="Trebuchet MS" w:eastAsia="Times New Roman" w:hAnsi="Trebuchet MS" w:cs="Times New Roman"/>
      <w:color w:val="786860"/>
      <w:sz w:val="16"/>
      <w:szCs w:val="16"/>
      <w:lang w:val="en-GB"/>
    </w:rPr>
  </w:style>
  <w:style w:type="paragraph" w:customStyle="1" w:styleId="Footerspacing">
    <w:name w:val="Footer_spacing"/>
    <w:basedOn w:val="Normal"/>
    <w:qFormat/>
    <w:rsid w:val="007257E3"/>
    <w:pPr>
      <w:tabs>
        <w:tab w:val="center" w:pos="4320"/>
        <w:tab w:val="right" w:pos="8640"/>
      </w:tabs>
      <w:spacing w:line="20" w:lineRule="exact"/>
    </w:pPr>
    <w:rPr>
      <w:rFonts w:ascii="Trebuchet MS" w:eastAsia="Times New Roman" w:hAnsi="Trebuchet MS" w:cs="Times New Roman"/>
      <w:color w:val="786860"/>
      <w:sz w:val="16"/>
      <w:szCs w:val="24"/>
      <w:lang w:val="en-GB"/>
    </w:rPr>
  </w:style>
  <w:style w:type="paragraph" w:customStyle="1" w:styleId="Note">
    <w:name w:val="Note"/>
    <w:link w:val="NoteChar"/>
    <w:qFormat/>
    <w:rsid w:val="007257E3"/>
    <w:pPr>
      <w:tabs>
        <w:tab w:val="left" w:pos="567"/>
      </w:tabs>
      <w:spacing w:before="40" w:after="40" w:line="220" w:lineRule="atLeast"/>
      <w:ind w:left="567" w:hanging="567"/>
    </w:pPr>
    <w:rPr>
      <w:rFonts w:ascii="Trebuchet MS" w:eastAsia="Times New Roman" w:hAnsi="Trebuchet MS" w:cs="Times New Roman"/>
      <w:i/>
      <w:color w:val="786860"/>
      <w:sz w:val="16"/>
      <w:szCs w:val="24"/>
      <w:lang w:val="en-GB"/>
    </w:rPr>
  </w:style>
  <w:style w:type="paragraph" w:customStyle="1" w:styleId="Pageendspacing">
    <w:name w:val="Page end spacing"/>
    <w:qFormat/>
    <w:rsid w:val="007257E3"/>
    <w:pPr>
      <w:spacing w:line="20" w:lineRule="exact"/>
    </w:pPr>
    <w:rPr>
      <w:rFonts w:ascii="Trebuchet MS" w:eastAsia="Times New Roman" w:hAnsi="Trebuchet MS" w:cs="Times New Roman"/>
      <w:color w:val="786860"/>
      <w:sz w:val="20"/>
      <w:szCs w:val="24"/>
      <w:lang w:val="en-GB"/>
    </w:rPr>
  </w:style>
  <w:style w:type="paragraph" w:customStyle="1" w:styleId="StyleCoverdisclaimerGray-50">
    <w:name w:val="Style Cover disclaimer + Gray-50%"/>
    <w:basedOn w:val="Coverdisclaimer"/>
    <w:qFormat/>
    <w:rsid w:val="007257E3"/>
    <w:rPr>
      <w:color w:val="B9ACA6"/>
      <w:sz w:val="16"/>
    </w:rPr>
  </w:style>
  <w:style w:type="paragraph" w:customStyle="1" w:styleId="Tablebullet1">
    <w:name w:val="Table bullet 1"/>
    <w:qFormat/>
    <w:rsid w:val="007257E3"/>
    <w:pPr>
      <w:numPr>
        <w:numId w:val="123"/>
      </w:numPr>
      <w:spacing w:before="60" w:line="240" w:lineRule="auto"/>
      <w:ind w:left="170" w:hanging="170"/>
    </w:pPr>
    <w:rPr>
      <w:rFonts w:ascii="Trebuchet MS" w:eastAsia="Times New Roman" w:hAnsi="Trebuchet MS" w:cs="Times New Roman"/>
      <w:color w:val="786860"/>
      <w:szCs w:val="24"/>
      <w:lang w:val="en-GB"/>
    </w:rPr>
  </w:style>
  <w:style w:type="paragraph" w:customStyle="1" w:styleId="Tablebullet2">
    <w:name w:val="Table bullet 2"/>
    <w:qFormat/>
    <w:rsid w:val="007257E3"/>
    <w:pPr>
      <w:numPr>
        <w:numId w:val="165"/>
      </w:numPr>
      <w:tabs>
        <w:tab w:val="num" w:pos="720"/>
      </w:tabs>
      <w:spacing w:before="60" w:line="220" w:lineRule="atLeast"/>
    </w:pPr>
    <w:rPr>
      <w:rFonts w:ascii="Trebuchet MS" w:eastAsia="Times New Roman" w:hAnsi="Trebuchet MS" w:cs="Times New Roman"/>
      <w:color w:val="786860"/>
      <w:szCs w:val="24"/>
      <w:lang w:val="en-GB"/>
    </w:rPr>
  </w:style>
  <w:style w:type="paragraph" w:customStyle="1" w:styleId="FigureTableColumnHeadingRight">
    <w:name w:val="Figure Table Column Heading Right"/>
    <w:qFormat/>
    <w:rsid w:val="007257E3"/>
    <w:pPr>
      <w:spacing w:before="20" w:after="20" w:line="220" w:lineRule="atLeast"/>
      <w:jc w:val="right"/>
    </w:pPr>
    <w:rPr>
      <w:rFonts w:ascii="Trebuchet MS" w:eastAsia="Times New Roman" w:hAnsi="Trebuchet MS" w:cs="Times New Roman"/>
      <w:b/>
      <w:color w:val="62CAE3"/>
      <w:kern w:val="22"/>
      <w:szCs w:val="16"/>
      <w:lang w:val="en-GB"/>
    </w:rPr>
  </w:style>
  <w:style w:type="paragraph" w:customStyle="1" w:styleId="SectionTitle0">
    <w:name w:val="Section Title"/>
    <w:next w:val="BannerHeadline"/>
    <w:qFormat/>
    <w:rsid w:val="007257E3"/>
    <w:pPr>
      <w:spacing w:line="240" w:lineRule="auto"/>
      <w:jc w:val="right"/>
    </w:pPr>
    <w:rPr>
      <w:rFonts w:ascii="Trebuchet MS" w:eastAsia="Times New Roman" w:hAnsi="Trebuchet MS" w:cs="Arial"/>
      <w:color w:val="62CAE3"/>
      <w:sz w:val="72"/>
      <w:szCs w:val="72"/>
      <w:lang w:val="en-GB"/>
    </w:rPr>
  </w:style>
  <w:style w:type="character" w:customStyle="1" w:styleId="Cover1Char">
    <w:name w:val="Cover 1 Char"/>
    <w:link w:val="Cover1"/>
    <w:rsid w:val="007257E3"/>
    <w:rPr>
      <w:rFonts w:ascii="Trebuchet MS" w:eastAsia="Times New Roman" w:hAnsi="Trebuchet MS" w:cs="Times New Roman"/>
      <w:color w:val="786860"/>
      <w:kern w:val="22"/>
      <w:szCs w:val="20"/>
      <w:lang w:val="en-GB"/>
    </w:rPr>
  </w:style>
  <w:style w:type="paragraph" w:customStyle="1" w:styleId="TextTablecolumnheading">
    <w:name w:val="Text Table column heading"/>
    <w:link w:val="TextTablecolumnheadingCharChar"/>
    <w:qFormat/>
    <w:rsid w:val="007257E3"/>
    <w:pPr>
      <w:spacing w:before="20" w:after="20" w:line="240" w:lineRule="atLeast"/>
    </w:pPr>
    <w:rPr>
      <w:rFonts w:ascii="Arial" w:eastAsia="Times New Roman" w:hAnsi="Arial" w:cs="Arial"/>
      <w:b/>
      <w:bCs/>
      <w:smallCaps/>
      <w:color w:val="FFFFFF"/>
      <w:sz w:val="20"/>
      <w:szCs w:val="24"/>
      <w:lang w:val="en-US"/>
    </w:rPr>
  </w:style>
  <w:style w:type="paragraph" w:customStyle="1" w:styleId="Draft">
    <w:name w:val="Draft"/>
    <w:link w:val="DraftChar"/>
    <w:qFormat/>
    <w:rsid w:val="007257E3"/>
    <w:pPr>
      <w:spacing w:line="240" w:lineRule="auto"/>
    </w:pPr>
    <w:rPr>
      <w:rFonts w:ascii="Trebuchet MS" w:eastAsia="Times New Roman" w:hAnsi="Trebuchet MS" w:cs="Times New Roman"/>
      <w:b/>
      <w:caps/>
      <w:color w:val="786860"/>
      <w:sz w:val="22"/>
      <w:szCs w:val="22"/>
      <w:lang w:val="en-GB"/>
    </w:rPr>
  </w:style>
  <w:style w:type="character" w:customStyle="1" w:styleId="DraftChar">
    <w:name w:val="Draft Char"/>
    <w:link w:val="Draft"/>
    <w:rsid w:val="007257E3"/>
    <w:rPr>
      <w:rFonts w:ascii="Trebuchet MS" w:eastAsia="Times New Roman" w:hAnsi="Trebuchet MS" w:cs="Times New Roman"/>
      <w:b/>
      <w:caps/>
      <w:color w:val="786860"/>
      <w:sz w:val="22"/>
      <w:szCs w:val="22"/>
      <w:lang w:val="en-GB"/>
    </w:rPr>
  </w:style>
  <w:style w:type="paragraph" w:customStyle="1" w:styleId="PageHeading">
    <w:name w:val="Page Heading"/>
    <w:basedOn w:val="Normal"/>
    <w:qFormat/>
    <w:rsid w:val="007257E3"/>
    <w:pPr>
      <w:keepNext/>
      <w:pageBreakBefore/>
      <w:spacing w:after="100" w:line="220" w:lineRule="atLeast"/>
    </w:pPr>
    <w:rPr>
      <w:rFonts w:ascii="Trebuchet MS" w:eastAsia="Times New Roman" w:hAnsi="Trebuchet MS" w:cs="Times New Roman"/>
      <w:b/>
      <w:color w:val="786860"/>
      <w:sz w:val="28"/>
      <w:szCs w:val="24"/>
      <w:lang w:val="en-GB"/>
    </w:rPr>
  </w:style>
  <w:style w:type="paragraph" w:customStyle="1" w:styleId="FooterPageNumber">
    <w:name w:val="Footer Page Number"/>
    <w:qFormat/>
    <w:rsid w:val="007257E3"/>
    <w:pPr>
      <w:spacing w:line="240" w:lineRule="auto"/>
      <w:jc w:val="center"/>
    </w:pPr>
    <w:rPr>
      <w:rFonts w:ascii="Trebuchet MS" w:eastAsia="Times New Roman" w:hAnsi="Trebuchet MS" w:cs="Times New Roman"/>
      <w:color w:val="786860"/>
      <w:sz w:val="16"/>
      <w:szCs w:val="16"/>
      <w:lang w:val="en-GB"/>
    </w:rPr>
  </w:style>
  <w:style w:type="character" w:customStyle="1" w:styleId="TabletitleCharChar">
    <w:name w:val="Table title Char Char"/>
    <w:link w:val="Tabletitle"/>
    <w:rsid w:val="007257E3"/>
    <w:rPr>
      <w:rFonts w:ascii="Arial" w:eastAsia="Times New Roman" w:hAnsi="Arial" w:cs="Times New Roman"/>
      <w:b/>
      <w:bCs/>
      <w:smallCaps/>
      <w:sz w:val="20"/>
      <w:szCs w:val="20"/>
      <w:lang w:val="x-none" w:eastAsia="x-none"/>
    </w:rPr>
  </w:style>
  <w:style w:type="paragraph" w:customStyle="1" w:styleId="TabletextleftBOLD">
    <w:name w:val="Table text left BOLD"/>
    <w:next w:val="Figuretabletextleft"/>
    <w:qFormat/>
    <w:rsid w:val="007257E3"/>
    <w:pPr>
      <w:spacing w:before="60" w:after="60" w:line="220" w:lineRule="atLeast"/>
    </w:pPr>
    <w:rPr>
      <w:rFonts w:ascii="Trebuchet MS" w:eastAsia="Times New Roman" w:hAnsi="Trebuchet MS" w:cs="Times New Roman"/>
      <w:b/>
      <w:color w:val="786860"/>
      <w:szCs w:val="24"/>
      <w:lang w:val="en-US"/>
    </w:rPr>
  </w:style>
  <w:style w:type="paragraph" w:customStyle="1" w:styleId="DisclaimerHeading">
    <w:name w:val="Disclaimer Heading"/>
    <w:basedOn w:val="BannerHeadline"/>
    <w:next w:val="Normal"/>
    <w:qFormat/>
    <w:rsid w:val="007257E3"/>
    <w:pPr>
      <w:pageBreakBefore w:val="0"/>
      <w:spacing w:before="120" w:after="120"/>
    </w:pPr>
  </w:style>
  <w:style w:type="paragraph" w:customStyle="1" w:styleId="FigureTableColumnHeadingLeft">
    <w:name w:val="Figure Table Column Heading Left"/>
    <w:qFormat/>
    <w:rsid w:val="007257E3"/>
    <w:pPr>
      <w:spacing w:line="240" w:lineRule="auto"/>
    </w:pPr>
    <w:rPr>
      <w:rFonts w:ascii="Trebuchet MS" w:eastAsia="Times New Roman" w:hAnsi="Trebuchet MS" w:cs="Times New Roman"/>
      <w:b/>
      <w:color w:val="62CAE3"/>
      <w:kern w:val="22"/>
      <w:lang w:val="en-GB"/>
    </w:rPr>
  </w:style>
  <w:style w:type="paragraph" w:customStyle="1" w:styleId="FigureTableTextRight">
    <w:name w:val="Figure Table Text Right"/>
    <w:basedOn w:val="Figuretabletextleft"/>
    <w:next w:val="Figuretabletextleft"/>
    <w:qFormat/>
    <w:rsid w:val="007257E3"/>
    <w:pPr>
      <w:jc w:val="right"/>
    </w:pPr>
    <w:rPr>
      <w:color w:val="786860"/>
    </w:rPr>
  </w:style>
  <w:style w:type="paragraph" w:customStyle="1" w:styleId="Pageheader">
    <w:name w:val="Page header"/>
    <w:basedOn w:val="BannerHeadline"/>
    <w:qFormat/>
    <w:rsid w:val="007257E3"/>
    <w:rPr>
      <w:sz w:val="28"/>
    </w:rPr>
  </w:style>
  <w:style w:type="paragraph" w:customStyle="1" w:styleId="Continued">
    <w:name w:val="Continued ..."/>
    <w:basedOn w:val="Normal"/>
    <w:qFormat/>
    <w:rsid w:val="007257E3"/>
    <w:pPr>
      <w:spacing w:before="60" w:after="60" w:line="240" w:lineRule="atLeast"/>
    </w:pPr>
    <w:rPr>
      <w:rFonts w:ascii="Trebuchet MS" w:eastAsia="Times New Roman" w:hAnsi="Trebuchet MS" w:cs="Times New Roman"/>
      <w:i/>
      <w:color w:val="62CAE3"/>
      <w:sz w:val="20"/>
      <w:szCs w:val="20"/>
      <w:lang w:val="en-GB"/>
    </w:rPr>
  </w:style>
  <w:style w:type="paragraph" w:customStyle="1" w:styleId="PageHeadingNoTOC">
    <w:name w:val="Page Heading No TOC"/>
    <w:basedOn w:val="BannerHeadline"/>
    <w:qFormat/>
    <w:rsid w:val="007257E3"/>
    <w:rPr>
      <w:sz w:val="28"/>
      <w:szCs w:val="28"/>
    </w:rPr>
  </w:style>
  <w:style w:type="character" w:customStyle="1" w:styleId="NoteChar">
    <w:name w:val="Note Char"/>
    <w:link w:val="Note"/>
    <w:rsid w:val="007257E3"/>
    <w:rPr>
      <w:rFonts w:ascii="Trebuchet MS" w:eastAsia="Times New Roman" w:hAnsi="Trebuchet MS" w:cs="Times New Roman"/>
      <w:i/>
      <w:color w:val="786860"/>
      <w:sz w:val="16"/>
      <w:szCs w:val="24"/>
      <w:lang w:val="en-GB"/>
    </w:rPr>
  </w:style>
  <w:style w:type="character" w:customStyle="1" w:styleId="Bullet2Char">
    <w:name w:val="Bullet 2 Char"/>
    <w:rsid w:val="007257E3"/>
    <w:rPr>
      <w:rFonts w:ascii="Trebuchet MS" w:hAnsi="Trebuchet MS"/>
      <w:color w:val="786860"/>
      <w:szCs w:val="24"/>
      <w:lang w:val="en-GB"/>
    </w:rPr>
  </w:style>
  <w:style w:type="character" w:customStyle="1" w:styleId="TextTablecolumnheadingCharChar">
    <w:name w:val="Text Table column heading Char Char"/>
    <w:link w:val="TextTablecolumnheading"/>
    <w:rsid w:val="007257E3"/>
    <w:rPr>
      <w:rFonts w:ascii="Arial" w:eastAsia="Times New Roman" w:hAnsi="Arial" w:cs="Arial"/>
      <w:b/>
      <w:bCs/>
      <w:smallCaps/>
      <w:color w:val="FFFFFF"/>
      <w:sz w:val="20"/>
      <w:szCs w:val="24"/>
      <w:lang w:val="en-US"/>
    </w:rPr>
  </w:style>
  <w:style w:type="table" w:customStyle="1" w:styleId="ColorfulShading1">
    <w:name w:val="Colorful Shading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DarkList1">
    <w:name w:val="Dark List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LightGrid1">
    <w:name w:val="Light Grid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NSimSun" w:eastAsia="Times New Roman" w:hAnsi="NSimSun"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NSimSun" w:eastAsia="Times New Roman" w:hAnsi="NSimSun"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NSimSun" w:eastAsia="Times New Roman" w:hAnsi="NSimSun" w:cs="Times New Roman"/>
        <w:b/>
        <w:bCs/>
      </w:rPr>
    </w:tblStylePr>
    <w:tblStylePr w:type="lastCol">
      <w:rPr>
        <w:rFonts w:ascii="NSimSun" w:eastAsia="Times New Roman" w:hAnsi="NSimSun"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Grid-Accent11">
    <w:name w:val="Light Grid - Accent 1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NSimSun" w:eastAsia="Times New Roman" w:hAnsi="NSimSun"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NSimSun" w:eastAsia="Times New Roman" w:hAnsi="NSimSun"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NSimSun" w:eastAsia="Times New Roman" w:hAnsi="NSimSun" w:cs="Times New Roman"/>
        <w:b/>
        <w:bCs/>
      </w:rPr>
    </w:tblStylePr>
    <w:tblStylePr w:type="lastCol">
      <w:rPr>
        <w:rFonts w:ascii="NSimSun" w:eastAsia="Times New Roman" w:hAnsi="NSimSun"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LightList1">
    <w:name w:val="Light List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11">
    <w:name w:val="Light List - Accent 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Shading-Accent11">
    <w:name w:val="Light Shading - Accent 11"/>
    <w:basedOn w:val="TableNormal"/>
    <w:uiPriority w:val="60"/>
    <w:rsid w:val="007257E3"/>
    <w:pPr>
      <w:spacing w:line="240" w:lineRule="auto"/>
    </w:pPr>
    <w:rPr>
      <w:rFonts w:ascii="Trebuchet MS" w:eastAsia="Times New Roman" w:hAnsi="Trebuchet MS" w:cs="Times New Roman"/>
      <w:color w:val="365F91"/>
      <w:szCs w:val="20"/>
      <w:lang w:val="en-GB"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MediumGrid11">
    <w:name w:val="Medium Grid 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MediumGrid31">
    <w:name w:val="Medium Grid 31"/>
    <w:basedOn w:val="TableNormal"/>
    <w:uiPriority w:val="69"/>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List11">
    <w:name w:val="Medium List 11"/>
    <w:basedOn w:val="TableNormal"/>
    <w:uiPriority w:val="65"/>
    <w:rsid w:val="007257E3"/>
    <w:pPr>
      <w:spacing w:line="240" w:lineRule="auto"/>
    </w:pPr>
    <w:rPr>
      <w:rFonts w:ascii="Trebuchet MS" w:eastAsia="Times New Roman" w:hAnsi="Trebuchet MS" w:cs="Times New Roman"/>
      <w:color w:val="000000"/>
      <w:szCs w:val="20"/>
      <w:lang w:val="en-GB" w:eastAsia="en-GB"/>
    </w:rPr>
    <w:tblPr>
      <w:tblStyleRowBandSize w:val="1"/>
      <w:tblStyleColBandSize w:val="1"/>
      <w:tblBorders>
        <w:top w:val="single" w:sz="8" w:space="0" w:color="000000"/>
        <w:bottom w:val="single" w:sz="8" w:space="0" w:color="000000"/>
      </w:tblBorders>
    </w:tblPr>
    <w:tblStylePr w:type="firstRow">
      <w:rPr>
        <w:rFonts w:ascii="NSimSun" w:eastAsia="Times New Roman" w:hAnsi="NSimSu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MediumList1-Accent11">
    <w:name w:val="Medium List 1 - Accent 11"/>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8" w:space="0" w:color="4F81BD"/>
        <w:bottom w:val="single" w:sz="8" w:space="0" w:color="4F81BD"/>
      </w:tblBorders>
    </w:tblPr>
    <w:tblStylePr w:type="firstRow">
      <w:rPr>
        <w:rFonts w:ascii="NSimSun" w:eastAsia="Times New Roman" w:hAnsi="NSimSu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MediumList21">
    <w:name w:val="Medium List 21"/>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MediumShading11">
    <w:name w:val="Medium Shading 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21">
    <w:name w:val="Medium Shading 2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11">
    <w:name w:val="Medium Shading 2 - Accent 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Bodytext8">
    <w:name w:val="Bodytext"/>
    <w:basedOn w:val="Normal"/>
    <w:qFormat/>
    <w:rsid w:val="007257E3"/>
    <w:pPr>
      <w:spacing w:before="60" w:after="60" w:line="360" w:lineRule="auto"/>
      <w:jc w:val="both"/>
    </w:pPr>
    <w:rPr>
      <w:rFonts w:ascii="Arial" w:eastAsia="Times New Roman" w:hAnsi="Arial" w:cs="Times New Roman"/>
      <w:sz w:val="20"/>
      <w:szCs w:val="24"/>
      <w:lang w:val="en-US"/>
    </w:rPr>
  </w:style>
  <w:style w:type="paragraph" w:customStyle="1" w:styleId="Bulet1Pro">
    <w:name w:val="Bulet 1 Pro"/>
    <w:basedOn w:val="Normal"/>
    <w:qFormat/>
    <w:rsid w:val="007257E3"/>
    <w:pPr>
      <w:tabs>
        <w:tab w:val="num" w:pos="840"/>
      </w:tabs>
      <w:spacing w:before="60" w:after="60" w:line="360" w:lineRule="auto"/>
      <w:ind w:left="840" w:hanging="360"/>
      <w:jc w:val="both"/>
    </w:pPr>
    <w:rPr>
      <w:rFonts w:ascii="Arial" w:eastAsia="Times New Roman" w:hAnsi="Arial" w:cs="Times New Roman"/>
      <w:sz w:val="20"/>
      <w:szCs w:val="24"/>
    </w:rPr>
  </w:style>
  <w:style w:type="paragraph" w:customStyle="1" w:styleId="GedankenstrichStandard1">
    <w:name w:val="Gedankenstrich Standard 1"/>
    <w:basedOn w:val="Normal"/>
    <w:qFormat/>
    <w:rsid w:val="007257E3"/>
    <w:pPr>
      <w:autoSpaceDE w:val="0"/>
      <w:autoSpaceDN w:val="0"/>
      <w:spacing w:after="120" w:line="300" w:lineRule="exact"/>
      <w:jc w:val="both"/>
    </w:pPr>
    <w:rPr>
      <w:rFonts w:ascii="Arial" w:eastAsia="Times New Roman" w:hAnsi="Arial" w:cs="Times New Roman"/>
      <w:sz w:val="22"/>
      <w:szCs w:val="20"/>
      <w:lang w:val="en-GB"/>
    </w:rPr>
  </w:style>
  <w:style w:type="paragraph" w:customStyle="1" w:styleId="B00012">
    <w:name w:val="B 0 (+0.0:12)"/>
    <w:basedOn w:val="Normal"/>
    <w:qFormat/>
    <w:rsid w:val="007257E3"/>
    <w:pPr>
      <w:tabs>
        <w:tab w:val="left" w:pos="2268"/>
        <w:tab w:val="left" w:pos="3402"/>
        <w:tab w:val="left" w:pos="4536"/>
        <w:tab w:val="left" w:pos="5670"/>
      </w:tabs>
      <w:overflowPunct w:val="0"/>
      <w:autoSpaceDE w:val="0"/>
      <w:autoSpaceDN w:val="0"/>
      <w:adjustRightInd w:val="0"/>
      <w:spacing w:after="240" w:line="300" w:lineRule="exact"/>
      <w:jc w:val="both"/>
      <w:textAlignment w:val="baseline"/>
    </w:pPr>
    <w:rPr>
      <w:rFonts w:ascii="Arial" w:eastAsia="Times New Roman" w:hAnsi="Arial" w:cs="Times New Roman"/>
      <w:sz w:val="20"/>
      <w:szCs w:val="24"/>
      <w:lang w:val="en-GB" w:eastAsia="de-DE"/>
    </w:rPr>
  </w:style>
  <w:style w:type="paragraph" w:customStyle="1" w:styleId="SRBBodyText">
    <w:name w:val="SRB Body Text"/>
    <w:basedOn w:val="BodyText"/>
    <w:qFormat/>
    <w:rsid w:val="007257E3"/>
    <w:pPr>
      <w:autoSpaceDE w:val="0"/>
      <w:autoSpaceDN w:val="0"/>
      <w:spacing w:after="240" w:line="240" w:lineRule="auto"/>
      <w:jc w:val="both"/>
    </w:pPr>
    <w:rPr>
      <w:rFonts w:ascii="Times New Roman" w:eastAsia="Times New Roman" w:hAnsi="Times New Roman" w:cs="Times New Roman"/>
      <w:sz w:val="24"/>
      <w:szCs w:val="20"/>
      <w:lang w:val="en-GB"/>
    </w:rPr>
  </w:style>
  <w:style w:type="paragraph" w:customStyle="1" w:styleId="CV-berschriften">
    <w:name w:val="CV-Überschriften"/>
    <w:basedOn w:val="Normal"/>
    <w:qFormat/>
    <w:rsid w:val="007257E3"/>
    <w:pPr>
      <w:tabs>
        <w:tab w:val="left" w:pos="2268"/>
        <w:tab w:val="left" w:pos="2835"/>
        <w:tab w:val="num" w:pos="3621"/>
        <w:tab w:val="right" w:pos="8789"/>
      </w:tabs>
      <w:spacing w:line="240" w:lineRule="auto"/>
      <w:ind w:left="3621" w:hanging="360"/>
      <w:jc w:val="both"/>
    </w:pPr>
    <w:rPr>
      <w:rFonts w:ascii="Arial" w:eastAsia="Times New Roman" w:hAnsi="Arial" w:cs="Times New Roman"/>
      <w:b/>
      <w:sz w:val="20"/>
      <w:szCs w:val="20"/>
      <w:lang w:val="de-DE" w:eastAsia="de-DE"/>
    </w:rPr>
  </w:style>
  <w:style w:type="paragraph" w:customStyle="1" w:styleId="Char2CharCharCaracterCaracterCharCharCaracterCaracterCharChar1CaracterCaracter">
    <w:name w:val="Char2 Char Char Caracter Caracter Char Char Caracter Caracter Char Char1 Caracter Caracter"/>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ofc-bullawulla">
    <w:name w:val="ofc-bullawulla"/>
    <w:basedOn w:val="Normal"/>
    <w:qFormat/>
    <w:rsid w:val="007257E3"/>
    <w:pPr>
      <w:tabs>
        <w:tab w:val="num" w:pos="360"/>
      </w:tabs>
      <w:spacing w:before="40" w:after="40" w:line="240" w:lineRule="auto"/>
      <w:ind w:left="284" w:hanging="284"/>
      <w:jc w:val="both"/>
    </w:pPr>
    <w:rPr>
      <w:rFonts w:ascii="Arial" w:eastAsia="MS Mincho" w:hAnsi="Arial" w:cs="Times New Roman"/>
      <w:sz w:val="20"/>
      <w:szCs w:val="20"/>
      <w:lang w:val="en-GB" w:eastAsia="el-GR"/>
    </w:rPr>
  </w:style>
  <w:style w:type="paragraph" w:customStyle="1" w:styleId="HeadingBaseRO">
    <w:name w:val="Heading Base RO"/>
    <w:basedOn w:val="Normal"/>
    <w:next w:val="Normal"/>
    <w:link w:val="HeadingBaseROChar"/>
    <w:qFormat/>
    <w:rsid w:val="007257E3"/>
    <w:pPr>
      <w:keepNext/>
      <w:keepLines/>
      <w:tabs>
        <w:tab w:val="left" w:pos="1215"/>
      </w:tabs>
      <w:spacing w:before="240" w:after="120" w:line="360" w:lineRule="auto"/>
    </w:pPr>
    <w:rPr>
      <w:rFonts w:ascii="Arial" w:eastAsia="Times New Roman" w:hAnsi="Arial" w:cs="Times New Roman"/>
      <w:b/>
      <w:i/>
      <w:color w:val="000080"/>
      <w:sz w:val="20"/>
      <w:szCs w:val="20"/>
      <w:lang w:eastAsia="x-none"/>
    </w:rPr>
  </w:style>
  <w:style w:type="character" w:customStyle="1" w:styleId="HeadingBaseROChar">
    <w:name w:val="Heading Base RO Char"/>
    <w:link w:val="HeadingBaseRO"/>
    <w:rsid w:val="007257E3"/>
    <w:rPr>
      <w:rFonts w:ascii="Arial" w:eastAsia="Times New Roman" w:hAnsi="Arial" w:cs="Times New Roman"/>
      <w:b/>
      <w:i/>
      <w:color w:val="000080"/>
      <w:sz w:val="20"/>
      <w:szCs w:val="20"/>
      <w:lang w:val="ro-RO" w:eastAsia="x-none"/>
    </w:rPr>
  </w:style>
  <w:style w:type="paragraph" w:customStyle="1" w:styleId="IndexBase">
    <w:name w:val="Index Base"/>
    <w:basedOn w:val="Normal"/>
    <w:qFormat/>
    <w:rsid w:val="007257E3"/>
    <w:pPr>
      <w:spacing w:line="240" w:lineRule="atLeast"/>
      <w:ind w:left="360" w:hanging="360"/>
      <w:jc w:val="both"/>
    </w:pPr>
    <w:rPr>
      <w:rFonts w:ascii="Garamond" w:eastAsia="Times New Roman" w:hAnsi="Garamond" w:cs="Times New Roman"/>
      <w:sz w:val="22"/>
      <w:szCs w:val="20"/>
      <w:lang w:val="en-US"/>
    </w:rPr>
  </w:style>
  <w:style w:type="paragraph" w:customStyle="1" w:styleId="Title1CharCharCaracterCaracter">
    <w:name w:val="Title1 Char Char Caracter Caracter"/>
    <w:basedOn w:val="Normal"/>
    <w:qFormat/>
    <w:rsid w:val="007257E3"/>
    <w:pPr>
      <w:spacing w:after="160" w:line="240" w:lineRule="exact"/>
    </w:pPr>
    <w:rPr>
      <w:rFonts w:ascii="Arial" w:eastAsia="Batang" w:hAnsi="Arial" w:cs="Arial"/>
      <w:sz w:val="20"/>
      <w:szCs w:val="20"/>
      <w:lang w:val="en-US"/>
    </w:rPr>
  </w:style>
  <w:style w:type="paragraph" w:customStyle="1" w:styleId="CaracterCaracter1CharCharCaracterCaracter">
    <w:name w:val="Caracter Caracter1 Char Char Caracter Caracter"/>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Absatz2">
    <w:name w:val="Absatz 2"/>
    <w:basedOn w:val="Normal"/>
    <w:link w:val="Absatz2ZchnZchn"/>
    <w:qFormat/>
    <w:rsid w:val="007257E3"/>
    <w:pPr>
      <w:numPr>
        <w:numId w:val="125"/>
      </w:numPr>
      <w:tabs>
        <w:tab w:val="left" w:pos="1134"/>
      </w:tabs>
      <w:overflowPunct w:val="0"/>
      <w:autoSpaceDE w:val="0"/>
      <w:autoSpaceDN w:val="0"/>
      <w:adjustRightInd w:val="0"/>
      <w:spacing w:after="80" w:line="240" w:lineRule="auto"/>
      <w:ind w:left="284" w:hanging="284"/>
      <w:jc w:val="both"/>
      <w:textAlignment w:val="baseline"/>
    </w:pPr>
    <w:rPr>
      <w:rFonts w:ascii="Arial" w:eastAsia="Times New Roman" w:hAnsi="Arial" w:cs="Times New Roman"/>
      <w:sz w:val="20"/>
      <w:szCs w:val="20"/>
      <w:lang w:val="x-none" w:eastAsia="de-DE"/>
    </w:rPr>
  </w:style>
  <w:style w:type="character" w:customStyle="1" w:styleId="Absatz2ZchnZchn">
    <w:name w:val="Absatz 2 Zchn Zchn"/>
    <w:link w:val="Absatz2"/>
    <w:rsid w:val="007257E3"/>
    <w:rPr>
      <w:rFonts w:ascii="Arial" w:eastAsia="Times New Roman" w:hAnsi="Arial" w:cs="Times New Roman"/>
      <w:sz w:val="20"/>
      <w:szCs w:val="20"/>
      <w:lang w:val="x-none" w:eastAsia="de-DE"/>
    </w:rPr>
  </w:style>
  <w:style w:type="paragraph" w:customStyle="1" w:styleId="CM79">
    <w:name w:val="CM79"/>
    <w:basedOn w:val="Default"/>
    <w:next w:val="Default"/>
    <w:qFormat/>
    <w:rsid w:val="007257E3"/>
    <w:rPr>
      <w:rFonts w:ascii="Calibri" w:hAnsi="Calibri" w:cs="Times New Roman"/>
      <w:color w:val="auto"/>
    </w:rPr>
  </w:style>
  <w:style w:type="paragraph" w:customStyle="1" w:styleId="CM9">
    <w:name w:val="CM9"/>
    <w:basedOn w:val="Default"/>
    <w:next w:val="Default"/>
    <w:qFormat/>
    <w:rsid w:val="007257E3"/>
    <w:pPr>
      <w:spacing w:line="216" w:lineRule="atLeast"/>
    </w:pPr>
    <w:rPr>
      <w:rFonts w:ascii="Calibri" w:hAnsi="Calibri" w:cs="Times New Roman"/>
      <w:color w:val="auto"/>
    </w:rPr>
  </w:style>
  <w:style w:type="character" w:customStyle="1" w:styleId="style3310">
    <w:name w:val="style331"/>
    <w:rsid w:val="007257E3"/>
    <w:rPr>
      <w:sz w:val="22"/>
      <w:szCs w:val="22"/>
    </w:rPr>
  </w:style>
  <w:style w:type="paragraph" w:customStyle="1" w:styleId="CaracterCaracterCharCaracterCaracter">
    <w:name w:val="Caracter Caracter Char Caracter Caracter"/>
    <w:basedOn w:val="Normal"/>
    <w:qFormat/>
    <w:rsid w:val="007257E3"/>
    <w:pPr>
      <w:spacing w:after="160" w:line="240" w:lineRule="exact"/>
    </w:pPr>
    <w:rPr>
      <w:rFonts w:ascii="Tahoma" w:eastAsia="Times New Roman" w:hAnsi="Tahoma" w:cs="Times New Roman"/>
      <w:sz w:val="20"/>
      <w:szCs w:val="20"/>
      <w:lang w:val="en-US"/>
    </w:rPr>
  </w:style>
  <w:style w:type="paragraph" w:customStyle="1" w:styleId="last">
    <w:name w:val="last"/>
    <w:basedOn w:val="Normal"/>
    <w:qFormat/>
    <w:rsid w:val="007257E3"/>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i2">
    <w:name w:val="i2"/>
    <w:basedOn w:val="Normal"/>
    <w:qFormat/>
    <w:rsid w:val="007257E3"/>
    <w:pPr>
      <w:tabs>
        <w:tab w:val="left" w:pos="4537"/>
      </w:tabs>
      <w:suppressAutoHyphens/>
      <w:spacing w:before="280" w:line="240" w:lineRule="auto"/>
      <w:ind w:left="2269" w:hanging="851"/>
      <w:jc w:val="both"/>
    </w:pPr>
    <w:rPr>
      <w:rFonts w:ascii="Times New Roman" w:eastAsia="Times New Roman" w:hAnsi="Times New Roman" w:cs="Calibri"/>
      <w:color w:val="000000"/>
      <w:sz w:val="22"/>
      <w:szCs w:val="24"/>
      <w:lang w:val="en-GB" w:eastAsia="ar-SA"/>
    </w:rPr>
  </w:style>
  <w:style w:type="paragraph" w:customStyle="1" w:styleId="CharCharCharCaracterCaracterCharCaracterCaracter">
    <w:name w:val="Char Char Char Caracter Caracter Char Caracter Caracter"/>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paragraph" w:customStyle="1" w:styleId="CharCharCharCaracterCaracterCharCaracterCaracter2">
    <w:name w:val="Char Char Char Caracter Caracter Char Caracter Caracter2"/>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paragraph" w:customStyle="1" w:styleId="CharCharCharCaracterCaracterCharCaracterCaracter1">
    <w:name w:val="Char Char Char Caracter Caracter Char Caracter Caracter1"/>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paragraph" w:customStyle="1" w:styleId="CharChar182">
    <w:name w:val="Char Char182"/>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character" w:customStyle="1" w:styleId="FontStyle31">
    <w:name w:val="Font Style31"/>
    <w:rsid w:val="007257E3"/>
    <w:rPr>
      <w:rFonts w:ascii="Times New Roman" w:hAnsi="Times New Roman" w:cs="Times New Roman"/>
      <w:sz w:val="22"/>
      <w:szCs w:val="22"/>
    </w:rPr>
  </w:style>
  <w:style w:type="paragraph" w:customStyle="1" w:styleId="HTMLBody">
    <w:name w:val="HTML Body"/>
    <w:qFormat/>
    <w:rsid w:val="007257E3"/>
    <w:pPr>
      <w:suppressAutoHyphens/>
      <w:spacing w:line="240" w:lineRule="auto"/>
    </w:pPr>
    <w:rPr>
      <w:rFonts w:ascii="Arial" w:eastAsia="Times New Roman" w:hAnsi="Arial" w:cs="Times New Roman"/>
      <w:sz w:val="20"/>
      <w:szCs w:val="20"/>
      <w:lang w:val="en-US" w:eastAsia="ar-SA"/>
    </w:rPr>
  </w:style>
  <w:style w:type="paragraph" w:customStyle="1" w:styleId="CharChar184">
    <w:name w:val="Char Char184"/>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character" w:customStyle="1" w:styleId="CaracterCaracterCharCaracterCaracterCharCaracterCaracterCharCaracterCaracterChar1Char">
    <w:name w:val="Caracter Caracter Char Caracter Caracter Char Caracter Caracter Char Caracter Caracter Char1 Char"/>
    <w:rsid w:val="007257E3"/>
    <w:rPr>
      <w:sz w:val="24"/>
      <w:szCs w:val="24"/>
      <w:lang w:val="pl-PL" w:eastAsia="ar-SA" w:bidi="ar-SA"/>
    </w:rPr>
  </w:style>
  <w:style w:type="character" w:customStyle="1" w:styleId="Style3Char">
    <w:name w:val="Style3 Char"/>
    <w:link w:val="Style3"/>
    <w:rsid w:val="007257E3"/>
    <w:rPr>
      <w:rFonts w:ascii="Times New Roman" w:eastAsia="Times New Roman" w:hAnsi="Times New Roman" w:cs="Times New Roman"/>
      <w:bCs/>
      <w:sz w:val="22"/>
      <w:szCs w:val="20"/>
      <w:lang w:val="ro-RO" w:eastAsia="ro-RO"/>
    </w:rPr>
  </w:style>
  <w:style w:type="character" w:customStyle="1" w:styleId="FontStyle58">
    <w:name w:val="Font Style58"/>
    <w:rsid w:val="007257E3"/>
    <w:rPr>
      <w:rFonts w:ascii="Arial" w:hAnsi="Arial" w:cs="Arial"/>
      <w:b/>
      <w:bCs/>
      <w:sz w:val="22"/>
      <w:szCs w:val="22"/>
    </w:rPr>
  </w:style>
  <w:style w:type="paragraph" w:customStyle="1" w:styleId="CharChar1CharCharCharCharCharChar">
    <w:name w:val="Char Char1 Char Char Char Char Char Char"/>
    <w:basedOn w:val="Normal"/>
    <w:qFormat/>
    <w:rsid w:val="007257E3"/>
    <w:pPr>
      <w:spacing w:line="240" w:lineRule="auto"/>
    </w:pPr>
    <w:rPr>
      <w:rFonts w:ascii="Times New Roman" w:eastAsia="Times New Roman" w:hAnsi="Times New Roman" w:cs="Times New Roman"/>
      <w:sz w:val="20"/>
      <w:szCs w:val="20"/>
      <w:lang w:val="pl-PL" w:eastAsia="pl-PL"/>
    </w:rPr>
  </w:style>
  <w:style w:type="paragraph" w:customStyle="1" w:styleId="yiv918057258msonormal">
    <w:name w:val="yiv918057258msonormal"/>
    <w:basedOn w:val="Normal"/>
    <w:qFormat/>
    <w:rsid w:val="007257E3"/>
    <w:pPr>
      <w:spacing w:before="100" w:beforeAutospacing="1" w:after="100" w:afterAutospacing="1" w:line="240" w:lineRule="auto"/>
    </w:pPr>
    <w:rPr>
      <w:rFonts w:ascii="Times New Roman" w:eastAsia="Times New Roman" w:hAnsi="Times New Roman" w:cs="Times New Roman"/>
      <w:sz w:val="24"/>
      <w:szCs w:val="24"/>
      <w:lang w:eastAsia="ro-RO"/>
    </w:rPr>
  </w:style>
  <w:style w:type="paragraph" w:customStyle="1" w:styleId="yiv918057258msolistparagraph">
    <w:name w:val="yiv918057258msolistparagraph"/>
    <w:basedOn w:val="Normal"/>
    <w:qFormat/>
    <w:rsid w:val="007257E3"/>
    <w:pPr>
      <w:spacing w:before="100" w:beforeAutospacing="1" w:after="100" w:afterAutospacing="1" w:line="240" w:lineRule="auto"/>
    </w:pPr>
    <w:rPr>
      <w:rFonts w:ascii="Times New Roman" w:eastAsia="Times New Roman" w:hAnsi="Times New Roman" w:cs="Times New Roman"/>
      <w:sz w:val="24"/>
      <w:szCs w:val="24"/>
      <w:lang w:eastAsia="ro-RO"/>
    </w:rPr>
  </w:style>
  <w:style w:type="character" w:customStyle="1" w:styleId="Text2Char">
    <w:name w:val="Text 2 Char"/>
    <w:link w:val="Text2"/>
    <w:locked/>
    <w:rsid w:val="007257E3"/>
    <w:rPr>
      <w:rFonts w:ascii="Times New Roman" w:eastAsia="Times New Roman" w:hAnsi="Times New Roman" w:cs="Times New Roman"/>
      <w:sz w:val="24"/>
      <w:szCs w:val="20"/>
      <w:lang w:val="ro-RO" w:eastAsia="ko-KR"/>
    </w:rPr>
  </w:style>
  <w:style w:type="paragraph" w:customStyle="1" w:styleId="Caracter2">
    <w:name w:val="Caracter2"/>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CaracterCaracterCharCaracterCaracterCharCaracterCaracterCharCaracterCaracterCharCaracterCaracter1CharCharCar1">
    <w:name w:val="Caracter Caracter Char Caracter Caracter Char Caracter Caracter Char Caracter Caracter Char Caracter Caracter1 Char Char Car1"/>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H2Char">
    <w:name w:val="H2 Char"/>
    <w:basedOn w:val="Normal"/>
    <w:link w:val="H2CharChar"/>
    <w:autoRedefine/>
    <w:qFormat/>
    <w:rsid w:val="007257E3"/>
    <w:pPr>
      <w:spacing w:before="120" w:line="276" w:lineRule="auto"/>
      <w:ind w:left="1701" w:hanging="1341"/>
      <w:jc w:val="both"/>
      <w:outlineLvl w:val="1"/>
    </w:pPr>
    <w:rPr>
      <w:rFonts w:ascii="Times New Roman" w:eastAsia="Times New Roman" w:hAnsi="Times New Roman" w:cs="Times New Roman"/>
      <w:b/>
      <w:bCs/>
      <w:sz w:val="24"/>
      <w:szCs w:val="24"/>
      <w:lang w:eastAsia="x-none"/>
    </w:rPr>
  </w:style>
  <w:style w:type="character" w:customStyle="1" w:styleId="H2CharChar">
    <w:name w:val="H2 Char Char"/>
    <w:link w:val="H2Char"/>
    <w:rsid w:val="007257E3"/>
    <w:rPr>
      <w:rFonts w:ascii="Times New Roman" w:eastAsia="Times New Roman" w:hAnsi="Times New Roman" w:cs="Times New Roman"/>
      <w:b/>
      <w:bCs/>
      <w:sz w:val="24"/>
      <w:szCs w:val="24"/>
      <w:lang w:val="ro-RO" w:eastAsia="x-none"/>
    </w:rPr>
  </w:style>
  <w:style w:type="character" w:customStyle="1" w:styleId="pagetitle2">
    <w:name w:val="pagetitle2"/>
    <w:basedOn w:val="DefaultParagraphFont"/>
    <w:rsid w:val="007257E3"/>
  </w:style>
  <w:style w:type="paragraph" w:customStyle="1" w:styleId="CharCharCharCharCharCharChar1CharCharCharCharCharCharCharCharCharCharChar">
    <w:name w:val="Char Char Char Char Char Char Char1 Char Char Char Char Char Char Char Char Char Char Char"/>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ilad">
    <w:name w:val="il_ad"/>
    <w:basedOn w:val="DefaultParagraphFont"/>
    <w:rsid w:val="007257E3"/>
  </w:style>
  <w:style w:type="paragraph" w:customStyle="1" w:styleId="Citat1">
    <w:name w:val="Citat1"/>
    <w:basedOn w:val="Normal"/>
    <w:qFormat/>
    <w:rsid w:val="007257E3"/>
    <w:pPr>
      <w:autoSpaceDE w:val="0"/>
      <w:autoSpaceDN w:val="0"/>
      <w:adjustRightInd w:val="0"/>
      <w:spacing w:line="400" w:lineRule="atLeast"/>
      <w:textAlignment w:val="center"/>
    </w:pPr>
    <w:rPr>
      <w:rFonts w:ascii="Univers LT Std 45 Light" w:eastAsia="Times New Roman" w:hAnsi="Univers LT Std 45 Light" w:cs="Univers LT Std 45 Light"/>
      <w:color w:val="000000"/>
      <w:sz w:val="32"/>
      <w:szCs w:val="32"/>
      <w:lang w:val="en-GB"/>
    </w:rPr>
  </w:style>
  <w:style w:type="paragraph" w:customStyle="1" w:styleId="SubiectComentariu1">
    <w:name w:val="Subiect Comentariu1"/>
    <w:basedOn w:val="CommentText"/>
    <w:next w:val="CommentText"/>
    <w:semiHidden/>
    <w:qFormat/>
    <w:rsid w:val="007257E3"/>
    <w:rPr>
      <w:rFonts w:ascii="Times New Roman" w:eastAsia="Times New Roman" w:hAnsi="Times New Roman" w:cs="Times New Roman"/>
      <w:b/>
      <w:bCs/>
      <w:lang w:eastAsia="ro-RO"/>
    </w:rPr>
  </w:style>
  <w:style w:type="paragraph" w:customStyle="1" w:styleId="CM11">
    <w:name w:val="CM11"/>
    <w:basedOn w:val="Default"/>
    <w:next w:val="Default"/>
    <w:qFormat/>
    <w:rsid w:val="007257E3"/>
    <w:pPr>
      <w:widowControl w:val="0"/>
      <w:spacing w:after="0" w:line="253" w:lineRule="atLeast"/>
    </w:pPr>
    <w:rPr>
      <w:color w:val="auto"/>
    </w:rPr>
  </w:style>
  <w:style w:type="paragraph" w:customStyle="1" w:styleId="CM12">
    <w:name w:val="CM12"/>
    <w:basedOn w:val="Default"/>
    <w:next w:val="Default"/>
    <w:qFormat/>
    <w:rsid w:val="007257E3"/>
    <w:pPr>
      <w:widowControl w:val="0"/>
      <w:spacing w:after="0" w:line="266" w:lineRule="atLeast"/>
    </w:pPr>
    <w:rPr>
      <w:color w:val="auto"/>
    </w:rPr>
  </w:style>
  <w:style w:type="paragraph" w:customStyle="1" w:styleId="CM6">
    <w:name w:val="CM6"/>
    <w:basedOn w:val="Default"/>
    <w:next w:val="Default"/>
    <w:qFormat/>
    <w:rsid w:val="007257E3"/>
    <w:pPr>
      <w:widowControl w:val="0"/>
      <w:spacing w:after="0" w:line="253" w:lineRule="atLeast"/>
    </w:pPr>
    <w:rPr>
      <w:color w:val="auto"/>
    </w:rPr>
  </w:style>
  <w:style w:type="paragraph" w:customStyle="1" w:styleId="StyleHeading3JustifiedBefore12ptLinespacingsingle">
    <w:name w:val="Style Heading 3 + Justified Before:  12 pt Line spacing:  single"/>
    <w:basedOn w:val="Heading3"/>
    <w:autoRedefine/>
    <w:qFormat/>
    <w:rsid w:val="007257E3"/>
    <w:pPr>
      <w:numPr>
        <w:numId w:val="4"/>
      </w:numPr>
      <w:spacing w:before="0" w:after="120" w:line="240" w:lineRule="exact"/>
      <w:ind w:left="1140" w:hanging="780"/>
      <w:contextualSpacing w:val="0"/>
      <w:jc w:val="both"/>
    </w:pPr>
    <w:rPr>
      <w:rFonts w:ascii="Times New Roman" w:eastAsia="Times New Roman" w:hAnsi="Times New Roman" w:cs="Arial"/>
      <w:sz w:val="24"/>
    </w:rPr>
  </w:style>
  <w:style w:type="paragraph" w:customStyle="1" w:styleId="PageNumber1">
    <w:name w:val="Page Number1"/>
    <w:basedOn w:val="Normal"/>
    <w:next w:val="Normal"/>
    <w:qFormat/>
    <w:rsid w:val="007257E3"/>
    <w:pPr>
      <w:spacing w:line="240" w:lineRule="auto"/>
    </w:pPr>
    <w:rPr>
      <w:rFonts w:ascii="CG Times (W1)" w:eastAsia="Times New Roman" w:hAnsi="CG Times (W1)" w:cs="Times New Roman"/>
      <w:sz w:val="20"/>
      <w:szCs w:val="20"/>
    </w:rPr>
  </w:style>
  <w:style w:type="character" w:customStyle="1" w:styleId="DefaultParagraphFont1">
    <w:name w:val="Default Paragraph Font1"/>
    <w:rsid w:val="007257E3"/>
  </w:style>
  <w:style w:type="paragraph" w:customStyle="1" w:styleId="listparagraph0">
    <w:name w:val="listparagraph"/>
    <w:basedOn w:val="Normal"/>
    <w:qFormat/>
    <w:rsid w:val="007257E3"/>
    <w:pPr>
      <w:spacing w:line="240" w:lineRule="auto"/>
      <w:ind w:left="720"/>
    </w:pPr>
    <w:rPr>
      <w:rFonts w:ascii="Times New Roman" w:eastAsia="Calibri" w:hAnsi="Times New Roman" w:cs="Times New Roman"/>
      <w:sz w:val="20"/>
      <w:szCs w:val="20"/>
      <w:lang w:val="en-US"/>
    </w:rPr>
  </w:style>
  <w:style w:type="paragraph" w:customStyle="1" w:styleId="Listepuces6pt">
    <w:name w:val="Liste à puces 6 pt+"/>
    <w:basedOn w:val="ListBullet"/>
    <w:qFormat/>
    <w:rsid w:val="007257E3"/>
    <w:pPr>
      <w:numPr>
        <w:numId w:val="0"/>
      </w:numPr>
      <w:tabs>
        <w:tab w:val="num" w:pos="720"/>
      </w:tabs>
      <w:spacing w:after="120" w:line="240" w:lineRule="auto"/>
      <w:ind w:left="720" w:hanging="360"/>
      <w:contextualSpacing w:val="0"/>
      <w:jc w:val="both"/>
    </w:pPr>
    <w:rPr>
      <w:rFonts w:ascii="Times New Roman" w:eastAsia="Times New Roman" w:hAnsi="Times New Roman" w:cs="Times New Roman"/>
      <w:sz w:val="22"/>
      <w:szCs w:val="20"/>
      <w:lang w:val="en-GB" w:eastAsia="ro-RO"/>
    </w:rPr>
  </w:style>
  <w:style w:type="paragraph" w:customStyle="1" w:styleId="StyleArial11ptJustifiedLeft125cm">
    <w:name w:val="Style Arial 11 pt Justified Left:  125 cm"/>
    <w:basedOn w:val="Normal"/>
    <w:qFormat/>
    <w:rsid w:val="007257E3"/>
    <w:pPr>
      <w:spacing w:line="240" w:lineRule="auto"/>
      <w:jc w:val="both"/>
    </w:pPr>
    <w:rPr>
      <w:rFonts w:ascii="Arial" w:eastAsia="Times New Roman" w:hAnsi="Arial" w:cs="Times New Roman"/>
      <w:sz w:val="22"/>
      <w:szCs w:val="20"/>
      <w:lang w:eastAsia="ro-RO"/>
    </w:rPr>
  </w:style>
  <w:style w:type="paragraph" w:customStyle="1" w:styleId="Listapoints">
    <w:name w:val="Lista à points"/>
    <w:basedOn w:val="Normal"/>
    <w:qFormat/>
    <w:rsid w:val="007257E3"/>
    <w:pPr>
      <w:numPr>
        <w:numId w:val="126"/>
      </w:numPr>
      <w:tabs>
        <w:tab w:val="num" w:pos="0"/>
        <w:tab w:val="num" w:pos="3195"/>
      </w:tabs>
      <w:spacing w:line="240" w:lineRule="auto"/>
      <w:jc w:val="both"/>
    </w:pPr>
    <w:rPr>
      <w:rFonts w:ascii="Arial" w:eastAsia="Times New Roman" w:hAnsi="Arial" w:cs="Times New Roman"/>
      <w:sz w:val="22"/>
      <w:szCs w:val="20"/>
      <w:lang w:val="en-GB"/>
    </w:rPr>
  </w:style>
  <w:style w:type="character" w:customStyle="1" w:styleId="l8">
    <w:name w:val="l8"/>
    <w:basedOn w:val="DefaultParagraphFont"/>
    <w:rsid w:val="007257E3"/>
  </w:style>
  <w:style w:type="character" w:customStyle="1" w:styleId="WW8Num5z0">
    <w:name w:val="WW8Num5z0"/>
    <w:rsid w:val="007257E3"/>
    <w:rPr>
      <w:rFonts w:ascii="Symbol" w:hAnsi="Symbol"/>
    </w:rPr>
  </w:style>
  <w:style w:type="paragraph" w:customStyle="1" w:styleId="Cap2">
    <w:name w:val="Cap2"/>
    <w:basedOn w:val="Heading2"/>
    <w:qFormat/>
    <w:rsid w:val="007257E3"/>
    <w:pPr>
      <w:keepLines w:val="0"/>
      <w:numPr>
        <w:ilvl w:val="0"/>
        <w:numId w:val="0"/>
      </w:numPr>
      <w:tabs>
        <w:tab w:val="left" w:pos="1200"/>
      </w:tabs>
      <w:spacing w:before="120" w:after="240" w:line="240" w:lineRule="auto"/>
      <w:ind w:left="576" w:hanging="576"/>
      <w:contextualSpacing w:val="0"/>
      <w:jc w:val="both"/>
    </w:pPr>
    <w:rPr>
      <w:rFonts w:ascii="Times New Roman" w:eastAsia="Times New Roman" w:hAnsi="Times New Roman" w:cs="Times New Roman"/>
      <w:b/>
      <w:bCs w:val="0"/>
      <w:i/>
      <w:sz w:val="24"/>
      <w:szCs w:val="20"/>
      <w:lang w:eastAsia="ar-SA"/>
    </w:rPr>
  </w:style>
  <w:style w:type="character" w:customStyle="1" w:styleId="FontStyle68">
    <w:name w:val="Font Style68"/>
    <w:uiPriority w:val="99"/>
    <w:rsid w:val="007257E3"/>
    <w:rPr>
      <w:rFonts w:ascii="Times New Roman" w:hAnsi="Times New Roman" w:cs="Times New Roman"/>
      <w:b/>
      <w:bCs/>
      <w:sz w:val="18"/>
      <w:szCs w:val="18"/>
    </w:rPr>
  </w:style>
  <w:style w:type="character" w:customStyle="1" w:styleId="FontStyle69">
    <w:name w:val="Font Style69"/>
    <w:uiPriority w:val="99"/>
    <w:rsid w:val="007257E3"/>
    <w:rPr>
      <w:rFonts w:ascii="Times New Roman" w:hAnsi="Times New Roman" w:cs="Times New Roman"/>
      <w:sz w:val="18"/>
      <w:szCs w:val="18"/>
    </w:rPr>
  </w:style>
  <w:style w:type="character" w:customStyle="1" w:styleId="FontStyle77">
    <w:name w:val="Font Style77"/>
    <w:uiPriority w:val="99"/>
    <w:rsid w:val="007257E3"/>
    <w:rPr>
      <w:rFonts w:ascii="Times New Roman" w:hAnsi="Times New Roman" w:cs="Times New Roman"/>
      <w:b/>
      <w:bCs/>
      <w:sz w:val="22"/>
      <w:szCs w:val="22"/>
    </w:rPr>
  </w:style>
  <w:style w:type="character" w:customStyle="1" w:styleId="FontStyle78">
    <w:name w:val="Font Style78"/>
    <w:uiPriority w:val="99"/>
    <w:rsid w:val="007257E3"/>
    <w:rPr>
      <w:rFonts w:ascii="Times New Roman" w:hAnsi="Times New Roman" w:cs="Times New Roman"/>
      <w:sz w:val="22"/>
      <w:szCs w:val="22"/>
    </w:rPr>
  </w:style>
  <w:style w:type="character" w:customStyle="1" w:styleId="Style8ptHEADER">
    <w:name w:val="Style 8 pt HEADER"/>
    <w:rsid w:val="007257E3"/>
    <w:rPr>
      <w:rFonts w:ascii="Arial" w:hAnsi="Arial"/>
      <w:sz w:val="16"/>
      <w:szCs w:val="16"/>
      <w:lang w:val="ro-RO"/>
    </w:rPr>
  </w:style>
  <w:style w:type="character" w:customStyle="1" w:styleId="ln2tcapitol">
    <w:name w:val="ln2tcapitol"/>
    <w:basedOn w:val="DefaultParagraphFont"/>
    <w:rsid w:val="007257E3"/>
  </w:style>
  <w:style w:type="character" w:customStyle="1" w:styleId="BodytextSpacing-1pt">
    <w:name w:val="Body text + Spacing -1 pt"/>
    <w:uiPriority w:val="99"/>
    <w:rsid w:val="007257E3"/>
    <w:rPr>
      <w:rFonts w:ascii="Arial" w:eastAsia="Arial Unicode MS" w:hAnsi="Arial" w:cs="Arial"/>
      <w:color w:val="000000"/>
      <w:spacing w:val="-20"/>
      <w:w w:val="100"/>
      <w:position w:val="0"/>
      <w:sz w:val="19"/>
      <w:szCs w:val="19"/>
      <w:shd w:val="clear" w:color="auto" w:fill="FFFFFF"/>
      <w:lang w:val="ro-RO"/>
    </w:rPr>
  </w:style>
  <w:style w:type="paragraph" w:customStyle="1" w:styleId="Bullet11">
    <w:name w:val="Bullet1"/>
    <w:basedOn w:val="BodyText"/>
    <w:qFormat/>
    <w:rsid w:val="007257E3"/>
    <w:pPr>
      <w:tabs>
        <w:tab w:val="num" w:pos="1570"/>
      </w:tabs>
      <w:spacing w:after="60"/>
      <w:ind w:left="720" w:hanging="360"/>
    </w:pPr>
    <w:rPr>
      <w:rFonts w:ascii="Arial" w:eastAsia="Times New Roman" w:hAnsi="Arial" w:cs="Times New Roman"/>
      <w:sz w:val="20"/>
      <w:szCs w:val="20"/>
      <w:lang w:val="en-GB"/>
    </w:rPr>
  </w:style>
  <w:style w:type="paragraph" w:customStyle="1" w:styleId="ILF-Standard">
    <w:name w:val="ILF-Standard"/>
    <w:link w:val="ILF-StandardCaracter"/>
    <w:qFormat/>
    <w:rsid w:val="007257E3"/>
    <w:pPr>
      <w:overflowPunct w:val="0"/>
      <w:autoSpaceDE w:val="0"/>
      <w:autoSpaceDN w:val="0"/>
      <w:adjustRightInd w:val="0"/>
      <w:spacing w:line="240" w:lineRule="auto"/>
    </w:pPr>
    <w:rPr>
      <w:rFonts w:ascii="Arial" w:eastAsia="Times New Roman" w:hAnsi="Arial" w:cs="Times New Roman"/>
      <w:sz w:val="22"/>
      <w:szCs w:val="22"/>
      <w:lang w:val="de-DE" w:eastAsia="de-DE"/>
    </w:rPr>
  </w:style>
  <w:style w:type="character" w:customStyle="1" w:styleId="Bodytext41">
    <w:name w:val="Body text (4)_"/>
    <w:uiPriority w:val="99"/>
    <w:rsid w:val="007257E3"/>
    <w:rPr>
      <w:b/>
      <w:bCs/>
      <w:sz w:val="19"/>
      <w:szCs w:val="19"/>
      <w:shd w:val="clear" w:color="auto" w:fill="FFFFFF"/>
    </w:rPr>
  </w:style>
  <w:style w:type="character" w:customStyle="1" w:styleId="BodytextBold2">
    <w:name w:val="Body text + Bold2"/>
    <w:uiPriority w:val="99"/>
    <w:rsid w:val="007257E3"/>
    <w:rPr>
      <w:b/>
      <w:bCs/>
      <w:sz w:val="19"/>
      <w:szCs w:val="19"/>
      <w:shd w:val="clear" w:color="auto" w:fill="FFFFFF"/>
    </w:rPr>
  </w:style>
  <w:style w:type="character" w:customStyle="1" w:styleId="Bodytext410pt">
    <w:name w:val="Body text (4) + 10 pt"/>
    <w:uiPriority w:val="99"/>
    <w:rsid w:val="007257E3"/>
    <w:rPr>
      <w:b w:val="0"/>
      <w:bCs w:val="0"/>
      <w:sz w:val="20"/>
      <w:szCs w:val="20"/>
      <w:shd w:val="clear" w:color="auto" w:fill="FFFFFF"/>
    </w:rPr>
  </w:style>
  <w:style w:type="character" w:customStyle="1" w:styleId="Heading20">
    <w:name w:val="Heading #2_"/>
    <w:link w:val="Heading21"/>
    <w:uiPriority w:val="99"/>
    <w:rsid w:val="007257E3"/>
    <w:rPr>
      <w:b/>
      <w:bCs/>
      <w:sz w:val="19"/>
      <w:szCs w:val="19"/>
      <w:shd w:val="clear" w:color="auto" w:fill="FFFFFF"/>
    </w:rPr>
  </w:style>
  <w:style w:type="character" w:customStyle="1" w:styleId="BodytextBold1">
    <w:name w:val="Body text + Bold1"/>
    <w:uiPriority w:val="99"/>
    <w:rsid w:val="007257E3"/>
    <w:rPr>
      <w:b/>
      <w:bCs/>
      <w:sz w:val="19"/>
      <w:szCs w:val="19"/>
      <w:shd w:val="clear" w:color="auto" w:fill="FFFFFF"/>
    </w:rPr>
  </w:style>
  <w:style w:type="paragraph" w:customStyle="1" w:styleId="Heading21">
    <w:name w:val="Heading #2"/>
    <w:basedOn w:val="Normal"/>
    <w:link w:val="Heading20"/>
    <w:uiPriority w:val="99"/>
    <w:qFormat/>
    <w:rsid w:val="007257E3"/>
    <w:pPr>
      <w:shd w:val="clear" w:color="auto" w:fill="FFFFFF"/>
      <w:spacing w:before="480" w:line="235" w:lineRule="exact"/>
      <w:outlineLvl w:val="1"/>
    </w:pPr>
    <w:rPr>
      <w:b/>
      <w:bCs/>
      <w:sz w:val="19"/>
      <w:szCs w:val="19"/>
      <w:lang w:val="da-DK"/>
    </w:rPr>
  </w:style>
  <w:style w:type="character" w:customStyle="1" w:styleId="Heading30">
    <w:name w:val="Heading #3"/>
    <w:rsid w:val="007257E3"/>
    <w:rPr>
      <w:rFonts w:ascii="Arial" w:eastAsia="Arial" w:hAnsi="Arial" w:cs="Arial"/>
      <w:b w:val="0"/>
      <w:bCs w:val="0"/>
      <w:i w:val="0"/>
      <w:iCs w:val="0"/>
      <w:smallCaps w:val="0"/>
      <w:strike w:val="0"/>
      <w:spacing w:val="0"/>
      <w:sz w:val="14"/>
      <w:szCs w:val="14"/>
    </w:rPr>
  </w:style>
  <w:style w:type="character" w:customStyle="1" w:styleId="Heading12">
    <w:name w:val="Heading #1"/>
    <w:rsid w:val="007257E3"/>
    <w:rPr>
      <w:rFonts w:ascii="Arial Narrow" w:hAnsi="Arial Narrow"/>
      <w:b/>
      <w:bCs/>
      <w:u w:val="single"/>
      <w:shd w:val="clear" w:color="auto" w:fill="FFFFFF"/>
      <w:lang w:val="es-ES_tradnl" w:eastAsia="es-ES_tradnl" w:bidi="ar-SA"/>
    </w:rPr>
  </w:style>
  <w:style w:type="character" w:customStyle="1" w:styleId="apple-tab-span">
    <w:name w:val="apple-tab-span"/>
    <w:basedOn w:val="DefaultParagraphFont"/>
    <w:rsid w:val="007257E3"/>
  </w:style>
  <w:style w:type="paragraph" w:customStyle="1" w:styleId="style430">
    <w:name w:val="style43"/>
    <w:basedOn w:val="Normal"/>
    <w:qFormat/>
    <w:rsid w:val="007257E3"/>
    <w:pPr>
      <w:spacing w:before="100" w:beforeAutospacing="1" w:after="100" w:afterAutospacing="1" w:line="240" w:lineRule="auto"/>
    </w:pPr>
    <w:rPr>
      <w:rFonts w:ascii="Times New Roman" w:eastAsia="Times New Roman" w:hAnsi="Times New Roman" w:cs="Times New Roman"/>
      <w:sz w:val="24"/>
      <w:szCs w:val="24"/>
      <w:lang w:eastAsia="ro-RO"/>
    </w:rPr>
  </w:style>
  <w:style w:type="paragraph" w:customStyle="1" w:styleId="Listacumarcatori">
    <w:name w:val="Lista cu marcatori"/>
    <w:basedOn w:val="Normal"/>
    <w:next w:val="Normal"/>
    <w:uiPriority w:val="99"/>
    <w:qFormat/>
    <w:rsid w:val="007257E3"/>
    <w:pPr>
      <w:autoSpaceDE w:val="0"/>
      <w:autoSpaceDN w:val="0"/>
      <w:adjustRightInd w:val="0"/>
      <w:spacing w:after="120" w:line="276" w:lineRule="auto"/>
    </w:pPr>
    <w:rPr>
      <w:rFonts w:ascii="Times New Roman" w:eastAsia="Times New Roman" w:hAnsi="Times New Roman" w:cs="Times New Roman"/>
      <w:sz w:val="24"/>
      <w:szCs w:val="24"/>
    </w:rPr>
  </w:style>
  <w:style w:type="paragraph" w:customStyle="1" w:styleId="CM91">
    <w:name w:val="CM91"/>
    <w:basedOn w:val="Default"/>
    <w:next w:val="Default"/>
    <w:uiPriority w:val="99"/>
    <w:qFormat/>
    <w:rsid w:val="007257E3"/>
    <w:pPr>
      <w:widowControl w:val="0"/>
      <w:spacing w:after="0" w:line="240" w:lineRule="auto"/>
    </w:pPr>
    <w:rPr>
      <w:rFonts w:ascii="Calibri" w:hAnsi="Calibri" w:cs="Times New Roman"/>
      <w:color w:val="auto"/>
    </w:rPr>
  </w:style>
  <w:style w:type="paragraph" w:customStyle="1" w:styleId="CM92">
    <w:name w:val="CM92"/>
    <w:basedOn w:val="Default"/>
    <w:next w:val="Default"/>
    <w:uiPriority w:val="99"/>
    <w:qFormat/>
    <w:rsid w:val="007257E3"/>
    <w:pPr>
      <w:widowControl w:val="0"/>
      <w:spacing w:after="0" w:line="240" w:lineRule="auto"/>
    </w:pPr>
    <w:rPr>
      <w:rFonts w:ascii="Calibri" w:hAnsi="Calibri" w:cs="Times New Roman"/>
      <w:color w:val="auto"/>
    </w:rPr>
  </w:style>
  <w:style w:type="paragraph" w:customStyle="1" w:styleId="CM90">
    <w:name w:val="CM90"/>
    <w:basedOn w:val="Default"/>
    <w:next w:val="Default"/>
    <w:uiPriority w:val="99"/>
    <w:qFormat/>
    <w:rsid w:val="007257E3"/>
    <w:pPr>
      <w:widowControl w:val="0"/>
      <w:spacing w:after="0" w:line="240" w:lineRule="auto"/>
    </w:pPr>
    <w:rPr>
      <w:rFonts w:ascii="Calibri" w:hAnsi="Calibri" w:cs="Times New Roman"/>
      <w:color w:val="auto"/>
    </w:rPr>
  </w:style>
  <w:style w:type="paragraph" w:customStyle="1" w:styleId="CM40">
    <w:name w:val="CM40"/>
    <w:basedOn w:val="Default"/>
    <w:next w:val="Default"/>
    <w:uiPriority w:val="99"/>
    <w:qFormat/>
    <w:rsid w:val="007257E3"/>
    <w:pPr>
      <w:widowControl w:val="0"/>
      <w:spacing w:after="0" w:line="293" w:lineRule="atLeast"/>
    </w:pPr>
    <w:rPr>
      <w:rFonts w:ascii="Calibri" w:hAnsi="Calibri" w:cs="Times New Roman"/>
      <w:color w:val="auto"/>
    </w:rPr>
  </w:style>
  <w:style w:type="numbering" w:customStyle="1" w:styleId="1111111">
    <w:name w:val="1 / 1.1 / 1.1.11"/>
    <w:basedOn w:val="NoList"/>
    <w:next w:val="111111"/>
    <w:unhideWhenUsed/>
    <w:rsid w:val="007257E3"/>
    <w:pPr>
      <w:numPr>
        <w:numId w:val="164"/>
      </w:numPr>
    </w:pPr>
  </w:style>
  <w:style w:type="numbering" w:customStyle="1" w:styleId="Bumbi-14">
    <w:name w:val="Bumbi -14"/>
    <w:rsid w:val="007257E3"/>
    <w:pPr>
      <w:numPr>
        <w:numId w:val="122"/>
      </w:numPr>
    </w:pPr>
  </w:style>
  <w:style w:type="numbering" w:customStyle="1" w:styleId="Bumbiabc1">
    <w:name w:val="Bumbi abc1"/>
    <w:rsid w:val="007257E3"/>
    <w:pPr>
      <w:numPr>
        <w:numId w:val="171"/>
      </w:numPr>
    </w:pPr>
  </w:style>
  <w:style w:type="table" w:customStyle="1" w:styleId="MediumGrid3-Accent11">
    <w:name w:val="Medium Grid 3 - Accent 11"/>
    <w:basedOn w:val="TableNormal"/>
    <w:next w:val="MediumGrid3-Accent1"/>
    <w:uiPriority w:val="69"/>
    <w:rsid w:val="007257E3"/>
    <w:pPr>
      <w:spacing w:line="240" w:lineRule="auto"/>
    </w:pPr>
    <w:rPr>
      <w:rFonts w:eastAsia="Times New Roman" w:hAnsi="Calibri" w:cs="Times New Roman"/>
      <w:sz w:val="20"/>
      <w:szCs w:val="20"/>
      <w:lang w:val="ro-RO" w:eastAsia="ro-R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MediumGrid3-Accent61">
    <w:name w:val="Medium Grid 3 - Accent 61"/>
    <w:basedOn w:val="TableNormal"/>
    <w:next w:val="MediumGrid3-Accent6"/>
    <w:uiPriority w:val="69"/>
    <w:rsid w:val="007257E3"/>
    <w:pPr>
      <w:spacing w:line="240" w:lineRule="auto"/>
    </w:pPr>
    <w:rPr>
      <w:rFonts w:eastAsia="Times New Roman" w:hAnsi="Calibri" w:cs="Times New Roman"/>
      <w:sz w:val="20"/>
      <w:szCs w:val="20"/>
      <w:lang w:val="ro-RO" w:eastAsia="ro-R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MediumGrid3-Accent51">
    <w:name w:val="Medium Grid 3 - Accent 51"/>
    <w:basedOn w:val="TableNormal"/>
    <w:next w:val="MediumGrid3-Accent5"/>
    <w:uiPriority w:val="69"/>
    <w:rsid w:val="007257E3"/>
    <w:pPr>
      <w:spacing w:line="240" w:lineRule="auto"/>
    </w:pPr>
    <w:rPr>
      <w:rFonts w:eastAsia="Times New Roman" w:hAnsi="Calibri" w:cs="Times New Roman"/>
      <w:sz w:val="20"/>
      <w:szCs w:val="20"/>
      <w:lang w:val="ro-RO" w:eastAsia="ro-R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41">
    <w:name w:val="Medium Grid 3 - Accent 41"/>
    <w:basedOn w:val="TableNormal"/>
    <w:next w:val="MediumGrid3-Accent4"/>
    <w:uiPriority w:val="69"/>
    <w:rsid w:val="007257E3"/>
    <w:pPr>
      <w:spacing w:line="240" w:lineRule="auto"/>
    </w:pPr>
    <w:rPr>
      <w:rFonts w:eastAsia="Times New Roman" w:hAnsi="Calibri" w:cs="Times New Roman"/>
      <w:sz w:val="20"/>
      <w:szCs w:val="20"/>
      <w:lang w:val="ro-RO" w:eastAsia="ro-R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31">
    <w:name w:val="Medium Grid 3 - Accent 31"/>
    <w:basedOn w:val="TableNormal"/>
    <w:next w:val="MediumGrid3-Accent3"/>
    <w:uiPriority w:val="69"/>
    <w:rsid w:val="007257E3"/>
    <w:pPr>
      <w:spacing w:line="240" w:lineRule="auto"/>
    </w:pPr>
    <w:rPr>
      <w:rFonts w:eastAsia="Times New Roman" w:hAnsi="Calibri" w:cs="Times New Roman"/>
      <w:sz w:val="20"/>
      <w:szCs w:val="20"/>
      <w:lang w:val="ro-RO" w:eastAsia="ro-R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MediumGrid3-Accent21">
    <w:name w:val="Medium Grid 3 - Accent 21"/>
    <w:basedOn w:val="TableNormal"/>
    <w:next w:val="MediumGrid3-Accent2"/>
    <w:uiPriority w:val="69"/>
    <w:rsid w:val="007257E3"/>
    <w:pPr>
      <w:spacing w:line="240" w:lineRule="auto"/>
    </w:pPr>
    <w:rPr>
      <w:rFonts w:eastAsia="Times New Roman" w:hAnsi="Calibri" w:cs="Times New Roman"/>
      <w:sz w:val="20"/>
      <w:szCs w:val="20"/>
      <w:lang w:val="ro-RO" w:eastAsia="ro-R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ColorfulGrid-Accent31">
    <w:name w:val="Colorful Grid - Accent 31"/>
    <w:basedOn w:val="TableNormal"/>
    <w:next w:val="ColorfulGrid-Accent3"/>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ColorfulGrid-Accent21">
    <w:name w:val="Colorful Grid - Accent 21"/>
    <w:basedOn w:val="TableNormal"/>
    <w:next w:val="ColorfulGrid-Accent2"/>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ColorfulGrid-Accent11">
    <w:name w:val="Colorful Grid - Accent 11"/>
    <w:basedOn w:val="TableNormal"/>
    <w:next w:val="ColorfulGrid-Accent1"/>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11">
    <w:name w:val="Colorful Grid11"/>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Grid-Accent61">
    <w:name w:val="Colorful Grid - Accent 61"/>
    <w:basedOn w:val="TableNormal"/>
    <w:next w:val="ColorfulGrid-Accent6"/>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MediumList2-Accent51">
    <w:name w:val="Medium List 2 - Accent 51"/>
    <w:basedOn w:val="TableNormal"/>
    <w:next w:val="MediumList2-Accent5"/>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MediumList2-Accent41">
    <w:name w:val="Medium List 2 - Accent 41"/>
    <w:basedOn w:val="TableNormal"/>
    <w:next w:val="MediumList2-Accent4"/>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MediumList2-Accent61">
    <w:name w:val="Medium List 2 - Accent 61"/>
    <w:basedOn w:val="TableNormal"/>
    <w:next w:val="MediumList2-Accent6"/>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ColorfulList-Accent51">
    <w:name w:val="Colorful List - Accent 51"/>
    <w:basedOn w:val="TableNormal"/>
    <w:next w:val="ColorfulList-Accent5"/>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ColorfulList-Accent41">
    <w:name w:val="Colorful List - Accent 41"/>
    <w:basedOn w:val="TableNormal"/>
    <w:next w:val="ColorfulList-Accent4"/>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ColorfulList-Accent31">
    <w:name w:val="Colorful List - Accent 31"/>
    <w:basedOn w:val="TableNormal"/>
    <w:next w:val="ColorfulList-Accent3"/>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ColorfulList-Accent21">
    <w:name w:val="Colorful List - Accent 21"/>
    <w:basedOn w:val="TableNormal"/>
    <w:next w:val="ColorfulList-Accent2"/>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ColorfulList-Accent11">
    <w:name w:val="Colorful List - Accent 11"/>
    <w:basedOn w:val="TableNormal"/>
    <w:next w:val="ColorfulList-Accent1"/>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11">
    <w:name w:val="Colorful List11"/>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numbering" w:customStyle="1" w:styleId="StyleOutlinenumberedWingdingssymbolComplexTimesNewRom1">
    <w:name w:val="Style Outline numbered Wingdings (symbol) (Complex) Times New Rom...1"/>
    <w:rsid w:val="007257E3"/>
    <w:pPr>
      <w:numPr>
        <w:numId w:val="90"/>
      </w:numPr>
    </w:pPr>
  </w:style>
  <w:style w:type="numbering" w:customStyle="1" w:styleId="1ai1">
    <w:name w:val="1 / a / i1"/>
    <w:basedOn w:val="NoList"/>
    <w:next w:val="1ai"/>
    <w:uiPriority w:val="99"/>
    <w:unhideWhenUsed/>
    <w:rsid w:val="007257E3"/>
    <w:pPr>
      <w:numPr>
        <w:numId w:val="172"/>
      </w:numPr>
    </w:pPr>
  </w:style>
  <w:style w:type="numbering" w:customStyle="1" w:styleId="ArticleSection1">
    <w:name w:val="Article / Section1"/>
    <w:basedOn w:val="NoList"/>
    <w:next w:val="ArticleSection"/>
    <w:uiPriority w:val="99"/>
    <w:unhideWhenUsed/>
    <w:rsid w:val="007257E3"/>
    <w:pPr>
      <w:numPr>
        <w:numId w:val="140"/>
      </w:numPr>
    </w:pPr>
  </w:style>
  <w:style w:type="table" w:customStyle="1" w:styleId="ColorfulGrid-Accent41">
    <w:name w:val="Colorful Grid - Accent 41"/>
    <w:basedOn w:val="TableNormal"/>
    <w:next w:val="ColorfulGrid-Accent4"/>
    <w:uiPriority w:val="73"/>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ColorfulGrid-Accent51">
    <w:name w:val="Colorful Grid - Accent 51"/>
    <w:basedOn w:val="TableNormal"/>
    <w:next w:val="ColorfulGrid-Accent5"/>
    <w:uiPriority w:val="73"/>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ColorfulList-Accent61">
    <w:name w:val="Colorful List - Accent 61"/>
    <w:basedOn w:val="TableNormal"/>
    <w:next w:val="ColorfulList-Accent6"/>
    <w:uiPriority w:val="72"/>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ColorfulShading11">
    <w:name w:val="Colorful Shading1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ColorfulShading-Accent11">
    <w:name w:val="Colorful Shading - Accent 11"/>
    <w:basedOn w:val="TableNormal"/>
    <w:next w:val="ColorfulShading-Accent1"/>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ColorfulShading-Accent21">
    <w:name w:val="Colorful Shading - Accent 21"/>
    <w:basedOn w:val="TableNormal"/>
    <w:next w:val="ColorfulShading-Accent2"/>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ColorfulShading-Accent41">
    <w:name w:val="Colorful Shading - Accent 41"/>
    <w:basedOn w:val="TableNormal"/>
    <w:next w:val="ColorfulShading-Accent4"/>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ColorfulShading-Accent51">
    <w:name w:val="Colorful Shading - Accent 51"/>
    <w:basedOn w:val="TableNormal"/>
    <w:next w:val="ColorfulShading-Accent5"/>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ColorfulShading-Accent61">
    <w:name w:val="Colorful Shading - Accent 61"/>
    <w:basedOn w:val="TableNormal"/>
    <w:next w:val="ColorfulShading-Accent6"/>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DarkList11">
    <w:name w:val="Dark List1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DarkList-Accent11">
    <w:name w:val="Dark List - Accent 11"/>
    <w:basedOn w:val="TableNormal"/>
    <w:next w:val="DarkList-Accent1"/>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DarkList-Accent21">
    <w:name w:val="Dark List - Accent 21"/>
    <w:basedOn w:val="TableNormal"/>
    <w:next w:val="DarkList-Accent2"/>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DarkList-Accent31">
    <w:name w:val="Dark List - Accent 31"/>
    <w:basedOn w:val="TableNormal"/>
    <w:next w:val="DarkList-Accent3"/>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DarkList-Accent41">
    <w:name w:val="Dark List - Accent 41"/>
    <w:basedOn w:val="TableNormal"/>
    <w:next w:val="DarkList-Accent4"/>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DarkList-Accent51">
    <w:name w:val="Dark List - Accent 51"/>
    <w:basedOn w:val="TableNormal"/>
    <w:next w:val="DarkList-Accent5"/>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DarkList-Accent61">
    <w:name w:val="Dark List - Accent 61"/>
    <w:basedOn w:val="TableNormal"/>
    <w:next w:val="DarkList-Accent6"/>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LightGrid11">
    <w:name w:val="Light Grid1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NSimSun" w:eastAsia="Times New Roman" w:hAnsi="NSimSun"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NSimSun" w:eastAsia="Times New Roman" w:hAnsi="NSimSun"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NSimSun" w:eastAsia="Times New Roman" w:hAnsi="NSimSun" w:cs="Times New Roman"/>
        <w:b/>
        <w:bCs/>
      </w:rPr>
    </w:tblStylePr>
    <w:tblStylePr w:type="lastCol">
      <w:rPr>
        <w:rFonts w:ascii="NSimSun" w:eastAsia="Times New Roman" w:hAnsi="NSimSun"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Grid-Accent111">
    <w:name w:val="Light Grid - Accent 11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NSimSun" w:eastAsia="Times New Roman" w:hAnsi="NSimSun"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NSimSun" w:eastAsia="Times New Roman" w:hAnsi="NSimSun"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NSimSun" w:eastAsia="Times New Roman" w:hAnsi="NSimSun" w:cs="Times New Roman"/>
        <w:b/>
        <w:bCs/>
      </w:rPr>
    </w:tblStylePr>
    <w:tblStylePr w:type="lastCol">
      <w:rPr>
        <w:rFonts w:ascii="NSimSun" w:eastAsia="Times New Roman" w:hAnsi="NSimSun"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LightGrid-Accent21">
    <w:name w:val="Light Grid - Accent 21"/>
    <w:basedOn w:val="TableNormal"/>
    <w:next w:val="LightGrid-Accent2"/>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NSimSun" w:eastAsia="Times New Roman" w:hAnsi="NSimSun"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NSimSun" w:eastAsia="Times New Roman" w:hAnsi="NSimSun"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NSimSun" w:eastAsia="Times New Roman" w:hAnsi="NSimSun" w:cs="Times New Roman"/>
        <w:b/>
        <w:bCs/>
      </w:rPr>
    </w:tblStylePr>
    <w:tblStylePr w:type="lastCol">
      <w:rPr>
        <w:rFonts w:ascii="NSimSun" w:eastAsia="Times New Roman" w:hAnsi="NSimSun"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LightGrid-Accent41">
    <w:name w:val="Light Grid - Accent 41"/>
    <w:basedOn w:val="TableNormal"/>
    <w:next w:val="LightGrid-Accent4"/>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NSimSun" w:eastAsia="Times New Roman" w:hAnsi="NSimSun"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NSimSun" w:eastAsia="Times New Roman" w:hAnsi="NSimSun"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NSimSun" w:eastAsia="Times New Roman" w:hAnsi="NSimSun" w:cs="Times New Roman"/>
        <w:b/>
        <w:bCs/>
      </w:rPr>
    </w:tblStylePr>
    <w:tblStylePr w:type="lastCol">
      <w:rPr>
        <w:rFonts w:ascii="NSimSun" w:eastAsia="Times New Roman" w:hAnsi="NSimSun"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LightGrid-Accent51">
    <w:name w:val="Light Grid - Accent 51"/>
    <w:basedOn w:val="TableNormal"/>
    <w:next w:val="LightGrid-Accent5"/>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NSimSun" w:eastAsia="Times New Roman" w:hAnsi="NSimSun"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NSimSun" w:eastAsia="Times New Roman" w:hAnsi="NSimSun"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NSimSun" w:eastAsia="Times New Roman" w:hAnsi="NSimSun" w:cs="Times New Roman"/>
        <w:b/>
        <w:bCs/>
      </w:rPr>
    </w:tblStylePr>
    <w:tblStylePr w:type="lastCol">
      <w:rPr>
        <w:rFonts w:ascii="NSimSun" w:eastAsia="Times New Roman" w:hAnsi="NSimSun"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61">
    <w:name w:val="Light Grid - Accent 61"/>
    <w:basedOn w:val="TableNormal"/>
    <w:next w:val="LightGrid-Accent6"/>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NSimSun" w:eastAsia="Times New Roman" w:hAnsi="NSimSun"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NSimSun" w:eastAsia="Times New Roman" w:hAnsi="NSimSun"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NSimSun" w:eastAsia="Times New Roman" w:hAnsi="NSimSun" w:cs="Times New Roman"/>
        <w:b/>
        <w:bCs/>
      </w:rPr>
    </w:tblStylePr>
    <w:tblStylePr w:type="lastCol">
      <w:rPr>
        <w:rFonts w:ascii="NSimSun" w:eastAsia="Times New Roman" w:hAnsi="NSimSun"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LightList11">
    <w:name w:val="Light List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111">
    <w:name w:val="Light List - Accent 1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21">
    <w:name w:val="Light List - Accent 21"/>
    <w:basedOn w:val="TableNormal"/>
    <w:next w:val="LightList-Accent2"/>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List-Accent31">
    <w:name w:val="Light List - Accent 31"/>
    <w:basedOn w:val="TableNormal"/>
    <w:next w:val="LightList-Accent3"/>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List-Accent41">
    <w:name w:val="Light List - Accent 41"/>
    <w:basedOn w:val="TableNormal"/>
    <w:next w:val="LightList-Accent4"/>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LightList-Accent51">
    <w:name w:val="Light List - Accent 51"/>
    <w:basedOn w:val="TableNormal"/>
    <w:next w:val="LightList-Accent5"/>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List-Accent61">
    <w:name w:val="Light List - Accent 61"/>
    <w:basedOn w:val="TableNormal"/>
    <w:next w:val="LightList-Accent6"/>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LightShading11">
    <w:name w:val="Light Shading11"/>
    <w:basedOn w:val="TableNormal"/>
    <w:uiPriority w:val="60"/>
    <w:rsid w:val="007257E3"/>
    <w:pPr>
      <w:spacing w:line="240" w:lineRule="auto"/>
    </w:pPr>
    <w:rPr>
      <w:rFonts w:ascii="Trebuchet MS" w:eastAsia="Times New Roman" w:hAnsi="Trebuchet MS" w:cs="Times New Roman"/>
      <w:color w:val="000000"/>
      <w:szCs w:val="20"/>
      <w:lang w:val="en-GB" w:eastAsia="en-GB"/>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111">
    <w:name w:val="Light Shading - Accent 111"/>
    <w:basedOn w:val="TableNormal"/>
    <w:uiPriority w:val="60"/>
    <w:rsid w:val="007257E3"/>
    <w:pPr>
      <w:spacing w:line="240" w:lineRule="auto"/>
    </w:pPr>
    <w:rPr>
      <w:rFonts w:ascii="Trebuchet MS" w:eastAsia="Times New Roman" w:hAnsi="Trebuchet MS" w:cs="Times New Roman"/>
      <w:color w:val="365F91"/>
      <w:szCs w:val="20"/>
      <w:lang w:val="en-GB"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1">
    <w:name w:val="Light Shading - Accent 21"/>
    <w:basedOn w:val="TableNormal"/>
    <w:next w:val="LightShading-Accent2"/>
    <w:uiPriority w:val="60"/>
    <w:rsid w:val="007257E3"/>
    <w:pPr>
      <w:spacing w:line="240" w:lineRule="auto"/>
    </w:pPr>
    <w:rPr>
      <w:rFonts w:ascii="Trebuchet MS" w:eastAsia="Times New Roman" w:hAnsi="Trebuchet MS" w:cs="Times New Roman"/>
      <w:color w:val="943634"/>
      <w:szCs w:val="20"/>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1">
    <w:name w:val="Light Shading - Accent 31"/>
    <w:basedOn w:val="TableNormal"/>
    <w:next w:val="LightShading-Accent3"/>
    <w:uiPriority w:val="60"/>
    <w:rsid w:val="007257E3"/>
    <w:pPr>
      <w:spacing w:line="240" w:lineRule="auto"/>
    </w:pPr>
    <w:rPr>
      <w:rFonts w:ascii="Trebuchet MS" w:eastAsia="Times New Roman" w:hAnsi="Trebuchet MS" w:cs="Times New Roman"/>
      <w:color w:val="76923C"/>
      <w:szCs w:val="20"/>
      <w:lang w:val="en-GB" w:eastAsia="en-GB"/>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41">
    <w:name w:val="Light Shading - Accent 41"/>
    <w:basedOn w:val="TableNormal"/>
    <w:next w:val="LightShading-Accent4"/>
    <w:rsid w:val="007257E3"/>
    <w:pPr>
      <w:spacing w:line="240" w:lineRule="auto"/>
    </w:pPr>
    <w:rPr>
      <w:rFonts w:ascii="Trebuchet MS" w:eastAsia="Times New Roman" w:hAnsi="Trebuchet MS" w:cs="Times New Roman"/>
      <w:color w:val="5F497A"/>
      <w:szCs w:val="20"/>
      <w:lang w:val="en-GB" w:eastAsia="en-GB"/>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LightShading-Accent51">
    <w:name w:val="Light Shading - Accent 51"/>
    <w:basedOn w:val="TableNormal"/>
    <w:next w:val="LightShading-Accent5"/>
    <w:rsid w:val="007257E3"/>
    <w:pPr>
      <w:spacing w:line="240" w:lineRule="auto"/>
    </w:pPr>
    <w:rPr>
      <w:rFonts w:ascii="Trebuchet MS" w:eastAsia="Times New Roman" w:hAnsi="Trebuchet MS" w:cs="Times New Roman"/>
      <w:color w:val="31849B"/>
      <w:szCs w:val="20"/>
      <w:lang w:val="en-GB" w:eastAsia="en-G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Shading-Accent61">
    <w:name w:val="Light Shading - Accent 61"/>
    <w:basedOn w:val="TableNormal"/>
    <w:next w:val="LightShading-Accent6"/>
    <w:uiPriority w:val="60"/>
    <w:rsid w:val="007257E3"/>
    <w:pPr>
      <w:spacing w:line="240" w:lineRule="auto"/>
    </w:pPr>
    <w:rPr>
      <w:rFonts w:ascii="Trebuchet MS" w:eastAsia="Times New Roman" w:hAnsi="Trebuchet MS" w:cs="Times New Roman"/>
      <w:color w:val="E36C0A"/>
      <w:szCs w:val="20"/>
      <w:lang w:val="en-GB" w:eastAsia="en-GB"/>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Grid111">
    <w:name w:val="Medium Grid 1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MediumGrid1-Accent11">
    <w:name w:val="Medium Grid 1 - Accent 11"/>
    <w:basedOn w:val="TableNormal"/>
    <w:next w:val="MediumGrid1-Accent1"/>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MediumGrid1-Accent31">
    <w:name w:val="Medium Grid 1 - Accent 31"/>
    <w:basedOn w:val="TableNormal"/>
    <w:next w:val="MediumGrid1-Accent3"/>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MediumGrid1-Accent41">
    <w:name w:val="Medium Grid 1 - Accent 41"/>
    <w:basedOn w:val="TableNormal"/>
    <w:next w:val="MediumGrid1-Accent4"/>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51">
    <w:name w:val="Medium Grid 1 - Accent 51"/>
    <w:basedOn w:val="TableNormal"/>
    <w:next w:val="MediumGrid1-Accent5"/>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MediumGrid1-Accent61">
    <w:name w:val="Medium Grid 1 - Accent 61"/>
    <w:basedOn w:val="TableNormal"/>
    <w:next w:val="MediumGrid1-Accent6"/>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211">
    <w:name w:val="Medium Grid 211"/>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MediumGrid2-Accent11">
    <w:name w:val="Medium Grid 2 - Accent 11"/>
    <w:basedOn w:val="TableNormal"/>
    <w:next w:val="MediumGrid2-Accent1"/>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MediumGrid2-Accent21">
    <w:name w:val="Medium Grid 2 - Accent 21"/>
    <w:basedOn w:val="TableNormal"/>
    <w:next w:val="MediumGrid2-Accent2"/>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MediumGrid2-Accent31">
    <w:name w:val="Medium Grid 2 - Accent 31"/>
    <w:basedOn w:val="TableNormal"/>
    <w:next w:val="MediumGrid2-Accent3"/>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MediumGrid2-Accent41">
    <w:name w:val="Medium Grid 2 - Accent 41"/>
    <w:basedOn w:val="TableNormal"/>
    <w:next w:val="MediumGrid2-Accent4"/>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51">
    <w:name w:val="Medium Grid 2 - Accent 51"/>
    <w:basedOn w:val="TableNormal"/>
    <w:next w:val="MediumGrid2-Accent5"/>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MediumGrid2-Accent61">
    <w:name w:val="Medium Grid 2 - Accent 61"/>
    <w:basedOn w:val="TableNormal"/>
    <w:next w:val="MediumGrid2-Accent6"/>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MediumGrid311">
    <w:name w:val="Medium Grid 311"/>
    <w:basedOn w:val="TableNormal"/>
    <w:uiPriority w:val="69"/>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List111">
    <w:name w:val="Medium List 111"/>
    <w:basedOn w:val="TableNormal"/>
    <w:uiPriority w:val="65"/>
    <w:rsid w:val="007257E3"/>
    <w:pPr>
      <w:spacing w:line="240" w:lineRule="auto"/>
    </w:pPr>
    <w:rPr>
      <w:rFonts w:ascii="Trebuchet MS" w:eastAsia="Times New Roman" w:hAnsi="Trebuchet MS" w:cs="Times New Roman"/>
      <w:color w:val="000000"/>
      <w:szCs w:val="20"/>
      <w:lang w:val="en-GB" w:eastAsia="en-GB"/>
    </w:rPr>
    <w:tblPr>
      <w:tblStyleRowBandSize w:val="1"/>
      <w:tblStyleColBandSize w:val="1"/>
      <w:tblBorders>
        <w:top w:val="single" w:sz="8" w:space="0" w:color="000000"/>
        <w:bottom w:val="single" w:sz="8" w:space="0" w:color="000000"/>
      </w:tblBorders>
    </w:tblPr>
    <w:tblStylePr w:type="firstRow">
      <w:rPr>
        <w:rFonts w:ascii="NSimSun" w:eastAsia="Times New Roman" w:hAnsi="NSimSu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MediumList1-Accent111">
    <w:name w:val="Medium List 1 - Accent 111"/>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8" w:space="0" w:color="4F81BD"/>
        <w:bottom w:val="single" w:sz="8" w:space="0" w:color="4F81BD"/>
      </w:tblBorders>
    </w:tblPr>
    <w:tblStylePr w:type="firstRow">
      <w:rPr>
        <w:rFonts w:ascii="NSimSun" w:eastAsia="Times New Roman" w:hAnsi="NSimSu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MediumList1-Accent21">
    <w:name w:val="Medium List 1 - Accent 21"/>
    <w:basedOn w:val="TableNormal"/>
    <w:next w:val="MediumList1-Accent2"/>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8" w:space="0" w:color="C0504D"/>
        <w:bottom w:val="single" w:sz="8" w:space="0" w:color="C0504D"/>
      </w:tblBorders>
    </w:tblPr>
    <w:tblStylePr w:type="firstRow">
      <w:rPr>
        <w:rFonts w:ascii="NSimSun" w:eastAsia="Times New Roman" w:hAnsi="NSimSun"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MediumList1-Accent31">
    <w:name w:val="Medium List 1 - Accent 31"/>
    <w:basedOn w:val="TableNormal"/>
    <w:next w:val="MediumList1-Accent3"/>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8" w:space="0" w:color="9BBB59"/>
        <w:bottom w:val="single" w:sz="8" w:space="0" w:color="9BBB59"/>
      </w:tblBorders>
    </w:tblPr>
    <w:tblStylePr w:type="firstRow">
      <w:rPr>
        <w:rFonts w:ascii="NSimSun" w:eastAsia="Times New Roman" w:hAnsi="NSimSun"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MediumList1-Accent41">
    <w:name w:val="Medium List 1 - Accent 41"/>
    <w:basedOn w:val="TableNormal"/>
    <w:next w:val="MediumList1-Accent4"/>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8" w:space="0" w:color="8064A2"/>
        <w:bottom w:val="single" w:sz="8" w:space="0" w:color="8064A2"/>
      </w:tblBorders>
    </w:tblPr>
    <w:tblStylePr w:type="firstRow">
      <w:rPr>
        <w:rFonts w:ascii="NSimSun" w:eastAsia="Times New Roman" w:hAnsi="NSimSun"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MediumList1-Accent61">
    <w:name w:val="Medium List 1 - Accent 61"/>
    <w:basedOn w:val="TableNormal"/>
    <w:next w:val="MediumList1-Accent6"/>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8" w:space="0" w:color="F79646"/>
        <w:bottom w:val="single" w:sz="8" w:space="0" w:color="F79646"/>
      </w:tblBorders>
    </w:tblPr>
    <w:tblStylePr w:type="firstRow">
      <w:rPr>
        <w:rFonts w:ascii="NSimSun" w:eastAsia="Times New Roman" w:hAnsi="NSimSun"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MediumList211">
    <w:name w:val="Medium List 211"/>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MediumList2-Accent11">
    <w:name w:val="Medium List 2 - Accent 11"/>
    <w:basedOn w:val="TableNormal"/>
    <w:next w:val="MediumList2-Accent1"/>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MediumList2-Accent21">
    <w:name w:val="Medium List 2 - Accent 21"/>
    <w:basedOn w:val="TableNormal"/>
    <w:next w:val="MediumList2-Accent2"/>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MediumList2-Accent31">
    <w:name w:val="Medium List 2 - Accent 31"/>
    <w:basedOn w:val="TableNormal"/>
    <w:next w:val="MediumList2-Accent3"/>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MediumShading111">
    <w:name w:val="Medium Shading 1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1-Accent111">
    <w:name w:val="Medium Shading 1 - Accent 1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21">
    <w:name w:val="Medium Shading 1 - Accent 21"/>
    <w:basedOn w:val="TableNormal"/>
    <w:next w:val="MediumShading1-Accent2"/>
    <w:uiPriority w:val="63"/>
    <w:rsid w:val="007257E3"/>
    <w:pPr>
      <w:spacing w:line="240" w:lineRule="auto"/>
    </w:pPr>
    <w:rPr>
      <w:rFonts w:ascii="Calibri" w:eastAsia="Times New Roman" w:hAnsi="Calibri" w:cs="Times New Roman"/>
      <w:szCs w:val="20"/>
      <w:lang w:val="en-GB" w:eastAsia="en-GB"/>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MediumShading1-Accent31">
    <w:name w:val="Medium Shading 1 - Accent 31"/>
    <w:basedOn w:val="TableNormal"/>
    <w:next w:val="MediumShading1-Accent3"/>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MediumShading1-Accent41">
    <w:name w:val="Medium Shading 1 - Accent 41"/>
    <w:basedOn w:val="TableNormal"/>
    <w:next w:val="MediumShading1-Accent4"/>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MediumShading1-Accent51">
    <w:name w:val="Medium Shading 1 - Accent 51"/>
    <w:basedOn w:val="TableNormal"/>
    <w:next w:val="MediumShading1-Accent5"/>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MediumShading1-Accent61">
    <w:name w:val="Medium Shading 1 - Accent 61"/>
    <w:basedOn w:val="TableNormal"/>
    <w:next w:val="MediumShading1-Accent6"/>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MediumShading211">
    <w:name w:val="Medium Shading 2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111">
    <w:name w:val="Medium Shading 2 - Accent 1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21">
    <w:name w:val="Medium Shading 2 - Accent 21"/>
    <w:basedOn w:val="TableNormal"/>
    <w:next w:val="MediumShading2-Accent2"/>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31">
    <w:name w:val="Medium Shading 2 - Accent 31"/>
    <w:basedOn w:val="TableNormal"/>
    <w:next w:val="MediumShading2-Accent3"/>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41">
    <w:name w:val="Medium Shading 2 - Accent 41"/>
    <w:basedOn w:val="TableNormal"/>
    <w:next w:val="MediumShading2-Accent4"/>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51">
    <w:name w:val="Medium Shading 2 - Accent 51"/>
    <w:basedOn w:val="TableNormal"/>
    <w:next w:val="MediumShading2-Accent5"/>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61">
    <w:name w:val="Medium Shading 2 - Accent 61"/>
    <w:basedOn w:val="TableNormal"/>
    <w:next w:val="MediumShading2-Accent6"/>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22">
    <w:name w:val="Table Grid122"/>
    <w:basedOn w:val="TableNormal"/>
    <w:next w:val="TableGrid"/>
    <w:rsid w:val="007257E3"/>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7257E3"/>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7257E3"/>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u0">
    <w:name w:val="Subtitlu"/>
    <w:basedOn w:val="Heading2"/>
    <w:qFormat/>
    <w:rsid w:val="007257E3"/>
    <w:pPr>
      <w:keepLines w:val="0"/>
      <w:numPr>
        <w:ilvl w:val="0"/>
        <w:numId w:val="0"/>
      </w:numPr>
      <w:pBdr>
        <w:top w:val="single" w:sz="4" w:space="1" w:color="FFFFFF"/>
        <w:left w:val="single" w:sz="4" w:space="1" w:color="FFFFFF"/>
        <w:bottom w:val="single" w:sz="4" w:space="1" w:color="FFFFFF"/>
        <w:right w:val="single" w:sz="4" w:space="1" w:color="FFFFFF"/>
      </w:pBdr>
      <w:shd w:val="clear" w:color="auto" w:fill="D9D9D9"/>
      <w:tabs>
        <w:tab w:val="num" w:pos="338"/>
        <w:tab w:val="left" w:pos="1134"/>
      </w:tabs>
      <w:suppressAutoHyphens w:val="0"/>
      <w:spacing w:before="60" w:after="200" w:line="240" w:lineRule="auto"/>
      <w:ind w:left="1134" w:hanging="1134"/>
      <w:contextualSpacing w:val="0"/>
    </w:pPr>
    <w:rPr>
      <w:rFonts w:ascii="Arial" w:eastAsia="Times New Roman" w:hAnsi="Arial" w:cs="Times New Roman"/>
      <w:b/>
      <w:caps/>
      <w:sz w:val="22"/>
      <w:szCs w:val="24"/>
      <w:lang w:val="en-AU" w:eastAsia="en-GB"/>
    </w:rPr>
  </w:style>
  <w:style w:type="paragraph" w:customStyle="1" w:styleId="Subsubtitlu">
    <w:name w:val="Subsubtitlu"/>
    <w:basedOn w:val="Subtitlu0"/>
    <w:qFormat/>
    <w:rsid w:val="007257E3"/>
    <w:pPr>
      <w:shd w:val="clear" w:color="auto" w:fill="auto"/>
      <w:tabs>
        <w:tab w:val="clear" w:pos="338"/>
        <w:tab w:val="num" w:pos="491"/>
      </w:tabs>
      <w:spacing w:after="120"/>
      <w:ind w:left="-229" w:firstLine="0"/>
    </w:pPr>
    <w:rPr>
      <w:iCs/>
      <w:caps w:val="0"/>
      <w:color w:val="000080"/>
    </w:rPr>
  </w:style>
  <w:style w:type="paragraph" w:customStyle="1" w:styleId="Titlucapitol">
    <w:name w:val="Titlu capitol"/>
    <w:basedOn w:val="Normal"/>
    <w:autoRedefine/>
    <w:qFormat/>
    <w:rsid w:val="007257E3"/>
    <w:pPr>
      <w:keepNext/>
      <w:pBdr>
        <w:top w:val="single" w:sz="4" w:space="1" w:color="auto"/>
        <w:left w:val="single" w:sz="4" w:space="1" w:color="auto"/>
        <w:bottom w:val="single" w:sz="4" w:space="1" w:color="auto"/>
        <w:right w:val="single" w:sz="4" w:space="1" w:color="auto"/>
      </w:pBdr>
      <w:shd w:val="clear" w:color="auto" w:fill="D6DDE8"/>
      <w:tabs>
        <w:tab w:val="num" w:pos="-513"/>
        <w:tab w:val="left" w:pos="1134"/>
      </w:tabs>
      <w:spacing w:before="240" w:after="200" w:line="240" w:lineRule="auto"/>
      <w:ind w:left="1134" w:hanging="1134"/>
      <w:outlineLvl w:val="0"/>
    </w:pPr>
    <w:rPr>
      <w:rFonts w:eastAsiaTheme="majorEastAsia" w:cs="Times New Roman"/>
      <w:b/>
      <w:bCs/>
      <w:caps/>
      <w:sz w:val="24"/>
      <w:szCs w:val="24"/>
      <w:lang w:val="en-AU" w:eastAsia="en-GB"/>
    </w:rPr>
  </w:style>
  <w:style w:type="paragraph" w:customStyle="1" w:styleId="TableInput">
    <w:name w:val="TableInput"/>
    <w:basedOn w:val="Normal"/>
    <w:next w:val="Normal"/>
    <w:qFormat/>
    <w:rsid w:val="007257E3"/>
    <w:pPr>
      <w:spacing w:line="240" w:lineRule="atLeast"/>
    </w:pPr>
    <w:rPr>
      <w:rFonts w:ascii="Palatino Linotype" w:eastAsia="Times New Roman" w:hAnsi="Palatino Linotype" w:cs="Times New Roman"/>
      <w:sz w:val="24"/>
      <w:szCs w:val="20"/>
      <w:lang w:val="en-GB"/>
    </w:rPr>
  </w:style>
  <w:style w:type="paragraph" w:customStyle="1" w:styleId="StyleTableHeadingGaramond10ptLinespacingsingle">
    <w:name w:val="Style TableHeading + Garamond 10 pt Line spacing:  single"/>
    <w:basedOn w:val="Normal"/>
    <w:qFormat/>
    <w:rsid w:val="007257E3"/>
    <w:pPr>
      <w:spacing w:line="240" w:lineRule="auto"/>
    </w:pPr>
    <w:rPr>
      <w:rFonts w:ascii="Palatino Linotype" w:eastAsia="Times New Roman" w:hAnsi="Palatino Linotype" w:cs="Times New Roman"/>
      <w:b/>
      <w:bCs/>
      <w:sz w:val="20"/>
      <w:szCs w:val="20"/>
      <w:lang w:val="en-GB"/>
    </w:rPr>
  </w:style>
  <w:style w:type="paragraph" w:customStyle="1" w:styleId="Single">
    <w:name w:val="Single"/>
    <w:basedOn w:val="Normal"/>
    <w:qFormat/>
    <w:rsid w:val="007257E3"/>
    <w:pPr>
      <w:spacing w:line="240" w:lineRule="atLeast"/>
    </w:pPr>
    <w:rPr>
      <w:rFonts w:ascii="Palatino Linotype" w:eastAsia="Times New Roman" w:hAnsi="Palatino Linotype" w:cs="Times New Roman"/>
      <w:sz w:val="24"/>
      <w:szCs w:val="20"/>
      <w:lang w:val="en-GB"/>
    </w:rPr>
  </w:style>
  <w:style w:type="character" w:customStyle="1" w:styleId="onwebcontent">
    <w:name w:val="onwebcontent"/>
    <w:rsid w:val="007257E3"/>
  </w:style>
  <w:style w:type="character" w:customStyle="1" w:styleId="Heading50">
    <w:name w:val="Heading #5_"/>
    <w:link w:val="Heading51"/>
    <w:uiPriority w:val="99"/>
    <w:rsid w:val="007257E3"/>
    <w:rPr>
      <w:rFonts w:ascii="Arial" w:hAnsi="Arial" w:cs="Arial"/>
      <w:b/>
      <w:bCs/>
      <w:shd w:val="clear" w:color="auto" w:fill="FFFFFF"/>
    </w:rPr>
  </w:style>
  <w:style w:type="paragraph" w:customStyle="1" w:styleId="Heading51">
    <w:name w:val="Heading #51"/>
    <w:basedOn w:val="Normal"/>
    <w:link w:val="Heading50"/>
    <w:uiPriority w:val="99"/>
    <w:qFormat/>
    <w:rsid w:val="007257E3"/>
    <w:pPr>
      <w:shd w:val="clear" w:color="auto" w:fill="FFFFFF"/>
      <w:spacing w:after="60" w:line="240" w:lineRule="atLeast"/>
      <w:ind w:hanging="720"/>
      <w:jc w:val="both"/>
      <w:outlineLvl w:val="4"/>
    </w:pPr>
    <w:rPr>
      <w:rFonts w:ascii="Arial" w:hAnsi="Arial" w:cs="Arial"/>
      <w:b/>
      <w:bCs/>
      <w:lang w:val="da-DK"/>
    </w:rPr>
  </w:style>
  <w:style w:type="character" w:customStyle="1" w:styleId="Bodytext80">
    <w:name w:val="Body text8"/>
    <w:uiPriority w:val="99"/>
    <w:rsid w:val="007257E3"/>
    <w:rPr>
      <w:rFonts w:ascii="Arial" w:hAnsi="Arial" w:cs="Arial"/>
      <w:spacing w:val="0"/>
      <w:sz w:val="22"/>
      <w:szCs w:val="22"/>
      <w:u w:val="single"/>
      <w:shd w:val="clear" w:color="auto" w:fill="FFFFFF"/>
    </w:rPr>
  </w:style>
  <w:style w:type="character" w:customStyle="1" w:styleId="BodytextBold6">
    <w:name w:val="Body text + Bold6"/>
    <w:uiPriority w:val="99"/>
    <w:rsid w:val="007257E3"/>
    <w:rPr>
      <w:rFonts w:ascii="Arial" w:hAnsi="Arial" w:cs="Arial"/>
      <w:b/>
      <w:bCs/>
      <w:spacing w:val="0"/>
      <w:sz w:val="22"/>
      <w:szCs w:val="22"/>
      <w:shd w:val="clear" w:color="auto" w:fill="FFFFFF"/>
    </w:rPr>
  </w:style>
  <w:style w:type="paragraph" w:customStyle="1" w:styleId="Bodytext71">
    <w:name w:val="Body text (7)1"/>
    <w:basedOn w:val="Normal"/>
    <w:uiPriority w:val="99"/>
    <w:qFormat/>
    <w:rsid w:val="007257E3"/>
    <w:pPr>
      <w:shd w:val="clear" w:color="auto" w:fill="FFFFFF"/>
      <w:spacing w:line="278" w:lineRule="exact"/>
      <w:ind w:hanging="360"/>
      <w:jc w:val="center"/>
    </w:pPr>
    <w:rPr>
      <w:rFonts w:ascii="Arial" w:hAnsi="Arial" w:cs="Arial"/>
      <w:b/>
      <w:bCs/>
      <w:sz w:val="22"/>
      <w:szCs w:val="22"/>
    </w:rPr>
  </w:style>
  <w:style w:type="character" w:customStyle="1" w:styleId="Bodytext51">
    <w:name w:val="Body text5"/>
    <w:uiPriority w:val="99"/>
    <w:rsid w:val="007257E3"/>
    <w:rPr>
      <w:rFonts w:ascii="Arial" w:hAnsi="Arial" w:cs="Arial"/>
      <w:spacing w:val="0"/>
      <w:sz w:val="22"/>
      <w:szCs w:val="22"/>
      <w:shd w:val="clear" w:color="auto" w:fill="FFFFFF"/>
    </w:rPr>
  </w:style>
  <w:style w:type="character" w:customStyle="1" w:styleId="Bodytext11Bold1">
    <w:name w:val="Body text (11) + Bold1"/>
    <w:uiPriority w:val="99"/>
    <w:rsid w:val="007257E3"/>
    <w:rPr>
      <w:rFonts w:ascii="Arial" w:hAnsi="Arial" w:cs="Arial"/>
      <w:b/>
      <w:bCs/>
      <w:sz w:val="18"/>
      <w:szCs w:val="18"/>
      <w:shd w:val="clear" w:color="auto" w:fill="FFFFFF"/>
    </w:rPr>
  </w:style>
  <w:style w:type="character" w:customStyle="1" w:styleId="BodytextBold3">
    <w:name w:val="Body text + Bold3"/>
    <w:uiPriority w:val="99"/>
    <w:rsid w:val="007257E3"/>
    <w:rPr>
      <w:rFonts w:ascii="Arial" w:hAnsi="Arial" w:cs="Arial"/>
      <w:b/>
      <w:bCs/>
      <w:spacing w:val="0"/>
      <w:sz w:val="22"/>
      <w:szCs w:val="22"/>
      <w:u w:val="single"/>
      <w:shd w:val="clear" w:color="auto" w:fill="FFFFFF"/>
    </w:rPr>
  </w:style>
  <w:style w:type="character" w:customStyle="1" w:styleId="Heading22">
    <w:name w:val="Heading #2 (2)_"/>
    <w:link w:val="Heading221"/>
    <w:uiPriority w:val="99"/>
    <w:rsid w:val="007257E3"/>
    <w:rPr>
      <w:rFonts w:ascii="Arial" w:hAnsi="Arial" w:cs="Arial"/>
      <w:b/>
      <w:bCs/>
      <w:shd w:val="clear" w:color="auto" w:fill="FFFFFF"/>
    </w:rPr>
  </w:style>
  <w:style w:type="paragraph" w:customStyle="1" w:styleId="Heading221">
    <w:name w:val="Heading #2 (2)1"/>
    <w:basedOn w:val="Normal"/>
    <w:link w:val="Heading22"/>
    <w:uiPriority w:val="99"/>
    <w:qFormat/>
    <w:rsid w:val="007257E3"/>
    <w:pPr>
      <w:shd w:val="clear" w:color="auto" w:fill="FFFFFF"/>
      <w:spacing w:before="240" w:line="274" w:lineRule="exact"/>
      <w:ind w:hanging="1720"/>
      <w:jc w:val="both"/>
      <w:outlineLvl w:val="1"/>
    </w:pPr>
    <w:rPr>
      <w:rFonts w:ascii="Arial" w:hAnsi="Arial" w:cs="Arial"/>
      <w:b/>
      <w:bCs/>
      <w:lang w:val="da-DK"/>
    </w:rPr>
  </w:style>
  <w:style w:type="character" w:customStyle="1" w:styleId="Picturecaption4">
    <w:name w:val="Picture caption (4)_"/>
    <w:link w:val="Picturecaption40"/>
    <w:uiPriority w:val="99"/>
    <w:rsid w:val="007257E3"/>
    <w:rPr>
      <w:rFonts w:ascii="Arial" w:hAnsi="Arial" w:cs="Arial"/>
      <w:shd w:val="clear" w:color="auto" w:fill="FFFFFF"/>
    </w:rPr>
  </w:style>
  <w:style w:type="character" w:customStyle="1" w:styleId="Picturecaption4Bold">
    <w:name w:val="Picture caption (4) + Bold"/>
    <w:uiPriority w:val="99"/>
    <w:rsid w:val="007257E3"/>
    <w:rPr>
      <w:rFonts w:ascii="Arial" w:hAnsi="Arial" w:cs="Arial"/>
      <w:b/>
      <w:bCs/>
      <w:sz w:val="18"/>
      <w:szCs w:val="18"/>
      <w:shd w:val="clear" w:color="auto" w:fill="FFFFFF"/>
    </w:rPr>
  </w:style>
  <w:style w:type="paragraph" w:customStyle="1" w:styleId="Picturecaption40">
    <w:name w:val="Picture caption (4)"/>
    <w:basedOn w:val="Normal"/>
    <w:link w:val="Picturecaption4"/>
    <w:uiPriority w:val="99"/>
    <w:qFormat/>
    <w:rsid w:val="007257E3"/>
    <w:pPr>
      <w:shd w:val="clear" w:color="auto" w:fill="FFFFFF"/>
      <w:spacing w:line="240" w:lineRule="atLeast"/>
    </w:pPr>
    <w:rPr>
      <w:rFonts w:ascii="Arial" w:hAnsi="Arial" w:cs="Arial"/>
      <w:lang w:val="da-DK"/>
    </w:rPr>
  </w:style>
  <w:style w:type="character" w:customStyle="1" w:styleId="Heading2225">
    <w:name w:val="Heading #2 (2)25"/>
    <w:uiPriority w:val="99"/>
    <w:rsid w:val="007257E3"/>
    <w:rPr>
      <w:rFonts w:ascii="Arial" w:hAnsi="Arial" w:cs="Arial"/>
      <w:b w:val="0"/>
      <w:bCs w:val="0"/>
      <w:spacing w:val="0"/>
      <w:sz w:val="22"/>
      <w:szCs w:val="22"/>
      <w:u w:val="single"/>
      <w:shd w:val="clear" w:color="auto" w:fill="FFFFFF"/>
    </w:rPr>
  </w:style>
  <w:style w:type="character" w:customStyle="1" w:styleId="Bodytext7NotBold5">
    <w:name w:val="Body text (7) + Not Bold5"/>
    <w:uiPriority w:val="99"/>
    <w:rsid w:val="007257E3"/>
    <w:rPr>
      <w:rFonts w:ascii="Arial" w:hAnsi="Arial" w:cs="Arial"/>
      <w:b/>
      <w:bCs/>
      <w:spacing w:val="0"/>
      <w:sz w:val="22"/>
      <w:szCs w:val="22"/>
      <w:shd w:val="clear" w:color="auto" w:fill="FFFFFF"/>
    </w:rPr>
  </w:style>
  <w:style w:type="character" w:customStyle="1" w:styleId="Heading2219">
    <w:name w:val="Heading #2 (2)19"/>
    <w:uiPriority w:val="99"/>
    <w:rsid w:val="007257E3"/>
    <w:rPr>
      <w:rFonts w:ascii="Arial" w:hAnsi="Arial" w:cs="Arial"/>
      <w:b w:val="0"/>
      <w:bCs w:val="0"/>
      <w:spacing w:val="0"/>
      <w:sz w:val="22"/>
      <w:szCs w:val="22"/>
      <w:u w:val="single"/>
      <w:shd w:val="clear" w:color="auto" w:fill="FFFFFF"/>
    </w:rPr>
  </w:style>
  <w:style w:type="character" w:customStyle="1" w:styleId="Bodytext8pt1">
    <w:name w:val="Body text + 8 pt1"/>
    <w:uiPriority w:val="99"/>
    <w:rsid w:val="007257E3"/>
    <w:rPr>
      <w:rFonts w:ascii="Arial" w:hAnsi="Arial" w:cs="Arial"/>
      <w:spacing w:val="0"/>
      <w:sz w:val="16"/>
      <w:szCs w:val="16"/>
      <w:shd w:val="clear" w:color="auto" w:fill="FFFFFF"/>
    </w:rPr>
  </w:style>
  <w:style w:type="character" w:customStyle="1" w:styleId="Heading2218">
    <w:name w:val="Heading #2 (2)18"/>
    <w:uiPriority w:val="99"/>
    <w:rsid w:val="007257E3"/>
    <w:rPr>
      <w:rFonts w:ascii="Arial" w:hAnsi="Arial" w:cs="Arial"/>
      <w:b w:val="0"/>
      <w:bCs w:val="0"/>
      <w:spacing w:val="0"/>
      <w:sz w:val="22"/>
      <w:szCs w:val="22"/>
      <w:u w:val="single"/>
      <w:shd w:val="clear" w:color="auto" w:fill="FFFFFF"/>
    </w:rPr>
  </w:style>
  <w:style w:type="character" w:customStyle="1" w:styleId="Heading2213">
    <w:name w:val="Heading #2 (2)13"/>
    <w:uiPriority w:val="99"/>
    <w:rsid w:val="007257E3"/>
    <w:rPr>
      <w:rFonts w:ascii="Arial" w:hAnsi="Arial" w:cs="Arial"/>
      <w:b w:val="0"/>
      <w:bCs w:val="0"/>
      <w:spacing w:val="0"/>
      <w:sz w:val="22"/>
      <w:szCs w:val="22"/>
      <w:u w:val="single"/>
      <w:shd w:val="clear" w:color="auto" w:fill="FFFFFF"/>
    </w:rPr>
  </w:style>
  <w:style w:type="character" w:customStyle="1" w:styleId="Heading224">
    <w:name w:val="Heading #2 (2)4"/>
    <w:uiPriority w:val="99"/>
    <w:rsid w:val="007257E3"/>
    <w:rPr>
      <w:rFonts w:ascii="Arial" w:hAnsi="Arial" w:cs="Arial"/>
      <w:b w:val="0"/>
      <w:bCs w:val="0"/>
      <w:spacing w:val="0"/>
      <w:sz w:val="22"/>
      <w:szCs w:val="22"/>
      <w:u w:val="single"/>
      <w:shd w:val="clear" w:color="auto" w:fill="FFFFFF"/>
    </w:rPr>
  </w:style>
  <w:style w:type="paragraph" w:customStyle="1" w:styleId="Head1">
    <w:name w:val="Head 1"/>
    <w:basedOn w:val="Normal-Ref"/>
    <w:qFormat/>
    <w:rsid w:val="007257E3"/>
    <w:pPr>
      <w:numPr>
        <w:numId w:val="127"/>
      </w:numPr>
      <w:tabs>
        <w:tab w:val="num" w:pos="1276"/>
      </w:tabs>
      <w:spacing w:before="120" w:after="0" w:line="288" w:lineRule="auto"/>
      <w:ind w:left="1276" w:hanging="425"/>
    </w:pPr>
    <w:rPr>
      <w:rFonts w:ascii="Times New Roman" w:hAnsi="Times New Roman"/>
      <w:sz w:val="24"/>
      <w:szCs w:val="28"/>
      <w:lang w:val="fr-FR"/>
    </w:rPr>
  </w:style>
  <w:style w:type="paragraph" w:customStyle="1" w:styleId="CharChar131">
    <w:name w:val="Char Char131"/>
    <w:basedOn w:val="Normal"/>
    <w:uiPriority w:val="99"/>
    <w:rsid w:val="007257E3"/>
    <w:pPr>
      <w:widowControl w:val="0"/>
      <w:adjustRightInd w:val="0"/>
      <w:spacing w:after="160" w:line="240" w:lineRule="exact"/>
      <w:textAlignment w:val="baseline"/>
    </w:pPr>
    <w:rPr>
      <w:rFonts w:ascii="Tahoma" w:eastAsia="Times New Roman" w:hAnsi="Tahoma" w:cs="Times New Roman"/>
      <w:sz w:val="20"/>
      <w:szCs w:val="20"/>
      <w:lang w:val="en-US"/>
    </w:rPr>
  </w:style>
  <w:style w:type="table" w:customStyle="1" w:styleId="GridTable1Light1">
    <w:name w:val="Grid Table 1 Light1"/>
    <w:basedOn w:val="TableNormal"/>
    <w:uiPriority w:val="46"/>
    <w:rsid w:val="007257E3"/>
    <w:pPr>
      <w:spacing w:line="240" w:lineRule="auto"/>
    </w:pPr>
    <w:rPr>
      <w:rFonts w:ascii="Calibri" w:eastAsia="Times New Roman" w:hAnsi="Calibri" w:cs="Times New Roman"/>
      <w:sz w:val="22"/>
      <w:szCs w:val="22"/>
      <w:lang w:val="ro-RO" w:eastAsia="ro-RO"/>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BodyText28">
    <w:name w:val="Body Text28"/>
    <w:basedOn w:val="Normal"/>
    <w:qFormat/>
    <w:rsid w:val="007257E3"/>
    <w:pPr>
      <w:shd w:val="clear" w:color="auto" w:fill="FFFFFF"/>
      <w:spacing w:line="328" w:lineRule="exact"/>
      <w:ind w:hanging="440"/>
    </w:pPr>
    <w:rPr>
      <w:rFonts w:ascii="Calibri" w:eastAsia="Calibri" w:hAnsi="Calibri" w:cs="Calibri"/>
      <w:sz w:val="21"/>
      <w:szCs w:val="21"/>
      <w:lang w:val="ro" w:eastAsia="ro-RO"/>
    </w:rPr>
  </w:style>
  <w:style w:type="character" w:customStyle="1" w:styleId="BodyText111">
    <w:name w:val="Body Text11"/>
    <w:rsid w:val="007257E3"/>
    <w:rPr>
      <w:rFonts w:ascii="Calibri" w:eastAsia="Calibri" w:hAnsi="Calibri" w:cs="Calibri"/>
      <w:b w:val="0"/>
      <w:bCs w:val="0"/>
      <w:i w:val="0"/>
      <w:iCs w:val="0"/>
      <w:smallCaps w:val="0"/>
      <w:strike w:val="0"/>
      <w:spacing w:val="0"/>
      <w:sz w:val="21"/>
      <w:szCs w:val="21"/>
      <w:shd w:val="clear" w:color="auto" w:fill="FFFFFF"/>
    </w:rPr>
  </w:style>
  <w:style w:type="paragraph" w:customStyle="1" w:styleId="Char5CharCharCharChar">
    <w:name w:val="Char5 Char Char Char Char"/>
    <w:basedOn w:val="Normal"/>
    <w:qFormat/>
    <w:rsid w:val="007257E3"/>
    <w:pPr>
      <w:tabs>
        <w:tab w:val="left" w:pos="709"/>
      </w:tabs>
      <w:spacing w:before="120" w:line="240" w:lineRule="auto"/>
    </w:pPr>
    <w:rPr>
      <w:rFonts w:ascii="Calibri" w:eastAsia="Times New Roman" w:hAnsi="Calibri" w:cs="Times New Roman"/>
      <w:sz w:val="24"/>
      <w:szCs w:val="24"/>
      <w:lang w:val="pl-PL" w:eastAsia="pl-PL"/>
    </w:rPr>
  </w:style>
  <w:style w:type="paragraph" w:customStyle="1" w:styleId="FigureChar">
    <w:name w:val="Figure Char"/>
    <w:basedOn w:val="Normal"/>
    <w:link w:val="FigureCharChar"/>
    <w:qFormat/>
    <w:rsid w:val="007257E3"/>
    <w:pPr>
      <w:spacing w:before="120" w:line="240" w:lineRule="auto"/>
      <w:jc w:val="center"/>
    </w:pPr>
    <w:rPr>
      <w:rFonts w:ascii="Arial" w:eastAsia="Times New Roman" w:hAnsi="Arial" w:cs="Times New Roman"/>
      <w:sz w:val="20"/>
      <w:szCs w:val="20"/>
      <w:lang w:val="en-GB"/>
    </w:rPr>
  </w:style>
  <w:style w:type="character" w:customStyle="1" w:styleId="FigureCharChar">
    <w:name w:val="Figure Char Char"/>
    <w:link w:val="FigureChar"/>
    <w:rsid w:val="007257E3"/>
    <w:rPr>
      <w:rFonts w:ascii="Arial" w:eastAsia="Times New Roman" w:hAnsi="Arial" w:cs="Times New Roman"/>
      <w:sz w:val="20"/>
      <w:szCs w:val="20"/>
      <w:lang w:val="en-GB"/>
    </w:rPr>
  </w:style>
  <w:style w:type="paragraph" w:customStyle="1" w:styleId="TableChar">
    <w:name w:val="Table Char"/>
    <w:basedOn w:val="Normal"/>
    <w:link w:val="TableCharChar"/>
    <w:qFormat/>
    <w:rsid w:val="007257E3"/>
    <w:pPr>
      <w:spacing w:before="120" w:line="240" w:lineRule="auto"/>
    </w:pPr>
    <w:rPr>
      <w:rFonts w:ascii="Arial" w:eastAsia="Times New Roman" w:hAnsi="Arial" w:cs="Times New Roman"/>
      <w:sz w:val="24"/>
      <w:szCs w:val="24"/>
      <w:lang w:val="en-GB"/>
    </w:rPr>
  </w:style>
  <w:style w:type="character" w:customStyle="1" w:styleId="TableCharChar">
    <w:name w:val="Table Char Char"/>
    <w:link w:val="TableChar"/>
    <w:rsid w:val="007257E3"/>
    <w:rPr>
      <w:rFonts w:ascii="Arial" w:eastAsia="Times New Roman" w:hAnsi="Arial" w:cs="Times New Roman"/>
      <w:sz w:val="24"/>
      <w:szCs w:val="24"/>
      <w:lang w:val="en-GB"/>
    </w:rPr>
  </w:style>
  <w:style w:type="table" w:customStyle="1" w:styleId="TableGrid15">
    <w:name w:val="Table Grid15"/>
    <w:basedOn w:val="TableNormal"/>
    <w:next w:val="TableGrid"/>
    <w:rsid w:val="007257E3"/>
    <w:pPr>
      <w:spacing w:before="120" w:line="240" w:lineRule="auto"/>
      <w:jc w:val="both"/>
    </w:pPr>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lorfulList-Accent12">
    <w:name w:val="Colorful List - Accent 12"/>
    <w:basedOn w:val="Normal"/>
    <w:qFormat/>
    <w:rsid w:val="007257E3"/>
    <w:pPr>
      <w:spacing w:before="120" w:line="240" w:lineRule="auto"/>
      <w:ind w:left="720" w:firstLine="720"/>
      <w:contextualSpacing/>
      <w:jc w:val="both"/>
    </w:pPr>
    <w:rPr>
      <w:rFonts w:ascii="Calibri" w:eastAsia="Times New Roman" w:hAnsi="Calibri" w:cs="Times New Roman"/>
      <w:sz w:val="24"/>
      <w:szCs w:val="20"/>
      <w:lang w:val="en-GB"/>
    </w:rPr>
  </w:style>
  <w:style w:type="paragraph" w:customStyle="1" w:styleId="CaracterCaracter1">
    <w:name w:val="Caracter Caracter1"/>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StyleCaptionCaracterCaracterCaracterCaracterCaracterCaracteChar">
    <w:name w:val="Style CaptionCaracter CaracterCaracter Caracter Caracter Caracte... Char"/>
    <w:basedOn w:val="Caption"/>
    <w:link w:val="StyleCaptionCaracterCaracterCaracterCaracterCaracterCaracteCharChar"/>
    <w:autoRedefine/>
    <w:qFormat/>
    <w:rsid w:val="007257E3"/>
    <w:pPr>
      <w:spacing w:before="0" w:after="0" w:line="240" w:lineRule="auto"/>
    </w:pPr>
    <w:rPr>
      <w:rFonts w:ascii="Arial" w:eastAsia="Times New Roman" w:hAnsi="Arial" w:cs="Times New Roman"/>
      <w:b w:val="0"/>
      <w:bCs w:val="0"/>
      <w:color w:val="4F81BD"/>
      <w:sz w:val="18"/>
      <w:lang w:eastAsia="x-none"/>
    </w:rPr>
  </w:style>
  <w:style w:type="character" w:customStyle="1" w:styleId="StyleCaptionCaracterCaracterCaracterCaracterCaracterCaracteCharChar">
    <w:name w:val="Style CaptionCaracter CaracterCaracter Caracter Caracter Caracte... Char Char"/>
    <w:link w:val="StyleCaptionCaracterCaracterCaracterCaracterCaracterCaracteChar"/>
    <w:rsid w:val="007257E3"/>
    <w:rPr>
      <w:rFonts w:ascii="Arial" w:eastAsia="Times New Roman" w:hAnsi="Arial" w:cs="Times New Roman"/>
      <w:color w:val="4F81BD"/>
      <w:lang w:val="ro-RO" w:eastAsia="x-none"/>
    </w:rPr>
  </w:style>
  <w:style w:type="paragraph" w:customStyle="1" w:styleId="StyleCaptionCaracterCaracterCaracterCaracterCaracterCaracte1Char">
    <w:name w:val="Style CaptionCaracter CaracterCaracter Caracter Caracter Caracte...1 Char"/>
    <w:basedOn w:val="Caption"/>
    <w:link w:val="StyleCaptionCaracterCaracterCaracterCaracterCaracterCaracte1CharChar"/>
    <w:autoRedefine/>
    <w:qFormat/>
    <w:rsid w:val="007257E3"/>
    <w:pPr>
      <w:spacing w:before="0" w:after="0" w:line="240" w:lineRule="auto"/>
    </w:pPr>
    <w:rPr>
      <w:rFonts w:ascii="Arial" w:eastAsia="Times New Roman" w:hAnsi="Arial" w:cs="Times New Roman"/>
      <w:b w:val="0"/>
      <w:bCs w:val="0"/>
      <w:color w:val="4F81BD"/>
      <w:sz w:val="18"/>
      <w:lang w:eastAsia="x-none"/>
    </w:rPr>
  </w:style>
  <w:style w:type="character" w:customStyle="1" w:styleId="StyleCaptionCaracterCaracterCaracterCaracterCaracterCaracte1CharChar">
    <w:name w:val="Style CaptionCaracter CaracterCaracter Caracter Caracter Caracte...1 Char Char"/>
    <w:link w:val="StyleCaptionCaracterCaracterCaracterCaracterCaracterCaracte1Char"/>
    <w:rsid w:val="007257E3"/>
    <w:rPr>
      <w:rFonts w:ascii="Arial" w:eastAsia="Times New Roman" w:hAnsi="Arial" w:cs="Times New Roman"/>
      <w:color w:val="4F81BD"/>
      <w:lang w:val="ro-RO" w:eastAsia="x-none"/>
    </w:rPr>
  </w:style>
  <w:style w:type="paragraph" w:customStyle="1" w:styleId="CaracterCaracter12">
    <w:name w:val="Caracter Caracter12"/>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CaracterCaracter11">
    <w:name w:val="Caracter Caracter11"/>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FigureCharCharCharChar">
    <w:name w:val="Figure Char Char Char Char"/>
    <w:basedOn w:val="Normal"/>
    <w:link w:val="FigureCharCharCharCharChar"/>
    <w:qFormat/>
    <w:rsid w:val="007257E3"/>
    <w:pPr>
      <w:spacing w:before="120" w:line="240" w:lineRule="auto"/>
      <w:jc w:val="center"/>
    </w:pPr>
    <w:rPr>
      <w:rFonts w:ascii="Arial" w:eastAsia="Times New Roman" w:hAnsi="Arial" w:cs="Times New Roman"/>
      <w:sz w:val="24"/>
      <w:szCs w:val="20"/>
      <w:lang w:val="en-GB"/>
    </w:rPr>
  </w:style>
  <w:style w:type="character" w:customStyle="1" w:styleId="FigureCharCharCharCharChar">
    <w:name w:val="Figure Char Char Char Char Char"/>
    <w:link w:val="FigureCharCharCharChar"/>
    <w:rsid w:val="007257E3"/>
    <w:rPr>
      <w:rFonts w:ascii="Arial" w:eastAsia="Times New Roman" w:hAnsi="Arial" w:cs="Times New Roman"/>
      <w:sz w:val="24"/>
      <w:szCs w:val="20"/>
      <w:lang w:val="en-GB"/>
    </w:rPr>
  </w:style>
  <w:style w:type="paragraph" w:customStyle="1" w:styleId="pfeilaufzhlungszeichenCharCharCharCharCharCharCharCharCharCharCharCharCharCharCharChar">
    <w:name w:val="pfeil aufzählungszeichen Char Char Char Char Char Char Char Char Char Char Char Char Char Char Char Char"/>
    <w:basedOn w:val="Normal"/>
    <w:link w:val="pfeilaufzhlungszeichenCharCharCharCharCharCharCharCharCharCharCharCharCharCharCharCharChar"/>
    <w:qFormat/>
    <w:rsid w:val="007257E3"/>
    <w:pPr>
      <w:tabs>
        <w:tab w:val="num" w:pos="360"/>
      </w:tabs>
      <w:autoSpaceDE w:val="0"/>
      <w:autoSpaceDN w:val="0"/>
      <w:adjustRightInd w:val="0"/>
      <w:spacing w:before="60" w:line="240" w:lineRule="auto"/>
      <w:ind w:left="360" w:hanging="360"/>
      <w:jc w:val="both"/>
    </w:pPr>
    <w:rPr>
      <w:rFonts w:ascii="Calibri" w:eastAsia="Calibri" w:hAnsi="Calibri" w:cs="Times New Roman"/>
      <w:sz w:val="24"/>
      <w:szCs w:val="24"/>
      <w:lang w:val="x-none" w:eastAsia="x-none"/>
    </w:rPr>
  </w:style>
  <w:style w:type="character" w:customStyle="1" w:styleId="pfeilaufzhlungszeichenCharCharCharCharCharCharCharCharCharCharCharCharCharCharCharCharChar">
    <w:name w:val="pfeil aufzählungszeichen Char Char Char Char Char Char Char Char Char Char Char Char Char Char Char Char Char"/>
    <w:link w:val="pfeilaufzhlungszeichenCharCharCharCharCharCharCharCharCharCharCharCharCharCharCharChar"/>
    <w:locked/>
    <w:rsid w:val="007257E3"/>
    <w:rPr>
      <w:rFonts w:ascii="Calibri" w:eastAsia="Calibri" w:hAnsi="Calibri" w:cs="Times New Roman"/>
      <w:sz w:val="24"/>
      <w:szCs w:val="24"/>
      <w:lang w:val="x-none" w:eastAsia="x-none"/>
    </w:rPr>
  </w:style>
  <w:style w:type="paragraph" w:customStyle="1" w:styleId="pfeilaufzhlungszeichenCharCharCharCharCharCharCharCharCharCharCharCharCharCharChar">
    <w:name w:val="pfeil aufzählungszeichen Char Char Char Char Char Char Char Char Char Char Char Char Char Char Char"/>
    <w:basedOn w:val="Normal"/>
    <w:qFormat/>
    <w:rsid w:val="007257E3"/>
    <w:pPr>
      <w:tabs>
        <w:tab w:val="num" w:pos="360"/>
      </w:tabs>
      <w:autoSpaceDE w:val="0"/>
      <w:autoSpaceDN w:val="0"/>
      <w:adjustRightInd w:val="0"/>
      <w:spacing w:before="60" w:line="240" w:lineRule="auto"/>
      <w:ind w:left="360" w:hanging="360"/>
      <w:jc w:val="both"/>
    </w:pPr>
    <w:rPr>
      <w:rFonts w:ascii="Calibri" w:eastAsia="Calibri" w:hAnsi="Calibri" w:cs="Times New Roman"/>
      <w:sz w:val="24"/>
      <w:szCs w:val="24"/>
      <w:lang w:val="en-GB"/>
    </w:rPr>
  </w:style>
  <w:style w:type="paragraph" w:customStyle="1" w:styleId="FigureCharCharChar">
    <w:name w:val="Figure Char Char Char"/>
    <w:basedOn w:val="Normal"/>
    <w:qFormat/>
    <w:rsid w:val="007257E3"/>
    <w:pPr>
      <w:spacing w:before="120" w:line="240" w:lineRule="auto"/>
      <w:jc w:val="center"/>
    </w:pPr>
    <w:rPr>
      <w:rFonts w:ascii="Arial" w:eastAsia="Times New Roman" w:hAnsi="Arial" w:cs="Times New Roman"/>
      <w:sz w:val="24"/>
      <w:szCs w:val="20"/>
      <w:lang w:val="en-GB"/>
    </w:rPr>
  </w:style>
  <w:style w:type="character" w:customStyle="1" w:styleId="Char9">
    <w:name w:val="Char9"/>
    <w:rsid w:val="007257E3"/>
    <w:rPr>
      <w:rFonts w:ascii="Arial" w:hAnsi="Arial"/>
      <w:b/>
      <w:i/>
      <w:sz w:val="28"/>
      <w:lang w:val="en-GB" w:bidi="ar-SA"/>
    </w:rPr>
  </w:style>
  <w:style w:type="character" w:customStyle="1" w:styleId="Char8">
    <w:name w:val="Char8"/>
    <w:rsid w:val="007257E3"/>
    <w:rPr>
      <w:rFonts w:ascii="Arial Narrow" w:hAnsi="Arial Narrow"/>
      <w:b/>
      <w:sz w:val="26"/>
      <w:lang w:val="en-GB" w:bidi="ar-SA"/>
    </w:rPr>
  </w:style>
  <w:style w:type="character" w:customStyle="1" w:styleId="Caption10">
    <w:name w:val="Caption1"/>
    <w:aliases w:val="Caracter Caracter Caracter1, Caracter Caracter Caracter Char Char1, Caracter Caracter Caracter Char Char Char Char Ch1, Caracter Caracter Caracter Char Char2, Caracter Caracter Caracter Char Char3,Caracter Caracter Caracter Char Char1"/>
    <w:rsid w:val="007257E3"/>
    <w:rPr>
      <w:rFonts w:ascii="Arial" w:hAnsi="Arial"/>
      <w:b/>
      <w:bCs/>
      <w:sz w:val="24"/>
      <w:szCs w:val="18"/>
      <w:lang w:val="ro-RO" w:bidi="ar-SA"/>
    </w:rPr>
  </w:style>
  <w:style w:type="character" w:customStyle="1" w:styleId="TableChar1">
    <w:name w:val="Table Char1"/>
    <w:link w:val="Table"/>
    <w:rsid w:val="007257E3"/>
    <w:rPr>
      <w:sz w:val="14"/>
      <w:lang w:val="en-US"/>
    </w:rPr>
  </w:style>
  <w:style w:type="paragraph" w:customStyle="1" w:styleId="StyleCaptionCaracterCaracterCaracterCaracterCaracterCaracte">
    <w:name w:val="Style CaptionCaracter CaracterCaracter Caracter Caracter Caracte..."/>
    <w:basedOn w:val="Caption"/>
    <w:autoRedefine/>
    <w:qFormat/>
    <w:rsid w:val="007257E3"/>
    <w:pPr>
      <w:spacing w:before="0" w:after="0" w:line="240" w:lineRule="auto"/>
    </w:pPr>
    <w:rPr>
      <w:rFonts w:ascii="Arial" w:eastAsia="Times New Roman" w:hAnsi="Arial" w:cs="Times New Roman"/>
      <w:b w:val="0"/>
      <w:bCs w:val="0"/>
      <w:color w:val="4F81BD"/>
      <w:sz w:val="18"/>
      <w:lang w:eastAsia="x-none"/>
    </w:rPr>
  </w:style>
  <w:style w:type="paragraph" w:customStyle="1" w:styleId="StyleCaptionCaracterCaracterCaracterCaracterCaracterCaracte1">
    <w:name w:val="Style CaptionCaracter CaracterCaracter Caracter Caracter Caracte...1"/>
    <w:basedOn w:val="Caption"/>
    <w:autoRedefine/>
    <w:qFormat/>
    <w:rsid w:val="007257E3"/>
    <w:pPr>
      <w:spacing w:before="0" w:after="0" w:line="240" w:lineRule="auto"/>
    </w:pPr>
    <w:rPr>
      <w:rFonts w:ascii="Arial" w:eastAsia="Times New Roman" w:hAnsi="Arial" w:cs="Times New Roman"/>
      <w:b w:val="0"/>
      <w:bCs w:val="0"/>
      <w:color w:val="4F81BD"/>
      <w:sz w:val="18"/>
      <w:lang w:eastAsia="x-none"/>
    </w:rPr>
  </w:style>
  <w:style w:type="paragraph" w:customStyle="1" w:styleId="StyleTableBold">
    <w:name w:val="Style Table + Bold"/>
    <w:basedOn w:val="Table"/>
    <w:link w:val="StyleTableBoldChar"/>
    <w:qFormat/>
    <w:rsid w:val="007257E3"/>
    <w:pPr>
      <w:spacing w:before="120" w:after="0" w:line="240" w:lineRule="auto"/>
      <w:ind w:left="0" w:right="0"/>
    </w:pPr>
    <w:rPr>
      <w:rFonts w:ascii="Arial" w:eastAsia="Times New Roman" w:hAnsi="Arial" w:cs="Times New Roman"/>
      <w:b/>
      <w:bCs/>
      <w:sz w:val="24"/>
      <w:szCs w:val="24"/>
      <w:lang w:val="en-GB"/>
    </w:rPr>
  </w:style>
  <w:style w:type="character" w:customStyle="1" w:styleId="StyleTableBoldChar">
    <w:name w:val="Style Table + Bold Char"/>
    <w:link w:val="StyleTableBold"/>
    <w:rsid w:val="007257E3"/>
    <w:rPr>
      <w:rFonts w:ascii="Arial" w:eastAsia="Times New Roman" w:hAnsi="Arial" w:cs="Times New Roman"/>
      <w:b/>
      <w:bCs/>
      <w:sz w:val="24"/>
      <w:szCs w:val="24"/>
      <w:lang w:val="en-GB"/>
    </w:rPr>
  </w:style>
  <w:style w:type="paragraph" w:customStyle="1" w:styleId="FigureCharCharCharCharCharCharChar">
    <w:name w:val="Figure Char Char Char Char Char Char Char"/>
    <w:basedOn w:val="Normal"/>
    <w:link w:val="FigureCharCharCharCharCharCharCharChar"/>
    <w:qFormat/>
    <w:rsid w:val="007257E3"/>
    <w:pPr>
      <w:spacing w:before="120" w:line="240" w:lineRule="auto"/>
      <w:jc w:val="center"/>
    </w:pPr>
    <w:rPr>
      <w:rFonts w:ascii="Arial" w:eastAsia="Times New Roman" w:hAnsi="Arial" w:cs="Times New Roman"/>
      <w:sz w:val="24"/>
      <w:szCs w:val="20"/>
      <w:lang w:val="en-GB"/>
    </w:rPr>
  </w:style>
  <w:style w:type="character" w:customStyle="1" w:styleId="FigureCharCharCharCharCharCharCharChar">
    <w:name w:val="Figure Char Char Char Char Char Char Char Char"/>
    <w:link w:val="FigureCharCharCharCharCharCharChar"/>
    <w:rsid w:val="007257E3"/>
    <w:rPr>
      <w:rFonts w:ascii="Arial" w:eastAsia="Times New Roman" w:hAnsi="Arial" w:cs="Times New Roman"/>
      <w:sz w:val="24"/>
      <w:szCs w:val="20"/>
      <w:lang w:val="en-GB"/>
    </w:rPr>
  </w:style>
  <w:style w:type="paragraph" w:customStyle="1" w:styleId="FigureCharCharCharCharCharChar">
    <w:name w:val="Figure Char Char Char Char Char Char"/>
    <w:basedOn w:val="Normal"/>
    <w:link w:val="FigureCharCharCharCharCharCharChar1"/>
    <w:qFormat/>
    <w:rsid w:val="007257E3"/>
    <w:pPr>
      <w:spacing w:before="120" w:line="240" w:lineRule="auto"/>
      <w:jc w:val="center"/>
    </w:pPr>
    <w:rPr>
      <w:rFonts w:ascii="Arial" w:eastAsia="Times New Roman" w:hAnsi="Arial" w:cs="Times New Roman"/>
      <w:sz w:val="24"/>
      <w:szCs w:val="24"/>
      <w:lang w:val="en-GB"/>
    </w:rPr>
  </w:style>
  <w:style w:type="character" w:customStyle="1" w:styleId="FigureCharCharCharCharCharCharChar1">
    <w:name w:val="Figure Char Char Char Char Char Char Char1"/>
    <w:link w:val="FigureCharCharCharCharCharChar"/>
    <w:rsid w:val="007257E3"/>
    <w:rPr>
      <w:rFonts w:ascii="Arial" w:eastAsia="Times New Roman" w:hAnsi="Arial" w:cs="Times New Roman"/>
      <w:sz w:val="24"/>
      <w:szCs w:val="24"/>
      <w:lang w:val="en-GB"/>
    </w:rPr>
  </w:style>
  <w:style w:type="paragraph" w:customStyle="1" w:styleId="StyleTableBold1">
    <w:name w:val="Style Table + Bold1"/>
    <w:basedOn w:val="Table"/>
    <w:link w:val="StyleTableBold1Char"/>
    <w:qFormat/>
    <w:rsid w:val="007257E3"/>
    <w:pPr>
      <w:spacing w:before="120" w:after="0" w:line="240" w:lineRule="auto"/>
      <w:ind w:left="0" w:right="0"/>
    </w:pPr>
    <w:rPr>
      <w:rFonts w:ascii="Arial" w:eastAsia="Times New Roman" w:hAnsi="Arial" w:cs="Times New Roman"/>
      <w:b/>
      <w:bCs/>
      <w:sz w:val="24"/>
      <w:szCs w:val="24"/>
      <w:lang w:val="en-GB"/>
    </w:rPr>
  </w:style>
  <w:style w:type="character" w:customStyle="1" w:styleId="StyleTableBold1Char">
    <w:name w:val="Style Table + Bold1 Char"/>
    <w:link w:val="StyleTableBold1"/>
    <w:rsid w:val="007257E3"/>
    <w:rPr>
      <w:rFonts w:ascii="Arial" w:eastAsia="Times New Roman" w:hAnsi="Arial" w:cs="Times New Roman"/>
      <w:b/>
      <w:bCs/>
      <w:sz w:val="24"/>
      <w:szCs w:val="24"/>
      <w:lang w:val="en-GB"/>
    </w:rPr>
  </w:style>
  <w:style w:type="paragraph" w:customStyle="1" w:styleId="StyleFigureCharCharCharCharCharCharBold">
    <w:name w:val="Style Figure Char Char Char Char Char Char + Bold"/>
    <w:basedOn w:val="FigureCharCharCharCharCharChar"/>
    <w:link w:val="StyleFigureCharCharCharCharCharCharBoldChar"/>
    <w:qFormat/>
    <w:rsid w:val="007257E3"/>
    <w:rPr>
      <w:b/>
      <w:bCs/>
    </w:rPr>
  </w:style>
  <w:style w:type="character" w:customStyle="1" w:styleId="StyleFigureCharCharCharCharCharCharBoldChar">
    <w:name w:val="Style Figure Char Char Char Char Char Char + Bold Char"/>
    <w:link w:val="StyleFigureCharCharCharCharCharCharBold"/>
    <w:rsid w:val="007257E3"/>
    <w:rPr>
      <w:rFonts w:ascii="Arial" w:eastAsia="Times New Roman" w:hAnsi="Arial" w:cs="Times New Roman"/>
      <w:b/>
      <w:bCs/>
      <w:sz w:val="24"/>
      <w:szCs w:val="24"/>
      <w:lang w:val="en-GB"/>
    </w:rPr>
  </w:style>
  <w:style w:type="character" w:customStyle="1" w:styleId="pfeilaufzhlungszeichenChar">
    <w:name w:val="pfeil aufzählungszeichen Char"/>
    <w:locked/>
    <w:rsid w:val="007257E3"/>
    <w:rPr>
      <w:rFonts w:ascii="Calibri" w:eastAsia="Calibri" w:hAnsi="Calibri" w:cs="Arial"/>
      <w:sz w:val="24"/>
      <w:szCs w:val="24"/>
      <w:lang w:val="en-GB" w:eastAsia="en-US" w:bidi="ar-SA"/>
    </w:rPr>
  </w:style>
  <w:style w:type="paragraph" w:customStyle="1" w:styleId="E1Char">
    <w:name w:val="E1 Char"/>
    <w:basedOn w:val="Normal"/>
    <w:link w:val="E1CharChar"/>
    <w:qFormat/>
    <w:rsid w:val="007257E3"/>
    <w:pPr>
      <w:overflowPunct w:val="0"/>
      <w:autoSpaceDE w:val="0"/>
      <w:autoSpaceDN w:val="0"/>
      <w:adjustRightInd w:val="0"/>
      <w:spacing w:after="160" w:line="320" w:lineRule="atLeast"/>
      <w:ind w:left="851"/>
      <w:jc w:val="both"/>
      <w:textAlignment w:val="baseline"/>
    </w:pPr>
    <w:rPr>
      <w:rFonts w:ascii="Arial" w:eastAsia="Times New Roman" w:hAnsi="Arial" w:cs="Times New Roman"/>
      <w:sz w:val="22"/>
      <w:szCs w:val="22"/>
      <w:lang w:val="de-DE" w:eastAsia="de-DE"/>
    </w:rPr>
  </w:style>
  <w:style w:type="character" w:customStyle="1" w:styleId="E1CharChar">
    <w:name w:val="E1 Char Char"/>
    <w:link w:val="E1Char"/>
    <w:locked/>
    <w:rsid w:val="007257E3"/>
    <w:rPr>
      <w:rFonts w:ascii="Arial" w:eastAsia="Times New Roman" w:hAnsi="Arial" w:cs="Times New Roman"/>
      <w:sz w:val="22"/>
      <w:szCs w:val="22"/>
      <w:lang w:val="de-DE" w:eastAsia="de-DE"/>
    </w:rPr>
  </w:style>
  <w:style w:type="paragraph" w:customStyle="1" w:styleId="AuflistungRmV-2">
    <w:name w:val="Auflistung RmV-2"/>
    <w:basedOn w:val="Normal"/>
    <w:qFormat/>
    <w:rsid w:val="007257E3"/>
    <w:pPr>
      <w:numPr>
        <w:ilvl w:val="2"/>
        <w:numId w:val="130"/>
      </w:numPr>
      <w:tabs>
        <w:tab w:val="num" w:pos="2160"/>
      </w:tabs>
      <w:spacing w:before="120" w:line="240" w:lineRule="auto"/>
      <w:jc w:val="both"/>
    </w:pPr>
    <w:rPr>
      <w:rFonts w:ascii="Times New Roman" w:eastAsia="Times New Roman" w:hAnsi="Times New Roman" w:cs="Times New Roman"/>
      <w:sz w:val="24"/>
      <w:szCs w:val="20"/>
      <w:lang w:val="en-GB"/>
    </w:rPr>
  </w:style>
  <w:style w:type="paragraph" w:customStyle="1" w:styleId="Pfad">
    <w:name w:val="Pfad"/>
    <w:basedOn w:val="Normal"/>
    <w:link w:val="PfadZchn"/>
    <w:qFormat/>
    <w:rsid w:val="007257E3"/>
    <w:pPr>
      <w:overflowPunct w:val="0"/>
      <w:autoSpaceDE w:val="0"/>
      <w:autoSpaceDN w:val="0"/>
      <w:adjustRightInd w:val="0"/>
      <w:spacing w:line="240" w:lineRule="auto"/>
      <w:textAlignment w:val="baseline"/>
    </w:pPr>
    <w:rPr>
      <w:rFonts w:ascii="Arial" w:eastAsia="Times New Roman" w:hAnsi="Arial" w:cs="Times New Roman"/>
      <w:sz w:val="10"/>
      <w:szCs w:val="22"/>
      <w:lang w:val="de-DE" w:eastAsia="de-DE"/>
    </w:rPr>
  </w:style>
  <w:style w:type="character" w:customStyle="1" w:styleId="PfadZchn">
    <w:name w:val="Pfad Zchn"/>
    <w:link w:val="Pfad"/>
    <w:rsid w:val="007257E3"/>
    <w:rPr>
      <w:rFonts w:ascii="Arial" w:eastAsia="Times New Roman" w:hAnsi="Arial" w:cs="Times New Roman"/>
      <w:sz w:val="10"/>
      <w:szCs w:val="22"/>
      <w:lang w:val="de-DE" w:eastAsia="de-DE"/>
    </w:rPr>
  </w:style>
  <w:style w:type="character" w:customStyle="1" w:styleId="maincontent">
    <w:name w:val="maincontent"/>
    <w:rsid w:val="007257E3"/>
  </w:style>
  <w:style w:type="paragraph" w:customStyle="1" w:styleId="E0">
    <w:name w:val="E0"/>
    <w:basedOn w:val="ILF-Standard"/>
    <w:qFormat/>
    <w:rsid w:val="007257E3"/>
    <w:pPr>
      <w:spacing w:after="160" w:line="320" w:lineRule="atLeast"/>
      <w:jc w:val="both"/>
      <w:textAlignment w:val="baseline"/>
    </w:pPr>
  </w:style>
  <w:style w:type="paragraph" w:customStyle="1" w:styleId="N0">
    <w:name w:val="N0"/>
    <w:basedOn w:val="ILF-Standard"/>
    <w:qFormat/>
    <w:rsid w:val="007257E3"/>
    <w:pPr>
      <w:spacing w:line="320" w:lineRule="atLeast"/>
      <w:ind w:left="425" w:hanging="425"/>
      <w:jc w:val="both"/>
      <w:textAlignment w:val="baseline"/>
    </w:pPr>
  </w:style>
  <w:style w:type="paragraph" w:customStyle="1" w:styleId="B0">
    <w:name w:val="B0"/>
    <w:basedOn w:val="ILF-Standard"/>
    <w:qFormat/>
    <w:rsid w:val="007257E3"/>
    <w:pPr>
      <w:spacing w:line="320" w:lineRule="atLeast"/>
      <w:ind w:left="425" w:hanging="425"/>
      <w:jc w:val="both"/>
      <w:textAlignment w:val="baseline"/>
    </w:pPr>
  </w:style>
  <w:style w:type="paragraph" w:customStyle="1" w:styleId="P0">
    <w:name w:val="P0"/>
    <w:basedOn w:val="ILF-Standard"/>
    <w:qFormat/>
    <w:rsid w:val="007257E3"/>
    <w:pPr>
      <w:numPr>
        <w:numId w:val="168"/>
      </w:numPr>
      <w:tabs>
        <w:tab w:val="clear" w:pos="425"/>
        <w:tab w:val="num" w:pos="360"/>
      </w:tabs>
      <w:spacing w:line="320" w:lineRule="atLeast"/>
      <w:ind w:left="720" w:hanging="360"/>
      <w:jc w:val="both"/>
      <w:textAlignment w:val="baseline"/>
    </w:pPr>
  </w:style>
  <w:style w:type="paragraph" w:customStyle="1" w:styleId="B1">
    <w:name w:val="B1"/>
    <w:basedOn w:val="ILF-Standard"/>
    <w:qFormat/>
    <w:rsid w:val="007257E3"/>
    <w:pPr>
      <w:spacing w:line="320" w:lineRule="atLeast"/>
      <w:ind w:left="1276" w:hanging="425"/>
      <w:jc w:val="both"/>
      <w:textAlignment w:val="baseline"/>
    </w:pPr>
  </w:style>
  <w:style w:type="paragraph" w:customStyle="1" w:styleId="E2">
    <w:name w:val="E2"/>
    <w:basedOn w:val="ILF-Standard"/>
    <w:qFormat/>
    <w:rsid w:val="007257E3"/>
    <w:pPr>
      <w:spacing w:after="160" w:line="320" w:lineRule="atLeast"/>
      <w:ind w:left="1276"/>
      <w:jc w:val="both"/>
      <w:textAlignment w:val="baseline"/>
    </w:pPr>
  </w:style>
  <w:style w:type="paragraph" w:customStyle="1" w:styleId="N2">
    <w:name w:val="N2"/>
    <w:basedOn w:val="ILF-Standard"/>
    <w:qFormat/>
    <w:rsid w:val="007257E3"/>
    <w:pPr>
      <w:spacing w:line="320" w:lineRule="atLeast"/>
      <w:ind w:left="1701" w:hanging="425"/>
      <w:jc w:val="both"/>
      <w:textAlignment w:val="baseline"/>
    </w:pPr>
  </w:style>
  <w:style w:type="paragraph" w:customStyle="1" w:styleId="B2">
    <w:name w:val="B2"/>
    <w:basedOn w:val="ILF-Standard"/>
    <w:qFormat/>
    <w:rsid w:val="007257E3"/>
    <w:pPr>
      <w:spacing w:line="320" w:lineRule="atLeast"/>
      <w:ind w:left="1701" w:hanging="425"/>
      <w:jc w:val="both"/>
      <w:textAlignment w:val="baseline"/>
    </w:pPr>
  </w:style>
  <w:style w:type="paragraph" w:customStyle="1" w:styleId="E3">
    <w:name w:val="E3"/>
    <w:basedOn w:val="ILF-Standard"/>
    <w:qFormat/>
    <w:rsid w:val="007257E3"/>
    <w:pPr>
      <w:spacing w:after="160" w:line="320" w:lineRule="atLeast"/>
      <w:ind w:left="1701"/>
      <w:jc w:val="both"/>
      <w:textAlignment w:val="baseline"/>
    </w:pPr>
  </w:style>
  <w:style w:type="paragraph" w:customStyle="1" w:styleId="N3">
    <w:name w:val="N3"/>
    <w:basedOn w:val="ILF-Standard"/>
    <w:qFormat/>
    <w:rsid w:val="007257E3"/>
    <w:pPr>
      <w:spacing w:line="320" w:lineRule="atLeast"/>
      <w:ind w:left="2126" w:hanging="425"/>
      <w:jc w:val="both"/>
      <w:textAlignment w:val="baseline"/>
    </w:pPr>
  </w:style>
  <w:style w:type="paragraph" w:customStyle="1" w:styleId="B3">
    <w:name w:val="B3"/>
    <w:basedOn w:val="ILF-Standard"/>
    <w:qFormat/>
    <w:rsid w:val="007257E3"/>
    <w:pPr>
      <w:spacing w:line="320" w:lineRule="atLeast"/>
      <w:ind w:left="2126" w:hanging="425"/>
      <w:jc w:val="both"/>
      <w:textAlignment w:val="baseline"/>
    </w:pPr>
  </w:style>
  <w:style w:type="paragraph" w:customStyle="1" w:styleId="P3">
    <w:name w:val="P3"/>
    <w:basedOn w:val="ILF-Standard"/>
    <w:qFormat/>
    <w:rsid w:val="007257E3"/>
    <w:pPr>
      <w:tabs>
        <w:tab w:val="num" w:pos="720"/>
        <w:tab w:val="num" w:pos="2126"/>
      </w:tabs>
      <w:spacing w:line="320" w:lineRule="atLeast"/>
      <w:ind w:left="2126" w:hanging="425"/>
      <w:jc w:val="both"/>
      <w:textAlignment w:val="baseline"/>
    </w:pPr>
  </w:style>
  <w:style w:type="paragraph" w:customStyle="1" w:styleId="Betrifft">
    <w:name w:val="Betrifft"/>
    <w:basedOn w:val="ILF-Standard"/>
    <w:link w:val="BetrifftZchn"/>
    <w:qFormat/>
    <w:rsid w:val="007257E3"/>
    <w:pPr>
      <w:tabs>
        <w:tab w:val="left" w:pos="1134"/>
      </w:tabs>
      <w:spacing w:before="320"/>
      <w:jc w:val="center"/>
      <w:textAlignment w:val="baseline"/>
    </w:pPr>
    <w:rPr>
      <w:b/>
      <w:sz w:val="40"/>
      <w:szCs w:val="40"/>
    </w:rPr>
  </w:style>
  <w:style w:type="character" w:customStyle="1" w:styleId="BetrifftZchn">
    <w:name w:val="Betrifft Zchn"/>
    <w:link w:val="Betrifft"/>
    <w:locked/>
    <w:rsid w:val="007257E3"/>
    <w:rPr>
      <w:rFonts w:ascii="Arial" w:eastAsia="Times New Roman" w:hAnsi="Arial" w:cs="Times New Roman"/>
      <w:b/>
      <w:sz w:val="40"/>
      <w:szCs w:val="40"/>
      <w:lang w:val="de-DE" w:eastAsia="de-DE"/>
    </w:rPr>
  </w:style>
  <w:style w:type="paragraph" w:customStyle="1" w:styleId="Projektname">
    <w:name w:val="Projektname"/>
    <w:basedOn w:val="Betrifft"/>
    <w:qFormat/>
    <w:rsid w:val="007257E3"/>
    <w:pPr>
      <w:spacing w:before="8000"/>
    </w:pPr>
    <w:rPr>
      <w:sz w:val="30"/>
      <w:szCs w:val="30"/>
    </w:rPr>
  </w:style>
  <w:style w:type="paragraph" w:customStyle="1" w:styleId="ILFDatum">
    <w:name w:val="ILFDatum"/>
    <w:basedOn w:val="Normal"/>
    <w:qFormat/>
    <w:rsid w:val="007257E3"/>
    <w:pPr>
      <w:overflowPunct w:val="0"/>
      <w:autoSpaceDE w:val="0"/>
      <w:autoSpaceDN w:val="0"/>
      <w:adjustRightInd w:val="0"/>
      <w:spacing w:before="320" w:line="240" w:lineRule="auto"/>
      <w:jc w:val="center"/>
      <w:textAlignment w:val="baseline"/>
    </w:pPr>
    <w:rPr>
      <w:rFonts w:ascii="Arial" w:eastAsia="Times New Roman" w:hAnsi="Arial" w:cs="Times New Roman"/>
      <w:b/>
      <w:sz w:val="24"/>
      <w:szCs w:val="24"/>
      <w:lang w:val="de-DE" w:eastAsia="de-DE"/>
    </w:rPr>
  </w:style>
  <w:style w:type="paragraph" w:customStyle="1" w:styleId="FormatvorlageBeschriftung9ptLinks2cmZeilenabstandeinfach">
    <w:name w:val="Formatvorlage Beschriftung + 9 pt Links:  2 cm Zeilenabstand:  einfach"/>
    <w:basedOn w:val="Caption"/>
    <w:qFormat/>
    <w:rsid w:val="007257E3"/>
    <w:pPr>
      <w:overflowPunct w:val="0"/>
      <w:autoSpaceDE w:val="0"/>
      <w:autoSpaceDN w:val="0"/>
      <w:adjustRightInd w:val="0"/>
      <w:spacing w:before="0" w:after="160" w:line="240" w:lineRule="auto"/>
      <w:ind w:left="1134"/>
      <w:textAlignment w:val="baseline"/>
    </w:pPr>
    <w:rPr>
      <w:rFonts w:ascii="Arial" w:eastAsia="Times New Roman" w:hAnsi="Arial" w:cs="Times New Roman"/>
      <w:b w:val="0"/>
      <w:bCs w:val="0"/>
      <w:color w:val="auto"/>
      <w:sz w:val="18"/>
      <w:szCs w:val="20"/>
      <w:lang w:val="de-DE" w:eastAsia="de-DE"/>
    </w:rPr>
  </w:style>
  <w:style w:type="paragraph" w:customStyle="1" w:styleId="FormatvorlageBeschriftung9ptFettLinks2cmZeilenabstandeinf">
    <w:name w:val="Formatvorlage Beschriftung + 9 pt Fett Links:  2 cm Zeilenabstand:  einf..."/>
    <w:basedOn w:val="Caption"/>
    <w:qFormat/>
    <w:rsid w:val="007257E3"/>
    <w:pPr>
      <w:overflowPunct w:val="0"/>
      <w:autoSpaceDE w:val="0"/>
      <w:autoSpaceDN w:val="0"/>
      <w:adjustRightInd w:val="0"/>
      <w:spacing w:before="0" w:after="160" w:line="240" w:lineRule="auto"/>
      <w:ind w:left="1134"/>
      <w:textAlignment w:val="baseline"/>
    </w:pPr>
    <w:rPr>
      <w:rFonts w:ascii="Arial" w:eastAsia="Times New Roman" w:hAnsi="Arial" w:cs="Times New Roman"/>
      <w:b w:val="0"/>
      <w:color w:val="auto"/>
      <w:sz w:val="18"/>
      <w:szCs w:val="20"/>
      <w:lang w:val="de-DE" w:eastAsia="de-DE"/>
    </w:rPr>
  </w:style>
  <w:style w:type="character" w:customStyle="1" w:styleId="CharacterStyle6">
    <w:name w:val="Character Style 6"/>
    <w:semiHidden/>
    <w:rsid w:val="007257E3"/>
    <w:rPr>
      <w:rFonts w:ascii="Arial" w:hAnsi="Arial"/>
      <w:sz w:val="22"/>
    </w:rPr>
  </w:style>
  <w:style w:type="paragraph" w:customStyle="1" w:styleId="Indent">
    <w:name w:val="Indent"/>
    <w:basedOn w:val="Normal"/>
    <w:qFormat/>
    <w:rsid w:val="007257E3"/>
    <w:pPr>
      <w:spacing w:before="120" w:line="240" w:lineRule="auto"/>
      <w:ind w:left="851" w:hanging="851"/>
    </w:pPr>
    <w:rPr>
      <w:rFonts w:ascii="Times New Roman" w:eastAsia="Times New Roman" w:hAnsi="Times New Roman" w:cs="Times New Roman"/>
      <w:sz w:val="24"/>
      <w:szCs w:val="20"/>
      <w:lang w:val="en-US" w:eastAsia="en-GB"/>
    </w:rPr>
  </w:style>
  <w:style w:type="paragraph" w:customStyle="1" w:styleId="StyleBodyTextCentered">
    <w:name w:val="Style Body Text + Centered"/>
    <w:basedOn w:val="Normal"/>
    <w:qFormat/>
    <w:rsid w:val="007257E3"/>
    <w:pPr>
      <w:numPr>
        <w:numId w:val="128"/>
      </w:numPr>
      <w:spacing w:line="240" w:lineRule="auto"/>
      <w:ind w:left="1170" w:hanging="1170"/>
    </w:pPr>
    <w:rPr>
      <w:rFonts w:ascii="Times New Roman" w:eastAsia="Times New Roman" w:hAnsi="Times New Roman" w:cs="Times New Roman"/>
      <w:noProof/>
      <w:sz w:val="24"/>
      <w:szCs w:val="24"/>
    </w:rPr>
  </w:style>
  <w:style w:type="paragraph" w:customStyle="1" w:styleId="Normal3">
    <w:name w:val="[Normal]"/>
    <w:qFormat/>
    <w:rsid w:val="007257E3"/>
    <w:pPr>
      <w:spacing w:line="240" w:lineRule="auto"/>
    </w:pPr>
    <w:rPr>
      <w:rFonts w:ascii="Arial" w:eastAsia="Arial" w:hAnsi="Arial" w:cs="Times New Roman"/>
      <w:noProof/>
      <w:sz w:val="24"/>
      <w:szCs w:val="20"/>
      <w:lang w:val="en-US"/>
    </w:rPr>
  </w:style>
  <w:style w:type="character" w:customStyle="1" w:styleId="FootnoteCharacters">
    <w:name w:val="Footnote Characters"/>
    <w:rsid w:val="007257E3"/>
    <w:rPr>
      <w:vertAlign w:val="superscript"/>
    </w:rPr>
  </w:style>
  <w:style w:type="character" w:customStyle="1" w:styleId="WW-FootnoteCharacters">
    <w:name w:val="WW-Footnote Characters"/>
    <w:rsid w:val="007257E3"/>
    <w:rPr>
      <w:rFonts w:ascii="Calibri" w:hAnsi="Calibri"/>
      <w:sz w:val="24"/>
      <w:szCs w:val="24"/>
      <w:vertAlign w:val="superscript"/>
      <w:lang w:val="pl-PL" w:eastAsia="pl-PL" w:bidi="ar-SA"/>
    </w:rPr>
  </w:style>
  <w:style w:type="paragraph" w:customStyle="1" w:styleId="WW-CommentText">
    <w:name w:val="WW-Comment Text"/>
    <w:basedOn w:val="Normal"/>
    <w:qFormat/>
    <w:rsid w:val="007257E3"/>
    <w:pPr>
      <w:suppressAutoHyphens/>
      <w:spacing w:line="240" w:lineRule="auto"/>
      <w:jc w:val="both"/>
    </w:pPr>
    <w:rPr>
      <w:rFonts w:ascii="Arial" w:eastAsia="Times New Roman" w:hAnsi="Arial" w:cs="Times New Roman"/>
      <w:sz w:val="20"/>
      <w:szCs w:val="20"/>
      <w:lang w:eastAsia="ar-SA"/>
    </w:rPr>
  </w:style>
  <w:style w:type="character" w:customStyle="1" w:styleId="Fuzeile-2CharChar">
    <w:name w:val="Fußzeile-2 Char Char"/>
    <w:rsid w:val="007257E3"/>
    <w:rPr>
      <w:rFonts w:ascii="Times New Roman" w:eastAsia="Times New Roman" w:hAnsi="Times New Roman" w:cs="Times New Roman"/>
      <w:b/>
      <w:noProof/>
      <w:sz w:val="16"/>
      <w:szCs w:val="24"/>
      <w:lang w:val="de-DE" w:eastAsia="pl-PL" w:bidi="ar-SA"/>
    </w:rPr>
  </w:style>
  <w:style w:type="paragraph" w:customStyle="1" w:styleId="Cuprins110">
    <w:name w:val="Cuprins 11"/>
    <w:basedOn w:val="ColorfulList-Accent12"/>
    <w:qFormat/>
    <w:rsid w:val="007257E3"/>
    <w:pPr>
      <w:tabs>
        <w:tab w:val="num" w:pos="1890"/>
      </w:tabs>
      <w:spacing w:before="0"/>
      <w:ind w:left="1890" w:hanging="360"/>
      <w:jc w:val="left"/>
    </w:pPr>
    <w:rPr>
      <w:rFonts w:ascii="Times New Roman" w:eastAsia="Calibri" w:hAnsi="Times New Roman"/>
      <w:b/>
      <w:i/>
      <w:szCs w:val="24"/>
      <w:lang w:val="ro-RO"/>
    </w:rPr>
  </w:style>
  <w:style w:type="paragraph" w:customStyle="1" w:styleId="Cuprins21">
    <w:name w:val="Cuprins 21"/>
    <w:basedOn w:val="ColorfulList-Accent12"/>
    <w:qFormat/>
    <w:rsid w:val="007257E3"/>
    <w:pPr>
      <w:spacing w:before="0"/>
      <w:ind w:left="0" w:firstLine="0"/>
      <w:jc w:val="left"/>
    </w:pPr>
    <w:rPr>
      <w:rFonts w:ascii="Times New Roman" w:eastAsia="Calibri" w:hAnsi="Times New Roman"/>
      <w:b/>
      <w:i/>
      <w:szCs w:val="24"/>
      <w:lang w:val="ro-RO"/>
    </w:rPr>
  </w:style>
  <w:style w:type="character" w:customStyle="1" w:styleId="WW8Num1z0">
    <w:name w:val="WW8Num1z0"/>
    <w:rsid w:val="007257E3"/>
    <w:rPr>
      <w:rFonts w:ascii="Arial" w:hAnsi="Arial"/>
      <w:b/>
      <w:i w:val="0"/>
      <w:sz w:val="24"/>
    </w:rPr>
  </w:style>
  <w:style w:type="character" w:customStyle="1" w:styleId="WW8Num8z1">
    <w:name w:val="WW8Num8z1"/>
    <w:rsid w:val="007257E3"/>
    <w:rPr>
      <w:rFonts w:ascii="Courier New" w:hAnsi="Courier New" w:cs="Courier New"/>
    </w:rPr>
  </w:style>
  <w:style w:type="numbering" w:customStyle="1" w:styleId="1111112">
    <w:name w:val="1 / 1.1 / 1.1.12"/>
    <w:basedOn w:val="NoList"/>
    <w:next w:val="111111"/>
    <w:rsid w:val="007257E3"/>
    <w:pPr>
      <w:numPr>
        <w:numId w:val="141"/>
      </w:numPr>
    </w:pPr>
  </w:style>
  <w:style w:type="numbering" w:customStyle="1" w:styleId="cuprins111">
    <w:name w:val="cuprins 111"/>
    <w:rsid w:val="007257E3"/>
    <w:pPr>
      <w:numPr>
        <w:numId w:val="134"/>
      </w:numPr>
    </w:pPr>
  </w:style>
  <w:style w:type="character" w:customStyle="1" w:styleId="Fuzeile-2CharChar1">
    <w:name w:val="Fußzeile-2 Char Char1"/>
    <w:semiHidden/>
    <w:locked/>
    <w:rsid w:val="007257E3"/>
    <w:rPr>
      <w:rFonts w:ascii="Arial" w:hAnsi="Arial"/>
      <w:sz w:val="18"/>
      <w:szCs w:val="22"/>
      <w:lang w:val="de-DE" w:eastAsia="de-DE" w:bidi="ar-SA"/>
    </w:rPr>
  </w:style>
  <w:style w:type="paragraph" w:customStyle="1" w:styleId="Cuprins12">
    <w:name w:val="Cuprins 12"/>
    <w:basedOn w:val="ColorfulList-Accent12"/>
    <w:qFormat/>
    <w:rsid w:val="007257E3"/>
    <w:pPr>
      <w:spacing w:before="0"/>
      <w:ind w:left="0" w:firstLine="0"/>
      <w:jc w:val="left"/>
    </w:pPr>
    <w:rPr>
      <w:rFonts w:ascii="Times New Roman" w:eastAsia="Calibri" w:hAnsi="Times New Roman"/>
      <w:b/>
      <w:i/>
      <w:szCs w:val="24"/>
      <w:lang w:val="ro-RO"/>
    </w:rPr>
  </w:style>
  <w:style w:type="paragraph" w:customStyle="1" w:styleId="Cuprins22">
    <w:name w:val="Cuprins 22"/>
    <w:basedOn w:val="ColorfulList-Accent12"/>
    <w:qFormat/>
    <w:rsid w:val="007257E3"/>
    <w:pPr>
      <w:numPr>
        <w:ilvl w:val="1"/>
        <w:numId w:val="118"/>
      </w:numPr>
      <w:spacing w:before="0"/>
      <w:jc w:val="left"/>
    </w:pPr>
    <w:rPr>
      <w:rFonts w:ascii="Times New Roman" w:eastAsia="Calibri" w:hAnsi="Times New Roman"/>
      <w:b/>
      <w:i/>
      <w:szCs w:val="24"/>
      <w:lang w:val="ro-RO"/>
    </w:rPr>
  </w:style>
  <w:style w:type="character" w:customStyle="1" w:styleId="style981">
    <w:name w:val="style981"/>
    <w:rsid w:val="007257E3"/>
    <w:rPr>
      <w:rFonts w:ascii="Calibri" w:hAnsi="Calibri"/>
      <w:color w:val="333333"/>
      <w:sz w:val="24"/>
      <w:szCs w:val="24"/>
      <w:lang w:val="pl-PL" w:eastAsia="pl-PL" w:bidi="ar-SA"/>
    </w:rPr>
  </w:style>
  <w:style w:type="character" w:customStyle="1" w:styleId="style980">
    <w:name w:val="style98"/>
    <w:rsid w:val="007257E3"/>
  </w:style>
  <w:style w:type="paragraph" w:customStyle="1" w:styleId="5C-Bullet">
    <w:name w:val="5C-Bullet"/>
    <w:basedOn w:val="Normal"/>
    <w:qFormat/>
    <w:rsid w:val="007257E3"/>
    <w:pPr>
      <w:numPr>
        <w:numId w:val="129"/>
      </w:numPr>
      <w:snapToGrid w:val="0"/>
      <w:spacing w:before="200" w:line="288" w:lineRule="auto"/>
      <w:jc w:val="both"/>
    </w:pPr>
    <w:rPr>
      <w:rFonts w:ascii="Arial" w:eastAsia="Times New Roman" w:hAnsi="Arial" w:cs="Times New Roman"/>
      <w:kern w:val="28"/>
      <w:sz w:val="20"/>
      <w:szCs w:val="20"/>
      <w:lang w:val="en-GB" w:eastAsia="en-GB"/>
    </w:rPr>
  </w:style>
  <w:style w:type="paragraph" w:customStyle="1" w:styleId="Revision1">
    <w:name w:val="Revision1"/>
    <w:hidden/>
    <w:semiHidden/>
    <w:qFormat/>
    <w:rsid w:val="007257E3"/>
    <w:pPr>
      <w:spacing w:line="240" w:lineRule="auto"/>
    </w:pPr>
    <w:rPr>
      <w:rFonts w:ascii="Times New Roman" w:eastAsia="Times New Roman" w:hAnsi="Times New Roman" w:cs="Times New Roman"/>
      <w:sz w:val="24"/>
      <w:szCs w:val="24"/>
      <w:lang w:val="en-US"/>
    </w:rPr>
  </w:style>
  <w:style w:type="paragraph" w:customStyle="1" w:styleId="NormalLeft">
    <w:name w:val="Normal Left"/>
    <w:basedOn w:val="Normal"/>
    <w:qFormat/>
    <w:rsid w:val="007257E3"/>
    <w:pPr>
      <w:snapToGrid w:val="0"/>
      <w:spacing w:before="120" w:after="120" w:line="240" w:lineRule="auto"/>
      <w:ind w:left="4" w:firstLine="30"/>
    </w:pPr>
    <w:rPr>
      <w:rFonts w:ascii="Times New Roman" w:eastAsia="Times New Roman" w:hAnsi="Times New Roman" w:cs="Times New Roman"/>
      <w:kern w:val="28"/>
      <w:sz w:val="24"/>
      <w:szCs w:val="20"/>
      <w:lang w:val="en-GB" w:eastAsia="ko-KR"/>
    </w:rPr>
  </w:style>
  <w:style w:type="paragraph" w:customStyle="1" w:styleId="CharCharChar1ZchnZchnCharCharCharCharCharCaracterCaracterCharCharCaracterCaracterCharCharCaracterCaracterChar">
    <w:name w:val="Char Char Char1 Zchn Zchn Char Char Char Char Char Caracter Caracter Char Char Caracter Caracter Char Char Caracter Caracter Char"/>
    <w:basedOn w:val="Normal"/>
    <w:autoRedefine/>
    <w:qFormat/>
    <w:rsid w:val="007257E3"/>
    <w:pPr>
      <w:snapToGrid w:val="0"/>
      <w:spacing w:after="160" w:line="240" w:lineRule="exact"/>
      <w:ind w:left="4" w:firstLine="30"/>
    </w:pPr>
    <w:rPr>
      <w:rFonts w:ascii="Times New Roman" w:eastAsia="Times New Roman" w:hAnsi="Times New Roman" w:cs="Times New Roman"/>
      <w:caps/>
      <w:kern w:val="28"/>
      <w:sz w:val="32"/>
      <w:szCs w:val="32"/>
      <w:lang w:val="en-US" w:eastAsia="en-GB"/>
    </w:rPr>
  </w:style>
  <w:style w:type="character" w:customStyle="1" w:styleId="ILF-StandardCaracter">
    <w:name w:val="ILF-Standard Caracter"/>
    <w:link w:val="ILF-Standard"/>
    <w:rsid w:val="007257E3"/>
    <w:rPr>
      <w:rFonts w:ascii="Arial" w:eastAsia="Times New Roman" w:hAnsi="Arial" w:cs="Times New Roman"/>
      <w:sz w:val="22"/>
      <w:szCs w:val="22"/>
      <w:lang w:val="de-DE" w:eastAsia="de-DE"/>
    </w:rPr>
  </w:style>
  <w:style w:type="paragraph" w:customStyle="1" w:styleId="NormalStnga-dreapta">
    <w:name w:val="Normal + Stânga-dreapta"/>
    <w:aliases w:val="Spaţiere rânduri:  Cel puţin 1,3 pct."/>
    <w:basedOn w:val="Normal"/>
    <w:qFormat/>
    <w:rsid w:val="007257E3"/>
    <w:pPr>
      <w:widowControl w:val="0"/>
      <w:suppressAutoHyphens/>
      <w:spacing w:line="26" w:lineRule="atLeast"/>
      <w:jc w:val="both"/>
    </w:pPr>
    <w:rPr>
      <w:rFonts w:ascii="Times New Roman" w:eastAsia="Times New Roman" w:hAnsi="Times New Roman" w:cs="Times New Roman"/>
      <w:sz w:val="24"/>
      <w:szCs w:val="24"/>
      <w:lang w:eastAsia="ar-SA"/>
    </w:rPr>
  </w:style>
  <w:style w:type="paragraph" w:customStyle="1" w:styleId="CharCharCaracterCaracterCharCaracterCaracterCaracterCaracterCharCharCharCaracterCaracterCharChar">
    <w:name w:val="Char Char Caracter Caracter Char Caracter Caracter Caracter Caracter Char Char Char Caracter Caracter Char Char"/>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paragraph" w:customStyle="1" w:styleId="CM145">
    <w:name w:val="CM145"/>
    <w:basedOn w:val="Normal"/>
    <w:next w:val="Normal"/>
    <w:uiPriority w:val="99"/>
    <w:qFormat/>
    <w:rsid w:val="007257E3"/>
    <w:pPr>
      <w:widowControl w:val="0"/>
      <w:autoSpaceDE w:val="0"/>
      <w:autoSpaceDN w:val="0"/>
      <w:adjustRightInd w:val="0"/>
      <w:spacing w:after="123" w:line="240" w:lineRule="auto"/>
    </w:pPr>
    <w:rPr>
      <w:rFonts w:ascii="Arial" w:eastAsia="Times New Roman" w:hAnsi="Arial" w:cs="Arial"/>
      <w:sz w:val="24"/>
      <w:szCs w:val="24"/>
      <w:lang w:eastAsia="ro-RO"/>
    </w:rPr>
  </w:style>
  <w:style w:type="paragraph" w:customStyle="1" w:styleId="CM152">
    <w:name w:val="CM152"/>
    <w:basedOn w:val="Normal"/>
    <w:next w:val="Normal"/>
    <w:uiPriority w:val="99"/>
    <w:qFormat/>
    <w:rsid w:val="007257E3"/>
    <w:pPr>
      <w:widowControl w:val="0"/>
      <w:autoSpaceDE w:val="0"/>
      <w:autoSpaceDN w:val="0"/>
      <w:adjustRightInd w:val="0"/>
      <w:spacing w:after="65" w:line="240" w:lineRule="auto"/>
    </w:pPr>
    <w:rPr>
      <w:rFonts w:ascii="Arial" w:eastAsia="Times New Roman" w:hAnsi="Arial" w:cs="Arial"/>
      <w:sz w:val="24"/>
      <w:szCs w:val="24"/>
      <w:lang w:eastAsia="ro-RO"/>
    </w:rPr>
  </w:style>
  <w:style w:type="paragraph" w:customStyle="1" w:styleId="CM47">
    <w:name w:val="CM47"/>
    <w:basedOn w:val="Normal"/>
    <w:next w:val="Normal"/>
    <w:uiPriority w:val="99"/>
    <w:qFormat/>
    <w:rsid w:val="007257E3"/>
    <w:pPr>
      <w:widowControl w:val="0"/>
      <w:autoSpaceDE w:val="0"/>
      <w:autoSpaceDN w:val="0"/>
      <w:adjustRightInd w:val="0"/>
      <w:spacing w:line="418" w:lineRule="atLeast"/>
    </w:pPr>
    <w:rPr>
      <w:rFonts w:ascii="Arial" w:eastAsia="Times New Roman" w:hAnsi="Arial" w:cs="Arial"/>
      <w:sz w:val="24"/>
      <w:szCs w:val="24"/>
      <w:lang w:eastAsia="ro-RO"/>
    </w:rPr>
  </w:style>
  <w:style w:type="paragraph" w:customStyle="1" w:styleId="ManualHeading3">
    <w:name w:val="Manual Heading 3"/>
    <w:basedOn w:val="Normal"/>
    <w:next w:val="Text3"/>
    <w:qFormat/>
    <w:rsid w:val="007257E3"/>
    <w:pPr>
      <w:keepNext/>
      <w:tabs>
        <w:tab w:val="left" w:pos="850"/>
      </w:tabs>
      <w:spacing w:before="120" w:after="120" w:line="240" w:lineRule="auto"/>
      <w:ind w:left="850" w:hanging="850"/>
      <w:jc w:val="both"/>
      <w:outlineLvl w:val="2"/>
    </w:pPr>
    <w:rPr>
      <w:rFonts w:ascii="Times New Roman" w:eastAsia="Times New Roman" w:hAnsi="Times New Roman" w:cs="Times New Roman"/>
      <w:i/>
      <w:sz w:val="24"/>
      <w:szCs w:val="24"/>
      <w:lang w:eastAsia="de-DE"/>
    </w:rPr>
  </w:style>
  <w:style w:type="character" w:customStyle="1" w:styleId="paragraf1">
    <w:name w:val="paragraf1"/>
    <w:rsid w:val="007257E3"/>
    <w:rPr>
      <w:shd w:val="clear" w:color="auto" w:fill="auto"/>
    </w:rPr>
  </w:style>
  <w:style w:type="character" w:customStyle="1" w:styleId="punct1">
    <w:name w:val="punct1"/>
    <w:rsid w:val="007257E3"/>
    <w:rPr>
      <w:b/>
      <w:bCs/>
      <w:color w:val="000000"/>
    </w:rPr>
  </w:style>
  <w:style w:type="paragraph" w:customStyle="1" w:styleId="p00">
    <w:name w:val="p0"/>
    <w:basedOn w:val="Normal"/>
    <w:qFormat/>
    <w:rsid w:val="007257E3"/>
    <w:pPr>
      <w:spacing w:before="120" w:line="240" w:lineRule="auto"/>
      <w:jc w:val="both"/>
    </w:pPr>
    <w:rPr>
      <w:rFonts w:ascii="Calibri" w:eastAsia="Times New Roman" w:hAnsi="Calibri" w:cs="Calibri"/>
      <w:sz w:val="24"/>
      <w:szCs w:val="24"/>
      <w:lang w:val="en-US"/>
    </w:rPr>
  </w:style>
  <w:style w:type="character" w:customStyle="1" w:styleId="BuletCaracter">
    <w:name w:val="Bulet Caracter"/>
    <w:link w:val="Bulet"/>
    <w:rsid w:val="007257E3"/>
    <w:rPr>
      <w:rFonts w:ascii="Arial" w:eastAsia="Times New Roman" w:hAnsi="Arial" w:cs="Arial"/>
      <w:bCs/>
      <w:iCs/>
      <w:color w:val="000000"/>
      <w:sz w:val="22"/>
      <w:szCs w:val="22"/>
      <w:lang w:val="it-IT"/>
    </w:rPr>
  </w:style>
  <w:style w:type="paragraph" w:customStyle="1" w:styleId="TextNota">
    <w:name w:val="TextNota"/>
    <w:autoRedefine/>
    <w:qFormat/>
    <w:rsid w:val="007257E3"/>
    <w:pPr>
      <w:tabs>
        <w:tab w:val="left" w:pos="1304"/>
      </w:tabs>
      <w:spacing w:after="120" w:line="240" w:lineRule="auto"/>
      <w:ind w:left="1304"/>
    </w:pPr>
    <w:rPr>
      <w:rFonts w:ascii="Arial" w:eastAsia="Times New Roman" w:hAnsi="Arial" w:cs="Times New Roman"/>
      <w:i/>
      <w:sz w:val="20"/>
      <w:szCs w:val="24"/>
      <w:lang w:val="en-US"/>
    </w:rPr>
  </w:style>
  <w:style w:type="paragraph" w:customStyle="1" w:styleId="Table-2">
    <w:name w:val="Table-2"/>
    <w:basedOn w:val="Normal"/>
    <w:qFormat/>
    <w:rsid w:val="007257E3"/>
    <w:pPr>
      <w:autoSpaceDE w:val="0"/>
      <w:autoSpaceDN w:val="0"/>
      <w:adjustRightInd w:val="0"/>
      <w:spacing w:before="120" w:after="120" w:line="240" w:lineRule="auto"/>
    </w:pPr>
    <w:rPr>
      <w:rFonts w:ascii="Arial" w:eastAsia="Times New Roman" w:hAnsi="Arial" w:cs="Arial"/>
      <w:sz w:val="19"/>
      <w:szCs w:val="19"/>
      <w:lang w:val="en-US"/>
    </w:rPr>
  </w:style>
  <w:style w:type="paragraph" w:customStyle="1" w:styleId="CM1">
    <w:name w:val="CM1"/>
    <w:basedOn w:val="Normal"/>
    <w:next w:val="Normal"/>
    <w:uiPriority w:val="99"/>
    <w:qFormat/>
    <w:rsid w:val="007257E3"/>
    <w:pPr>
      <w:autoSpaceDE w:val="0"/>
      <w:autoSpaceDN w:val="0"/>
      <w:adjustRightInd w:val="0"/>
      <w:spacing w:line="240" w:lineRule="auto"/>
    </w:pPr>
    <w:rPr>
      <w:rFonts w:ascii="EUAlbertina" w:eastAsia="Calibri" w:hAnsi="EUAlbertina" w:cs="Times New Roman"/>
      <w:sz w:val="24"/>
      <w:szCs w:val="24"/>
      <w:lang w:val="en-US"/>
    </w:rPr>
  </w:style>
  <w:style w:type="paragraph" w:customStyle="1" w:styleId="Subtitlu1">
    <w:name w:val="Subtitlu1"/>
    <w:basedOn w:val="Heading2"/>
    <w:autoRedefine/>
    <w:qFormat/>
    <w:rsid w:val="007257E3"/>
    <w:pPr>
      <w:keepLines w:val="0"/>
      <w:numPr>
        <w:ilvl w:val="0"/>
        <w:numId w:val="0"/>
      </w:numPr>
      <w:pBdr>
        <w:top w:val="double" w:sz="4" w:space="1" w:color="auto"/>
        <w:left w:val="double" w:sz="4" w:space="1" w:color="auto"/>
        <w:bottom w:val="double" w:sz="4" w:space="1" w:color="auto"/>
        <w:right w:val="double" w:sz="4" w:space="1" w:color="auto"/>
      </w:pBdr>
      <w:shd w:val="clear" w:color="auto" w:fill="31849B"/>
      <w:tabs>
        <w:tab w:val="num" w:pos="338"/>
      </w:tabs>
      <w:suppressAutoHyphens w:val="0"/>
      <w:spacing w:before="240" w:after="200" w:line="240" w:lineRule="auto"/>
      <w:ind w:left="1134" w:right="57" w:hanging="1134"/>
      <w:contextualSpacing w:val="0"/>
      <w:jc w:val="both"/>
    </w:pPr>
    <w:rPr>
      <w:rFonts w:ascii="Arial" w:eastAsia="Times New Roman" w:hAnsi="Arial" w:cs="Times New Roman"/>
      <w:b/>
      <w:caps/>
      <w:sz w:val="24"/>
      <w:szCs w:val="24"/>
    </w:rPr>
  </w:style>
  <w:style w:type="paragraph" w:customStyle="1" w:styleId="Heading111">
    <w:name w:val="Heading 11"/>
    <w:basedOn w:val="SubSubSubTitlu"/>
    <w:next w:val="Textnormal"/>
    <w:autoRedefine/>
    <w:uiPriority w:val="99"/>
    <w:qFormat/>
    <w:rsid w:val="007257E3"/>
    <w:pPr>
      <w:keepNext/>
      <w:pBdr>
        <w:top w:val="single" w:sz="2" w:space="1" w:color="auto"/>
        <w:left w:val="single" w:sz="2" w:space="1" w:color="auto"/>
        <w:bottom w:val="single" w:sz="2" w:space="0" w:color="auto"/>
        <w:right w:val="single" w:sz="2" w:space="1" w:color="auto"/>
      </w:pBdr>
      <w:shd w:val="clear" w:color="auto" w:fill="DAEEF3"/>
      <w:tabs>
        <w:tab w:val="clear" w:pos="1304"/>
        <w:tab w:val="num" w:pos="425"/>
      </w:tabs>
      <w:spacing w:after="0" w:line="240" w:lineRule="auto"/>
      <w:ind w:left="425" w:right="57" w:hanging="425"/>
      <w:jc w:val="both"/>
      <w:outlineLvl w:val="1"/>
    </w:pPr>
    <w:rPr>
      <w:rFonts w:ascii="Verdana" w:eastAsiaTheme="majorEastAsia" w:hAnsi="Verdana"/>
      <w:b/>
      <w:bCs/>
      <w:iCs/>
      <w:sz w:val="24"/>
      <w:szCs w:val="22"/>
      <w:lang w:val="it-IT"/>
    </w:rPr>
  </w:style>
  <w:style w:type="paragraph" w:customStyle="1" w:styleId="NormalRed">
    <w:name w:val="Normal Red"/>
    <w:basedOn w:val="Normal"/>
    <w:qFormat/>
    <w:rsid w:val="007257E3"/>
    <w:pPr>
      <w:tabs>
        <w:tab w:val="left" w:pos="284"/>
      </w:tabs>
      <w:spacing w:before="120" w:line="240" w:lineRule="auto"/>
      <w:ind w:left="851"/>
      <w:jc w:val="both"/>
    </w:pPr>
    <w:rPr>
      <w:rFonts w:ascii="Arial" w:eastAsia="Calibri" w:hAnsi="Arial" w:cs="Arial"/>
      <w:color w:val="FF0000"/>
      <w:sz w:val="20"/>
      <w:szCs w:val="20"/>
      <w:lang w:val="en-GB" w:eastAsia="en-GB"/>
    </w:rPr>
  </w:style>
  <w:style w:type="paragraph" w:customStyle="1" w:styleId="bodytextboldallcaps">
    <w:name w:val="body text bold all caps"/>
    <w:basedOn w:val="BodyText"/>
    <w:uiPriority w:val="99"/>
    <w:qFormat/>
    <w:rsid w:val="007257E3"/>
    <w:pPr>
      <w:tabs>
        <w:tab w:val="left" w:pos="425"/>
      </w:tabs>
      <w:spacing w:before="120" w:line="240" w:lineRule="auto"/>
      <w:jc w:val="both"/>
    </w:pPr>
    <w:rPr>
      <w:rFonts w:ascii="Arial Bold" w:eastAsia="Times New Roman" w:hAnsi="Arial Bold" w:cs="Times New Roman"/>
      <w:b/>
      <w:caps/>
      <w:sz w:val="20"/>
      <w:szCs w:val="24"/>
      <w:lang w:val="en-GB"/>
    </w:rPr>
  </w:style>
  <w:style w:type="paragraph" w:customStyle="1" w:styleId="Stil3">
    <w:name w:val="Stil3"/>
    <w:basedOn w:val="Normal"/>
    <w:qFormat/>
    <w:rsid w:val="007257E3"/>
    <w:pPr>
      <w:numPr>
        <w:ilvl w:val="2"/>
        <w:numId w:val="122"/>
      </w:numPr>
      <w:tabs>
        <w:tab w:val="num" w:pos="2444"/>
      </w:tabs>
      <w:spacing w:before="120" w:after="120" w:line="360" w:lineRule="auto"/>
      <w:ind w:left="2444"/>
      <w:jc w:val="both"/>
    </w:pPr>
    <w:rPr>
      <w:rFonts w:ascii="Arial" w:eastAsia="Calibri" w:hAnsi="Arial" w:cs="Arial"/>
      <w:i/>
      <w:sz w:val="22"/>
      <w:szCs w:val="24"/>
      <w:lang w:val="en-US"/>
    </w:rPr>
  </w:style>
  <w:style w:type="numbering" w:customStyle="1" w:styleId="StyleOutlinenumberedArialBlueUnderline">
    <w:name w:val="Style Outline numbered Arial Blue Underline"/>
    <w:rsid w:val="007257E3"/>
    <w:pPr>
      <w:numPr>
        <w:numId w:val="165"/>
      </w:numPr>
    </w:pPr>
  </w:style>
  <w:style w:type="table" w:customStyle="1" w:styleId="GridTable7Colorful1">
    <w:name w:val="Grid Table 7 Colorful1"/>
    <w:basedOn w:val="TableNormal"/>
    <w:uiPriority w:val="52"/>
    <w:rsid w:val="007257E3"/>
    <w:pPr>
      <w:spacing w:line="240" w:lineRule="auto"/>
    </w:pPr>
    <w:rPr>
      <w:color w:val="000000" w:themeColor="text1"/>
      <w:lang w:val="en-GB"/>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numbering" w:customStyle="1" w:styleId="StyleOutlinenumberedArial">
    <w:name w:val="Style Outline numbered Arial"/>
    <w:rsid w:val="007257E3"/>
    <w:pPr>
      <w:numPr>
        <w:numId w:val="139"/>
      </w:numPr>
    </w:pPr>
  </w:style>
  <w:style w:type="paragraph" w:customStyle="1" w:styleId="Style165">
    <w:name w:val="Style165"/>
    <w:basedOn w:val="Normal"/>
    <w:link w:val="Style165Char"/>
    <w:qFormat/>
    <w:rsid w:val="007257E3"/>
    <w:pPr>
      <w:keepNext/>
      <w:keepLines/>
      <w:numPr>
        <w:numId w:val="167"/>
      </w:numPr>
      <w:spacing w:after="120" w:line="240" w:lineRule="atLeast"/>
      <w:jc w:val="both"/>
    </w:pPr>
    <w:rPr>
      <w:rFonts w:eastAsia="Times New Roman" w:cs="Times New Roman"/>
      <w:szCs w:val="24"/>
      <w:lang w:val="en-GB" w:eastAsia="da-DK"/>
    </w:rPr>
  </w:style>
  <w:style w:type="paragraph" w:customStyle="1" w:styleId="So3">
    <w:name w:val="So3"/>
    <w:basedOn w:val="TParagraf123"/>
    <w:uiPriority w:val="99"/>
    <w:rsid w:val="007257E3"/>
    <w:pPr>
      <w:spacing w:line="240" w:lineRule="auto"/>
      <w:ind w:firstLine="216"/>
      <w:jc w:val="both"/>
    </w:pPr>
    <w:rPr>
      <w:lang w:eastAsia="en-US"/>
    </w:rPr>
  </w:style>
  <w:style w:type="character" w:customStyle="1" w:styleId="TitleChar1">
    <w:name w:val="Title Char1"/>
    <w:aliases w:val="Char Char2 Char1"/>
    <w:basedOn w:val="DefaultParagraphFont"/>
    <w:rsid w:val="007257E3"/>
    <w:rPr>
      <w:rFonts w:ascii="Tahoma" w:eastAsia="Times New Roman" w:hAnsi="Tahoma" w:cs="Tahoma"/>
      <w:sz w:val="24"/>
      <w:szCs w:val="24"/>
      <w:lang w:val="pl-PL" w:eastAsia="pl-PL"/>
    </w:rPr>
  </w:style>
  <w:style w:type="character" w:customStyle="1" w:styleId="BodyTextIndentChar1">
    <w:name w:val="Body Text Indent Char1"/>
    <w:aliases w:val="Body Text Indent ALEX Char,Body Text Indent Char2"/>
    <w:basedOn w:val="DefaultParagraphFont"/>
    <w:uiPriority w:val="99"/>
    <w:rsid w:val="007257E3"/>
  </w:style>
  <w:style w:type="character" w:customStyle="1" w:styleId="BalloonTextChar1">
    <w:name w:val="Balloon Text Char1"/>
    <w:basedOn w:val="DefaultParagraphFont"/>
    <w:uiPriority w:val="99"/>
    <w:semiHidden/>
    <w:rsid w:val="007257E3"/>
    <w:rPr>
      <w:rFonts w:ascii="Segoe UI" w:hAnsi="Segoe UI" w:cs="Segoe UI"/>
      <w:sz w:val="18"/>
      <w:szCs w:val="18"/>
    </w:rPr>
  </w:style>
  <w:style w:type="character" w:customStyle="1" w:styleId="SubtitleChar1">
    <w:name w:val="Subtitle Char1"/>
    <w:basedOn w:val="DefaultParagraphFont"/>
    <w:rsid w:val="007257E3"/>
    <w:rPr>
      <w:rFonts w:eastAsiaTheme="minorEastAsia"/>
      <w:color w:val="5A5A5A" w:themeColor="text1" w:themeTint="A5"/>
      <w:spacing w:val="15"/>
    </w:rPr>
  </w:style>
  <w:style w:type="character" w:customStyle="1" w:styleId="BodyTextIndent2Char1">
    <w:name w:val="Body Text Indent 2 Char1"/>
    <w:basedOn w:val="DefaultParagraphFont"/>
    <w:semiHidden/>
    <w:rsid w:val="007257E3"/>
  </w:style>
  <w:style w:type="character" w:customStyle="1" w:styleId="DocumentMapChar1">
    <w:name w:val="Document Map Char1"/>
    <w:basedOn w:val="DefaultParagraphFont"/>
    <w:semiHidden/>
    <w:rsid w:val="007257E3"/>
    <w:rPr>
      <w:rFonts w:ascii="Segoe UI" w:hAnsi="Segoe UI" w:cs="Segoe UI"/>
      <w:sz w:val="16"/>
      <w:szCs w:val="16"/>
    </w:rPr>
  </w:style>
  <w:style w:type="character" w:customStyle="1" w:styleId="MessageHeaderChar1">
    <w:name w:val="Message Header Char1"/>
    <w:basedOn w:val="DefaultParagraphFont"/>
    <w:rsid w:val="007257E3"/>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7257E3"/>
  </w:style>
  <w:style w:type="character" w:customStyle="1" w:styleId="PlainTextChar1">
    <w:name w:val="Plain Text Char1"/>
    <w:basedOn w:val="DefaultParagraphFont"/>
    <w:semiHidden/>
    <w:rsid w:val="007257E3"/>
    <w:rPr>
      <w:rFonts w:ascii="Consolas" w:hAnsi="Consolas"/>
      <w:sz w:val="21"/>
      <w:szCs w:val="21"/>
    </w:rPr>
  </w:style>
  <w:style w:type="character" w:customStyle="1" w:styleId="SalutationChar1">
    <w:name w:val="Salutation Char1"/>
    <w:basedOn w:val="DefaultParagraphFont"/>
    <w:rsid w:val="007257E3"/>
  </w:style>
  <w:style w:type="character" w:customStyle="1" w:styleId="SignatureChar1">
    <w:name w:val="Signature Char1"/>
    <w:basedOn w:val="DefaultParagraphFont"/>
    <w:rsid w:val="007257E3"/>
  </w:style>
  <w:style w:type="character" w:customStyle="1" w:styleId="BodyText2Char1">
    <w:name w:val="Body Text 2 Char1"/>
    <w:basedOn w:val="DefaultParagraphFont"/>
    <w:uiPriority w:val="99"/>
    <w:semiHidden/>
    <w:rsid w:val="007257E3"/>
  </w:style>
  <w:style w:type="character" w:customStyle="1" w:styleId="BodyText3Char1">
    <w:name w:val="Body Text 3 Char1"/>
    <w:basedOn w:val="DefaultParagraphFont"/>
    <w:semiHidden/>
    <w:rsid w:val="007257E3"/>
    <w:rPr>
      <w:sz w:val="16"/>
      <w:szCs w:val="16"/>
    </w:rPr>
  </w:style>
  <w:style w:type="character" w:customStyle="1" w:styleId="BodyTextFirstIndentChar1">
    <w:name w:val="Body Text First Indent Char1"/>
    <w:basedOn w:val="DefaultParagraphFont"/>
    <w:rsid w:val="007257E3"/>
    <w:rPr>
      <w:rFonts w:ascii="Times New Roman" w:eastAsia="Times New Roman" w:hAnsi="Times New Roman" w:cs="Times New Roman"/>
      <w:sz w:val="24"/>
      <w:szCs w:val="24"/>
      <w:lang w:val="pl-PL" w:eastAsia="ar-SA"/>
    </w:rPr>
  </w:style>
  <w:style w:type="character" w:customStyle="1" w:styleId="BodyTextFirstIndent2Char1">
    <w:name w:val="Body Text First Indent 2 Char1"/>
    <w:basedOn w:val="BodyTextIndentChar1"/>
    <w:rsid w:val="007257E3"/>
  </w:style>
  <w:style w:type="character" w:customStyle="1" w:styleId="BodyTextIndent3Char1">
    <w:name w:val="Body Text Indent 3 Char1"/>
    <w:basedOn w:val="DefaultParagraphFont"/>
    <w:semiHidden/>
    <w:rsid w:val="007257E3"/>
    <w:rPr>
      <w:sz w:val="16"/>
      <w:szCs w:val="16"/>
    </w:rPr>
  </w:style>
  <w:style w:type="character" w:customStyle="1" w:styleId="ClosingChar1">
    <w:name w:val="Closing Char1"/>
    <w:basedOn w:val="DefaultParagraphFont"/>
    <w:rsid w:val="007257E3"/>
  </w:style>
  <w:style w:type="character" w:customStyle="1" w:styleId="DateChar1">
    <w:name w:val="Date Char1"/>
    <w:basedOn w:val="DefaultParagraphFont"/>
    <w:rsid w:val="007257E3"/>
  </w:style>
  <w:style w:type="character" w:customStyle="1" w:styleId="E-mailSignatureChar1">
    <w:name w:val="E-mail Signature Char1"/>
    <w:basedOn w:val="DefaultParagraphFont"/>
    <w:uiPriority w:val="99"/>
    <w:rsid w:val="007257E3"/>
  </w:style>
  <w:style w:type="character" w:customStyle="1" w:styleId="QuoteChar1">
    <w:name w:val="Quote Char1"/>
    <w:basedOn w:val="DefaultParagraphFont"/>
    <w:uiPriority w:val="29"/>
    <w:rsid w:val="007257E3"/>
    <w:rPr>
      <w:i/>
      <w:iCs/>
      <w:color w:val="404040" w:themeColor="text1" w:themeTint="BF"/>
    </w:rPr>
  </w:style>
  <w:style w:type="character" w:customStyle="1" w:styleId="MacroTextChar1">
    <w:name w:val="Macro Text Char1"/>
    <w:basedOn w:val="DefaultParagraphFont"/>
    <w:rsid w:val="007257E3"/>
    <w:rPr>
      <w:rFonts w:ascii="Consolas" w:hAnsi="Consolas"/>
      <w:sz w:val="20"/>
      <w:szCs w:val="20"/>
    </w:rPr>
  </w:style>
  <w:style w:type="paragraph" w:customStyle="1" w:styleId="NoIndent">
    <w:name w:val="No Indent"/>
    <w:basedOn w:val="Normal"/>
    <w:next w:val="Normal"/>
    <w:uiPriority w:val="99"/>
    <w:rsid w:val="007257E3"/>
    <w:pPr>
      <w:spacing w:line="240" w:lineRule="auto"/>
    </w:pPr>
    <w:rPr>
      <w:rFonts w:ascii="Times New Roman" w:eastAsia="Calibri" w:hAnsi="Times New Roman" w:cs="Times New Roman"/>
      <w:color w:val="000000"/>
      <w:sz w:val="22"/>
      <w:szCs w:val="20"/>
      <w:lang w:eastAsia="en-GB"/>
    </w:rPr>
  </w:style>
  <w:style w:type="numbering" w:customStyle="1" w:styleId="Style1513">
    <w:name w:val="Style1513"/>
    <w:rsid w:val="007257E3"/>
    <w:pPr>
      <w:numPr>
        <w:numId w:val="132"/>
      </w:numPr>
    </w:pPr>
  </w:style>
  <w:style w:type="paragraph" w:customStyle="1" w:styleId="breadcrumb-item">
    <w:name w:val="breadcrumb-item"/>
    <w:basedOn w:val="Normal"/>
    <w:rsid w:val="007257E3"/>
    <w:pPr>
      <w:spacing w:before="100" w:beforeAutospacing="1" w:after="100" w:afterAutospacing="1" w:line="240" w:lineRule="auto"/>
    </w:pPr>
    <w:rPr>
      <w:rFonts w:ascii="Times New Roman" w:eastAsia="Times New Roman" w:hAnsi="Times New Roman" w:cs="Times New Roman"/>
      <w:sz w:val="24"/>
      <w:szCs w:val="24"/>
      <w:lang w:eastAsia="ro-RO"/>
    </w:rPr>
  </w:style>
  <w:style w:type="paragraph" w:customStyle="1" w:styleId="ChapterSubtitle">
    <w:name w:val="Chapter Subtitle"/>
    <w:basedOn w:val="Subtitle"/>
    <w:rsid w:val="007257E3"/>
    <w:pPr>
      <w:keepNext/>
      <w:keepLines/>
      <w:numPr>
        <w:ilvl w:val="0"/>
      </w:numPr>
      <w:spacing w:before="140" w:after="420" w:line="240" w:lineRule="auto"/>
      <w:contextualSpacing w:val="0"/>
      <w:jc w:val="center"/>
    </w:pPr>
    <w:rPr>
      <w:rFonts w:ascii="Garamond" w:eastAsia="Times New Roman" w:hAnsi="Garamond" w:cs="Times New Roman"/>
      <w:iCs w:val="0"/>
      <w:caps/>
      <w:spacing w:val="20"/>
      <w:kern w:val="20"/>
      <w:sz w:val="22"/>
      <w:szCs w:val="20"/>
      <w:lang w:val="en-US"/>
    </w:rPr>
  </w:style>
  <w:style w:type="character" w:customStyle="1" w:styleId="slit">
    <w:name w:val="s_lit"/>
    <w:basedOn w:val="DefaultParagraphFont"/>
    <w:rsid w:val="007257E3"/>
  </w:style>
  <w:style w:type="paragraph" w:customStyle="1" w:styleId="pf0">
    <w:name w:val="pf0"/>
    <w:basedOn w:val="Normal"/>
    <w:rsid w:val="007257E3"/>
    <w:pPr>
      <w:spacing w:before="100" w:beforeAutospacing="1" w:after="100" w:afterAutospacing="1" w:line="240" w:lineRule="auto"/>
    </w:pPr>
    <w:rPr>
      <w:rFonts w:ascii="Times New Roman" w:eastAsia="Times New Roman" w:hAnsi="Times New Roman" w:cs="Times New Roman"/>
      <w:sz w:val="24"/>
      <w:szCs w:val="24"/>
      <w:lang w:eastAsia="ro-RO"/>
    </w:rPr>
  </w:style>
  <w:style w:type="character" w:customStyle="1" w:styleId="cf01">
    <w:name w:val="cf01"/>
    <w:basedOn w:val="DefaultParagraphFont"/>
    <w:rsid w:val="007257E3"/>
    <w:rPr>
      <w:rFonts w:ascii="Segoe UI" w:hAnsi="Segoe UI" w:cs="Segoe UI" w:hint="default"/>
      <w:sz w:val="18"/>
      <w:szCs w:val="18"/>
    </w:rPr>
  </w:style>
  <w:style w:type="paragraph" w:customStyle="1" w:styleId="font11">
    <w:name w:val="font11"/>
    <w:basedOn w:val="Normal"/>
    <w:rsid w:val="007257E3"/>
    <w:pPr>
      <w:spacing w:before="100" w:beforeAutospacing="1" w:after="100" w:afterAutospacing="1" w:line="240" w:lineRule="auto"/>
    </w:pPr>
    <w:rPr>
      <w:rFonts w:eastAsia="Times New Roman" w:cs="Times New Roman"/>
      <w:color w:val="565656"/>
      <w:lang w:eastAsia="ro-RO"/>
    </w:rPr>
  </w:style>
  <w:style w:type="paragraph" w:customStyle="1" w:styleId="font12">
    <w:name w:val="font12"/>
    <w:basedOn w:val="Normal"/>
    <w:rsid w:val="007257E3"/>
    <w:pPr>
      <w:spacing w:before="100" w:beforeAutospacing="1" w:after="100" w:afterAutospacing="1" w:line="240" w:lineRule="auto"/>
    </w:pPr>
    <w:rPr>
      <w:rFonts w:eastAsia="Times New Roman" w:cs="Times New Roman"/>
      <w:color w:val="646464"/>
      <w:lang w:eastAsia="ro-RO"/>
    </w:rPr>
  </w:style>
  <w:style w:type="paragraph" w:customStyle="1" w:styleId="font13">
    <w:name w:val="font13"/>
    <w:basedOn w:val="Normal"/>
    <w:rsid w:val="007257E3"/>
    <w:pPr>
      <w:spacing w:before="100" w:beforeAutospacing="1" w:after="100" w:afterAutospacing="1" w:line="240" w:lineRule="auto"/>
    </w:pPr>
    <w:rPr>
      <w:rFonts w:eastAsia="Times New Roman" w:cs="Times New Roman"/>
      <w:color w:val="525252"/>
      <w:lang w:eastAsia="ro-RO"/>
    </w:rPr>
  </w:style>
  <w:style w:type="paragraph" w:customStyle="1" w:styleId="font14">
    <w:name w:val="font14"/>
    <w:basedOn w:val="Normal"/>
    <w:rsid w:val="007257E3"/>
    <w:pPr>
      <w:spacing w:before="100" w:beforeAutospacing="1" w:after="100" w:afterAutospacing="1" w:line="240" w:lineRule="auto"/>
    </w:pPr>
    <w:rPr>
      <w:rFonts w:eastAsia="Times New Roman" w:cs="Times New Roman"/>
      <w:color w:val="4B4B4B"/>
      <w:lang w:eastAsia="ro-RO"/>
    </w:rPr>
  </w:style>
  <w:style w:type="paragraph" w:customStyle="1" w:styleId="font15">
    <w:name w:val="font15"/>
    <w:basedOn w:val="Normal"/>
    <w:rsid w:val="007257E3"/>
    <w:pPr>
      <w:spacing w:before="100" w:beforeAutospacing="1" w:after="100" w:afterAutospacing="1" w:line="240" w:lineRule="auto"/>
    </w:pPr>
    <w:rPr>
      <w:rFonts w:eastAsia="Times New Roman" w:cs="Times New Roman"/>
      <w:color w:val="5E5E5E"/>
      <w:lang w:eastAsia="ro-RO"/>
    </w:rPr>
  </w:style>
  <w:style w:type="paragraph" w:customStyle="1" w:styleId="font16">
    <w:name w:val="font16"/>
    <w:basedOn w:val="Normal"/>
    <w:rsid w:val="007257E3"/>
    <w:pPr>
      <w:spacing w:before="100" w:beforeAutospacing="1" w:after="100" w:afterAutospacing="1" w:line="240" w:lineRule="auto"/>
    </w:pPr>
    <w:rPr>
      <w:rFonts w:eastAsia="Times New Roman" w:cs="Times New Roman"/>
      <w:color w:val="727272"/>
      <w:lang w:eastAsia="ro-RO"/>
    </w:rPr>
  </w:style>
  <w:style w:type="paragraph" w:customStyle="1" w:styleId="font17">
    <w:name w:val="font17"/>
    <w:basedOn w:val="Normal"/>
    <w:rsid w:val="007257E3"/>
    <w:pPr>
      <w:spacing w:before="100" w:beforeAutospacing="1" w:after="100" w:afterAutospacing="1" w:line="240" w:lineRule="auto"/>
    </w:pPr>
    <w:rPr>
      <w:rFonts w:eastAsia="Times New Roman" w:cs="Times New Roman"/>
      <w:i/>
      <w:iCs/>
      <w:color w:val="444444"/>
      <w:lang w:eastAsia="ro-RO"/>
    </w:rPr>
  </w:style>
  <w:style w:type="paragraph" w:customStyle="1" w:styleId="font18">
    <w:name w:val="font18"/>
    <w:basedOn w:val="Normal"/>
    <w:rsid w:val="007257E3"/>
    <w:pPr>
      <w:spacing w:before="100" w:beforeAutospacing="1" w:after="100" w:afterAutospacing="1" w:line="240" w:lineRule="auto"/>
    </w:pPr>
    <w:rPr>
      <w:rFonts w:eastAsia="Times New Roman" w:cs="Times New Roman"/>
      <w:i/>
      <w:iCs/>
      <w:color w:val="5B5B5B"/>
      <w:lang w:eastAsia="ro-RO"/>
    </w:rPr>
  </w:style>
  <w:style w:type="paragraph" w:customStyle="1" w:styleId="font19">
    <w:name w:val="font19"/>
    <w:basedOn w:val="Normal"/>
    <w:rsid w:val="007257E3"/>
    <w:pPr>
      <w:spacing w:before="100" w:beforeAutospacing="1" w:after="100" w:afterAutospacing="1" w:line="240" w:lineRule="auto"/>
    </w:pPr>
    <w:rPr>
      <w:rFonts w:eastAsia="Times New Roman" w:cs="Times New Roman"/>
      <w:i/>
      <w:iCs/>
      <w:color w:val="606060"/>
      <w:lang w:eastAsia="ro-RO"/>
    </w:rPr>
  </w:style>
  <w:style w:type="paragraph" w:customStyle="1" w:styleId="font20">
    <w:name w:val="font20"/>
    <w:basedOn w:val="Normal"/>
    <w:rsid w:val="007257E3"/>
    <w:pPr>
      <w:spacing w:before="100" w:beforeAutospacing="1" w:after="100" w:afterAutospacing="1" w:line="240" w:lineRule="auto"/>
    </w:pPr>
    <w:rPr>
      <w:rFonts w:eastAsia="Times New Roman" w:cs="Times New Roman"/>
      <w:b/>
      <w:bCs/>
      <w:color w:val="494949"/>
      <w:lang w:eastAsia="ro-RO"/>
    </w:rPr>
  </w:style>
  <w:style w:type="paragraph" w:customStyle="1" w:styleId="font21">
    <w:name w:val="font21"/>
    <w:basedOn w:val="Normal"/>
    <w:rsid w:val="007257E3"/>
    <w:pPr>
      <w:spacing w:before="100" w:beforeAutospacing="1" w:after="100" w:afterAutospacing="1" w:line="240" w:lineRule="auto"/>
    </w:pPr>
    <w:rPr>
      <w:rFonts w:eastAsia="Times New Roman" w:cs="Times New Roman"/>
      <w:b/>
      <w:bCs/>
      <w:i/>
      <w:iCs/>
      <w:color w:val="565656"/>
      <w:lang w:eastAsia="ro-RO"/>
    </w:rPr>
  </w:style>
  <w:style w:type="paragraph" w:customStyle="1" w:styleId="font22">
    <w:name w:val="font22"/>
    <w:basedOn w:val="Normal"/>
    <w:rsid w:val="007257E3"/>
    <w:pPr>
      <w:spacing w:before="100" w:beforeAutospacing="1" w:after="100" w:afterAutospacing="1" w:line="240" w:lineRule="auto"/>
    </w:pPr>
    <w:rPr>
      <w:rFonts w:eastAsia="Times New Roman" w:cs="Times New Roman"/>
      <w:b/>
      <w:bCs/>
      <w:color w:val="565656"/>
      <w:lang w:eastAsia="ro-RO"/>
    </w:rPr>
  </w:style>
  <w:style w:type="paragraph" w:customStyle="1" w:styleId="font23">
    <w:name w:val="font23"/>
    <w:basedOn w:val="Normal"/>
    <w:rsid w:val="007257E3"/>
    <w:pPr>
      <w:spacing w:before="100" w:beforeAutospacing="1" w:after="100" w:afterAutospacing="1" w:line="240" w:lineRule="auto"/>
    </w:pPr>
    <w:rPr>
      <w:rFonts w:eastAsia="Times New Roman" w:cs="Times New Roman"/>
      <w:b/>
      <w:bCs/>
      <w:color w:val="4D4D4D"/>
      <w:lang w:eastAsia="ro-RO"/>
    </w:rPr>
  </w:style>
  <w:style w:type="paragraph" w:customStyle="1" w:styleId="font24">
    <w:name w:val="font24"/>
    <w:basedOn w:val="Normal"/>
    <w:rsid w:val="007257E3"/>
    <w:pPr>
      <w:spacing w:before="100" w:beforeAutospacing="1" w:after="100" w:afterAutospacing="1" w:line="240" w:lineRule="auto"/>
    </w:pPr>
    <w:rPr>
      <w:rFonts w:eastAsia="Times New Roman" w:cs="Times New Roman"/>
      <w:b/>
      <w:bCs/>
      <w:color w:val="5E5E5E"/>
      <w:lang w:eastAsia="ro-RO"/>
    </w:rPr>
  </w:style>
  <w:style w:type="paragraph" w:customStyle="1" w:styleId="font25">
    <w:name w:val="font25"/>
    <w:basedOn w:val="Normal"/>
    <w:rsid w:val="007257E3"/>
    <w:pPr>
      <w:spacing w:before="100" w:beforeAutospacing="1" w:after="100" w:afterAutospacing="1" w:line="240" w:lineRule="auto"/>
    </w:pPr>
    <w:rPr>
      <w:rFonts w:eastAsia="Times New Roman" w:cs="Times New Roman"/>
      <w:b/>
      <w:bCs/>
      <w:color w:val="4B4B4B"/>
      <w:lang w:eastAsia="ro-RO"/>
    </w:rPr>
  </w:style>
  <w:style w:type="paragraph" w:customStyle="1" w:styleId="font26">
    <w:name w:val="font26"/>
    <w:basedOn w:val="Normal"/>
    <w:rsid w:val="007257E3"/>
    <w:pPr>
      <w:spacing w:before="100" w:beforeAutospacing="1" w:after="100" w:afterAutospacing="1" w:line="240" w:lineRule="auto"/>
    </w:pPr>
    <w:rPr>
      <w:rFonts w:eastAsia="Times New Roman" w:cs="Times New Roman"/>
      <w:b/>
      <w:bCs/>
      <w:i/>
      <w:iCs/>
      <w:color w:val="595959"/>
      <w:lang w:eastAsia="ro-RO"/>
    </w:rPr>
  </w:style>
  <w:style w:type="paragraph" w:customStyle="1" w:styleId="font27">
    <w:name w:val="font27"/>
    <w:basedOn w:val="Normal"/>
    <w:rsid w:val="007257E3"/>
    <w:pPr>
      <w:spacing w:before="100" w:beforeAutospacing="1" w:after="100" w:afterAutospacing="1" w:line="240" w:lineRule="auto"/>
    </w:pPr>
    <w:rPr>
      <w:rFonts w:eastAsia="Times New Roman" w:cs="Times New Roman"/>
      <w:b/>
      <w:bCs/>
      <w:color w:val="444444"/>
      <w:lang w:eastAsia="ro-RO"/>
    </w:rPr>
  </w:style>
  <w:style w:type="paragraph" w:customStyle="1" w:styleId="Listing1">
    <w:name w:val="Listing1"/>
    <w:basedOn w:val="Normal"/>
    <w:uiPriority w:val="99"/>
    <w:rsid w:val="007257E3"/>
    <w:pPr>
      <w:tabs>
        <w:tab w:val="left" w:pos="709"/>
        <w:tab w:val="num" w:pos="1701"/>
      </w:tabs>
      <w:overflowPunct w:val="0"/>
      <w:autoSpaceDE w:val="0"/>
      <w:autoSpaceDN w:val="0"/>
      <w:adjustRightInd w:val="0"/>
      <w:spacing w:line="300" w:lineRule="exact"/>
      <w:ind w:left="720" w:hanging="360"/>
      <w:jc w:val="both"/>
      <w:textAlignment w:val="baseline"/>
    </w:pPr>
    <w:rPr>
      <w:rFonts w:ascii="Arial" w:eastAsia="Times New Roman" w:hAnsi="Arial" w:cs="Times New Roman"/>
      <w:sz w:val="22"/>
      <w:szCs w:val="20"/>
      <w:lang w:val="en-GB" w:eastAsia="de-DE"/>
    </w:rPr>
  </w:style>
  <w:style w:type="paragraph" w:customStyle="1" w:styleId="Char1CharCharCharCharChar">
    <w:name w:val="Char1 Char Char Char Char Char"/>
    <w:basedOn w:val="Normal"/>
    <w:uiPriority w:val="99"/>
    <w:rsid w:val="007257E3"/>
    <w:pPr>
      <w:spacing w:line="240" w:lineRule="auto"/>
    </w:pPr>
    <w:rPr>
      <w:rFonts w:ascii="Times New Roman" w:eastAsia="Times New Roman" w:hAnsi="Times New Roman" w:cs="Times New Roman"/>
      <w:sz w:val="24"/>
      <w:szCs w:val="24"/>
      <w:lang w:val="pl-PL" w:eastAsia="pl-PL"/>
    </w:rPr>
  </w:style>
  <w:style w:type="paragraph" w:customStyle="1" w:styleId="document">
    <w:name w:val="document"/>
    <w:basedOn w:val="Heading3"/>
    <w:uiPriority w:val="99"/>
    <w:qFormat/>
    <w:rsid w:val="007257E3"/>
    <w:pPr>
      <w:numPr>
        <w:ilvl w:val="0"/>
        <w:numId w:val="0"/>
      </w:numPr>
      <w:tabs>
        <w:tab w:val="num" w:pos="2585"/>
      </w:tabs>
      <w:spacing w:before="40" w:line="240" w:lineRule="auto"/>
      <w:ind w:left="2585" w:hanging="360"/>
      <w:contextualSpacing w:val="0"/>
      <w:jc w:val="both"/>
    </w:pPr>
    <w:rPr>
      <w:rFonts w:asciiTheme="majorHAnsi" w:hAnsiTheme="majorHAnsi"/>
      <w:bCs w:val="0"/>
      <w:color w:val="021836" w:themeColor="accent1" w:themeShade="7F"/>
      <w:sz w:val="24"/>
      <w:szCs w:val="24"/>
      <w:lang w:eastAsia="ro-RO"/>
    </w:rPr>
  </w:style>
  <w:style w:type="paragraph" w:customStyle="1" w:styleId="doc">
    <w:name w:val="doc"/>
    <w:basedOn w:val="document"/>
    <w:uiPriority w:val="99"/>
    <w:qFormat/>
    <w:rsid w:val="007257E3"/>
  </w:style>
  <w:style w:type="paragraph" w:customStyle="1" w:styleId="DOCUMENT0">
    <w:name w:val="DOCUMENT"/>
    <w:basedOn w:val="Normal"/>
    <w:uiPriority w:val="99"/>
    <w:qFormat/>
    <w:rsid w:val="007257E3"/>
    <w:pPr>
      <w:spacing w:line="360" w:lineRule="auto"/>
      <w:jc w:val="both"/>
    </w:pPr>
    <w:rPr>
      <w:rFonts w:ascii="Arial" w:eastAsia="Times New Roman" w:hAnsi="Arial" w:cs="Times New Roman"/>
      <w:sz w:val="22"/>
      <w:szCs w:val="20"/>
      <w:lang w:val="en-GB" w:eastAsia="ro-RO"/>
    </w:rPr>
  </w:style>
  <w:style w:type="paragraph" w:customStyle="1" w:styleId="Heading10">
    <w:name w:val="Heading 10"/>
    <w:basedOn w:val="Heading3"/>
    <w:uiPriority w:val="99"/>
    <w:qFormat/>
    <w:rsid w:val="007257E3"/>
    <w:pPr>
      <w:numPr>
        <w:numId w:val="99"/>
      </w:numPr>
      <w:spacing w:before="40" w:line="240" w:lineRule="auto"/>
      <w:contextualSpacing w:val="0"/>
      <w:jc w:val="both"/>
    </w:pPr>
    <w:rPr>
      <w:rFonts w:asciiTheme="majorHAnsi" w:hAnsiTheme="majorHAnsi"/>
      <w:bCs w:val="0"/>
      <w:color w:val="021836" w:themeColor="accent1" w:themeShade="7F"/>
      <w:sz w:val="24"/>
      <w:szCs w:val="24"/>
      <w:lang w:eastAsia="ro-RO"/>
    </w:rPr>
  </w:style>
  <w:style w:type="paragraph" w:customStyle="1" w:styleId="0sb200">
    <w:name w:val="0sb200"/>
    <w:uiPriority w:val="99"/>
    <w:qFormat/>
    <w:rsid w:val="007257E3"/>
    <w:pPr>
      <w:spacing w:line="240" w:lineRule="auto"/>
      <w:ind w:firstLine="567"/>
      <w:jc w:val="both"/>
    </w:pPr>
    <w:rPr>
      <w:rFonts w:ascii="Times New Roman" w:eastAsia="Times New Roman" w:hAnsi="Times New Roman" w:cs="Times New Roman"/>
      <w:sz w:val="24"/>
      <w:szCs w:val="20"/>
      <w:lang w:val="en-US" w:eastAsia="ro-RO"/>
    </w:rPr>
  </w:style>
  <w:style w:type="paragraph" w:customStyle="1" w:styleId="Titlu02">
    <w:name w:val="Titlu 02*"/>
    <w:basedOn w:val="Heading2"/>
    <w:uiPriority w:val="99"/>
    <w:qFormat/>
    <w:rsid w:val="007257E3"/>
    <w:pPr>
      <w:numPr>
        <w:ilvl w:val="0"/>
        <w:numId w:val="0"/>
      </w:numPr>
      <w:tabs>
        <w:tab w:val="num" w:pos="1865"/>
      </w:tabs>
      <w:suppressAutoHyphens w:val="0"/>
      <w:spacing w:before="40" w:line="240" w:lineRule="auto"/>
      <w:ind w:left="1865" w:hanging="360"/>
      <w:contextualSpacing w:val="0"/>
      <w:jc w:val="both"/>
    </w:pPr>
    <w:rPr>
      <w:rFonts w:asciiTheme="majorHAnsi" w:hAnsiTheme="majorHAnsi"/>
      <w:bCs w:val="0"/>
      <w:color w:val="032552" w:themeColor="accent1" w:themeShade="BF"/>
      <w:sz w:val="26"/>
      <w:lang w:eastAsia="ro-RO"/>
    </w:rPr>
  </w:style>
  <w:style w:type="paragraph" w:customStyle="1" w:styleId="WW-BodyText2">
    <w:name w:val="WW-Body Text 2"/>
    <w:basedOn w:val="Normal"/>
    <w:uiPriority w:val="99"/>
    <w:qFormat/>
    <w:rsid w:val="007257E3"/>
    <w:pPr>
      <w:suppressAutoHyphens/>
      <w:spacing w:line="360" w:lineRule="atLeast"/>
    </w:pPr>
    <w:rPr>
      <w:rFonts w:ascii="Arial" w:eastAsia="Times New Roman" w:hAnsi="Arial" w:cs="Times New Roman"/>
      <w:sz w:val="24"/>
      <w:szCs w:val="20"/>
      <w:lang w:val="en-GB" w:eastAsia="ro-RO"/>
    </w:rPr>
  </w:style>
  <w:style w:type="paragraph" w:customStyle="1" w:styleId="BodyTextIndent31">
    <w:name w:val="Body Text Indent 31"/>
    <w:basedOn w:val="Normal"/>
    <w:uiPriority w:val="99"/>
    <w:qFormat/>
    <w:rsid w:val="007257E3"/>
    <w:pPr>
      <w:widowControl w:val="0"/>
      <w:suppressAutoHyphens/>
      <w:spacing w:line="240" w:lineRule="auto"/>
      <w:ind w:right="646" w:firstLine="578"/>
    </w:pPr>
    <w:rPr>
      <w:rFonts w:ascii="Times New Roman" w:eastAsia="Times New Roman" w:hAnsi="Times New Roman" w:cs="Arial"/>
      <w:sz w:val="23"/>
      <w:szCs w:val="20"/>
      <w:lang w:val="fr-FR" w:eastAsia="ar-SA"/>
    </w:rPr>
  </w:style>
  <w:style w:type="paragraph" w:customStyle="1" w:styleId="StyleHeading1Arial16ptAllcaps">
    <w:name w:val="Style Heading 1 + Arial 16 pt All caps"/>
    <w:basedOn w:val="Normal"/>
    <w:uiPriority w:val="99"/>
    <w:qFormat/>
    <w:rsid w:val="007257E3"/>
    <w:pPr>
      <w:tabs>
        <w:tab w:val="num" w:pos="587"/>
        <w:tab w:val="num" w:pos="1531"/>
        <w:tab w:val="num" w:pos="1701"/>
      </w:tabs>
      <w:spacing w:line="360" w:lineRule="auto"/>
      <w:ind w:left="644" w:hanging="284"/>
      <w:jc w:val="both"/>
    </w:pPr>
    <w:rPr>
      <w:rFonts w:ascii="Arial" w:eastAsia="Times New Roman" w:hAnsi="Arial" w:cs="Times New Roman"/>
      <w:sz w:val="24"/>
      <w:szCs w:val="20"/>
    </w:rPr>
  </w:style>
  <w:style w:type="character" w:customStyle="1" w:styleId="WW8Num13z2">
    <w:name w:val="WW8Num13z2"/>
    <w:rsid w:val="007257E3"/>
    <w:rPr>
      <w:rFonts w:ascii="Wingdings" w:hAnsi="Wingdings"/>
    </w:rPr>
  </w:style>
  <w:style w:type="character" w:customStyle="1" w:styleId="PlainTextArialChar">
    <w:name w:val="Plain Text + Arial Char"/>
    <w:aliases w:val="12 pt Char,Bold Char,Italic Char,First line:  0.5&quot; Char,Line spacing:  1.... Char"/>
    <w:rsid w:val="007257E3"/>
    <w:rPr>
      <w:rFonts w:ascii="Arial" w:eastAsia="Times New Roman" w:hAnsi="Arial" w:cs="Times New Roman"/>
      <w:b/>
      <w:i/>
      <w:sz w:val="24"/>
      <w:szCs w:val="24"/>
      <w:lang w:eastAsia="x-none"/>
    </w:rPr>
  </w:style>
  <w:style w:type="paragraph" w:customStyle="1" w:styleId="Textnoraml">
    <w:name w:val="Text noraml"/>
    <w:basedOn w:val="Normal"/>
    <w:uiPriority w:val="99"/>
    <w:qFormat/>
    <w:rsid w:val="007257E3"/>
    <w:pPr>
      <w:spacing w:line="360" w:lineRule="auto"/>
      <w:ind w:firstLine="720"/>
      <w:jc w:val="both"/>
    </w:pPr>
    <w:rPr>
      <w:rFonts w:ascii="Arial" w:eastAsia="Times New Roman" w:hAnsi="Arial" w:cs="Times New Roman"/>
      <w:spacing w:val="4"/>
      <w:sz w:val="24"/>
      <w:szCs w:val="20"/>
    </w:rPr>
  </w:style>
  <w:style w:type="paragraph" w:customStyle="1" w:styleId="StyleHeading1JustifiedFirstline08cmLinespacing1">
    <w:name w:val="Style Heading 1 + Justified First line:  08 cm Line spacing:  1...."/>
    <w:basedOn w:val="Heading1"/>
    <w:autoRedefine/>
    <w:uiPriority w:val="99"/>
    <w:qFormat/>
    <w:rsid w:val="007257E3"/>
    <w:pPr>
      <w:numPr>
        <w:numId w:val="0"/>
      </w:numPr>
      <w:tabs>
        <w:tab w:val="num" w:pos="1209"/>
      </w:tabs>
      <w:suppressAutoHyphens w:val="0"/>
      <w:spacing w:before="240" w:after="0" w:line="240" w:lineRule="auto"/>
      <w:contextualSpacing w:val="0"/>
      <w:jc w:val="both"/>
    </w:pPr>
    <w:rPr>
      <w:rFonts w:asciiTheme="majorHAnsi" w:hAnsiTheme="majorHAnsi"/>
      <w:bCs w:val="0"/>
      <w:color w:val="032552" w:themeColor="accent1" w:themeShade="BF"/>
      <w:sz w:val="32"/>
      <w:szCs w:val="32"/>
      <w:lang w:eastAsia="ro-RO"/>
    </w:rPr>
  </w:style>
  <w:style w:type="paragraph" w:customStyle="1" w:styleId="BodyTextIndent1">
    <w:name w:val="Body Text Indent1"/>
    <w:basedOn w:val="Normal"/>
    <w:uiPriority w:val="99"/>
    <w:qFormat/>
    <w:rsid w:val="007257E3"/>
    <w:pPr>
      <w:suppressAutoHyphens/>
      <w:spacing w:line="240" w:lineRule="auto"/>
      <w:ind w:firstLine="680"/>
      <w:jc w:val="both"/>
    </w:pPr>
    <w:rPr>
      <w:rFonts w:ascii="Arial" w:eastAsia="Times New Roman" w:hAnsi="Arial" w:cs="Arial"/>
      <w:sz w:val="24"/>
      <w:szCs w:val="24"/>
      <w:lang w:val="en-US" w:eastAsia="ar-SA"/>
    </w:rPr>
  </w:style>
  <w:style w:type="paragraph" w:customStyle="1" w:styleId="BodyTextIndent21">
    <w:name w:val="Body Text Indent 21"/>
    <w:basedOn w:val="Normal"/>
    <w:uiPriority w:val="99"/>
    <w:qFormat/>
    <w:rsid w:val="007257E3"/>
    <w:pPr>
      <w:widowControl w:val="0"/>
      <w:suppressAutoHyphens/>
      <w:spacing w:line="240" w:lineRule="auto"/>
      <w:ind w:firstLine="454"/>
      <w:jc w:val="both"/>
    </w:pPr>
    <w:rPr>
      <w:rFonts w:ascii="Arial" w:eastAsia="Times New Roman" w:hAnsi="Arial" w:cs="Times New Roman"/>
      <w:sz w:val="24"/>
      <w:szCs w:val="20"/>
      <w:lang w:val="en-US" w:eastAsia="ar-SA"/>
    </w:rPr>
  </w:style>
  <w:style w:type="paragraph" w:customStyle="1" w:styleId="BodyText310">
    <w:name w:val="Body Text 31"/>
    <w:basedOn w:val="Normal"/>
    <w:uiPriority w:val="99"/>
    <w:qFormat/>
    <w:rsid w:val="007257E3"/>
    <w:pPr>
      <w:suppressAutoHyphens/>
      <w:spacing w:line="360" w:lineRule="auto"/>
      <w:jc w:val="both"/>
    </w:pPr>
    <w:rPr>
      <w:rFonts w:ascii="Arial" w:eastAsia="Times New Roman" w:hAnsi="Arial" w:cs="Times New Roman"/>
      <w:color w:val="000000"/>
      <w:sz w:val="24"/>
      <w:szCs w:val="20"/>
      <w:lang w:val="en-GB" w:eastAsia="ar-SA"/>
    </w:rPr>
  </w:style>
  <w:style w:type="paragraph" w:customStyle="1" w:styleId="CharCharCaracterCaracterCharCharCaracterCaracterCharCharChar">
    <w:name w:val="Char Char Caracter Caracter Char Char Caracter Caracter Char Char Char"/>
    <w:basedOn w:val="Normal"/>
    <w:uiPriority w:val="99"/>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StyleStyleHeading2NotItalicLinespacing15linesBold">
    <w:name w:val="Style Style Heading 2 + Not Italic Line spacing:  1.5 lines + Bold..."/>
    <w:basedOn w:val="Normal"/>
    <w:autoRedefine/>
    <w:uiPriority w:val="99"/>
    <w:qFormat/>
    <w:rsid w:val="007257E3"/>
    <w:pPr>
      <w:numPr>
        <w:numId w:val="140"/>
      </w:numPr>
      <w:spacing w:line="240" w:lineRule="auto"/>
    </w:pPr>
    <w:rPr>
      <w:rFonts w:ascii="Arial" w:eastAsia="Times New Roman" w:hAnsi="Arial" w:cs="Times New Roman"/>
      <w:b/>
      <w:bCs/>
      <w:caps/>
      <w:sz w:val="24"/>
      <w:szCs w:val="20"/>
    </w:rPr>
  </w:style>
  <w:style w:type="character" w:customStyle="1" w:styleId="NormArialCaracter1">
    <w:name w:val="Norm + Arial Caracter1"/>
    <w:aliases w:val="11 pt Caracter1"/>
    <w:rsid w:val="007257E3"/>
    <w:rPr>
      <w:rFonts w:ascii="Arial" w:hAnsi="Arial" w:cs="Arial" w:hint="default"/>
      <w:sz w:val="22"/>
      <w:szCs w:val="22"/>
      <w:lang w:val="en-US" w:eastAsia="ro-RO" w:bidi="ar-SA"/>
    </w:rPr>
  </w:style>
  <w:style w:type="character" w:customStyle="1" w:styleId="CharCharChar">
    <w:name w:val="Char Char Char"/>
    <w:rsid w:val="007257E3"/>
    <w:rPr>
      <w:rFonts w:ascii="Arial" w:hAnsi="Arial"/>
      <w:b/>
      <w:sz w:val="24"/>
      <w:lang w:val="en-GB" w:eastAsia="ro-RO" w:bidi="ar-SA"/>
    </w:rPr>
  </w:style>
  <w:style w:type="table" w:customStyle="1" w:styleId="TableGrid142">
    <w:name w:val="TableGrid14"/>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150">
    <w:name w:val="TableGrid15"/>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character" w:customStyle="1" w:styleId="slinttl">
    <w:name w:val="s_lin_ttl"/>
    <w:rsid w:val="007257E3"/>
  </w:style>
  <w:style w:type="character" w:customStyle="1" w:styleId="slinbdy">
    <w:name w:val="s_lin_bdy"/>
    <w:rsid w:val="007257E3"/>
  </w:style>
  <w:style w:type="paragraph" w:customStyle="1" w:styleId="TabelMP">
    <w:name w:val="Tabel MP"/>
    <w:basedOn w:val="Caption"/>
    <w:link w:val="TabelMPChar"/>
    <w:qFormat/>
    <w:rsid w:val="007257E3"/>
    <w:pPr>
      <w:spacing w:before="120" w:after="120" w:line="240" w:lineRule="auto"/>
      <w:jc w:val="right"/>
    </w:pPr>
    <w:rPr>
      <w:rFonts w:ascii="Arial" w:eastAsia="Times New Roman" w:hAnsi="Arial" w:cs="Arial"/>
      <w:b w:val="0"/>
      <w:i/>
      <w:color w:val="auto"/>
      <w:sz w:val="20"/>
      <w:szCs w:val="20"/>
      <w:lang w:val="en-GB"/>
    </w:rPr>
  </w:style>
  <w:style w:type="character" w:customStyle="1" w:styleId="TabelMPChar">
    <w:name w:val="Tabel MP Char"/>
    <w:link w:val="TabelMP"/>
    <w:rsid w:val="007257E3"/>
    <w:rPr>
      <w:rFonts w:ascii="Arial" w:eastAsia="Times New Roman" w:hAnsi="Arial" w:cs="Arial"/>
      <w:bCs/>
      <w:i/>
      <w:sz w:val="20"/>
      <w:szCs w:val="20"/>
      <w:lang w:val="en-GB"/>
    </w:rPr>
  </w:style>
  <w:style w:type="character" w:customStyle="1" w:styleId="Table-bodytextChar">
    <w:name w:val="Table - body text Char"/>
    <w:link w:val="Table-bodytext"/>
    <w:locked/>
    <w:rsid w:val="007257E3"/>
    <w:rPr>
      <w:rFonts w:ascii="Palatino Linotype" w:hAnsi="Palatino Linotype"/>
      <w:lang w:val="en-GB" w:eastAsia="en-GB"/>
    </w:rPr>
  </w:style>
  <w:style w:type="paragraph" w:customStyle="1" w:styleId="Table-bodytext">
    <w:name w:val="Table - body text"/>
    <w:basedOn w:val="Normal"/>
    <w:link w:val="Table-bodytextChar"/>
    <w:qFormat/>
    <w:rsid w:val="007257E3"/>
    <w:pPr>
      <w:spacing w:before="40" w:after="40" w:line="240" w:lineRule="auto"/>
      <w:ind w:left="142" w:right="142"/>
    </w:pPr>
    <w:rPr>
      <w:rFonts w:ascii="Palatino Linotype" w:hAnsi="Palatino Linotype"/>
      <w:lang w:val="en-GB" w:eastAsia="en-GB"/>
    </w:rPr>
  </w:style>
  <w:style w:type="paragraph" w:customStyle="1" w:styleId="Para0bullet">
    <w:name w:val="Para 0 bullet"/>
    <w:basedOn w:val="Normal"/>
    <w:autoRedefine/>
    <w:uiPriority w:val="4"/>
    <w:qFormat/>
    <w:rsid w:val="007257E3"/>
    <w:pPr>
      <w:numPr>
        <w:numId w:val="137"/>
      </w:numPr>
      <w:tabs>
        <w:tab w:val="num" w:pos="172"/>
        <w:tab w:val="left" w:pos="360"/>
      </w:tabs>
      <w:spacing w:after="120" w:line="240" w:lineRule="atLeast"/>
      <w:ind w:left="720" w:hanging="360"/>
      <w:jc w:val="both"/>
    </w:pPr>
    <w:rPr>
      <w:rFonts w:ascii="Arial" w:eastAsia="Times New Roman" w:hAnsi="Arial" w:cs="Times New Roman"/>
      <w:sz w:val="20"/>
      <w:szCs w:val="24"/>
    </w:rPr>
  </w:style>
  <w:style w:type="paragraph" w:customStyle="1" w:styleId="Para1narrowarrow">
    <w:name w:val="Para 1 narrow arrow"/>
    <w:basedOn w:val="Normal"/>
    <w:uiPriority w:val="5"/>
    <w:unhideWhenUsed/>
    <w:qFormat/>
    <w:rsid w:val="007257E3"/>
    <w:pPr>
      <w:numPr>
        <w:ilvl w:val="1"/>
        <w:numId w:val="137"/>
      </w:numPr>
      <w:tabs>
        <w:tab w:val="left" w:pos="360"/>
        <w:tab w:val="num" w:pos="568"/>
      </w:tabs>
      <w:spacing w:after="120" w:line="240" w:lineRule="atLeast"/>
      <w:ind w:left="644" w:hanging="360"/>
      <w:jc w:val="both"/>
    </w:pPr>
    <w:rPr>
      <w:rFonts w:ascii="Arial" w:eastAsia="Times New Roman" w:hAnsi="Arial" w:cs="Times New Roman"/>
      <w:sz w:val="20"/>
      <w:szCs w:val="24"/>
    </w:rPr>
  </w:style>
  <w:style w:type="table" w:customStyle="1" w:styleId="TableGrid1010">
    <w:name w:val="TableGrid101"/>
    <w:rsid w:val="007257E3"/>
    <w:pPr>
      <w:spacing w:line="240" w:lineRule="auto"/>
    </w:pPr>
    <w:rPr>
      <w:rFonts w:ascii="Calibri" w:eastAsia="Yu Mincho" w:hAnsi="Calibri" w:cs="Arial"/>
      <w:sz w:val="22"/>
      <w:szCs w:val="22"/>
      <w:lang w:val="ro-RO" w:eastAsia="ro-RO"/>
    </w:rPr>
    <w:tblPr>
      <w:tblCellMar>
        <w:top w:w="0" w:type="dxa"/>
        <w:left w:w="0" w:type="dxa"/>
        <w:bottom w:w="0" w:type="dxa"/>
        <w:right w:w="0" w:type="dxa"/>
      </w:tblCellMar>
    </w:tblPr>
  </w:style>
  <w:style w:type="table" w:customStyle="1" w:styleId="Tablelongdocument1">
    <w:name w:val="Table long document1"/>
    <w:basedOn w:val="TableNormal"/>
    <w:next w:val="TableGrid"/>
    <w:uiPriority w:val="59"/>
    <w:rsid w:val="007257E3"/>
    <w:pPr>
      <w:spacing w:line="240" w:lineRule="auto"/>
    </w:pPr>
    <w:rPr>
      <w:rFonts w:ascii="Times New Roman" w:eastAsia="Calibri"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longdocument2">
    <w:name w:val="Table long document2"/>
    <w:basedOn w:val="TableNormal"/>
    <w:next w:val="TableGrid"/>
    <w:uiPriority w:val="59"/>
    <w:rsid w:val="007257E3"/>
    <w:pPr>
      <w:spacing w:line="240" w:lineRule="auto"/>
    </w:pPr>
    <w:rPr>
      <w:rFonts w:ascii="Times New Roman" w:eastAsia="Calibri"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1Light-Accent11">
    <w:name w:val="Grid Table 1 Light - Accent 11"/>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
    <w:name w:val="Grid Table 1 Light - Accent 12"/>
    <w:basedOn w:val="TableNormal"/>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
    <w:name w:val="Grid Table 1 Light - Accent 120"/>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3">
    <w:name w:val="Grid Table 1 Light - Accent 13"/>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paragraph" w:customStyle="1" w:styleId="JBABullet">
    <w:name w:val="JBA Bullet"/>
    <w:basedOn w:val="Normal"/>
    <w:uiPriority w:val="99"/>
    <w:qFormat/>
    <w:rsid w:val="007257E3"/>
    <w:pPr>
      <w:keepNext/>
      <w:numPr>
        <w:numId w:val="141"/>
      </w:numPr>
      <w:spacing w:before="120" w:after="100" w:afterAutospacing="1" w:line="240" w:lineRule="auto"/>
      <w:jc w:val="both"/>
    </w:pPr>
    <w:rPr>
      <w:rFonts w:ascii="Arial" w:eastAsia="Times New Roman" w:hAnsi="Arial" w:cs="Times New Roman"/>
      <w:sz w:val="24"/>
      <w:szCs w:val="24"/>
      <w:lang w:val="en-GB"/>
    </w:rPr>
  </w:style>
  <w:style w:type="paragraph" w:customStyle="1" w:styleId="Pa3">
    <w:name w:val="Pa3"/>
    <w:basedOn w:val="Default"/>
    <w:next w:val="Default"/>
    <w:uiPriority w:val="99"/>
    <w:qFormat/>
    <w:rsid w:val="007257E3"/>
    <w:pPr>
      <w:spacing w:after="0" w:line="201" w:lineRule="atLeast"/>
    </w:pPr>
    <w:rPr>
      <w:rFonts w:eastAsia="Calibri"/>
      <w:color w:val="auto"/>
      <w:lang w:val="ro-RO"/>
    </w:rPr>
  </w:style>
  <w:style w:type="paragraph" w:customStyle="1" w:styleId="Pa20">
    <w:name w:val="Pa20"/>
    <w:basedOn w:val="Default"/>
    <w:next w:val="Default"/>
    <w:uiPriority w:val="99"/>
    <w:qFormat/>
    <w:rsid w:val="007257E3"/>
    <w:pPr>
      <w:spacing w:after="0" w:line="201" w:lineRule="atLeast"/>
    </w:pPr>
    <w:rPr>
      <w:rFonts w:eastAsia="Calibri"/>
      <w:color w:val="auto"/>
      <w:lang w:val="ro-RO"/>
    </w:rPr>
  </w:style>
  <w:style w:type="paragraph" w:customStyle="1" w:styleId="1FiguratitluMeto">
    <w:name w:val="1_Figura_titlu_Meto"/>
    <w:basedOn w:val="Caption"/>
    <w:uiPriority w:val="99"/>
    <w:qFormat/>
    <w:rsid w:val="007257E3"/>
    <w:pPr>
      <w:spacing w:before="120" w:after="480" w:line="276" w:lineRule="auto"/>
      <w:jc w:val="center"/>
    </w:pPr>
    <w:rPr>
      <w:rFonts w:ascii="Arial" w:eastAsia="Times New Roman" w:hAnsi="Arial" w:cs="Times New Roman"/>
      <w:b w:val="0"/>
      <w:color w:val="auto"/>
      <w:sz w:val="24"/>
      <w:szCs w:val="24"/>
      <w:lang w:val="fr-FR"/>
    </w:rPr>
  </w:style>
  <w:style w:type="paragraph" w:customStyle="1" w:styleId="1TEXT">
    <w:name w:val="1_TEXT"/>
    <w:basedOn w:val="Normal"/>
    <w:uiPriority w:val="99"/>
    <w:qFormat/>
    <w:rsid w:val="007257E3"/>
    <w:pPr>
      <w:shd w:val="clear" w:color="auto" w:fill="FFFFFF"/>
      <w:spacing w:before="120" w:after="120" w:line="276" w:lineRule="auto"/>
      <w:ind w:firstLine="720"/>
      <w:jc w:val="both"/>
    </w:pPr>
    <w:rPr>
      <w:rFonts w:ascii="Times New Roman" w:eastAsia="Times New Roman" w:hAnsi="Times New Roman" w:cs="Times New Roman"/>
      <w:sz w:val="24"/>
      <w:szCs w:val="22"/>
    </w:rPr>
  </w:style>
  <w:style w:type="paragraph" w:customStyle="1" w:styleId="1bull">
    <w:name w:val="1_bull"/>
    <w:basedOn w:val="Normal"/>
    <w:uiPriority w:val="99"/>
    <w:qFormat/>
    <w:rsid w:val="007257E3"/>
    <w:pPr>
      <w:numPr>
        <w:numId w:val="142"/>
      </w:numPr>
      <w:spacing w:before="120" w:line="276" w:lineRule="auto"/>
      <w:jc w:val="both"/>
      <w:textAlignment w:val="baseline"/>
    </w:pPr>
    <w:rPr>
      <w:rFonts w:ascii="Times New Roman" w:eastAsia="+mn-ea" w:hAnsi="Times New Roman" w:cs="Times New Roman"/>
      <w:bCs/>
      <w:kern w:val="24"/>
      <w:sz w:val="24"/>
      <w:szCs w:val="22"/>
    </w:rPr>
  </w:style>
  <w:style w:type="paragraph" w:customStyle="1" w:styleId="1textMeto">
    <w:name w:val="1_text_Meto"/>
    <w:basedOn w:val="Normal"/>
    <w:uiPriority w:val="99"/>
    <w:qFormat/>
    <w:rsid w:val="007257E3"/>
    <w:pPr>
      <w:spacing w:before="120" w:after="120" w:line="276" w:lineRule="auto"/>
      <w:ind w:firstLine="709"/>
      <w:jc w:val="both"/>
    </w:pPr>
    <w:rPr>
      <w:rFonts w:ascii="Times New Roman" w:eastAsia="Calibri" w:hAnsi="Times New Roman" w:cs="Arial"/>
      <w:bCs/>
      <w:sz w:val="24"/>
      <w:szCs w:val="26"/>
      <w:lang w:eastAsia="ro-RO"/>
    </w:rPr>
  </w:style>
  <w:style w:type="paragraph" w:customStyle="1" w:styleId="1text2Meto">
    <w:name w:val="1_text2_Meto"/>
    <w:basedOn w:val="BodyText"/>
    <w:uiPriority w:val="99"/>
    <w:qFormat/>
    <w:rsid w:val="007257E3"/>
    <w:pPr>
      <w:widowControl w:val="0"/>
      <w:suppressAutoHyphens/>
      <w:spacing w:before="360" w:after="240" w:line="240" w:lineRule="auto"/>
    </w:pPr>
    <w:rPr>
      <w:rFonts w:ascii="Times New Roman" w:eastAsia="SimSun" w:hAnsi="Times New Roman" w:cs="Arial"/>
      <w:b/>
      <w:i/>
      <w:color w:val="2E74B5"/>
      <w:kern w:val="1"/>
      <w:sz w:val="28"/>
      <w:szCs w:val="28"/>
      <w:u w:val="single"/>
      <w:lang w:eastAsia="zh-CN" w:bidi="hi-IN"/>
    </w:rPr>
  </w:style>
  <w:style w:type="paragraph" w:customStyle="1" w:styleId="1bullmeto">
    <w:name w:val="1_bull_meto"/>
    <w:basedOn w:val="Normal"/>
    <w:uiPriority w:val="99"/>
    <w:qFormat/>
    <w:rsid w:val="007257E3"/>
    <w:pPr>
      <w:numPr>
        <w:numId w:val="143"/>
      </w:numPr>
      <w:spacing w:before="60" w:after="60" w:line="276" w:lineRule="auto"/>
      <w:ind w:right="624"/>
      <w:jc w:val="both"/>
    </w:pPr>
    <w:rPr>
      <w:rFonts w:ascii="Times New Roman" w:eastAsia="Calibri" w:hAnsi="Times New Roman" w:cs="Arial"/>
      <w:bCs/>
      <w:sz w:val="24"/>
      <w:szCs w:val="26"/>
      <w:lang w:eastAsia="ro-RO"/>
    </w:rPr>
  </w:style>
  <w:style w:type="paragraph" w:customStyle="1" w:styleId="PABHtext2">
    <w:name w:val="PABH text 2"/>
    <w:basedOn w:val="Normal"/>
    <w:link w:val="PABHtext2Caracter"/>
    <w:qFormat/>
    <w:rsid w:val="007257E3"/>
    <w:pPr>
      <w:spacing w:before="120" w:after="120" w:line="240" w:lineRule="auto"/>
      <w:jc w:val="both"/>
    </w:pPr>
    <w:rPr>
      <w:rFonts w:ascii="Arial" w:eastAsia="Times New Roman" w:hAnsi="Arial" w:cs="Arial"/>
      <w:sz w:val="24"/>
      <w:szCs w:val="24"/>
      <w:lang w:val="it-IT" w:eastAsia="ro-RO"/>
    </w:rPr>
  </w:style>
  <w:style w:type="character" w:customStyle="1" w:styleId="PABHtext2Caracter">
    <w:name w:val="PABH text 2 Caracter"/>
    <w:link w:val="PABHtext2"/>
    <w:rsid w:val="007257E3"/>
    <w:rPr>
      <w:rFonts w:ascii="Arial" w:eastAsia="Times New Roman" w:hAnsi="Arial" w:cs="Arial"/>
      <w:sz w:val="24"/>
      <w:szCs w:val="24"/>
      <w:lang w:val="it-IT" w:eastAsia="ro-RO"/>
    </w:rPr>
  </w:style>
  <w:style w:type="character" w:customStyle="1" w:styleId="UnresolvedMention2">
    <w:name w:val="Unresolved Mention2"/>
    <w:uiPriority w:val="99"/>
    <w:unhideWhenUsed/>
    <w:rsid w:val="007257E3"/>
    <w:rPr>
      <w:color w:val="605E5C"/>
      <w:shd w:val="clear" w:color="auto" w:fill="E1DFDD"/>
    </w:rPr>
  </w:style>
  <w:style w:type="table" w:customStyle="1" w:styleId="GridTable1Light-Accent1200">
    <w:name w:val="Grid Table 1 Light - Accent 1200"/>
    <w:basedOn w:val="TableNormal"/>
    <w:next w:val="GridTable1Light-Accent12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
    <w:name w:val="Grid Table 1 Light - Accent 12000"/>
    <w:basedOn w:val="TableNormal"/>
    <w:next w:val="GridTable1Light-Accent12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
    <w:name w:val="Grid Table 1 Light - Accent 120000"/>
    <w:basedOn w:val="TableNormal"/>
    <w:next w:val="GridTable1Light-Accent12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
    <w:name w:val="Grid Table 1 Light - Accent 1200000"/>
    <w:basedOn w:val="TableNormal"/>
    <w:next w:val="GridTable1Light-Accent12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
    <w:name w:val="Grid Table 1 Light - Accent 12000000"/>
    <w:basedOn w:val="TableNormal"/>
    <w:next w:val="GridTable1Light-Accent12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
    <w:name w:val="Grid Table 1 Light - Accent 120000000"/>
    <w:basedOn w:val="TableNormal"/>
    <w:next w:val="GridTable1Light-Accent12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
    <w:name w:val="Grid Table 1 Light - Accent 1200000000"/>
    <w:basedOn w:val="TableNormal"/>
    <w:next w:val="GridTable1Light-Accent12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0">
    <w:name w:val="Grid Table 1 Light - Accent 12000000000"/>
    <w:basedOn w:val="TableNormal"/>
    <w:next w:val="GridTable1Light-Accent120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00">
    <w:name w:val="Grid Table 1 Light - Accent 120000000000"/>
    <w:basedOn w:val="TableNormal"/>
    <w:next w:val="GridTable1Light-Accent1200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000">
    <w:name w:val="Grid Table 1 Light - Accent 1200000000000"/>
    <w:basedOn w:val="TableNormal"/>
    <w:next w:val="GridTable1Light-Accent12000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0000">
    <w:name w:val="Grid Table 1 Light - Accent 12000000000000"/>
    <w:basedOn w:val="TableNormal"/>
    <w:next w:val="GridTable1Light-Accent120000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paragraph" w:customStyle="1" w:styleId="Figurecaption">
    <w:name w:val="Figure caption"/>
    <w:basedOn w:val="Normal"/>
    <w:next w:val="Normal"/>
    <w:uiPriority w:val="99"/>
    <w:qFormat/>
    <w:rsid w:val="007257E3"/>
    <w:pPr>
      <w:suppressAutoHyphens/>
      <w:spacing w:before="120" w:line="240" w:lineRule="auto"/>
      <w:jc w:val="center"/>
    </w:pPr>
    <w:rPr>
      <w:rFonts w:ascii="Times New Roman" w:eastAsia="Times New Roman" w:hAnsi="Times New Roman" w:cs="Times New Roman"/>
      <w:sz w:val="24"/>
      <w:szCs w:val="20"/>
      <w:lang w:eastAsia="ar-SA"/>
    </w:rPr>
  </w:style>
  <w:style w:type="paragraph" w:customStyle="1" w:styleId="1titlu">
    <w:name w:val="1 titlu"/>
    <w:basedOn w:val="Heading1"/>
    <w:uiPriority w:val="99"/>
    <w:qFormat/>
    <w:rsid w:val="007257E3"/>
    <w:pPr>
      <w:numPr>
        <w:numId w:val="164"/>
      </w:numPr>
      <w:tabs>
        <w:tab w:val="num" w:pos="851"/>
      </w:tabs>
      <w:suppressAutoHyphens w:val="0"/>
      <w:spacing w:before="240" w:after="0" w:line="240" w:lineRule="auto"/>
      <w:contextualSpacing w:val="0"/>
      <w:jc w:val="both"/>
    </w:pPr>
    <w:rPr>
      <w:rFonts w:asciiTheme="majorHAnsi" w:hAnsiTheme="majorHAnsi"/>
      <w:bCs w:val="0"/>
      <w:color w:val="032552" w:themeColor="accent1" w:themeShade="BF"/>
      <w:sz w:val="32"/>
      <w:szCs w:val="32"/>
      <w:lang w:eastAsia="ro-RO"/>
    </w:rPr>
  </w:style>
  <w:style w:type="paragraph" w:customStyle="1" w:styleId="BodyText102">
    <w:name w:val="Body Text10"/>
    <w:basedOn w:val="Normal"/>
    <w:qFormat/>
    <w:rsid w:val="007257E3"/>
    <w:pPr>
      <w:shd w:val="clear" w:color="auto" w:fill="FFFFFF"/>
      <w:spacing w:before="120" w:after="720" w:line="0" w:lineRule="atLeast"/>
      <w:ind w:hanging="2160"/>
      <w:jc w:val="both"/>
    </w:pPr>
    <w:rPr>
      <w:rFonts w:ascii="Arial" w:eastAsia="Arial" w:hAnsi="Arial" w:cs="Arial"/>
      <w:sz w:val="22"/>
      <w:szCs w:val="22"/>
    </w:rPr>
  </w:style>
  <w:style w:type="paragraph" w:customStyle="1" w:styleId="yiv2507244098msolistparagraph">
    <w:name w:val="yiv2507244098msolistparagraph"/>
    <w:basedOn w:val="Normal"/>
    <w:uiPriority w:val="99"/>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US"/>
    </w:rPr>
  </w:style>
  <w:style w:type="character" w:customStyle="1" w:styleId="UnresolvedMention3">
    <w:name w:val="Unresolved Mention3"/>
    <w:uiPriority w:val="99"/>
    <w:unhideWhenUsed/>
    <w:rsid w:val="007257E3"/>
    <w:rPr>
      <w:color w:val="605E5C"/>
      <w:shd w:val="clear" w:color="auto" w:fill="E1DFDD"/>
    </w:rPr>
  </w:style>
  <w:style w:type="table" w:customStyle="1" w:styleId="TableGrid1110">
    <w:name w:val="TableGrid111"/>
    <w:rsid w:val="007257E3"/>
    <w:pPr>
      <w:spacing w:line="240" w:lineRule="auto"/>
    </w:pPr>
    <w:rPr>
      <w:rFonts w:ascii="Calibri" w:eastAsia="Yu Mincho" w:hAnsi="Calibri" w:cs="Arial"/>
      <w:sz w:val="22"/>
      <w:szCs w:val="22"/>
      <w:lang w:val="ro-RO" w:eastAsia="ro-RO"/>
    </w:rPr>
    <w:tblPr>
      <w:tblCellMar>
        <w:top w:w="0" w:type="dxa"/>
        <w:left w:w="0" w:type="dxa"/>
        <w:bottom w:w="0" w:type="dxa"/>
        <w:right w:w="0" w:type="dxa"/>
      </w:tblCellMar>
    </w:tblPr>
  </w:style>
  <w:style w:type="table" w:customStyle="1" w:styleId="GridTable1Light-Accent111">
    <w:name w:val="Grid Table 1 Light - Accent 111"/>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1">
    <w:name w:val="Grid Table 1 Light - Accent 121"/>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12">
    <w:name w:val="Grid Table 1 Light - Accent 112"/>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2">
    <w:name w:val="Grid Table 1 Light - Accent 122"/>
    <w:basedOn w:val="TableNormal"/>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TableGrid213">
    <w:name w:val="TableGrid21"/>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312">
    <w:name w:val="TableGrid31"/>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412">
    <w:name w:val="TableGrid41"/>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512">
    <w:name w:val="TableGrid51"/>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612">
    <w:name w:val="TableGrid61"/>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712">
    <w:name w:val="TableGrid71"/>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811">
    <w:name w:val="TableGrid81"/>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910">
    <w:name w:val="TableGrid91"/>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longdocument11">
    <w:name w:val="Table long document11"/>
    <w:basedOn w:val="TableNormal"/>
    <w:next w:val="TableGrid"/>
    <w:uiPriority w:val="59"/>
    <w:rsid w:val="007257E3"/>
    <w:pPr>
      <w:spacing w:line="240" w:lineRule="auto"/>
    </w:pPr>
    <w:rPr>
      <w:rFonts w:ascii="Times New Roman" w:eastAsia="Calibri"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longdocument21">
    <w:name w:val="Table long document21"/>
    <w:basedOn w:val="TableNormal"/>
    <w:next w:val="TableGrid"/>
    <w:uiPriority w:val="59"/>
    <w:rsid w:val="007257E3"/>
    <w:pPr>
      <w:spacing w:line="240" w:lineRule="auto"/>
    </w:pPr>
    <w:rPr>
      <w:rFonts w:ascii="Times New Roman" w:eastAsia="Calibri"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2">
    <w:name w:val="Table Grid1112"/>
    <w:basedOn w:val="TableNormal"/>
    <w:next w:val="TableGrid"/>
    <w:rsid w:val="007257E3"/>
    <w:pPr>
      <w:spacing w:line="240" w:lineRule="auto"/>
    </w:pPr>
    <w:rPr>
      <w:rFonts w:ascii="Calibri" w:eastAsia="MS Mincho" w:hAnsi="Calibri" w:cs="Arial"/>
      <w:color w:val="4C483D"/>
      <w:sz w:val="20"/>
      <w:szCs w:val="20"/>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13">
    <w:name w:val="Grid Table 1 Light - Accent 113"/>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3">
    <w:name w:val="Grid Table 1 Light - Accent 123"/>
    <w:basedOn w:val="TableNormal"/>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1">
    <w:name w:val="Grid Table 1 Light - Accent 1201"/>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31">
    <w:name w:val="Grid Table 1 Light - Accent 131"/>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1">
    <w:name w:val="Grid Table 1 Light - Accent 12001"/>
    <w:basedOn w:val="TableNormal"/>
    <w:next w:val="GridTable1Light-Accent12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1">
    <w:name w:val="Grid Table 1 Light - Accent 120001"/>
    <w:basedOn w:val="TableNormal"/>
    <w:next w:val="GridTable1Light-Accent12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1">
    <w:name w:val="Grid Table 1 Light - Accent 1200001"/>
    <w:basedOn w:val="TableNormal"/>
    <w:next w:val="GridTable1Light-Accent12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1">
    <w:name w:val="Grid Table 1 Light - Accent 12000001"/>
    <w:basedOn w:val="TableNormal"/>
    <w:next w:val="GridTable1Light-Accent12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1">
    <w:name w:val="Grid Table 1 Light - Accent 120000001"/>
    <w:basedOn w:val="TableNormal"/>
    <w:next w:val="GridTable1Light-Accent12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1">
    <w:name w:val="Grid Table 1 Light - Accent 1200000001"/>
    <w:basedOn w:val="TableNormal"/>
    <w:next w:val="GridTable1Light-Accent12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1">
    <w:name w:val="Grid Table 1 Light - Accent 12000000001"/>
    <w:basedOn w:val="TableNormal"/>
    <w:next w:val="GridTable1Light-Accent12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01">
    <w:name w:val="Grid Table 1 Light - Accent 120000000001"/>
    <w:basedOn w:val="TableNormal"/>
    <w:next w:val="GridTable1Light-Accent120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001">
    <w:name w:val="Grid Table 1 Light - Accent 1200000000001"/>
    <w:basedOn w:val="TableNormal"/>
    <w:next w:val="GridTable1Light-Accent1200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0001">
    <w:name w:val="Grid Table 1 Light - Accent 12000000000001"/>
    <w:basedOn w:val="TableNormal"/>
    <w:next w:val="GridTable1Light-Accent12000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00001">
    <w:name w:val="Grid Table 1 Light - Accent 120000000000001"/>
    <w:basedOn w:val="TableNormal"/>
    <w:next w:val="GridTable1Light-Accent120000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TableGrid1211">
    <w:name w:val="Table Grid1211"/>
    <w:basedOn w:val="TableNormal"/>
    <w:next w:val="TableGrid"/>
    <w:rsid w:val="007257E3"/>
    <w:pPr>
      <w:spacing w:line="240" w:lineRule="auto"/>
    </w:pPr>
    <w:rPr>
      <w:rFonts w:ascii="Calibri" w:eastAsia="MS Mincho" w:hAnsi="Calibri" w:cs="Arial"/>
      <w:color w:val="4C483D"/>
      <w:sz w:val="20"/>
      <w:szCs w:val="20"/>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111">
    <w:name w:val="Grid Table 1 Light - Accent 1111"/>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11">
    <w:name w:val="Grid Table 1 Light - Accent 1211"/>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TableGrid1311">
    <w:name w:val="Table Grid1311"/>
    <w:basedOn w:val="TableNormal"/>
    <w:next w:val="TableGrid"/>
    <w:rsid w:val="007257E3"/>
    <w:pPr>
      <w:spacing w:line="240" w:lineRule="auto"/>
    </w:pPr>
    <w:rPr>
      <w:rFonts w:ascii="Calibri" w:eastAsia="MS Mincho" w:hAnsi="Calibri" w:cs="Arial"/>
      <w:color w:val="4C483D"/>
      <w:sz w:val="20"/>
      <w:szCs w:val="20"/>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121">
    <w:name w:val="Grid Table 1 Light - Accent 1121"/>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21">
    <w:name w:val="Grid Table 1 Light - Accent 1221"/>
    <w:basedOn w:val="TableNormal"/>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character" w:customStyle="1" w:styleId="emailstyle153">
    <w:name w:val="emailstyle153"/>
    <w:semiHidden/>
    <w:rsid w:val="007257E3"/>
    <w:rPr>
      <w:rFonts w:ascii="Verdana" w:hAnsi="Verdana" w:hint="default"/>
      <w:b w:val="0"/>
      <w:bCs w:val="0"/>
      <w:i w:val="0"/>
      <w:iCs w:val="0"/>
      <w:color w:val="000000"/>
    </w:rPr>
  </w:style>
  <w:style w:type="character" w:customStyle="1" w:styleId="emailstyle170">
    <w:name w:val="emailstyle170"/>
    <w:semiHidden/>
    <w:rsid w:val="007257E3"/>
    <w:rPr>
      <w:rFonts w:ascii="Verdana" w:hAnsi="Verdana" w:cs="Times New Roman" w:hint="default"/>
      <w:b w:val="0"/>
      <w:bCs w:val="0"/>
      <w:i w:val="0"/>
      <w:iCs w:val="0"/>
      <w:color w:val="000000"/>
      <w:sz w:val="18"/>
      <w:szCs w:val="18"/>
    </w:rPr>
  </w:style>
  <w:style w:type="numbering" w:customStyle="1" w:styleId="JacobsBulletList18">
    <w:name w:val="Jacobs Bullet List 18"/>
    <w:uiPriority w:val="99"/>
    <w:rsid w:val="007257E3"/>
    <w:pPr>
      <w:numPr>
        <w:numId w:val="145"/>
      </w:numPr>
    </w:pPr>
  </w:style>
  <w:style w:type="paragraph" w:customStyle="1" w:styleId="Para0">
    <w:name w:val="Para 0"/>
    <w:basedOn w:val="Normal"/>
    <w:link w:val="Para0Char"/>
    <w:autoRedefine/>
    <w:uiPriority w:val="4"/>
    <w:qFormat/>
    <w:rsid w:val="007257E3"/>
    <w:pPr>
      <w:spacing w:before="240" w:after="120" w:line="240" w:lineRule="atLeast"/>
      <w:jc w:val="both"/>
    </w:pPr>
    <w:rPr>
      <w:rFonts w:ascii="Arial" w:eastAsia="Times New Roman" w:hAnsi="Arial" w:cs="Times New Roman"/>
      <w:sz w:val="20"/>
      <w:szCs w:val="24"/>
      <w:lang w:val="en-US"/>
    </w:rPr>
  </w:style>
  <w:style w:type="character" w:customStyle="1" w:styleId="Para0Char">
    <w:name w:val="Para 0 Char"/>
    <w:link w:val="Para0"/>
    <w:uiPriority w:val="4"/>
    <w:rsid w:val="007257E3"/>
    <w:rPr>
      <w:rFonts w:ascii="Arial" w:eastAsia="Times New Roman" w:hAnsi="Arial" w:cs="Times New Roman"/>
      <w:sz w:val="20"/>
      <w:szCs w:val="24"/>
      <w:lang w:val="en-US"/>
    </w:rPr>
  </w:style>
  <w:style w:type="paragraph" w:customStyle="1" w:styleId="Ledetekst">
    <w:name w:val="Ledetekst"/>
    <w:basedOn w:val="Normal"/>
    <w:qFormat/>
    <w:rsid w:val="007257E3"/>
    <w:pPr>
      <w:framePr w:w="2373" w:h="5202" w:hSpace="181" w:wrap="around" w:vAnchor="page" w:hAnchor="page" w:x="9441" w:y="1805"/>
      <w:tabs>
        <w:tab w:val="left" w:pos="680"/>
      </w:tabs>
    </w:pPr>
    <w:rPr>
      <w:rFonts w:eastAsia="Times New Roman" w:cs="Times New Roman"/>
      <w:spacing w:val="4"/>
      <w:sz w:val="15"/>
    </w:rPr>
  </w:style>
  <w:style w:type="paragraph" w:customStyle="1" w:styleId="Normal-DocumentHeading">
    <w:name w:val="Normal - Document Heading"/>
    <w:basedOn w:val="Normal"/>
    <w:qFormat/>
    <w:rsid w:val="007257E3"/>
    <w:rPr>
      <w:rFonts w:eastAsia="Times New Roman" w:cs="Times New Roman"/>
      <w:b/>
      <w:caps/>
      <w:szCs w:val="24"/>
      <w:lang w:eastAsia="da-DK"/>
    </w:rPr>
  </w:style>
  <w:style w:type="paragraph" w:customStyle="1" w:styleId="Normal-SenderName">
    <w:name w:val="Normal - Sender Name"/>
    <w:basedOn w:val="Normal"/>
    <w:semiHidden/>
    <w:qFormat/>
    <w:rsid w:val="007257E3"/>
    <w:rPr>
      <w:rFonts w:eastAsia="Times New Roman" w:cs="Times New Roman"/>
      <w:b/>
      <w:szCs w:val="24"/>
      <w:lang w:eastAsia="da-DK"/>
    </w:rPr>
  </w:style>
  <w:style w:type="paragraph" w:customStyle="1" w:styleId="Normal-Senderinformation">
    <w:name w:val="Normal - Sender information"/>
    <w:basedOn w:val="Normal"/>
    <w:semiHidden/>
    <w:qFormat/>
    <w:rsid w:val="007257E3"/>
    <w:pPr>
      <w:tabs>
        <w:tab w:val="left" w:pos="198"/>
      </w:tabs>
      <w:spacing w:line="200" w:lineRule="atLeast"/>
    </w:pPr>
    <w:rPr>
      <w:rFonts w:eastAsia="Times New Roman" w:cs="Times New Roman"/>
      <w:sz w:val="14"/>
      <w:szCs w:val="24"/>
      <w:lang w:eastAsia="da-DK"/>
    </w:rPr>
  </w:style>
  <w:style w:type="paragraph" w:customStyle="1" w:styleId="Normal-Doctypetitle">
    <w:name w:val="Normal - Doc type title"/>
    <w:basedOn w:val="Normal"/>
    <w:qFormat/>
    <w:rsid w:val="007257E3"/>
    <w:pPr>
      <w:spacing w:line="480" w:lineRule="atLeast"/>
    </w:pPr>
    <w:rPr>
      <w:rFonts w:eastAsia="Times New Roman" w:cs="Times New Roman"/>
      <w:caps/>
      <w:spacing w:val="27"/>
      <w:sz w:val="44"/>
      <w:szCs w:val="24"/>
      <w:lang w:eastAsia="da-DK"/>
    </w:rPr>
  </w:style>
  <w:style w:type="paragraph" w:customStyle="1" w:styleId="Template-Legalinfo">
    <w:name w:val="Template - Legal info"/>
    <w:basedOn w:val="Template"/>
    <w:semiHidden/>
    <w:qFormat/>
    <w:rsid w:val="007257E3"/>
    <w:pPr>
      <w:tabs>
        <w:tab w:val="left" w:pos="488"/>
      </w:tabs>
      <w:spacing w:line="160" w:lineRule="atLeast"/>
    </w:pPr>
    <w:rPr>
      <w:rFonts w:eastAsia="Times New Roman" w:cs="Times New Roman"/>
      <w:sz w:val="12"/>
      <w:szCs w:val="24"/>
      <w:lang w:val="en-GB" w:eastAsia="da-DK"/>
    </w:rPr>
  </w:style>
  <w:style w:type="paragraph" w:customStyle="1" w:styleId="yiv1227746565msonormal">
    <w:name w:val="yiv1227746565msonormal"/>
    <w:basedOn w:val="Normal"/>
    <w:qFormat/>
    <w:rsid w:val="007257E3"/>
    <w:pPr>
      <w:spacing w:before="100" w:beforeAutospacing="1" w:after="100" w:afterAutospacing="1" w:line="240" w:lineRule="auto"/>
    </w:pPr>
    <w:rPr>
      <w:rFonts w:ascii="Calibri" w:eastAsia="Calibri" w:hAnsi="Calibri" w:cs="Calibri"/>
      <w:sz w:val="22"/>
      <w:szCs w:val="22"/>
      <w:lang w:val="en-GB" w:eastAsia="en-GB"/>
    </w:rPr>
  </w:style>
  <w:style w:type="table" w:customStyle="1" w:styleId="TableGrid300">
    <w:name w:val="Table Grid30"/>
    <w:basedOn w:val="TableNormal"/>
    <w:next w:val="TableGrid"/>
    <w:rsid w:val="007257E3"/>
    <w:pPr>
      <w:spacing w:line="240" w:lineRule="auto"/>
    </w:pPr>
    <w:rPr>
      <w:rFonts w:ascii="Calibri" w:eastAsia="Calibri" w:hAnsi="Calibri" w:cs="Times New Roman"/>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uiPriority w:val="59"/>
    <w:rsid w:val="007257E3"/>
    <w:pPr>
      <w:spacing w:line="240" w:lineRule="auto"/>
    </w:pPr>
    <w:rPr>
      <w:rFonts w:ascii="Calibri" w:eastAsia="Calibri" w:hAnsi="Calibri" w:cs="Times New Roman"/>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uiPriority w:val="59"/>
    <w:rsid w:val="007257E3"/>
    <w:pPr>
      <w:spacing w:line="240" w:lineRule="auto"/>
    </w:pPr>
    <w:rPr>
      <w:rFonts w:ascii="Calibri" w:eastAsia="Calibri" w:hAnsi="Calibri" w:cs="Times New Roman"/>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
    <w:basedOn w:val="TableNormal"/>
    <w:rsid w:val="007257E3"/>
    <w:pPr>
      <w:spacing w:line="240" w:lineRule="auto"/>
    </w:pPr>
    <w:rPr>
      <w:rFonts w:ascii="Calibri" w:eastAsia="Calibri" w:hAnsi="Calibri" w:cs="Times New Roman"/>
      <w:sz w:val="22"/>
      <w:szCs w:val="22"/>
      <w:lang w:val="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2"/>
    <w:basedOn w:val="Normal"/>
    <w:qFormat/>
    <w:rsid w:val="007257E3"/>
    <w:pPr>
      <w:spacing w:line="240" w:lineRule="auto"/>
      <w:jc w:val="both"/>
    </w:pPr>
    <w:rPr>
      <w:rFonts w:ascii="Times New Roman" w:eastAsia="Times New Roman" w:hAnsi="Times New Roman" w:cs="Times New Roman"/>
      <w:sz w:val="22"/>
      <w:szCs w:val="22"/>
      <w:lang w:eastAsia="ro-RO"/>
    </w:rPr>
  </w:style>
  <w:style w:type="paragraph" w:customStyle="1" w:styleId="1tabeltextmeto">
    <w:name w:val="1_tabel_text_meto"/>
    <w:basedOn w:val="Normal"/>
    <w:qFormat/>
    <w:rsid w:val="007257E3"/>
    <w:pPr>
      <w:spacing w:line="240" w:lineRule="auto"/>
      <w:ind w:left="992" w:hanging="992"/>
      <w:jc w:val="center"/>
    </w:pPr>
    <w:rPr>
      <w:rFonts w:ascii="Times New Roman" w:eastAsia="Times New Roman" w:hAnsi="Times New Roman" w:cs="Times New Roman"/>
      <w:sz w:val="22"/>
      <w:szCs w:val="22"/>
    </w:rPr>
  </w:style>
  <w:style w:type="paragraph" w:customStyle="1" w:styleId="1text0">
    <w:name w:val="1 text"/>
    <w:basedOn w:val="BodyText2"/>
    <w:qFormat/>
    <w:rsid w:val="007257E3"/>
    <w:pPr>
      <w:spacing w:before="120" w:line="240" w:lineRule="auto"/>
      <w:ind w:left="992" w:firstLine="720"/>
      <w:jc w:val="both"/>
    </w:pPr>
    <w:rPr>
      <w:rFonts w:ascii="Arial" w:eastAsia="Times New Roman" w:hAnsi="Arial" w:cs="Times New Roman"/>
      <w:sz w:val="24"/>
      <w:szCs w:val="24"/>
    </w:rPr>
  </w:style>
  <w:style w:type="paragraph" w:customStyle="1" w:styleId="1tabelrest">
    <w:name w:val="1 tabel rest"/>
    <w:basedOn w:val="Normal"/>
    <w:qFormat/>
    <w:rsid w:val="007257E3"/>
    <w:pPr>
      <w:spacing w:line="240" w:lineRule="auto"/>
      <w:ind w:left="992" w:hanging="992"/>
      <w:jc w:val="center"/>
    </w:pPr>
    <w:rPr>
      <w:rFonts w:ascii="Arial" w:eastAsia="Times New Roman" w:hAnsi="Arial" w:cs="Arial"/>
      <w:sz w:val="22"/>
      <w:szCs w:val="24"/>
      <w:lang w:eastAsia="ro-RO"/>
    </w:rPr>
  </w:style>
  <w:style w:type="paragraph" w:customStyle="1" w:styleId="CaracterCaracterCharCaracterCaracterCharCaracterCaracterCharCaracterCaracterCharCaracterCaracter1CharCharCharCharCaracterCaracterCaracterCaracter3">
    <w:name w:val="Caracter Caracter Char Caracter Caracter Char Caracter Caracter Char Caracter Caracter Char Caracter Caracter1 Char Char Char Char Caracter Caracter Caracter Caracter3"/>
    <w:basedOn w:val="Normal"/>
    <w:qFormat/>
    <w:rsid w:val="007257E3"/>
    <w:pPr>
      <w:spacing w:line="240" w:lineRule="auto"/>
      <w:jc w:val="both"/>
    </w:pPr>
    <w:rPr>
      <w:rFonts w:eastAsia="Times New Roman" w:cs="Times New Roman"/>
      <w:sz w:val="24"/>
      <w:szCs w:val="24"/>
      <w:lang w:val="en-GB" w:eastAsia="pl-PL"/>
    </w:rPr>
  </w:style>
  <w:style w:type="character" w:customStyle="1" w:styleId="CharChar24">
    <w:name w:val="Char Char24"/>
    <w:semiHidden/>
    <w:rsid w:val="007257E3"/>
    <w:rPr>
      <w:rFonts w:ascii="Calibri" w:hAnsi="Calibri"/>
      <w:noProof w:val="0"/>
      <w:sz w:val="24"/>
      <w:szCs w:val="24"/>
      <w:lang w:val="en-GB" w:eastAsia="en-US"/>
    </w:rPr>
  </w:style>
  <w:style w:type="paragraph" w:customStyle="1" w:styleId="CharCharCharChar1Char2">
    <w:name w:val="Char Char Char Char1 Char2"/>
    <w:basedOn w:val="Normal"/>
    <w:semiHidden/>
    <w:qFormat/>
    <w:rsid w:val="007257E3"/>
    <w:pPr>
      <w:spacing w:line="240" w:lineRule="auto"/>
    </w:pPr>
    <w:rPr>
      <w:rFonts w:ascii="Times New Roman" w:eastAsia="Times New Roman" w:hAnsi="Times New Roman" w:cs="Times New Roman"/>
      <w:sz w:val="24"/>
      <w:szCs w:val="24"/>
      <w:lang w:val="en-GB" w:eastAsia="pl-PL"/>
    </w:rPr>
  </w:style>
  <w:style w:type="numbering" w:customStyle="1" w:styleId="BumbiABC3">
    <w:name w:val="Bumbi ABC3"/>
    <w:rsid w:val="007257E3"/>
    <w:pPr>
      <w:numPr>
        <w:numId w:val="156"/>
      </w:numPr>
    </w:pPr>
  </w:style>
  <w:style w:type="numbering" w:customStyle="1" w:styleId="BumbiIIIIII3">
    <w:name w:val="Bumbi I II III3"/>
    <w:rsid w:val="007257E3"/>
    <w:pPr>
      <w:numPr>
        <w:numId w:val="174"/>
      </w:numPr>
    </w:pPr>
  </w:style>
  <w:style w:type="table" w:customStyle="1" w:styleId="TableElegant23">
    <w:name w:val="Table Elegant23"/>
    <w:basedOn w:val="TableNormal"/>
    <w:next w:val="TableElegant"/>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23">
    <w:name w:val="Table Web 223"/>
    <w:basedOn w:val="TableNormal"/>
    <w:next w:val="TableWeb2"/>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Char12">
    <w:name w:val="Char12"/>
    <w:basedOn w:val="Normal"/>
    <w:qFormat/>
    <w:rsid w:val="007257E3"/>
    <w:pPr>
      <w:spacing w:after="160" w:line="240" w:lineRule="exact"/>
    </w:pPr>
    <w:rPr>
      <w:rFonts w:eastAsia="Times New Roman" w:cs="Times New Roman"/>
      <w:szCs w:val="20"/>
      <w:lang w:val="en-GB"/>
    </w:rPr>
  </w:style>
  <w:style w:type="character" w:customStyle="1" w:styleId="CharChar172">
    <w:name w:val="Char Char172"/>
    <w:locked/>
    <w:rsid w:val="007257E3"/>
    <w:rPr>
      <w:rFonts w:ascii="Calibri" w:hAnsi="Calibri"/>
      <w:bCs/>
      <w:i/>
      <w:iCs/>
      <w:sz w:val="24"/>
      <w:szCs w:val="26"/>
      <w:lang w:val="en-GB"/>
    </w:rPr>
  </w:style>
  <w:style w:type="character" w:customStyle="1" w:styleId="CharChar162">
    <w:name w:val="Char Char162"/>
    <w:locked/>
    <w:rsid w:val="007257E3"/>
    <w:rPr>
      <w:rFonts w:ascii="Calibri" w:hAnsi="Calibri"/>
      <w:bCs/>
      <w:i/>
      <w:sz w:val="24"/>
      <w:szCs w:val="24"/>
      <w:lang w:val="en-GB"/>
    </w:rPr>
  </w:style>
  <w:style w:type="character" w:customStyle="1" w:styleId="CharChar152">
    <w:name w:val="Char Char152"/>
    <w:locked/>
    <w:rsid w:val="007257E3"/>
    <w:rPr>
      <w:rFonts w:ascii="Calibri" w:hAnsi="Calibri"/>
      <w:sz w:val="24"/>
      <w:szCs w:val="24"/>
      <w:lang w:val="en-GB"/>
    </w:rPr>
  </w:style>
  <w:style w:type="character" w:customStyle="1" w:styleId="CharChar142">
    <w:name w:val="Char Char142"/>
    <w:locked/>
    <w:rsid w:val="007257E3"/>
    <w:rPr>
      <w:rFonts w:ascii="Calibri" w:hAnsi="Calibri"/>
      <w:i/>
      <w:iCs/>
      <w:sz w:val="24"/>
      <w:szCs w:val="24"/>
      <w:lang w:val="en-GB"/>
    </w:rPr>
  </w:style>
  <w:style w:type="character" w:customStyle="1" w:styleId="CharChar132">
    <w:name w:val="Char Char132"/>
    <w:locked/>
    <w:rsid w:val="007257E3"/>
    <w:rPr>
      <w:rFonts w:ascii="Cambria" w:eastAsia="Times New Roman" w:hAnsi="Cambria"/>
      <w:sz w:val="22"/>
      <w:szCs w:val="22"/>
      <w:lang w:val="en-GB"/>
    </w:rPr>
  </w:style>
  <w:style w:type="character" w:customStyle="1" w:styleId="CharChar122">
    <w:name w:val="Char Char122"/>
    <w:locked/>
    <w:rsid w:val="007257E3"/>
    <w:rPr>
      <w:rFonts w:ascii="Cambria" w:hAnsi="Cambria" w:cs="Times New Roman"/>
      <w:b/>
      <w:bCs/>
      <w:noProof w:val="0"/>
      <w:kern w:val="28"/>
      <w:sz w:val="32"/>
      <w:szCs w:val="32"/>
      <w:lang w:val="en-GB" w:eastAsia="en-US"/>
    </w:rPr>
  </w:style>
  <w:style w:type="character" w:customStyle="1" w:styleId="CharChar113">
    <w:name w:val="Char Char113"/>
    <w:locked/>
    <w:rsid w:val="007257E3"/>
    <w:rPr>
      <w:rFonts w:ascii="Cambria" w:hAnsi="Cambria" w:cs="Times New Roman"/>
      <w:noProof w:val="0"/>
      <w:sz w:val="24"/>
      <w:szCs w:val="24"/>
      <w:lang w:val="en-GB" w:eastAsia="en-US"/>
    </w:rPr>
  </w:style>
  <w:style w:type="character" w:customStyle="1" w:styleId="CharChar102">
    <w:name w:val="Char Char102"/>
    <w:semiHidden/>
    <w:locked/>
    <w:rsid w:val="007257E3"/>
    <w:rPr>
      <w:rFonts w:ascii="Tahoma" w:hAnsi="Tahoma" w:cs="Tahoma"/>
      <w:noProof w:val="0"/>
      <w:sz w:val="16"/>
      <w:szCs w:val="16"/>
      <w:lang w:val="en-GB" w:eastAsia="en-US"/>
    </w:rPr>
  </w:style>
  <w:style w:type="character" w:customStyle="1" w:styleId="CharChar92">
    <w:name w:val="Char Char92"/>
    <w:semiHidden/>
    <w:locked/>
    <w:rsid w:val="007257E3"/>
    <w:rPr>
      <w:rFonts w:ascii="Calibri" w:hAnsi="Calibri" w:cs="Times New Roman"/>
      <w:noProof w:val="0"/>
      <w:lang w:val="en-GB" w:eastAsia="en-US"/>
    </w:rPr>
  </w:style>
  <w:style w:type="character" w:customStyle="1" w:styleId="CharChar82">
    <w:name w:val="Char Char82"/>
    <w:semiHidden/>
    <w:locked/>
    <w:rsid w:val="007257E3"/>
    <w:rPr>
      <w:rFonts w:ascii="Arial" w:hAnsi="Arial" w:cs="Times New Roman"/>
      <w:noProof w:val="0"/>
      <w:spacing w:val="-5"/>
      <w:sz w:val="22"/>
      <w:lang w:val="en-GB" w:eastAsia="de-DE"/>
    </w:rPr>
  </w:style>
  <w:style w:type="character" w:customStyle="1" w:styleId="CharChar72">
    <w:name w:val="Char Char72"/>
    <w:semiHidden/>
    <w:locked/>
    <w:rsid w:val="007257E3"/>
    <w:rPr>
      <w:rFonts w:ascii="Arial" w:hAnsi="Arial" w:cs="Arial"/>
      <w:noProof w:val="0"/>
      <w:color w:val="292526"/>
      <w:sz w:val="24"/>
      <w:szCs w:val="24"/>
      <w:lang w:val="en-GB" w:eastAsia="en-GB"/>
    </w:rPr>
  </w:style>
  <w:style w:type="character" w:customStyle="1" w:styleId="CharChar62">
    <w:name w:val="Char Char62"/>
    <w:semiHidden/>
    <w:locked/>
    <w:rsid w:val="007257E3"/>
    <w:rPr>
      <w:rFonts w:ascii="Calibri" w:hAnsi="Calibri" w:cs="Times New Roman"/>
      <w:noProof w:val="0"/>
      <w:sz w:val="24"/>
      <w:szCs w:val="24"/>
      <w:lang w:val="en-GB" w:eastAsia="en-US"/>
    </w:rPr>
  </w:style>
  <w:style w:type="character" w:customStyle="1" w:styleId="CharChar52">
    <w:name w:val="Char Char52"/>
    <w:semiHidden/>
    <w:locked/>
    <w:rsid w:val="007257E3"/>
    <w:rPr>
      <w:rFonts w:eastAsia="MS Mincho" w:cs="Times New Roman"/>
      <w:noProof w:val="0"/>
      <w:sz w:val="16"/>
      <w:szCs w:val="16"/>
      <w:lang w:val="en-GB" w:eastAsia="ja-JP"/>
    </w:rPr>
  </w:style>
  <w:style w:type="character" w:customStyle="1" w:styleId="CharChar42">
    <w:name w:val="Char Char42"/>
    <w:locked/>
    <w:rsid w:val="007257E3"/>
    <w:rPr>
      <w:rFonts w:ascii="Calibri" w:hAnsi="Calibri" w:cs="Times New Roman"/>
      <w:noProof w:val="0"/>
      <w:sz w:val="24"/>
      <w:szCs w:val="24"/>
      <w:lang w:val="en-GB" w:eastAsia="en-US"/>
    </w:rPr>
  </w:style>
  <w:style w:type="character" w:customStyle="1" w:styleId="CharChar32">
    <w:name w:val="Char Char32"/>
    <w:locked/>
    <w:rsid w:val="007257E3"/>
    <w:rPr>
      <w:rFonts w:ascii="Calibri" w:hAnsi="Calibri" w:cs="Times New Roman"/>
      <w:noProof w:val="0"/>
      <w:sz w:val="24"/>
      <w:szCs w:val="24"/>
      <w:lang w:val="en-GB" w:eastAsia="en-US"/>
    </w:rPr>
  </w:style>
  <w:style w:type="character" w:customStyle="1" w:styleId="CharChar23">
    <w:name w:val="Char Char23"/>
    <w:semiHidden/>
    <w:rsid w:val="007257E3"/>
    <w:rPr>
      <w:rFonts w:ascii="Calibri" w:hAnsi="Calibri"/>
      <w:noProof w:val="0"/>
      <w:lang w:val="en-GB" w:eastAsia="en-US"/>
    </w:rPr>
  </w:style>
  <w:style w:type="character" w:customStyle="1" w:styleId="CharChar112">
    <w:name w:val="Char Char112"/>
    <w:rsid w:val="007257E3"/>
    <w:rPr>
      <w:rFonts w:ascii="Calibri" w:hAnsi="Calibri"/>
      <w:b/>
      <w:bCs/>
      <w:noProof w:val="0"/>
      <w:lang w:val="en-GB" w:eastAsia="en-US"/>
    </w:rPr>
  </w:style>
  <w:style w:type="numbering" w:customStyle="1" w:styleId="Bumbi14">
    <w:name w:val="Bumbi14"/>
    <w:rsid w:val="007257E3"/>
    <w:pPr>
      <w:numPr>
        <w:numId w:val="153"/>
      </w:numPr>
    </w:pPr>
  </w:style>
  <w:style w:type="paragraph" w:customStyle="1" w:styleId="CaracterCharCharCharChar2">
    <w:name w:val="Caracter Char Char Char Char2"/>
    <w:basedOn w:val="Normal"/>
    <w:qFormat/>
    <w:rsid w:val="007257E3"/>
    <w:pPr>
      <w:spacing w:line="240" w:lineRule="auto"/>
    </w:pPr>
    <w:rPr>
      <w:rFonts w:ascii="Times New Roman" w:eastAsia="Times New Roman" w:hAnsi="Times New Roman" w:cs="Times New Roman"/>
      <w:sz w:val="24"/>
      <w:szCs w:val="24"/>
      <w:lang w:val="en-GB" w:eastAsia="pl-PL"/>
    </w:rPr>
  </w:style>
  <w:style w:type="paragraph" w:customStyle="1" w:styleId="CharCharCharChar1CharChar12">
    <w:name w:val="Char Char Char Char1 Char Char12"/>
    <w:basedOn w:val="Normal"/>
    <w:qFormat/>
    <w:rsid w:val="007257E3"/>
    <w:pPr>
      <w:spacing w:line="240" w:lineRule="auto"/>
    </w:pPr>
    <w:rPr>
      <w:rFonts w:ascii="Times New Roman" w:eastAsia="Times New Roman" w:hAnsi="Times New Roman" w:cs="Times New Roman"/>
      <w:sz w:val="24"/>
      <w:szCs w:val="24"/>
      <w:lang w:val="en-GB" w:eastAsia="pl-PL"/>
    </w:rPr>
  </w:style>
  <w:style w:type="table" w:customStyle="1" w:styleId="TableElegant113">
    <w:name w:val="Table Elegant113"/>
    <w:basedOn w:val="TableNormal"/>
    <w:next w:val="TableElegant"/>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113">
    <w:name w:val="Table Web 2113"/>
    <w:basedOn w:val="TableNormal"/>
    <w:next w:val="TableWeb2"/>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Classic122">
    <w:name w:val="Table Classic 122"/>
    <w:basedOn w:val="TableNormal"/>
    <w:next w:val="TableClassic1"/>
    <w:unhideWhenUsed/>
    <w:rsid w:val="007257E3"/>
    <w:pPr>
      <w:spacing w:line="240" w:lineRule="auto"/>
    </w:pPr>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Elegant32">
    <w:name w:val="Table Elegant32"/>
    <w:basedOn w:val="TableNormal"/>
    <w:next w:val="TableElegant"/>
    <w:unhideWhenUsed/>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122">
    <w:name w:val="Table Web 122"/>
    <w:basedOn w:val="TableNormal"/>
    <w:next w:val="TableWeb1"/>
    <w:unhideWhenUsed/>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232">
    <w:name w:val="Table Web 232"/>
    <w:basedOn w:val="TableNormal"/>
    <w:next w:val="TableWeb2"/>
    <w:unhideWhenUsed/>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22">
    <w:name w:val="Table Web 322"/>
    <w:basedOn w:val="TableNormal"/>
    <w:next w:val="TableWeb3"/>
    <w:unhideWhenUsed/>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22">
    <w:name w:val="Table Elegant122"/>
    <w:basedOn w:val="TableNormal"/>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22">
    <w:name w:val="Table Web 2122"/>
    <w:basedOn w:val="TableNormal"/>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212">
    <w:name w:val="Table Elegant212"/>
    <w:basedOn w:val="TableNormal"/>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212">
    <w:name w:val="Table Web 2212"/>
    <w:basedOn w:val="TableNormal"/>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Classic1112">
    <w:name w:val="Table Classic 1112"/>
    <w:basedOn w:val="TableNormal"/>
    <w:semiHidden/>
    <w:rsid w:val="007257E3"/>
    <w:pPr>
      <w:spacing w:line="240" w:lineRule="auto"/>
    </w:pPr>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112">
    <w:name w:val="Table Web 1112"/>
    <w:basedOn w:val="TableNormal"/>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12">
    <w:name w:val="Table Web 3112"/>
    <w:basedOn w:val="TableNormal"/>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112">
    <w:name w:val="Table Elegant1112"/>
    <w:basedOn w:val="TableNormal"/>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112">
    <w:name w:val="Table Web 21112"/>
    <w:basedOn w:val="TableNormal"/>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numbering" w:customStyle="1" w:styleId="1010110111112">
    <w:name w:val="10 / 10.1 / 10.1.1.1112"/>
    <w:rsid w:val="007257E3"/>
    <w:pPr>
      <w:numPr>
        <w:numId w:val="157"/>
      </w:numPr>
    </w:pPr>
  </w:style>
  <w:style w:type="numbering" w:customStyle="1" w:styleId="Bumbi112">
    <w:name w:val="Bumbi112"/>
    <w:rsid w:val="007257E3"/>
    <w:pPr>
      <w:numPr>
        <w:numId w:val="169"/>
      </w:numPr>
    </w:pPr>
  </w:style>
  <w:style w:type="numbering" w:customStyle="1" w:styleId="BumbiABC112">
    <w:name w:val="Bumbi ABC112"/>
    <w:rsid w:val="007257E3"/>
    <w:pPr>
      <w:numPr>
        <w:numId w:val="158"/>
      </w:numPr>
    </w:pPr>
  </w:style>
  <w:style w:type="numbering" w:customStyle="1" w:styleId="BumbiIIIIII112">
    <w:name w:val="Bumbi I II III112"/>
    <w:rsid w:val="007257E3"/>
    <w:pPr>
      <w:numPr>
        <w:numId w:val="152"/>
      </w:numPr>
    </w:pPr>
  </w:style>
  <w:style w:type="numbering" w:customStyle="1" w:styleId="CurrentList1112">
    <w:name w:val="Current List1112"/>
    <w:rsid w:val="007257E3"/>
    <w:pPr>
      <w:numPr>
        <w:numId w:val="154"/>
      </w:numPr>
    </w:pPr>
  </w:style>
  <w:style w:type="table" w:customStyle="1" w:styleId="TableElegant41">
    <w:name w:val="Table Elegant41"/>
    <w:basedOn w:val="TableNormal"/>
    <w:next w:val="TableElegant"/>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41">
    <w:name w:val="Table Web 241"/>
    <w:basedOn w:val="TableNormal"/>
    <w:next w:val="TableWeb2"/>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Classic131">
    <w:name w:val="Table Classic 131"/>
    <w:basedOn w:val="TableNormal"/>
    <w:next w:val="TableClassic1"/>
    <w:semiHidden/>
    <w:rsid w:val="007257E3"/>
    <w:pPr>
      <w:spacing w:line="240" w:lineRule="auto"/>
    </w:pPr>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31">
    <w:name w:val="Table Web 131"/>
    <w:basedOn w:val="TableNormal"/>
    <w:next w:val="TableWeb1"/>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31">
    <w:name w:val="Table Web 331"/>
    <w:basedOn w:val="TableNormal"/>
    <w:next w:val="TableWeb3"/>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Elegant131">
    <w:name w:val="Table Elegant131"/>
    <w:basedOn w:val="TableNormal"/>
    <w:next w:val="TableElegant"/>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131">
    <w:name w:val="Table Web 2131"/>
    <w:basedOn w:val="TableNormal"/>
    <w:next w:val="TableWeb2"/>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Elegant221">
    <w:name w:val="Table Elegant221"/>
    <w:basedOn w:val="TableNormal"/>
    <w:next w:val="TableElegant"/>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221">
    <w:name w:val="Table Web 2221"/>
    <w:basedOn w:val="TableNormal"/>
    <w:next w:val="TableWeb2"/>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Classic1121">
    <w:name w:val="Table Classic 1121"/>
    <w:basedOn w:val="TableNormal"/>
    <w:next w:val="TableClassic1"/>
    <w:semiHidden/>
    <w:rsid w:val="007257E3"/>
    <w:pPr>
      <w:spacing w:line="240" w:lineRule="auto"/>
    </w:pPr>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121">
    <w:name w:val="Table Web 1121"/>
    <w:basedOn w:val="TableNormal"/>
    <w:next w:val="TableWeb1"/>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121">
    <w:name w:val="Table Web 3121"/>
    <w:basedOn w:val="TableNormal"/>
    <w:next w:val="TableWeb3"/>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Elegant1121">
    <w:name w:val="Table Elegant1121"/>
    <w:basedOn w:val="TableNormal"/>
    <w:next w:val="TableElegant"/>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1121">
    <w:name w:val="Table Web 21121"/>
    <w:basedOn w:val="TableNormal"/>
    <w:next w:val="TableWeb2"/>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Classic1211">
    <w:name w:val="Table Classic 1211"/>
    <w:basedOn w:val="TableNormal"/>
    <w:next w:val="TableClassic1"/>
    <w:semiHidden/>
    <w:unhideWhenUsed/>
    <w:rsid w:val="007257E3"/>
    <w:pPr>
      <w:spacing w:line="240" w:lineRule="auto"/>
    </w:pPr>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Elegant311">
    <w:name w:val="Table Elegant311"/>
    <w:basedOn w:val="TableNormal"/>
    <w:next w:val="TableElegant"/>
    <w:semiHidden/>
    <w:unhideWhenUsed/>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1211">
    <w:name w:val="Table Web 1211"/>
    <w:basedOn w:val="TableNormal"/>
    <w:next w:val="TableWeb1"/>
    <w:semiHidden/>
    <w:unhideWhenUsed/>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2311">
    <w:name w:val="Table Web 2311"/>
    <w:basedOn w:val="TableNormal"/>
    <w:next w:val="TableWeb2"/>
    <w:semiHidden/>
    <w:unhideWhenUsed/>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211">
    <w:name w:val="Table Web 3211"/>
    <w:basedOn w:val="TableNormal"/>
    <w:next w:val="TableWeb3"/>
    <w:semiHidden/>
    <w:unhideWhenUsed/>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211">
    <w:name w:val="Table Elegant1211"/>
    <w:basedOn w:val="TableNormal"/>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211">
    <w:name w:val="Table Web 21211"/>
    <w:basedOn w:val="TableNormal"/>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2111">
    <w:name w:val="Table Elegant2111"/>
    <w:basedOn w:val="TableNormal"/>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2111">
    <w:name w:val="Table Web 22111"/>
    <w:basedOn w:val="TableNormal"/>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Classic11111">
    <w:name w:val="Table Classic 11111"/>
    <w:basedOn w:val="TableNormal"/>
    <w:semiHidden/>
    <w:rsid w:val="007257E3"/>
    <w:pPr>
      <w:spacing w:line="240" w:lineRule="auto"/>
    </w:pPr>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1111">
    <w:name w:val="Table Web 11111"/>
    <w:basedOn w:val="TableNormal"/>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111">
    <w:name w:val="Table Web 31111"/>
    <w:basedOn w:val="TableNormal"/>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1111">
    <w:name w:val="Table Elegant11111"/>
    <w:basedOn w:val="TableNormal"/>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1111">
    <w:name w:val="Table Web 211111"/>
    <w:basedOn w:val="TableNormal"/>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paragraph" w:customStyle="1" w:styleId="Listabuline">
    <w:name w:val="Lista buline"/>
    <w:basedOn w:val="ListParagraph"/>
    <w:qFormat/>
    <w:rsid w:val="007257E3"/>
    <w:pPr>
      <w:numPr>
        <w:numId w:val="144"/>
      </w:numPr>
      <w:spacing w:before="120" w:line="240" w:lineRule="auto"/>
      <w:contextualSpacing w:val="0"/>
      <w:jc w:val="both"/>
    </w:pPr>
    <w:rPr>
      <w:rFonts w:ascii="Palatino Linotype" w:eastAsia="Times New Roman" w:hAnsi="Palatino Linotype" w:cs="Palatino Linotype"/>
      <w:sz w:val="20"/>
      <w:szCs w:val="20"/>
      <w:lang w:val="en-GB"/>
    </w:rPr>
  </w:style>
  <w:style w:type="paragraph" w:customStyle="1" w:styleId="CharChar22">
    <w:name w:val="Char Char22"/>
    <w:basedOn w:val="Normal"/>
    <w:qFormat/>
    <w:rsid w:val="007257E3"/>
    <w:pPr>
      <w:spacing w:line="240" w:lineRule="auto"/>
    </w:pPr>
    <w:rPr>
      <w:rFonts w:ascii="Times New Roman" w:eastAsia="Times New Roman" w:hAnsi="Times New Roman" w:cs="Times New Roman"/>
      <w:sz w:val="24"/>
      <w:szCs w:val="24"/>
      <w:lang w:val="en-GB" w:eastAsia="pl-PL"/>
    </w:rPr>
  </w:style>
  <w:style w:type="paragraph" w:customStyle="1" w:styleId="Tabletext-Centred-Red">
    <w:name w:val="Table text - Centred - Red"/>
    <w:basedOn w:val="Normal"/>
    <w:qFormat/>
    <w:rsid w:val="007257E3"/>
    <w:pPr>
      <w:tabs>
        <w:tab w:val="left" w:pos="851"/>
      </w:tabs>
      <w:spacing w:before="60" w:after="60" w:line="240" w:lineRule="auto"/>
      <w:ind w:right="142"/>
      <w:jc w:val="center"/>
    </w:pPr>
    <w:rPr>
      <w:rFonts w:eastAsia="Times New Roman" w:cs="Arial"/>
      <w:color w:val="FF0000"/>
      <w:sz w:val="20"/>
      <w:szCs w:val="20"/>
      <w:lang w:val="en-GB" w:eastAsia="en-GB"/>
    </w:rPr>
  </w:style>
  <w:style w:type="paragraph" w:customStyle="1" w:styleId="Tabletext-Centred">
    <w:name w:val="Table text - Centred"/>
    <w:basedOn w:val="Tabletext"/>
    <w:qFormat/>
    <w:rsid w:val="007257E3"/>
    <w:pPr>
      <w:tabs>
        <w:tab w:val="clear" w:pos="415"/>
        <w:tab w:val="clear" w:pos="9900"/>
      </w:tabs>
      <w:autoSpaceDE/>
      <w:autoSpaceDN/>
      <w:adjustRightInd/>
      <w:spacing w:before="60" w:after="60" w:line="240" w:lineRule="auto"/>
      <w:ind w:right="142"/>
    </w:pPr>
    <w:rPr>
      <w:rFonts w:ascii="Arial" w:hAnsi="Arial" w:cs="Arial"/>
      <w:sz w:val="20"/>
      <w:szCs w:val="20"/>
      <w:lang w:val="en-GB" w:eastAsia="en-GB"/>
    </w:rPr>
  </w:style>
  <w:style w:type="paragraph" w:customStyle="1" w:styleId="E1Caracter">
    <w:name w:val="E1 Caracter"/>
    <w:basedOn w:val="Normal"/>
    <w:qFormat/>
    <w:rsid w:val="007257E3"/>
    <w:pPr>
      <w:overflowPunct w:val="0"/>
      <w:autoSpaceDE w:val="0"/>
      <w:autoSpaceDN w:val="0"/>
      <w:adjustRightInd w:val="0"/>
      <w:spacing w:after="160" w:line="320" w:lineRule="atLeast"/>
      <w:ind w:left="851"/>
      <w:jc w:val="both"/>
      <w:textAlignment w:val="baseline"/>
    </w:pPr>
    <w:rPr>
      <w:rFonts w:ascii="Arial" w:eastAsia="Calibri" w:hAnsi="Arial" w:cs="Arial"/>
      <w:sz w:val="22"/>
      <w:szCs w:val="22"/>
      <w:lang w:val="de-DE" w:eastAsia="de-DE"/>
    </w:rPr>
  </w:style>
  <w:style w:type="table" w:customStyle="1" w:styleId="TableGrid18">
    <w:name w:val="Table Grid18"/>
    <w:basedOn w:val="TableNormal"/>
    <w:next w:val="TableGrid"/>
    <w:uiPriority w:val="59"/>
    <w:rsid w:val="007257E3"/>
    <w:pPr>
      <w:spacing w:line="240" w:lineRule="auto"/>
      <w:ind w:left="714" w:hanging="357"/>
      <w:jc w:val="both"/>
    </w:pPr>
    <w:rPr>
      <w:rFonts w:ascii="Calibri" w:eastAsia="Calibri" w:hAnsi="Calibri" w:cs="Times New Roman"/>
      <w:sz w:val="22"/>
      <w:szCs w:val="22"/>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next w:val="TableGrid"/>
    <w:uiPriority w:val="59"/>
    <w:rsid w:val="007257E3"/>
    <w:pPr>
      <w:spacing w:line="240" w:lineRule="auto"/>
      <w:ind w:left="714" w:hanging="357"/>
      <w:jc w:val="both"/>
    </w:pPr>
    <w:rPr>
      <w:rFonts w:ascii="Calibri" w:eastAsia="Calibri" w:hAnsi="Calibri" w:cs="Times New Roman"/>
      <w:sz w:val="22"/>
      <w:szCs w:val="22"/>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t">
    <w:name w:val="ft"/>
    <w:rsid w:val="007257E3"/>
  </w:style>
  <w:style w:type="paragraph" w:customStyle="1" w:styleId="Listalitere">
    <w:name w:val="Lista litere"/>
    <w:basedOn w:val="ListParagraph"/>
    <w:qFormat/>
    <w:rsid w:val="007257E3"/>
    <w:pPr>
      <w:numPr>
        <w:numId w:val="160"/>
      </w:numPr>
      <w:tabs>
        <w:tab w:val="num" w:pos="1701"/>
      </w:tabs>
      <w:spacing w:before="120" w:line="240" w:lineRule="auto"/>
      <w:contextualSpacing w:val="0"/>
      <w:jc w:val="both"/>
    </w:pPr>
    <w:rPr>
      <w:rFonts w:ascii="Palatino Linotype" w:eastAsia="Times New Roman" w:hAnsi="Palatino Linotype" w:cs="Palatino Linotype"/>
      <w:sz w:val="20"/>
      <w:szCs w:val="20"/>
      <w:lang w:eastAsia="en-GB"/>
    </w:rPr>
  </w:style>
  <w:style w:type="numbering" w:customStyle="1" w:styleId="Listebuline8">
    <w:name w:val="Liste buline8"/>
    <w:rsid w:val="007257E3"/>
    <w:pPr>
      <w:numPr>
        <w:numId w:val="97"/>
      </w:numPr>
    </w:pPr>
  </w:style>
  <w:style w:type="character" w:customStyle="1" w:styleId="ln2tpunct">
    <w:name w:val="ln2tpunct"/>
    <w:rsid w:val="007257E3"/>
  </w:style>
  <w:style w:type="character" w:customStyle="1" w:styleId="UnresolvedMention4">
    <w:name w:val="Unresolved Mention4"/>
    <w:uiPriority w:val="99"/>
    <w:semiHidden/>
    <w:unhideWhenUsed/>
    <w:rsid w:val="007257E3"/>
    <w:rPr>
      <w:color w:val="808080"/>
      <w:shd w:val="clear" w:color="auto" w:fill="E6E6E6"/>
    </w:rPr>
  </w:style>
  <w:style w:type="paragraph" w:customStyle="1" w:styleId="CaracterCaracterCharCaracterCaracterCharCaracterCaracterCharCaracterCaracterCharCaracterCaracter1CharCharCharCharCaracterCaracterCaracterCaracter2">
    <w:name w:val="Caracter Caracter Char Caracter Caracter Char Caracter Caracter Char Caracter Caracter Char Caracter Caracter1 Char Char Char Char Caracter Caracter Caracter Caracter2"/>
    <w:basedOn w:val="Normal"/>
    <w:qFormat/>
    <w:rsid w:val="007257E3"/>
    <w:pPr>
      <w:spacing w:line="240" w:lineRule="auto"/>
      <w:jc w:val="both"/>
    </w:pPr>
    <w:rPr>
      <w:rFonts w:eastAsia="Times New Roman" w:cs="Times New Roman"/>
      <w:sz w:val="24"/>
      <w:szCs w:val="24"/>
      <w:lang w:val="en-GB" w:eastAsia="pl-PL"/>
    </w:rPr>
  </w:style>
  <w:style w:type="paragraph" w:customStyle="1" w:styleId="CharCharCharChar1Char1">
    <w:name w:val="Char Char Char Char1 Char1"/>
    <w:basedOn w:val="Normal"/>
    <w:semiHidden/>
    <w:qFormat/>
    <w:rsid w:val="007257E3"/>
    <w:pPr>
      <w:spacing w:line="240" w:lineRule="auto"/>
    </w:pPr>
    <w:rPr>
      <w:rFonts w:ascii="Times New Roman" w:eastAsia="Times New Roman" w:hAnsi="Times New Roman" w:cs="Times New Roman"/>
      <w:sz w:val="24"/>
      <w:szCs w:val="24"/>
      <w:lang w:val="en-GB" w:eastAsia="pl-PL"/>
    </w:rPr>
  </w:style>
  <w:style w:type="paragraph" w:customStyle="1" w:styleId="Char11">
    <w:name w:val="Char11"/>
    <w:basedOn w:val="Normal"/>
    <w:qFormat/>
    <w:rsid w:val="007257E3"/>
    <w:pPr>
      <w:spacing w:after="160" w:line="240" w:lineRule="exact"/>
    </w:pPr>
    <w:rPr>
      <w:rFonts w:eastAsia="Times New Roman" w:cs="Times New Roman"/>
      <w:szCs w:val="20"/>
      <w:lang w:val="en-GB"/>
    </w:rPr>
  </w:style>
  <w:style w:type="character" w:customStyle="1" w:styleId="CharChar171">
    <w:name w:val="Char Char171"/>
    <w:locked/>
    <w:rsid w:val="007257E3"/>
    <w:rPr>
      <w:rFonts w:ascii="Calibri" w:hAnsi="Calibri"/>
      <w:bCs/>
      <w:i/>
      <w:iCs/>
      <w:sz w:val="24"/>
      <w:szCs w:val="26"/>
      <w:lang w:val="en-GB"/>
    </w:rPr>
  </w:style>
  <w:style w:type="character" w:customStyle="1" w:styleId="CharChar161">
    <w:name w:val="Char Char161"/>
    <w:locked/>
    <w:rsid w:val="007257E3"/>
    <w:rPr>
      <w:rFonts w:ascii="Calibri" w:hAnsi="Calibri"/>
      <w:bCs/>
      <w:i/>
      <w:sz w:val="24"/>
      <w:szCs w:val="24"/>
      <w:lang w:val="en-GB"/>
    </w:rPr>
  </w:style>
  <w:style w:type="character" w:customStyle="1" w:styleId="CharChar151">
    <w:name w:val="Char Char151"/>
    <w:locked/>
    <w:rsid w:val="007257E3"/>
    <w:rPr>
      <w:rFonts w:ascii="Calibri" w:hAnsi="Calibri"/>
      <w:sz w:val="24"/>
      <w:szCs w:val="24"/>
      <w:lang w:val="en-GB"/>
    </w:rPr>
  </w:style>
  <w:style w:type="character" w:customStyle="1" w:styleId="CharChar141">
    <w:name w:val="Char Char141"/>
    <w:locked/>
    <w:rsid w:val="007257E3"/>
    <w:rPr>
      <w:rFonts w:ascii="Calibri" w:hAnsi="Calibri"/>
      <w:i/>
      <w:iCs/>
      <w:sz w:val="24"/>
      <w:szCs w:val="24"/>
      <w:lang w:val="en-GB"/>
    </w:rPr>
  </w:style>
  <w:style w:type="character" w:customStyle="1" w:styleId="CharChar121">
    <w:name w:val="Char Char121"/>
    <w:locked/>
    <w:rsid w:val="007257E3"/>
    <w:rPr>
      <w:rFonts w:ascii="Cambria" w:hAnsi="Cambria" w:cs="Times New Roman"/>
      <w:b/>
      <w:bCs/>
      <w:noProof w:val="0"/>
      <w:kern w:val="28"/>
      <w:sz w:val="32"/>
      <w:szCs w:val="32"/>
      <w:lang w:val="en-GB" w:eastAsia="en-US"/>
    </w:rPr>
  </w:style>
  <w:style w:type="character" w:customStyle="1" w:styleId="CharChar111">
    <w:name w:val="Char Char111"/>
    <w:locked/>
    <w:rsid w:val="007257E3"/>
    <w:rPr>
      <w:rFonts w:ascii="Cambria" w:hAnsi="Cambria" w:cs="Times New Roman"/>
      <w:noProof w:val="0"/>
      <w:sz w:val="24"/>
      <w:szCs w:val="24"/>
      <w:lang w:val="en-GB" w:eastAsia="en-US"/>
    </w:rPr>
  </w:style>
  <w:style w:type="character" w:customStyle="1" w:styleId="CharChar101">
    <w:name w:val="Char Char101"/>
    <w:semiHidden/>
    <w:locked/>
    <w:rsid w:val="007257E3"/>
    <w:rPr>
      <w:rFonts w:ascii="Tahoma" w:hAnsi="Tahoma" w:cs="Tahoma"/>
      <w:noProof w:val="0"/>
      <w:sz w:val="16"/>
      <w:szCs w:val="16"/>
      <w:lang w:val="en-GB" w:eastAsia="en-US"/>
    </w:rPr>
  </w:style>
  <w:style w:type="character" w:customStyle="1" w:styleId="CharChar91">
    <w:name w:val="Char Char91"/>
    <w:semiHidden/>
    <w:locked/>
    <w:rsid w:val="007257E3"/>
    <w:rPr>
      <w:rFonts w:ascii="Calibri" w:hAnsi="Calibri" w:cs="Times New Roman"/>
      <w:noProof w:val="0"/>
      <w:lang w:val="en-GB" w:eastAsia="en-US"/>
    </w:rPr>
  </w:style>
  <w:style w:type="character" w:customStyle="1" w:styleId="CharChar81">
    <w:name w:val="Char Char81"/>
    <w:semiHidden/>
    <w:locked/>
    <w:rsid w:val="007257E3"/>
    <w:rPr>
      <w:rFonts w:ascii="Arial" w:hAnsi="Arial" w:cs="Times New Roman"/>
      <w:noProof w:val="0"/>
      <w:spacing w:val="-5"/>
      <w:sz w:val="22"/>
      <w:lang w:val="en-GB" w:eastAsia="de-DE"/>
    </w:rPr>
  </w:style>
  <w:style w:type="character" w:customStyle="1" w:styleId="CharChar71">
    <w:name w:val="Char Char71"/>
    <w:semiHidden/>
    <w:locked/>
    <w:rsid w:val="007257E3"/>
    <w:rPr>
      <w:rFonts w:ascii="Arial" w:hAnsi="Arial" w:cs="Arial"/>
      <w:noProof w:val="0"/>
      <w:color w:val="292526"/>
      <w:sz w:val="24"/>
      <w:szCs w:val="24"/>
      <w:lang w:val="en-GB" w:eastAsia="en-GB"/>
    </w:rPr>
  </w:style>
  <w:style w:type="character" w:customStyle="1" w:styleId="CharChar61">
    <w:name w:val="Char Char61"/>
    <w:semiHidden/>
    <w:locked/>
    <w:rsid w:val="007257E3"/>
    <w:rPr>
      <w:rFonts w:ascii="Calibri" w:hAnsi="Calibri" w:cs="Times New Roman"/>
      <w:noProof w:val="0"/>
      <w:sz w:val="24"/>
      <w:szCs w:val="24"/>
      <w:lang w:val="en-GB" w:eastAsia="en-US"/>
    </w:rPr>
  </w:style>
  <w:style w:type="character" w:customStyle="1" w:styleId="CharChar51">
    <w:name w:val="Char Char51"/>
    <w:semiHidden/>
    <w:locked/>
    <w:rsid w:val="007257E3"/>
    <w:rPr>
      <w:rFonts w:eastAsia="MS Mincho" w:cs="Times New Roman"/>
      <w:noProof w:val="0"/>
      <w:sz w:val="16"/>
      <w:szCs w:val="16"/>
      <w:lang w:val="en-GB" w:eastAsia="ja-JP"/>
    </w:rPr>
  </w:style>
  <w:style w:type="character" w:customStyle="1" w:styleId="CharChar41">
    <w:name w:val="Char Char41"/>
    <w:locked/>
    <w:rsid w:val="007257E3"/>
    <w:rPr>
      <w:rFonts w:ascii="Calibri" w:hAnsi="Calibri" w:cs="Times New Roman"/>
      <w:noProof w:val="0"/>
      <w:sz w:val="24"/>
      <w:szCs w:val="24"/>
      <w:lang w:val="en-GB" w:eastAsia="en-US"/>
    </w:rPr>
  </w:style>
  <w:style w:type="character" w:customStyle="1" w:styleId="CharChar31">
    <w:name w:val="Char Char31"/>
    <w:locked/>
    <w:rsid w:val="007257E3"/>
    <w:rPr>
      <w:rFonts w:ascii="Calibri" w:hAnsi="Calibri" w:cs="Times New Roman"/>
      <w:noProof w:val="0"/>
      <w:sz w:val="24"/>
      <w:szCs w:val="24"/>
      <w:lang w:val="en-GB" w:eastAsia="en-US"/>
    </w:rPr>
  </w:style>
  <w:style w:type="character" w:customStyle="1" w:styleId="CharChar21">
    <w:name w:val="Char Char21"/>
    <w:semiHidden/>
    <w:rsid w:val="007257E3"/>
    <w:rPr>
      <w:rFonts w:ascii="Calibri" w:hAnsi="Calibri"/>
      <w:noProof w:val="0"/>
      <w:lang w:val="en-GB" w:eastAsia="en-US"/>
    </w:rPr>
  </w:style>
  <w:style w:type="character" w:customStyle="1" w:styleId="CharChar110">
    <w:name w:val="Char Char110"/>
    <w:rsid w:val="007257E3"/>
    <w:rPr>
      <w:rFonts w:ascii="Calibri" w:hAnsi="Calibri"/>
      <w:b/>
      <w:bCs/>
      <w:noProof w:val="0"/>
      <w:lang w:val="en-GB" w:eastAsia="en-US"/>
    </w:rPr>
  </w:style>
  <w:style w:type="paragraph" w:customStyle="1" w:styleId="CaracterCaracterCaracter2">
    <w:name w:val="Caracter Caracter Caracter2"/>
    <w:basedOn w:val="Normal"/>
    <w:qFormat/>
    <w:rsid w:val="007257E3"/>
    <w:pPr>
      <w:spacing w:line="240" w:lineRule="auto"/>
    </w:pPr>
    <w:rPr>
      <w:rFonts w:ascii="Times New Roman" w:eastAsia="Times New Roman" w:hAnsi="Times New Roman" w:cs="Times New Roman"/>
      <w:sz w:val="24"/>
      <w:szCs w:val="24"/>
      <w:lang w:val="en-GB" w:eastAsia="pl-PL"/>
    </w:rPr>
  </w:style>
  <w:style w:type="paragraph" w:customStyle="1" w:styleId="CaracterCharCharCharChar1">
    <w:name w:val="Caracter Char Char Char Char1"/>
    <w:basedOn w:val="Normal"/>
    <w:qFormat/>
    <w:rsid w:val="007257E3"/>
    <w:pPr>
      <w:spacing w:line="240" w:lineRule="auto"/>
    </w:pPr>
    <w:rPr>
      <w:rFonts w:ascii="Times New Roman" w:eastAsia="Times New Roman" w:hAnsi="Times New Roman" w:cs="Times New Roman"/>
      <w:sz w:val="24"/>
      <w:szCs w:val="24"/>
      <w:lang w:val="en-GB" w:eastAsia="pl-PL"/>
    </w:rPr>
  </w:style>
  <w:style w:type="paragraph" w:customStyle="1" w:styleId="CharCharCharChar1CharChar11">
    <w:name w:val="Char Char Char Char1 Char Char11"/>
    <w:basedOn w:val="Normal"/>
    <w:qFormat/>
    <w:rsid w:val="007257E3"/>
    <w:pPr>
      <w:spacing w:line="240" w:lineRule="auto"/>
    </w:pPr>
    <w:rPr>
      <w:rFonts w:ascii="Times New Roman" w:eastAsia="Times New Roman" w:hAnsi="Times New Roman" w:cs="Times New Roman"/>
      <w:sz w:val="24"/>
      <w:szCs w:val="24"/>
      <w:lang w:val="en-GB" w:eastAsia="pl-PL"/>
    </w:rPr>
  </w:style>
  <w:style w:type="character" w:customStyle="1" w:styleId="MeniuneNerezolvat1">
    <w:name w:val="Mențiune Nerezolvat1"/>
    <w:uiPriority w:val="99"/>
    <w:semiHidden/>
    <w:unhideWhenUsed/>
    <w:rsid w:val="007257E3"/>
    <w:rPr>
      <w:color w:val="808080"/>
      <w:shd w:val="clear" w:color="auto" w:fill="E6E6E6"/>
      <w:lang w:val="en-GB"/>
    </w:rPr>
  </w:style>
  <w:style w:type="character" w:customStyle="1" w:styleId="UnresolvedMention5">
    <w:name w:val="Unresolved Mention5"/>
    <w:uiPriority w:val="99"/>
    <w:semiHidden/>
    <w:unhideWhenUsed/>
    <w:rsid w:val="007257E3"/>
    <w:rPr>
      <w:color w:val="808080"/>
      <w:shd w:val="clear" w:color="auto" w:fill="E6E6E6"/>
    </w:rPr>
  </w:style>
  <w:style w:type="character" w:customStyle="1" w:styleId="UnresolvedMention6">
    <w:name w:val="Unresolved Mention6"/>
    <w:uiPriority w:val="99"/>
    <w:semiHidden/>
    <w:unhideWhenUsed/>
    <w:rsid w:val="007257E3"/>
    <w:rPr>
      <w:color w:val="808080"/>
      <w:shd w:val="clear" w:color="auto" w:fill="E6E6E6"/>
    </w:rPr>
  </w:style>
  <w:style w:type="character" w:customStyle="1" w:styleId="UnresolvedMention7">
    <w:name w:val="Unresolved Mention7"/>
    <w:uiPriority w:val="99"/>
    <w:semiHidden/>
    <w:unhideWhenUsed/>
    <w:rsid w:val="007257E3"/>
    <w:rPr>
      <w:color w:val="808080"/>
      <w:shd w:val="clear" w:color="auto" w:fill="E6E6E6"/>
    </w:rPr>
  </w:style>
  <w:style w:type="paragraph" w:customStyle="1" w:styleId="xl284">
    <w:name w:val="xl284"/>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285">
    <w:name w:val="xl285"/>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286">
    <w:name w:val="xl286"/>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287">
    <w:name w:val="xl287"/>
    <w:basedOn w:val="Normal"/>
    <w:qFormat/>
    <w:rsid w:val="007257E3"/>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288">
    <w:name w:val="xl288"/>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289">
    <w:name w:val="xl289"/>
    <w:basedOn w:val="Normal"/>
    <w:qFormat/>
    <w:rsid w:val="007257E3"/>
    <w:pPr>
      <w:pBdr>
        <w:top w:val="single" w:sz="4" w:space="0" w:color="auto"/>
        <w:bottom w:val="single" w:sz="4" w:space="0" w:color="auto"/>
      </w:pBdr>
      <w:spacing w:before="100" w:beforeAutospacing="1" w:after="100" w:afterAutospacing="1" w:line="240" w:lineRule="auto"/>
      <w:jc w:val="center"/>
    </w:pPr>
    <w:rPr>
      <w:rFonts w:eastAsia="Times New Roman" w:cs="Times New Roman"/>
      <w:b/>
      <w:bCs/>
      <w:lang w:eastAsia="ro-RO"/>
    </w:rPr>
  </w:style>
  <w:style w:type="paragraph" w:customStyle="1" w:styleId="xl290">
    <w:name w:val="xl290"/>
    <w:basedOn w:val="Normal"/>
    <w:qFormat/>
    <w:rsid w:val="007257E3"/>
    <w:pPr>
      <w:pBdr>
        <w:top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lang w:eastAsia="ro-RO"/>
    </w:rPr>
  </w:style>
  <w:style w:type="paragraph" w:customStyle="1" w:styleId="xl291">
    <w:name w:val="xl291"/>
    <w:basedOn w:val="Normal"/>
    <w:qFormat/>
    <w:rsid w:val="007257E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292">
    <w:name w:val="xl292"/>
    <w:basedOn w:val="Normal"/>
    <w:qFormat/>
    <w:rsid w:val="007257E3"/>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293">
    <w:name w:val="xl293"/>
    <w:basedOn w:val="Normal"/>
    <w:qFormat/>
    <w:rsid w:val="007257E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294">
    <w:name w:val="xl294"/>
    <w:basedOn w:val="Normal"/>
    <w:qFormat/>
    <w:rsid w:val="007257E3"/>
    <w:pPr>
      <w:pBdr>
        <w:top w:val="single" w:sz="4" w:space="0" w:color="auto"/>
        <w:left w:val="single" w:sz="8"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295">
    <w:name w:val="xl295"/>
    <w:basedOn w:val="Normal"/>
    <w:qFormat/>
    <w:rsid w:val="007257E3"/>
    <w:pPr>
      <w:pBdr>
        <w:left w:val="single" w:sz="8"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296">
    <w:name w:val="xl296"/>
    <w:basedOn w:val="Normal"/>
    <w:qFormat/>
    <w:rsid w:val="007257E3"/>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297">
    <w:name w:val="xl297"/>
    <w:basedOn w:val="Normal"/>
    <w:qFormat/>
    <w:rsid w:val="007257E3"/>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298">
    <w:name w:val="xl298"/>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299">
    <w:name w:val="xl299"/>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00">
    <w:name w:val="xl300"/>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01">
    <w:name w:val="xl301"/>
    <w:basedOn w:val="Normal"/>
    <w:qFormat/>
    <w:rsid w:val="007257E3"/>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02">
    <w:name w:val="xl302"/>
    <w:basedOn w:val="Normal"/>
    <w:qFormat/>
    <w:rsid w:val="007257E3"/>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03">
    <w:name w:val="xl303"/>
    <w:basedOn w:val="Normal"/>
    <w:qFormat/>
    <w:rsid w:val="007257E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304">
    <w:name w:val="xl304"/>
    <w:basedOn w:val="Normal"/>
    <w:qFormat/>
    <w:rsid w:val="007257E3"/>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305">
    <w:name w:val="xl305"/>
    <w:basedOn w:val="Normal"/>
    <w:qFormat/>
    <w:rsid w:val="007257E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06">
    <w:name w:val="xl306"/>
    <w:basedOn w:val="Normal"/>
    <w:qFormat/>
    <w:rsid w:val="007257E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07">
    <w:name w:val="xl307"/>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08">
    <w:name w:val="xl308"/>
    <w:basedOn w:val="Normal"/>
    <w:qFormat/>
    <w:rsid w:val="007257E3"/>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09">
    <w:name w:val="xl309"/>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10">
    <w:name w:val="xl310"/>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11">
    <w:name w:val="xl311"/>
    <w:basedOn w:val="Normal"/>
    <w:qFormat/>
    <w:rsid w:val="007257E3"/>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12">
    <w:name w:val="xl312"/>
    <w:basedOn w:val="Normal"/>
    <w:qFormat/>
    <w:rsid w:val="007257E3"/>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13">
    <w:name w:val="xl313"/>
    <w:basedOn w:val="Normal"/>
    <w:qFormat/>
    <w:rsid w:val="007257E3"/>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14">
    <w:name w:val="xl314"/>
    <w:basedOn w:val="Normal"/>
    <w:qFormat/>
    <w:rsid w:val="007257E3"/>
    <w:pPr>
      <w:pBdr>
        <w:top w:val="single" w:sz="4" w:space="0" w:color="auto"/>
        <w:left w:val="single" w:sz="8"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15">
    <w:name w:val="xl315"/>
    <w:basedOn w:val="Normal"/>
    <w:qFormat/>
    <w:rsid w:val="007257E3"/>
    <w:pPr>
      <w:pBdr>
        <w:left w:val="single" w:sz="8" w:space="0" w:color="auto"/>
        <w:bottom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16">
    <w:name w:val="xl316"/>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17">
    <w:name w:val="xl317"/>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18">
    <w:name w:val="xl318"/>
    <w:basedOn w:val="Normal"/>
    <w:qFormat/>
    <w:rsid w:val="007257E3"/>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19">
    <w:name w:val="xl319"/>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20">
    <w:name w:val="xl320"/>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21">
    <w:name w:val="xl321"/>
    <w:basedOn w:val="Normal"/>
    <w:qFormat/>
    <w:rsid w:val="007257E3"/>
    <w:pPr>
      <w:pBdr>
        <w:top w:val="single" w:sz="4" w:space="0" w:color="auto"/>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22">
    <w:name w:val="xl322"/>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23">
    <w:name w:val="xl323"/>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24">
    <w:name w:val="xl324"/>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25">
    <w:name w:val="xl325"/>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26">
    <w:name w:val="xl326"/>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27">
    <w:name w:val="xl327"/>
    <w:basedOn w:val="Normal"/>
    <w:qFormat/>
    <w:rsid w:val="007257E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328">
    <w:name w:val="xl328"/>
    <w:basedOn w:val="Normal"/>
    <w:qFormat/>
    <w:rsid w:val="007257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329">
    <w:name w:val="xl329"/>
    <w:basedOn w:val="Normal"/>
    <w:qFormat/>
    <w:rsid w:val="007257E3"/>
    <w:pPr>
      <w:pBdr>
        <w:top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30">
    <w:name w:val="xl330"/>
    <w:basedOn w:val="Normal"/>
    <w:qFormat/>
    <w:rsid w:val="007257E3"/>
    <w:pPr>
      <w:spacing w:before="100" w:beforeAutospacing="1" w:after="100" w:afterAutospacing="1" w:line="240" w:lineRule="auto"/>
      <w:jc w:val="center"/>
      <w:textAlignment w:val="center"/>
    </w:pPr>
    <w:rPr>
      <w:rFonts w:eastAsia="Times New Roman" w:cs="Times New Roman"/>
      <w:lang w:eastAsia="ro-RO"/>
    </w:rPr>
  </w:style>
  <w:style w:type="paragraph" w:customStyle="1" w:styleId="xl331">
    <w:name w:val="xl331"/>
    <w:basedOn w:val="Normal"/>
    <w:qFormat/>
    <w:rsid w:val="007257E3"/>
    <w:pPr>
      <w:pBdr>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32">
    <w:name w:val="xl332"/>
    <w:basedOn w:val="Normal"/>
    <w:qFormat/>
    <w:rsid w:val="007257E3"/>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33">
    <w:name w:val="xl333"/>
    <w:basedOn w:val="Normal"/>
    <w:qFormat/>
    <w:rsid w:val="007257E3"/>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34">
    <w:name w:val="xl334"/>
    <w:basedOn w:val="Normal"/>
    <w:qFormat/>
    <w:rsid w:val="007257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000000"/>
      <w:lang w:eastAsia="ro-RO"/>
    </w:rPr>
  </w:style>
  <w:style w:type="paragraph" w:customStyle="1" w:styleId="xl335">
    <w:name w:val="xl335"/>
    <w:basedOn w:val="Normal"/>
    <w:qFormat/>
    <w:rsid w:val="007257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336">
    <w:name w:val="xl336"/>
    <w:basedOn w:val="Normal"/>
    <w:qFormat/>
    <w:rsid w:val="007257E3"/>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37">
    <w:name w:val="xl337"/>
    <w:basedOn w:val="Normal"/>
    <w:qFormat/>
    <w:rsid w:val="007257E3"/>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38">
    <w:name w:val="xl338"/>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39">
    <w:name w:val="xl339"/>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40">
    <w:name w:val="xl340"/>
    <w:basedOn w:val="Normal"/>
    <w:qFormat/>
    <w:rsid w:val="007257E3"/>
    <w:pPr>
      <w:pBdr>
        <w:top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41">
    <w:name w:val="xl341"/>
    <w:basedOn w:val="Normal"/>
    <w:qFormat/>
    <w:rsid w:val="007257E3"/>
    <w:pPr>
      <w:pBdr>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42">
    <w:name w:val="xl342"/>
    <w:basedOn w:val="Normal"/>
    <w:qFormat/>
    <w:rsid w:val="007257E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43">
    <w:name w:val="xl343"/>
    <w:basedOn w:val="Normal"/>
    <w:qFormat/>
    <w:rsid w:val="007257E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44">
    <w:name w:val="xl344"/>
    <w:basedOn w:val="Normal"/>
    <w:qFormat/>
    <w:rsid w:val="007257E3"/>
    <w:pPr>
      <w:pBdr>
        <w:top w:val="single" w:sz="8" w:space="0" w:color="auto"/>
        <w:lef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45">
    <w:name w:val="xl345"/>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46">
    <w:name w:val="xl346"/>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47">
    <w:name w:val="xl347"/>
    <w:basedOn w:val="Normal"/>
    <w:qFormat/>
    <w:rsid w:val="007257E3"/>
    <w:pPr>
      <w:pBdr>
        <w:top w:val="single" w:sz="8" w:space="0" w:color="auto"/>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48">
    <w:name w:val="xl348"/>
    <w:basedOn w:val="Normal"/>
    <w:qFormat/>
    <w:rsid w:val="007257E3"/>
    <w:pPr>
      <w:pBdr>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49">
    <w:name w:val="xl349"/>
    <w:basedOn w:val="Normal"/>
    <w:qFormat/>
    <w:rsid w:val="007257E3"/>
    <w:pPr>
      <w:pBdr>
        <w:left w:val="single" w:sz="8" w:space="0" w:color="auto"/>
        <w:bottom w:val="single" w:sz="4"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50">
    <w:name w:val="xl350"/>
    <w:basedOn w:val="Normal"/>
    <w:qFormat/>
    <w:rsid w:val="007257E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51">
    <w:name w:val="xl351"/>
    <w:basedOn w:val="Normal"/>
    <w:qFormat/>
    <w:rsid w:val="007257E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52">
    <w:name w:val="xl352"/>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53">
    <w:name w:val="xl353"/>
    <w:basedOn w:val="Normal"/>
    <w:qFormat/>
    <w:rsid w:val="007257E3"/>
    <w:pPr>
      <w:pBdr>
        <w:top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54">
    <w:name w:val="xl354"/>
    <w:basedOn w:val="Normal"/>
    <w:qFormat/>
    <w:rsid w:val="007257E3"/>
    <w:pPr>
      <w:pBdr>
        <w:top w:val="single" w:sz="4" w:space="0" w:color="auto"/>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55">
    <w:name w:val="xl355"/>
    <w:basedOn w:val="Normal"/>
    <w:qFormat/>
    <w:rsid w:val="007257E3"/>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356">
    <w:name w:val="xl356"/>
    <w:basedOn w:val="Normal"/>
    <w:qFormat/>
    <w:rsid w:val="007257E3"/>
    <w:pPr>
      <w:pBdr>
        <w:top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357">
    <w:name w:val="xl357"/>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58">
    <w:name w:val="xl358"/>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59">
    <w:name w:val="xl359"/>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60">
    <w:name w:val="xl360"/>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61">
    <w:name w:val="xl361"/>
    <w:basedOn w:val="Normal"/>
    <w:qFormat/>
    <w:rsid w:val="007257E3"/>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62">
    <w:name w:val="xl362"/>
    <w:basedOn w:val="Normal"/>
    <w:qFormat/>
    <w:rsid w:val="007257E3"/>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63">
    <w:name w:val="xl363"/>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64">
    <w:name w:val="xl364"/>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65">
    <w:name w:val="xl365"/>
    <w:basedOn w:val="Normal"/>
    <w:qFormat/>
    <w:rsid w:val="007257E3"/>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66">
    <w:name w:val="xl366"/>
    <w:basedOn w:val="Normal"/>
    <w:qFormat/>
    <w:rsid w:val="007257E3"/>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67">
    <w:name w:val="xl367"/>
    <w:basedOn w:val="Normal"/>
    <w:qFormat/>
    <w:rsid w:val="007257E3"/>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68">
    <w:name w:val="xl368"/>
    <w:basedOn w:val="Normal"/>
    <w:qFormat/>
    <w:rsid w:val="007257E3"/>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69">
    <w:name w:val="xl369"/>
    <w:basedOn w:val="Normal"/>
    <w:qFormat/>
    <w:rsid w:val="007257E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0">
    <w:name w:val="xl370"/>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1">
    <w:name w:val="xl371"/>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2">
    <w:name w:val="xl372"/>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3">
    <w:name w:val="xl373"/>
    <w:basedOn w:val="Normal"/>
    <w:qFormat/>
    <w:rsid w:val="007257E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4">
    <w:name w:val="xl374"/>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5">
    <w:name w:val="xl375"/>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6">
    <w:name w:val="xl376"/>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7">
    <w:name w:val="xl377"/>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8">
    <w:name w:val="xl378"/>
    <w:basedOn w:val="Normal"/>
    <w:qFormat/>
    <w:rsid w:val="007257E3"/>
    <w:pPr>
      <w:pBdr>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79">
    <w:name w:val="xl379"/>
    <w:basedOn w:val="Normal"/>
    <w:qFormat/>
    <w:rsid w:val="007257E3"/>
    <w:pPr>
      <w:pBdr>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0">
    <w:name w:val="xl380"/>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1">
    <w:name w:val="xl381"/>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2">
    <w:name w:val="xl382"/>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3">
    <w:name w:val="xl383"/>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4">
    <w:name w:val="xl384"/>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5">
    <w:name w:val="xl385"/>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6">
    <w:name w:val="xl386"/>
    <w:basedOn w:val="Normal"/>
    <w:qFormat/>
    <w:rsid w:val="007257E3"/>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7">
    <w:name w:val="xl387"/>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8">
    <w:name w:val="xl388"/>
    <w:basedOn w:val="Normal"/>
    <w:qFormat/>
    <w:rsid w:val="007257E3"/>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9">
    <w:name w:val="xl389"/>
    <w:basedOn w:val="Normal"/>
    <w:qFormat/>
    <w:rsid w:val="007257E3"/>
    <w:pPr>
      <w:pBdr>
        <w:top w:val="single" w:sz="4" w:space="0" w:color="auto"/>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90">
    <w:name w:val="xl390"/>
    <w:basedOn w:val="Normal"/>
    <w:qFormat/>
    <w:rsid w:val="007257E3"/>
    <w:pPr>
      <w:pBdr>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91">
    <w:name w:val="xl391"/>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92">
    <w:name w:val="xl392"/>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393">
    <w:name w:val="xl393"/>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394">
    <w:name w:val="xl394"/>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395">
    <w:name w:val="xl395"/>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396">
    <w:name w:val="xl396"/>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397">
    <w:name w:val="xl397"/>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398">
    <w:name w:val="xl398"/>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399">
    <w:name w:val="xl399"/>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400">
    <w:name w:val="xl400"/>
    <w:basedOn w:val="Normal"/>
    <w:qFormat/>
    <w:rsid w:val="007257E3"/>
    <w:pPr>
      <w:pBdr>
        <w:top w:val="single" w:sz="4" w:space="0" w:color="auto"/>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401">
    <w:name w:val="xl401"/>
    <w:basedOn w:val="Normal"/>
    <w:qFormat/>
    <w:rsid w:val="007257E3"/>
    <w:pPr>
      <w:pBdr>
        <w:left w:val="single" w:sz="8" w:space="0" w:color="auto"/>
        <w:bottom w:val="single" w:sz="4"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402">
    <w:name w:val="xl402"/>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403">
    <w:name w:val="xl403"/>
    <w:basedOn w:val="Normal"/>
    <w:qFormat/>
    <w:rsid w:val="007257E3"/>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404">
    <w:name w:val="xl404"/>
    <w:basedOn w:val="Normal"/>
    <w:qFormat/>
    <w:rsid w:val="007257E3"/>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405">
    <w:name w:val="xl405"/>
    <w:basedOn w:val="Normal"/>
    <w:qFormat/>
    <w:rsid w:val="007257E3"/>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406">
    <w:name w:val="xl406"/>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407">
    <w:name w:val="xl407"/>
    <w:basedOn w:val="Normal"/>
    <w:qFormat/>
    <w:rsid w:val="007257E3"/>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408">
    <w:name w:val="xl408"/>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409">
    <w:name w:val="xl409"/>
    <w:basedOn w:val="Normal"/>
    <w:qFormat/>
    <w:rsid w:val="007257E3"/>
    <w:pPr>
      <w:pBdr>
        <w:top w:val="single" w:sz="4" w:space="0" w:color="auto"/>
        <w:left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10">
    <w:name w:val="xl410"/>
    <w:basedOn w:val="Normal"/>
    <w:qFormat/>
    <w:rsid w:val="007257E3"/>
    <w:pPr>
      <w:pBdr>
        <w:left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11">
    <w:name w:val="xl411"/>
    <w:basedOn w:val="Normal"/>
    <w:qFormat/>
    <w:rsid w:val="007257E3"/>
    <w:pPr>
      <w:pBdr>
        <w:left w:val="single" w:sz="4" w:space="0" w:color="auto"/>
        <w:bottom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12">
    <w:name w:val="xl412"/>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b/>
      <w:bCs/>
      <w:lang w:eastAsia="ro-RO"/>
    </w:rPr>
  </w:style>
  <w:style w:type="paragraph" w:customStyle="1" w:styleId="xl413">
    <w:name w:val="xl413"/>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lang w:eastAsia="ro-RO"/>
    </w:rPr>
  </w:style>
  <w:style w:type="paragraph" w:customStyle="1" w:styleId="xl414">
    <w:name w:val="xl414"/>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lang w:eastAsia="ro-RO"/>
    </w:rPr>
  </w:style>
  <w:style w:type="paragraph" w:customStyle="1" w:styleId="xl415">
    <w:name w:val="xl415"/>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lang w:eastAsia="ro-RO"/>
    </w:rPr>
  </w:style>
  <w:style w:type="paragraph" w:customStyle="1" w:styleId="xl416">
    <w:name w:val="xl416"/>
    <w:basedOn w:val="Normal"/>
    <w:qFormat/>
    <w:rsid w:val="007257E3"/>
    <w:pPr>
      <w:pBdr>
        <w:top w:val="single" w:sz="4" w:space="0" w:color="auto"/>
        <w:lef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417">
    <w:name w:val="xl417"/>
    <w:basedOn w:val="Normal"/>
    <w:qFormat/>
    <w:rsid w:val="007257E3"/>
    <w:pPr>
      <w:pBdr>
        <w:left w:val="single" w:sz="4" w:space="0" w:color="auto"/>
        <w:bottom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418">
    <w:name w:val="xl418"/>
    <w:basedOn w:val="Normal"/>
    <w:qFormat/>
    <w:rsid w:val="007257E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19">
    <w:name w:val="xl419"/>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420">
    <w:name w:val="xl420"/>
    <w:basedOn w:val="Normal"/>
    <w:qFormat/>
    <w:rsid w:val="007257E3"/>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421">
    <w:name w:val="xl421"/>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422">
    <w:name w:val="xl422"/>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23">
    <w:name w:val="xl423"/>
    <w:basedOn w:val="Normal"/>
    <w:qFormat/>
    <w:rsid w:val="007257E3"/>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24">
    <w:name w:val="xl424"/>
    <w:basedOn w:val="Normal"/>
    <w:qFormat/>
    <w:rsid w:val="007257E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25">
    <w:name w:val="xl425"/>
    <w:basedOn w:val="Normal"/>
    <w:qFormat/>
    <w:rsid w:val="007257E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26">
    <w:name w:val="xl426"/>
    <w:basedOn w:val="Normal"/>
    <w:qFormat/>
    <w:rsid w:val="007257E3"/>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27">
    <w:name w:val="xl427"/>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28">
    <w:name w:val="xl428"/>
    <w:basedOn w:val="Normal"/>
    <w:qFormat/>
    <w:rsid w:val="007257E3"/>
    <w:pPr>
      <w:pBdr>
        <w:top w:val="single" w:sz="4" w:space="0" w:color="auto"/>
        <w:left w:val="single" w:sz="8"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429">
    <w:name w:val="xl429"/>
    <w:basedOn w:val="Normal"/>
    <w:qFormat/>
    <w:rsid w:val="007257E3"/>
    <w:pPr>
      <w:pBdr>
        <w:left w:val="single" w:sz="8"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430">
    <w:name w:val="xl430"/>
    <w:basedOn w:val="Normal"/>
    <w:qFormat/>
    <w:rsid w:val="007257E3"/>
    <w:pPr>
      <w:pBdr>
        <w:left w:val="single" w:sz="8" w:space="0" w:color="auto"/>
        <w:bottom w:val="single" w:sz="4"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431">
    <w:name w:val="xl431"/>
    <w:basedOn w:val="Normal"/>
    <w:qFormat/>
    <w:rsid w:val="007257E3"/>
    <w:pPr>
      <w:pBdr>
        <w:left w:val="single" w:sz="4" w:space="0" w:color="auto"/>
        <w:right w:val="single" w:sz="4" w:space="0" w:color="auto"/>
      </w:pBdr>
      <w:spacing w:before="100" w:beforeAutospacing="1" w:after="100" w:afterAutospacing="1" w:line="240" w:lineRule="auto"/>
    </w:pPr>
    <w:rPr>
      <w:rFonts w:eastAsia="Times New Roman" w:cs="Times New Roman"/>
      <w:lang w:eastAsia="ro-RO"/>
    </w:rPr>
  </w:style>
  <w:style w:type="paragraph" w:customStyle="1" w:styleId="xl432">
    <w:name w:val="xl432"/>
    <w:basedOn w:val="Normal"/>
    <w:qFormat/>
    <w:rsid w:val="007257E3"/>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textAlignment w:val="center"/>
    </w:pPr>
    <w:rPr>
      <w:rFonts w:eastAsia="Times New Roman" w:cs="Times New Roman"/>
      <w:lang w:eastAsia="ro-RO"/>
    </w:rPr>
  </w:style>
  <w:style w:type="paragraph" w:customStyle="1" w:styleId="xl433">
    <w:name w:val="xl433"/>
    <w:basedOn w:val="Normal"/>
    <w:qFormat/>
    <w:rsid w:val="007257E3"/>
    <w:pPr>
      <w:pBdr>
        <w:left w:val="single" w:sz="4" w:space="0" w:color="auto"/>
        <w:right w:val="single" w:sz="4" w:space="0" w:color="auto"/>
      </w:pBdr>
      <w:shd w:val="clear" w:color="000000" w:fill="FFFF99"/>
      <w:spacing w:before="100" w:beforeAutospacing="1" w:after="100" w:afterAutospacing="1" w:line="240" w:lineRule="auto"/>
      <w:jc w:val="center"/>
      <w:textAlignment w:val="center"/>
    </w:pPr>
    <w:rPr>
      <w:rFonts w:eastAsia="Times New Roman" w:cs="Times New Roman"/>
      <w:lang w:eastAsia="ro-RO"/>
    </w:rPr>
  </w:style>
  <w:style w:type="paragraph" w:customStyle="1" w:styleId="xl434">
    <w:name w:val="xl434"/>
    <w:basedOn w:val="Normal"/>
    <w:qFormat/>
    <w:rsid w:val="007257E3"/>
    <w:pPr>
      <w:pBdr>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eastAsia="Times New Roman" w:cs="Times New Roman"/>
      <w:lang w:eastAsia="ro-RO"/>
    </w:rPr>
  </w:style>
  <w:style w:type="paragraph" w:customStyle="1" w:styleId="xl435">
    <w:name w:val="xl435"/>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36">
    <w:name w:val="xl436"/>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37">
    <w:name w:val="xl437"/>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38">
    <w:name w:val="xl438"/>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39">
    <w:name w:val="xl439"/>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0">
    <w:name w:val="xl440"/>
    <w:basedOn w:val="Normal"/>
    <w:qFormat/>
    <w:rsid w:val="007257E3"/>
    <w:pPr>
      <w:pBdr>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1">
    <w:name w:val="xl441"/>
    <w:basedOn w:val="Normal"/>
    <w:qFormat/>
    <w:rsid w:val="007257E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2">
    <w:name w:val="xl442"/>
    <w:basedOn w:val="Normal"/>
    <w:qFormat/>
    <w:rsid w:val="007257E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3">
    <w:name w:val="xl443"/>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4">
    <w:name w:val="xl444"/>
    <w:basedOn w:val="Normal"/>
    <w:qFormat/>
    <w:rsid w:val="007257E3"/>
    <w:pPr>
      <w:pBdr>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445">
    <w:name w:val="xl445"/>
    <w:basedOn w:val="Normal"/>
    <w:qFormat/>
    <w:rsid w:val="007257E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6">
    <w:name w:val="xl446"/>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7">
    <w:name w:val="xl447"/>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8">
    <w:name w:val="xl448"/>
    <w:basedOn w:val="Normal"/>
    <w:qFormat/>
    <w:rsid w:val="007257E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9">
    <w:name w:val="xl449"/>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0">
    <w:name w:val="xl450"/>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1">
    <w:name w:val="xl451"/>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2">
    <w:name w:val="xl452"/>
    <w:basedOn w:val="Normal"/>
    <w:qFormat/>
    <w:rsid w:val="007257E3"/>
    <w:pPr>
      <w:pBdr>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3">
    <w:name w:val="xl453"/>
    <w:basedOn w:val="Normal"/>
    <w:qFormat/>
    <w:rsid w:val="007257E3"/>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4">
    <w:name w:val="xl454"/>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5">
    <w:name w:val="xl455"/>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6">
    <w:name w:val="xl456"/>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7">
    <w:name w:val="xl457"/>
    <w:basedOn w:val="Normal"/>
    <w:qFormat/>
    <w:rsid w:val="007257E3"/>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8">
    <w:name w:val="xl458"/>
    <w:basedOn w:val="Normal"/>
    <w:qFormat/>
    <w:rsid w:val="007257E3"/>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9">
    <w:name w:val="xl459"/>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60">
    <w:name w:val="xl460"/>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61">
    <w:name w:val="xl461"/>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462">
    <w:name w:val="xl462"/>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463">
    <w:name w:val="xl463"/>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464">
    <w:name w:val="xl464"/>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65">
    <w:name w:val="xl465"/>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66">
    <w:name w:val="xl466"/>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67">
    <w:name w:val="xl467"/>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68">
    <w:name w:val="xl468"/>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69">
    <w:name w:val="xl469"/>
    <w:basedOn w:val="Normal"/>
    <w:qFormat/>
    <w:rsid w:val="007257E3"/>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70">
    <w:name w:val="xl470"/>
    <w:basedOn w:val="Normal"/>
    <w:qFormat/>
    <w:rsid w:val="007257E3"/>
    <w:pPr>
      <w:pBdr>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71">
    <w:name w:val="xl471"/>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72">
    <w:name w:val="xl472"/>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73">
    <w:name w:val="xl473"/>
    <w:basedOn w:val="Normal"/>
    <w:qFormat/>
    <w:rsid w:val="007257E3"/>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74">
    <w:name w:val="xl474"/>
    <w:basedOn w:val="Normal"/>
    <w:qFormat/>
    <w:rsid w:val="007257E3"/>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75">
    <w:name w:val="xl475"/>
    <w:basedOn w:val="Normal"/>
    <w:qFormat/>
    <w:rsid w:val="007257E3"/>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76">
    <w:name w:val="xl476"/>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477">
    <w:name w:val="xl477"/>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478">
    <w:name w:val="xl478"/>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479">
    <w:name w:val="xl479"/>
    <w:basedOn w:val="Normal"/>
    <w:qFormat/>
    <w:rsid w:val="007257E3"/>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0">
    <w:name w:val="xl480"/>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1">
    <w:name w:val="xl481"/>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2">
    <w:name w:val="xl482"/>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3">
    <w:name w:val="xl483"/>
    <w:basedOn w:val="Normal"/>
    <w:qFormat/>
    <w:rsid w:val="007257E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4">
    <w:name w:val="xl484"/>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5">
    <w:name w:val="xl485"/>
    <w:basedOn w:val="Normal"/>
    <w:qFormat/>
    <w:rsid w:val="007257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6">
    <w:name w:val="xl486"/>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7">
    <w:name w:val="xl487"/>
    <w:basedOn w:val="Normal"/>
    <w:qFormat/>
    <w:rsid w:val="007257E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8">
    <w:name w:val="xl488"/>
    <w:basedOn w:val="Normal"/>
    <w:qFormat/>
    <w:rsid w:val="007257E3"/>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9">
    <w:name w:val="xl489"/>
    <w:basedOn w:val="Normal"/>
    <w:qFormat/>
    <w:rsid w:val="007257E3"/>
    <w:pPr>
      <w:pBdr>
        <w:top w:val="single" w:sz="4" w:space="0" w:color="auto"/>
        <w:left w:val="single" w:sz="8" w:space="0" w:color="auto"/>
        <w:bottom w:val="single" w:sz="4"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490">
    <w:name w:val="xl490"/>
    <w:basedOn w:val="Normal"/>
    <w:qFormat/>
    <w:rsid w:val="007257E3"/>
    <w:pPr>
      <w:pBdr>
        <w:top w:val="single" w:sz="4" w:space="0" w:color="auto"/>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491">
    <w:name w:val="xl491"/>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92">
    <w:name w:val="xl492"/>
    <w:basedOn w:val="Normal"/>
    <w:qFormat/>
    <w:rsid w:val="007257E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93">
    <w:name w:val="xl493"/>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94">
    <w:name w:val="xl494"/>
    <w:basedOn w:val="Normal"/>
    <w:qFormat/>
    <w:rsid w:val="007257E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95">
    <w:name w:val="xl495"/>
    <w:basedOn w:val="Normal"/>
    <w:qFormat/>
    <w:rsid w:val="007257E3"/>
    <w:pPr>
      <w:pBdr>
        <w:top w:val="single" w:sz="4" w:space="0" w:color="auto"/>
        <w:left w:val="single" w:sz="4"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496">
    <w:name w:val="xl496"/>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color w:val="000000"/>
      <w:lang w:eastAsia="ro-RO"/>
    </w:rPr>
  </w:style>
  <w:style w:type="paragraph" w:customStyle="1" w:styleId="xl497">
    <w:name w:val="xl497"/>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000000"/>
      <w:lang w:eastAsia="ro-RO"/>
    </w:rPr>
  </w:style>
  <w:style w:type="paragraph" w:customStyle="1" w:styleId="xl498">
    <w:name w:val="xl498"/>
    <w:basedOn w:val="Normal"/>
    <w:qFormat/>
    <w:rsid w:val="007257E3"/>
    <w:pPr>
      <w:pBdr>
        <w:top w:val="single" w:sz="4" w:space="0" w:color="auto"/>
        <w:left w:val="single" w:sz="4" w:space="0" w:color="auto"/>
        <w:bottom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99">
    <w:name w:val="xl499"/>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500">
    <w:name w:val="xl500"/>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numbering" w:customStyle="1" w:styleId="11111111">
    <w:name w:val="1 / 1.1 / 1.1.111"/>
    <w:rsid w:val="007257E3"/>
    <w:pPr>
      <w:numPr>
        <w:numId w:val="175"/>
      </w:numPr>
    </w:pPr>
  </w:style>
  <w:style w:type="character" w:customStyle="1" w:styleId="UnresolvedMention8">
    <w:name w:val="Unresolved Mention8"/>
    <w:uiPriority w:val="99"/>
    <w:semiHidden/>
    <w:unhideWhenUsed/>
    <w:rsid w:val="007257E3"/>
    <w:rPr>
      <w:color w:val="605E5C"/>
      <w:shd w:val="clear" w:color="auto" w:fill="E1DFDD"/>
    </w:rPr>
  </w:style>
  <w:style w:type="paragraph" w:customStyle="1" w:styleId="StyleLinespacing15lines">
    <w:name w:val="Style Line spacing:  1.5 lines"/>
    <w:basedOn w:val="Normal"/>
    <w:qFormat/>
    <w:rsid w:val="007257E3"/>
    <w:pPr>
      <w:spacing w:line="360" w:lineRule="auto"/>
      <w:jc w:val="both"/>
    </w:pPr>
    <w:rPr>
      <w:rFonts w:ascii="Arial" w:eastAsia="Times New Roman" w:hAnsi="Arial" w:cs="Times New Roman"/>
      <w:sz w:val="24"/>
      <w:szCs w:val="20"/>
      <w:lang w:val="en-US"/>
    </w:rPr>
  </w:style>
  <w:style w:type="paragraph" w:customStyle="1" w:styleId="Titlu1">
    <w:name w:val="Titlu1"/>
    <w:basedOn w:val="Normal"/>
    <w:qFormat/>
    <w:rsid w:val="007257E3"/>
    <w:pPr>
      <w:spacing w:line="360" w:lineRule="auto"/>
      <w:jc w:val="center"/>
    </w:pPr>
    <w:rPr>
      <w:rFonts w:ascii="Arial" w:eastAsia="Times New Roman" w:hAnsi="Arial" w:cs="Times New Roman"/>
      <w:b/>
      <w:bCs/>
      <w:caps/>
      <w:sz w:val="24"/>
      <w:szCs w:val="24"/>
      <w:lang w:val="en-GB"/>
    </w:rPr>
  </w:style>
  <w:style w:type="paragraph" w:customStyle="1" w:styleId="Viorel">
    <w:name w:val="Viorel"/>
    <w:basedOn w:val="Normal"/>
    <w:qFormat/>
    <w:rsid w:val="007257E3"/>
    <w:pPr>
      <w:widowControl w:val="0"/>
      <w:tabs>
        <w:tab w:val="left" w:pos="567"/>
      </w:tabs>
      <w:adjustRightInd w:val="0"/>
      <w:spacing w:line="360" w:lineRule="auto"/>
      <w:jc w:val="both"/>
    </w:pPr>
    <w:rPr>
      <w:rFonts w:ascii="Arial" w:eastAsia="SimSun" w:hAnsi="Arial" w:cs="Arial"/>
      <w:szCs w:val="24"/>
      <w:lang w:val="en-GB"/>
    </w:rPr>
  </w:style>
  <w:style w:type="paragraph" w:customStyle="1" w:styleId="Spec1">
    <w:name w:val="Spec 1"/>
    <w:basedOn w:val="Normal"/>
    <w:qFormat/>
    <w:rsid w:val="007257E3"/>
    <w:pPr>
      <w:tabs>
        <w:tab w:val="left" w:pos="4536"/>
      </w:tabs>
      <w:spacing w:line="360" w:lineRule="auto"/>
      <w:jc w:val="both"/>
    </w:pPr>
    <w:rPr>
      <w:rFonts w:ascii="Arial" w:eastAsia="Calibri" w:hAnsi="Arial" w:cs="Arial"/>
      <w:sz w:val="24"/>
      <w:szCs w:val="24"/>
      <w:lang w:val="en-GB" w:eastAsia="en-GB"/>
    </w:rPr>
  </w:style>
  <w:style w:type="character" w:customStyle="1" w:styleId="Nomal125Char">
    <w:name w:val="Nomal 12.5 Char"/>
    <w:link w:val="Nomal125"/>
    <w:locked/>
    <w:rsid w:val="007257E3"/>
    <w:rPr>
      <w:rFonts w:ascii="Arial" w:eastAsia="Calibri" w:hAnsi="Arial"/>
      <w:lang w:val="en-GB" w:eastAsia="x-none"/>
    </w:rPr>
  </w:style>
  <w:style w:type="paragraph" w:customStyle="1" w:styleId="Nomal125">
    <w:name w:val="Nomal 12.5"/>
    <w:basedOn w:val="Normal"/>
    <w:next w:val="Normal"/>
    <w:link w:val="Nomal125Char"/>
    <w:qFormat/>
    <w:rsid w:val="007257E3"/>
    <w:pPr>
      <w:spacing w:before="200" w:after="200" w:line="276" w:lineRule="auto"/>
      <w:ind w:left="709"/>
      <w:jc w:val="both"/>
    </w:pPr>
    <w:rPr>
      <w:rFonts w:ascii="Arial" w:eastAsia="Calibri" w:hAnsi="Arial"/>
      <w:lang w:val="en-GB" w:eastAsia="x-none"/>
    </w:rPr>
  </w:style>
  <w:style w:type="paragraph" w:customStyle="1" w:styleId="Nou1">
    <w:name w:val="Nou 1"/>
    <w:basedOn w:val="Normal"/>
    <w:qFormat/>
    <w:rsid w:val="007257E3"/>
    <w:pPr>
      <w:spacing w:line="360" w:lineRule="auto"/>
      <w:ind w:left="720" w:hanging="360"/>
      <w:jc w:val="both"/>
    </w:pPr>
    <w:rPr>
      <w:rFonts w:ascii="Arial" w:eastAsia="Calibri" w:hAnsi="Arial" w:cs="Arial"/>
      <w:b/>
      <w:sz w:val="24"/>
      <w:szCs w:val="24"/>
      <w:lang w:val="en-US"/>
    </w:rPr>
  </w:style>
  <w:style w:type="character" w:customStyle="1" w:styleId="StandardparagraphChar">
    <w:name w:val="Standard paragraph Char"/>
    <w:link w:val="Standardparagraph"/>
    <w:locked/>
    <w:rsid w:val="007257E3"/>
    <w:rPr>
      <w:rFonts w:eastAsia="Calibri"/>
      <w:lang w:val="en-GB" w:eastAsia="en-GB"/>
    </w:rPr>
  </w:style>
  <w:style w:type="paragraph" w:customStyle="1" w:styleId="Standardparagraph">
    <w:name w:val="Standard paragraph"/>
    <w:basedOn w:val="Normal"/>
    <w:link w:val="StandardparagraphChar"/>
    <w:qFormat/>
    <w:rsid w:val="007257E3"/>
    <w:pPr>
      <w:tabs>
        <w:tab w:val="left" w:pos="1080"/>
      </w:tabs>
      <w:spacing w:after="240" w:line="240" w:lineRule="auto"/>
      <w:ind w:left="1083" w:hanging="6"/>
      <w:jc w:val="both"/>
    </w:pPr>
    <w:rPr>
      <w:rFonts w:eastAsia="Calibri"/>
      <w:lang w:val="en-GB" w:eastAsia="en-GB"/>
    </w:rPr>
  </w:style>
  <w:style w:type="character" w:customStyle="1" w:styleId="NormalindentChar0">
    <w:name w:val="Normal indent Char"/>
    <w:link w:val="NormalIndent10"/>
    <w:locked/>
    <w:rsid w:val="007257E3"/>
    <w:rPr>
      <w:rFonts w:ascii="Garamond" w:eastAsia="SimSun" w:hAnsi="Garamond"/>
      <w:lang w:val="x-none" w:eastAsia="en-GB"/>
    </w:rPr>
  </w:style>
  <w:style w:type="paragraph" w:customStyle="1" w:styleId="NormalIndent10">
    <w:name w:val="Normal Indent1"/>
    <w:basedOn w:val="Normal"/>
    <w:link w:val="NormalindentChar0"/>
    <w:qFormat/>
    <w:rsid w:val="007257E3"/>
    <w:pPr>
      <w:spacing w:after="120" w:line="240" w:lineRule="auto"/>
      <w:ind w:left="1086"/>
      <w:jc w:val="both"/>
    </w:pPr>
    <w:rPr>
      <w:rFonts w:ascii="Garamond" w:eastAsia="SimSun" w:hAnsi="Garamond"/>
      <w:lang w:val="x-none" w:eastAsia="en-GB"/>
    </w:rPr>
  </w:style>
  <w:style w:type="paragraph" w:customStyle="1" w:styleId="CharChar2CharCharCharCharCharChar">
    <w:name w:val="Char Char2 Char Char Char Char Char Char"/>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CharChar2CharChar">
    <w:name w:val="Char Char2 Char Char"/>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CharChar2CharCharCharCharCharCharCharCharCharChar2">
    <w:name w:val="Char Char2 Char Char Char Char Char Char Char Char Char Char2"/>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NormalIndent2">
    <w:name w:val="Normal Indent2"/>
    <w:basedOn w:val="Normal"/>
    <w:qFormat/>
    <w:rsid w:val="007257E3"/>
    <w:pPr>
      <w:spacing w:after="120" w:line="240" w:lineRule="auto"/>
      <w:ind w:left="1086"/>
      <w:jc w:val="both"/>
    </w:pPr>
    <w:rPr>
      <w:rFonts w:ascii="Garamond" w:eastAsia="SimSun" w:hAnsi="Garamond" w:cs="Times New Roman"/>
      <w:szCs w:val="20"/>
      <w:lang w:val="en-GB" w:eastAsia="en-GB"/>
    </w:rPr>
  </w:style>
  <w:style w:type="paragraph" w:customStyle="1" w:styleId="CharChar2CharCharCharCharCharChar2">
    <w:name w:val="Char Char2 Char Char Char Char Char Char2"/>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CharChar2CharChar2">
    <w:name w:val="Char Char2 Char Char2"/>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CharChar2CharCharCharCharCharCharCharCharCharChar1">
    <w:name w:val="Char Char2 Char Char Char Char Char Char Char Char Char Char1"/>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NormalIndent3">
    <w:name w:val="Normal Indent3"/>
    <w:basedOn w:val="Normal"/>
    <w:qFormat/>
    <w:rsid w:val="007257E3"/>
    <w:pPr>
      <w:spacing w:after="120" w:line="240" w:lineRule="auto"/>
      <w:ind w:left="1086"/>
      <w:jc w:val="both"/>
    </w:pPr>
    <w:rPr>
      <w:rFonts w:ascii="Garamond" w:eastAsia="SimSun" w:hAnsi="Garamond" w:cs="Times New Roman"/>
      <w:szCs w:val="20"/>
      <w:lang w:val="en-GB" w:eastAsia="en-GB"/>
    </w:rPr>
  </w:style>
  <w:style w:type="paragraph" w:customStyle="1" w:styleId="CharChar2CharCharCharCharCharChar1">
    <w:name w:val="Char Char2 Char Char Char Char Char Char1"/>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CharChar2CharChar1">
    <w:name w:val="Char Char2 Char Char1"/>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CaracterCharCharCaracterCharCaracterChar">
    <w:name w:val="Caracter Char Char Caracter Char Caracter Char"/>
    <w:basedOn w:val="Normal"/>
    <w:qFormat/>
    <w:rsid w:val="007257E3"/>
    <w:pPr>
      <w:spacing w:after="160" w:line="240" w:lineRule="exact"/>
      <w:jc w:val="both"/>
    </w:pPr>
    <w:rPr>
      <w:rFonts w:ascii="Tahoma" w:eastAsia="Calibri" w:hAnsi="Tahoma" w:cs="Times New Roman"/>
      <w:sz w:val="20"/>
      <w:szCs w:val="20"/>
      <w:lang w:val="en-US"/>
    </w:rPr>
  </w:style>
  <w:style w:type="paragraph" w:customStyle="1" w:styleId="ugut">
    <w:name w:val="ugut"/>
    <w:basedOn w:val="Normal"/>
    <w:qFormat/>
    <w:rsid w:val="007257E3"/>
    <w:pPr>
      <w:widowControl w:val="0"/>
      <w:spacing w:line="240" w:lineRule="auto"/>
      <w:jc w:val="both"/>
    </w:pPr>
    <w:rPr>
      <w:rFonts w:ascii="Arial" w:eastAsia="Calibri" w:hAnsi="Arial" w:cs="Times New Roman"/>
      <w:b/>
      <w:bCs/>
      <w:sz w:val="16"/>
      <w:szCs w:val="16"/>
      <w:lang w:val="de-DE" w:eastAsia="de-DE"/>
    </w:rPr>
  </w:style>
  <w:style w:type="paragraph" w:customStyle="1" w:styleId="CaracterCharCharCaracterCharCaracterCharCaracter">
    <w:name w:val="Caracter Char Char Caracter Char Caracter Char Caracter"/>
    <w:basedOn w:val="Normal"/>
    <w:qFormat/>
    <w:rsid w:val="007257E3"/>
    <w:pPr>
      <w:spacing w:after="160" w:line="240" w:lineRule="exact"/>
      <w:jc w:val="both"/>
    </w:pPr>
    <w:rPr>
      <w:rFonts w:ascii="Tahoma" w:eastAsia="Calibri" w:hAnsi="Tahoma" w:cs="Times New Roman"/>
      <w:sz w:val="20"/>
      <w:szCs w:val="20"/>
      <w:lang w:val="en-US"/>
    </w:rPr>
  </w:style>
  <w:style w:type="paragraph" w:customStyle="1" w:styleId="nou11">
    <w:name w:val="nou 1.1"/>
    <w:basedOn w:val="Normal"/>
    <w:qFormat/>
    <w:rsid w:val="007257E3"/>
    <w:pPr>
      <w:spacing w:before="120" w:after="120" w:line="360" w:lineRule="auto"/>
      <w:ind w:left="1440" w:hanging="360"/>
      <w:jc w:val="both"/>
    </w:pPr>
    <w:rPr>
      <w:rFonts w:ascii="Arial" w:eastAsia="Calibri" w:hAnsi="Arial" w:cs="Arial"/>
      <w:i/>
      <w:szCs w:val="24"/>
      <w:lang w:val="en-US"/>
    </w:rPr>
  </w:style>
  <w:style w:type="paragraph" w:customStyle="1" w:styleId="Indent1">
    <w:name w:val="Indent1"/>
    <w:basedOn w:val="Normal"/>
    <w:qFormat/>
    <w:rsid w:val="007257E3"/>
    <w:pPr>
      <w:spacing w:before="60" w:after="120" w:line="360" w:lineRule="auto"/>
      <w:ind w:left="851"/>
      <w:jc w:val="both"/>
    </w:pPr>
    <w:rPr>
      <w:rFonts w:ascii="Arial" w:eastAsia="Calibri" w:hAnsi="Arial" w:cs="Arial"/>
      <w:sz w:val="20"/>
      <w:szCs w:val="24"/>
      <w:lang w:val="en-US"/>
    </w:rPr>
  </w:style>
  <w:style w:type="character" w:customStyle="1" w:styleId="StyleHeading1LeftBefore12ptAfter12ptTopDoubleChar">
    <w:name w:val="Style Heading 1 + Left Before:  12 pt After:  12 pt Top: (Double... Char"/>
    <w:link w:val="StyleHeading1LeftBefore12ptAfter12ptTopDouble"/>
    <w:locked/>
    <w:rsid w:val="007257E3"/>
    <w:rPr>
      <w:rFonts w:ascii="Arial Bold" w:hAnsi="Arial Bold"/>
      <w:b/>
      <w:sz w:val="28"/>
      <w:lang w:val="x-none" w:eastAsia="x-none"/>
    </w:rPr>
  </w:style>
  <w:style w:type="paragraph" w:customStyle="1" w:styleId="StyleHeading1LeftBefore12ptAfter12ptTopDouble">
    <w:name w:val="Style Heading 1 + Left Before:  12 pt After:  12 pt Top: (Double..."/>
    <w:basedOn w:val="Heading1"/>
    <w:link w:val="StyleHeading1LeftBefore12ptAfter12ptTopDoubleChar"/>
    <w:qFormat/>
    <w:rsid w:val="007257E3"/>
    <w:pPr>
      <w:keepLines w:val="0"/>
      <w:numPr>
        <w:numId w:val="0"/>
      </w:numPr>
      <w:suppressAutoHyphens w:val="0"/>
      <w:spacing w:before="240" w:after="240" w:line="360" w:lineRule="auto"/>
      <w:contextualSpacing w:val="0"/>
      <w:jc w:val="both"/>
    </w:pPr>
    <w:rPr>
      <w:rFonts w:ascii="Arial Bold" w:eastAsiaTheme="minorHAnsi" w:hAnsi="Arial Bold" w:cstheme="minorBidi"/>
      <w:b/>
      <w:bCs w:val="0"/>
      <w:color w:val="auto"/>
      <w:szCs w:val="18"/>
      <w:lang w:val="x-none" w:eastAsia="x-none"/>
    </w:rPr>
  </w:style>
  <w:style w:type="paragraph" w:customStyle="1" w:styleId="StyleHeading2Allcaps">
    <w:name w:val="Style Heading 2 + All caps"/>
    <w:basedOn w:val="Heading2"/>
    <w:qFormat/>
    <w:rsid w:val="007257E3"/>
    <w:pPr>
      <w:keepLines w:val="0"/>
      <w:numPr>
        <w:ilvl w:val="0"/>
        <w:numId w:val="0"/>
      </w:numPr>
      <w:suppressAutoHyphens w:val="0"/>
      <w:spacing w:before="240" w:after="240" w:line="360" w:lineRule="auto"/>
      <w:ind w:left="1080" w:hanging="720"/>
      <w:contextualSpacing w:val="0"/>
      <w:jc w:val="both"/>
    </w:pPr>
    <w:rPr>
      <w:rFonts w:ascii="Arial Bold" w:eastAsia="Times New Roman" w:hAnsi="Arial Bold" w:cs="Times New Roman"/>
      <w:iCs/>
      <w:caps/>
      <w:sz w:val="22"/>
      <w:szCs w:val="28"/>
      <w:lang w:val="x-none"/>
    </w:rPr>
  </w:style>
  <w:style w:type="paragraph" w:customStyle="1" w:styleId="StyleHeading3JustifiedBefore12ptAfter3ptTopSi">
    <w:name w:val="Style Heading 3 + Justified Before:  12 pt After:  3 pt Top: (Si..."/>
    <w:basedOn w:val="Heading3"/>
    <w:qFormat/>
    <w:rsid w:val="007257E3"/>
    <w:pPr>
      <w:keepLines w:val="0"/>
      <w:framePr w:wrap="notBeside" w:vAnchor="text" w:hAnchor="text" w:y="1"/>
      <w:numPr>
        <w:ilvl w:val="0"/>
        <w:numId w:val="0"/>
      </w:numPr>
      <w:spacing w:before="240" w:after="60" w:line="240" w:lineRule="auto"/>
      <w:contextualSpacing w:val="0"/>
      <w:jc w:val="both"/>
    </w:pPr>
    <w:rPr>
      <w:rFonts w:ascii="Arial Bold" w:eastAsia="Calibri" w:hAnsi="Arial Bold" w:cs="Times New Roman"/>
      <w:b/>
      <w:bCs w:val="0"/>
      <w:sz w:val="22"/>
      <w:szCs w:val="20"/>
    </w:rPr>
  </w:style>
  <w:style w:type="paragraph" w:customStyle="1" w:styleId="Standard">
    <w:name w:val="Standard"/>
    <w:basedOn w:val="Default"/>
    <w:next w:val="Default"/>
    <w:qFormat/>
    <w:rsid w:val="007257E3"/>
    <w:pPr>
      <w:spacing w:after="0" w:line="240" w:lineRule="auto"/>
    </w:pPr>
    <w:rPr>
      <w:rFonts w:ascii="Times New Roman" w:eastAsia="Calibri" w:hAnsi="Times New Roman" w:cs="Times New Roman"/>
      <w:color w:val="auto"/>
    </w:rPr>
  </w:style>
  <w:style w:type="paragraph" w:customStyle="1" w:styleId="CharChar2CharCharCharChar1">
    <w:name w:val="Char Char2 Char Char Char Char1"/>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StyleJustified">
    <w:name w:val="Style Justified"/>
    <w:basedOn w:val="Normal"/>
    <w:qFormat/>
    <w:rsid w:val="007257E3"/>
    <w:pPr>
      <w:spacing w:before="60" w:line="360" w:lineRule="auto"/>
      <w:jc w:val="both"/>
    </w:pPr>
    <w:rPr>
      <w:rFonts w:ascii="Arial" w:eastAsia="Calibri" w:hAnsi="Arial" w:cs="Times New Roman"/>
      <w:szCs w:val="22"/>
      <w:lang w:val="en-GB"/>
    </w:rPr>
  </w:style>
  <w:style w:type="paragraph" w:customStyle="1" w:styleId="TextTabel">
    <w:name w:val="TextTabel"/>
    <w:qFormat/>
    <w:rsid w:val="007257E3"/>
    <w:pPr>
      <w:spacing w:line="240" w:lineRule="auto"/>
    </w:pPr>
    <w:rPr>
      <w:rFonts w:ascii="Arial Narrow" w:eastAsia="Calibri" w:hAnsi="Arial Narrow" w:cs="Times New Roman"/>
      <w:szCs w:val="22"/>
      <w:lang w:val="en-AU" w:eastAsia="en-GB"/>
    </w:rPr>
  </w:style>
  <w:style w:type="paragraph" w:customStyle="1" w:styleId="number">
    <w:name w:val="number"/>
    <w:basedOn w:val="Normal"/>
    <w:qFormat/>
    <w:rsid w:val="007257E3"/>
    <w:pPr>
      <w:tabs>
        <w:tab w:val="num" w:pos="1702"/>
      </w:tabs>
      <w:spacing w:line="360" w:lineRule="auto"/>
      <w:ind w:left="1135"/>
      <w:jc w:val="both"/>
    </w:pPr>
    <w:rPr>
      <w:rFonts w:ascii="Arial" w:eastAsia="Calibri" w:hAnsi="Arial" w:cs="Arial"/>
      <w:sz w:val="24"/>
      <w:szCs w:val="28"/>
      <w:lang w:val="en-US"/>
    </w:rPr>
  </w:style>
  <w:style w:type="paragraph" w:customStyle="1" w:styleId="CharChar2CharCharCharChar2">
    <w:name w:val="Char Char2 Char Char Char Char2"/>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Bericht-3">
    <w:name w:val="Bericht - Ü3"/>
    <w:basedOn w:val="Normal"/>
    <w:next w:val="Normal"/>
    <w:autoRedefine/>
    <w:qFormat/>
    <w:rsid w:val="007257E3"/>
    <w:pPr>
      <w:tabs>
        <w:tab w:val="num" w:pos="851"/>
        <w:tab w:val="num" w:pos="1440"/>
      </w:tabs>
      <w:spacing w:line="360" w:lineRule="auto"/>
      <w:ind w:left="851" w:hanging="851"/>
      <w:jc w:val="both"/>
    </w:pPr>
    <w:rPr>
      <w:rFonts w:ascii="Arial" w:eastAsia="Calibri" w:hAnsi="Arial" w:cs="Arial"/>
      <w:b/>
      <w:bCs/>
      <w:i/>
      <w:szCs w:val="22"/>
      <w:lang w:val="de-DE" w:eastAsia="de-DE"/>
    </w:rPr>
  </w:style>
  <w:style w:type="paragraph" w:customStyle="1" w:styleId="Bericht-5">
    <w:name w:val="Bericht - Ü5"/>
    <w:basedOn w:val="Normal"/>
    <w:next w:val="Normal"/>
    <w:autoRedefine/>
    <w:qFormat/>
    <w:rsid w:val="007257E3"/>
    <w:pPr>
      <w:tabs>
        <w:tab w:val="num" w:pos="851"/>
        <w:tab w:val="num" w:pos="1008"/>
        <w:tab w:val="num" w:pos="2160"/>
      </w:tabs>
      <w:spacing w:line="360" w:lineRule="auto"/>
      <w:ind w:left="851" w:hanging="851"/>
      <w:jc w:val="both"/>
    </w:pPr>
    <w:rPr>
      <w:rFonts w:ascii="Arial" w:eastAsia="Calibri" w:hAnsi="Arial" w:cs="Times New Roman"/>
      <w:bCs/>
      <w:i/>
      <w:szCs w:val="22"/>
      <w:lang w:val="de-DE" w:eastAsia="de-DE"/>
    </w:rPr>
  </w:style>
  <w:style w:type="paragraph" w:customStyle="1" w:styleId="-1">
    <w:name w:val="Ü-1"/>
    <w:basedOn w:val="Normal"/>
    <w:qFormat/>
    <w:rsid w:val="007257E3"/>
    <w:pPr>
      <w:tabs>
        <w:tab w:val="num" w:pos="494"/>
        <w:tab w:val="left" w:pos="567"/>
        <w:tab w:val="num" w:pos="864"/>
        <w:tab w:val="num" w:pos="2880"/>
      </w:tabs>
      <w:spacing w:line="240" w:lineRule="auto"/>
      <w:ind w:left="864" w:hanging="864"/>
      <w:jc w:val="both"/>
    </w:pPr>
    <w:rPr>
      <w:rFonts w:ascii="Arial Narrow" w:eastAsia="Calibri" w:hAnsi="Arial Narrow" w:cs="Times New Roman"/>
      <w:b/>
      <w:sz w:val="28"/>
      <w:szCs w:val="20"/>
      <w:lang w:val="de-DE" w:eastAsia="de-DE"/>
    </w:rPr>
  </w:style>
  <w:style w:type="paragraph" w:customStyle="1" w:styleId="-2">
    <w:name w:val="Ü-2"/>
    <w:basedOn w:val="Normal"/>
    <w:qFormat/>
    <w:rsid w:val="007257E3"/>
    <w:pPr>
      <w:tabs>
        <w:tab w:val="num" w:pos="381"/>
        <w:tab w:val="num" w:pos="1008"/>
        <w:tab w:val="num" w:pos="3600"/>
      </w:tabs>
      <w:spacing w:line="240" w:lineRule="auto"/>
      <w:ind w:left="1008" w:hanging="1008"/>
      <w:jc w:val="both"/>
    </w:pPr>
    <w:rPr>
      <w:rFonts w:ascii="Arial Narrow" w:eastAsia="Calibri" w:hAnsi="Arial Narrow" w:cs="Times New Roman"/>
      <w:b/>
      <w:sz w:val="20"/>
      <w:szCs w:val="20"/>
      <w:lang w:val="de-DE" w:eastAsia="de-DE"/>
    </w:rPr>
  </w:style>
  <w:style w:type="paragraph" w:customStyle="1" w:styleId="20">
    <w:name w:val="Ü 2"/>
    <w:basedOn w:val="Heading3"/>
    <w:autoRedefine/>
    <w:qFormat/>
    <w:rsid w:val="007257E3"/>
    <w:pPr>
      <w:keepLines w:val="0"/>
      <w:numPr>
        <w:ilvl w:val="0"/>
        <w:numId w:val="0"/>
      </w:numPr>
      <w:tabs>
        <w:tab w:val="left" w:pos="567"/>
        <w:tab w:val="num" w:pos="607"/>
        <w:tab w:val="left" w:pos="1701"/>
        <w:tab w:val="left" w:pos="2090"/>
      </w:tabs>
      <w:spacing w:before="120" w:after="120" w:line="240" w:lineRule="auto"/>
      <w:ind w:left="607" w:hanging="720"/>
      <w:contextualSpacing w:val="0"/>
      <w:jc w:val="both"/>
    </w:pPr>
    <w:rPr>
      <w:rFonts w:ascii="Arial Bold" w:eastAsia="Calibri" w:hAnsi="Arial Bold" w:cs="Arial"/>
      <w:b/>
      <w:iCs/>
      <w:color w:val="000000"/>
      <w:sz w:val="20"/>
      <w:szCs w:val="20"/>
      <w:u w:val="dotted"/>
      <w:lang w:val="de-DE" w:eastAsia="de-DE"/>
    </w:rPr>
  </w:style>
  <w:style w:type="paragraph" w:customStyle="1" w:styleId="3">
    <w:name w:val="Ü3"/>
    <w:basedOn w:val="Normal"/>
    <w:autoRedefine/>
    <w:qFormat/>
    <w:rsid w:val="007257E3"/>
    <w:pPr>
      <w:tabs>
        <w:tab w:val="num" w:pos="1460"/>
      </w:tabs>
      <w:spacing w:line="240" w:lineRule="auto"/>
      <w:ind w:left="2160" w:hanging="360"/>
      <w:jc w:val="both"/>
    </w:pPr>
    <w:rPr>
      <w:rFonts w:ascii="Arial Narrow" w:eastAsia="Calibri" w:hAnsi="Arial Narrow" w:cs="Times New Roman"/>
      <w:b/>
      <w:bCs/>
      <w:color w:val="000000"/>
      <w:sz w:val="20"/>
      <w:szCs w:val="20"/>
      <w:lang w:val="de-DE" w:eastAsia="de-DE"/>
    </w:rPr>
  </w:style>
  <w:style w:type="paragraph" w:customStyle="1" w:styleId="30">
    <w:name w:val="Ü 3"/>
    <w:basedOn w:val="Normal"/>
    <w:autoRedefine/>
    <w:qFormat/>
    <w:rsid w:val="007257E3"/>
    <w:pPr>
      <w:tabs>
        <w:tab w:val="num" w:pos="720"/>
        <w:tab w:val="left" w:pos="851"/>
      </w:tabs>
      <w:spacing w:line="240" w:lineRule="auto"/>
      <w:ind w:left="720" w:hanging="720"/>
      <w:jc w:val="both"/>
    </w:pPr>
    <w:rPr>
      <w:rFonts w:ascii="Arial Narrow" w:eastAsia="Calibri" w:hAnsi="Arial Narrow" w:cs="Times New Roman"/>
      <w:b/>
      <w:bCs/>
      <w:color w:val="000000"/>
      <w:sz w:val="20"/>
      <w:szCs w:val="20"/>
      <w:lang w:val="de-DE" w:eastAsia="de-DE"/>
    </w:rPr>
  </w:style>
  <w:style w:type="paragraph" w:customStyle="1" w:styleId="Bericht3">
    <w:name w:val="Bericht Ü3"/>
    <w:basedOn w:val="Normal"/>
    <w:qFormat/>
    <w:rsid w:val="007257E3"/>
    <w:pPr>
      <w:tabs>
        <w:tab w:val="num" w:pos="360"/>
      </w:tabs>
      <w:spacing w:line="240" w:lineRule="auto"/>
      <w:ind w:left="360" w:hanging="360"/>
      <w:jc w:val="both"/>
    </w:pPr>
    <w:rPr>
      <w:rFonts w:ascii="Times New Roman" w:eastAsia="Calibri" w:hAnsi="Times New Roman" w:cs="Times New Roman"/>
      <w:sz w:val="20"/>
      <w:szCs w:val="20"/>
      <w:lang w:val="de-DE" w:eastAsia="de-DE"/>
    </w:rPr>
  </w:style>
  <w:style w:type="paragraph" w:customStyle="1" w:styleId="Subtitlu2">
    <w:name w:val="Subtitlu2"/>
    <w:basedOn w:val="Heading2"/>
    <w:qFormat/>
    <w:rsid w:val="007257E3"/>
    <w:pPr>
      <w:keepLines w:val="0"/>
      <w:numPr>
        <w:ilvl w:val="0"/>
        <w:numId w:val="0"/>
      </w:numPr>
      <w:pBdr>
        <w:top w:val="double" w:sz="4" w:space="1" w:color="auto"/>
        <w:left w:val="double" w:sz="4" w:space="1" w:color="auto"/>
        <w:bottom w:val="double" w:sz="4" w:space="1" w:color="auto"/>
        <w:right w:val="double" w:sz="4" w:space="1" w:color="auto"/>
      </w:pBdr>
      <w:shd w:val="clear" w:color="auto" w:fill="9398C9"/>
      <w:tabs>
        <w:tab w:val="num" w:pos="338"/>
        <w:tab w:val="num" w:pos="792"/>
      </w:tabs>
      <w:suppressAutoHyphens w:val="0"/>
      <w:spacing w:before="240" w:after="200" w:line="240" w:lineRule="auto"/>
      <w:ind w:left="1134" w:hanging="1134"/>
      <w:contextualSpacing w:val="0"/>
      <w:jc w:val="both"/>
    </w:pPr>
    <w:rPr>
      <w:rFonts w:eastAsia="Calibri" w:cs="Times New Roman"/>
      <w:b/>
      <w:bCs w:val="0"/>
      <w:iCs/>
      <w:caps/>
      <w:sz w:val="22"/>
      <w:szCs w:val="22"/>
      <w:lang w:val="x-none"/>
    </w:rPr>
  </w:style>
  <w:style w:type="paragraph" w:customStyle="1" w:styleId="SubSubSubSubTitlu">
    <w:name w:val="SubSubSubSubTitlu"/>
    <w:basedOn w:val="SubSubSubTitlu"/>
    <w:next w:val="Textnormal"/>
    <w:qFormat/>
    <w:rsid w:val="007257E3"/>
    <w:pPr>
      <w:keepNext/>
      <w:pBdr>
        <w:top w:val="double" w:sz="4" w:space="1" w:color="auto"/>
        <w:left w:val="double" w:sz="4" w:space="1" w:color="auto"/>
        <w:bottom w:val="double" w:sz="4" w:space="1" w:color="auto"/>
        <w:right w:val="double" w:sz="4" w:space="1" w:color="auto"/>
      </w:pBdr>
      <w:shd w:val="clear" w:color="auto" w:fill="9398C9"/>
      <w:tabs>
        <w:tab w:val="clear" w:pos="1304"/>
        <w:tab w:val="num" w:pos="338"/>
        <w:tab w:val="num" w:pos="792"/>
      </w:tabs>
      <w:spacing w:before="240" w:after="200" w:line="240" w:lineRule="auto"/>
      <w:ind w:left="1134" w:hanging="1134"/>
      <w:jc w:val="both"/>
      <w:outlineLvl w:val="1"/>
    </w:pPr>
    <w:rPr>
      <w:rFonts w:ascii="Verdana" w:hAnsi="Verdana"/>
      <w:b/>
      <w:iCs/>
      <w:caps/>
      <w:szCs w:val="22"/>
      <w:lang w:val="x-none"/>
    </w:rPr>
  </w:style>
  <w:style w:type="paragraph" w:customStyle="1" w:styleId="StyleHeading1ArialLeft059">
    <w:name w:val="Style Heading 1 + Arial Left:  0.59&quot;"/>
    <w:basedOn w:val="Heading1"/>
    <w:qFormat/>
    <w:rsid w:val="007257E3"/>
    <w:pPr>
      <w:numPr>
        <w:numId w:val="0"/>
      </w:numPr>
      <w:tabs>
        <w:tab w:val="num" w:pos="720"/>
        <w:tab w:val="left" w:pos="1320"/>
        <w:tab w:val="num" w:pos="1512"/>
        <w:tab w:val="num" w:pos="2702"/>
        <w:tab w:val="left" w:pos="3480"/>
      </w:tabs>
      <w:suppressAutoHyphens w:val="0"/>
      <w:spacing w:before="240" w:after="240" w:line="240" w:lineRule="auto"/>
      <w:ind w:left="2702" w:right="-284" w:hanging="360"/>
      <w:contextualSpacing w:val="0"/>
      <w:jc w:val="both"/>
    </w:pPr>
    <w:rPr>
      <w:rFonts w:eastAsia="Calibri" w:cs="Times New Roman"/>
      <w:b/>
      <w:bCs w:val="0"/>
      <w:caps/>
      <w:color w:val="auto"/>
      <w:sz w:val="22"/>
      <w:szCs w:val="22"/>
      <w:lang w:val="fr-FR" w:eastAsia="en-GB"/>
    </w:rPr>
  </w:style>
  <w:style w:type="paragraph" w:customStyle="1" w:styleId="StyleHeading1Arial">
    <w:name w:val="Style Heading 1 + Arial"/>
    <w:basedOn w:val="Heading1"/>
    <w:qFormat/>
    <w:rsid w:val="007257E3"/>
    <w:pPr>
      <w:numPr>
        <w:numId w:val="0"/>
      </w:numPr>
      <w:tabs>
        <w:tab w:val="num" w:pos="1080"/>
        <w:tab w:val="left" w:pos="1320"/>
        <w:tab w:val="left" w:pos="3480"/>
      </w:tabs>
      <w:suppressAutoHyphens w:val="0"/>
      <w:spacing w:before="240" w:after="240" w:line="240" w:lineRule="auto"/>
      <w:ind w:left="2291" w:right="-284" w:hanging="1440"/>
      <w:contextualSpacing w:val="0"/>
      <w:jc w:val="both"/>
    </w:pPr>
    <w:rPr>
      <w:rFonts w:eastAsia="Calibri" w:cs="Times New Roman"/>
      <w:b/>
      <w:bCs w:val="0"/>
      <w:caps/>
      <w:color w:val="auto"/>
      <w:sz w:val="22"/>
      <w:szCs w:val="22"/>
      <w:lang w:val="fr-FR" w:eastAsia="en-GB"/>
    </w:rPr>
  </w:style>
  <w:style w:type="paragraph" w:customStyle="1" w:styleId="StyleHeading3">
    <w:name w:val="Style Heading 3"/>
    <w:aliases w:val="VAX + Before:  12 pt After:  3 pt Line spacing:  ..."/>
    <w:basedOn w:val="Heading3"/>
    <w:qFormat/>
    <w:rsid w:val="007257E3"/>
    <w:pPr>
      <w:keepLines w:val="0"/>
      <w:numPr>
        <w:numId w:val="145"/>
      </w:numPr>
      <w:tabs>
        <w:tab w:val="num" w:pos="851"/>
        <w:tab w:val="left" w:pos="1701"/>
        <w:tab w:val="left" w:pos="2090"/>
        <w:tab w:val="num" w:pos="3114"/>
      </w:tabs>
      <w:spacing w:before="240" w:after="60" w:line="360" w:lineRule="atLeast"/>
      <w:contextualSpacing w:val="0"/>
      <w:jc w:val="both"/>
    </w:pPr>
    <w:rPr>
      <w:rFonts w:ascii="Arial Bold" w:eastAsia="Calibri" w:hAnsi="Arial Bold" w:cs="Arial"/>
      <w:b/>
      <w:iCs/>
      <w:sz w:val="20"/>
      <w:szCs w:val="20"/>
    </w:rPr>
  </w:style>
  <w:style w:type="paragraph" w:customStyle="1" w:styleId="tabel">
    <w:name w:val="tabel"/>
    <w:basedOn w:val="Normal"/>
    <w:qFormat/>
    <w:rsid w:val="007257E3"/>
    <w:pPr>
      <w:spacing w:line="240" w:lineRule="auto"/>
      <w:jc w:val="both"/>
    </w:pPr>
    <w:rPr>
      <w:rFonts w:ascii="Arial" w:eastAsia="Calibri" w:hAnsi="Arial" w:cs="Times New Roman"/>
      <w:sz w:val="20"/>
      <w:szCs w:val="24"/>
      <w:lang w:val="en-US"/>
    </w:rPr>
  </w:style>
  <w:style w:type="paragraph" w:customStyle="1" w:styleId="CharChar2CharCharCharCharCharChar3">
    <w:name w:val="Char Char2 Char Char Char Char Char Char3"/>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Bullet-Red">
    <w:name w:val="Bullet - Red"/>
    <w:basedOn w:val="Normal"/>
    <w:qFormat/>
    <w:rsid w:val="007257E3"/>
    <w:pPr>
      <w:tabs>
        <w:tab w:val="left" w:pos="851"/>
      </w:tabs>
      <w:spacing w:before="120" w:line="240" w:lineRule="auto"/>
      <w:ind w:left="720" w:hanging="360"/>
      <w:jc w:val="both"/>
    </w:pPr>
    <w:rPr>
      <w:rFonts w:ascii="Arial" w:eastAsia="Times New Roman" w:hAnsi="Arial" w:cs="Arial"/>
      <w:color w:val="FF0000"/>
      <w:sz w:val="20"/>
      <w:szCs w:val="20"/>
      <w:lang w:val="en-GB" w:eastAsia="en-GB"/>
    </w:rPr>
  </w:style>
  <w:style w:type="paragraph" w:customStyle="1" w:styleId="NormalIndent4">
    <w:name w:val="Normal Indent4"/>
    <w:basedOn w:val="Normal"/>
    <w:qFormat/>
    <w:rsid w:val="007257E3"/>
    <w:pPr>
      <w:spacing w:after="120" w:line="240" w:lineRule="auto"/>
      <w:ind w:left="1086"/>
      <w:jc w:val="both"/>
    </w:pPr>
    <w:rPr>
      <w:rFonts w:ascii="Garamond" w:eastAsia="SimSun" w:hAnsi="Garamond" w:cs="Times New Roman"/>
      <w:szCs w:val="20"/>
      <w:lang w:val="en-GB" w:eastAsia="en-GB"/>
    </w:rPr>
  </w:style>
  <w:style w:type="paragraph" w:customStyle="1" w:styleId="NormalIndent5">
    <w:name w:val="Normal Indent5"/>
    <w:basedOn w:val="Normal"/>
    <w:qFormat/>
    <w:rsid w:val="007257E3"/>
    <w:pPr>
      <w:spacing w:after="120" w:line="240" w:lineRule="auto"/>
      <w:ind w:left="1086"/>
      <w:jc w:val="both"/>
    </w:pPr>
    <w:rPr>
      <w:rFonts w:ascii="Garamond" w:eastAsia="SimSun" w:hAnsi="Garamond" w:cs="Times New Roman"/>
      <w:szCs w:val="20"/>
      <w:lang w:val="en-GB" w:eastAsia="en-GB"/>
    </w:rPr>
  </w:style>
  <w:style w:type="paragraph" w:customStyle="1" w:styleId="Heading2my">
    <w:name w:val="Heading 2 my"/>
    <w:basedOn w:val="Normal"/>
    <w:qFormat/>
    <w:rsid w:val="007257E3"/>
    <w:pPr>
      <w:spacing w:line="240" w:lineRule="auto"/>
      <w:ind w:right="-99"/>
      <w:jc w:val="both"/>
    </w:pPr>
    <w:rPr>
      <w:rFonts w:ascii="Arial" w:eastAsia="Times New Roman" w:hAnsi="Arial" w:cs="Arial"/>
      <w:b/>
      <w:sz w:val="24"/>
      <w:szCs w:val="20"/>
      <w:lang w:val="en-US"/>
    </w:rPr>
  </w:style>
  <w:style w:type="paragraph" w:customStyle="1" w:styleId="CaracterCharCharCaracterCharCharCaracterCharCharCaracter">
    <w:name w:val="Caracter Char Char Caracter Char Char Caracter Char Char Caracter"/>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CharCharCaracterCharCharCaracterCharCaracter">
    <w:name w:val="Caracter Char Char Caracter Char Char Caracter Char Char Caracter Char Char Caracter Char Caracter"/>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Caracter">
    <w:name w:val="Caracter Char Char Caracter Char Char Caracter Caracter"/>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StyleHeading1Linespacing15lines">
    <w:name w:val="Style Heading 1 + Line spacing:  1.5 lines"/>
    <w:basedOn w:val="Heading1"/>
    <w:qFormat/>
    <w:rsid w:val="007257E3"/>
    <w:pPr>
      <w:keepLines w:val="0"/>
      <w:widowControl w:val="0"/>
      <w:numPr>
        <w:numId w:val="0"/>
      </w:numPr>
      <w:tabs>
        <w:tab w:val="left" w:pos="567"/>
        <w:tab w:val="num" w:pos="1494"/>
      </w:tabs>
      <w:suppressAutoHyphens w:val="0"/>
      <w:adjustRightInd w:val="0"/>
      <w:spacing w:before="0" w:after="0" w:line="360" w:lineRule="auto"/>
      <w:ind w:left="1418" w:hanging="284"/>
      <w:contextualSpacing w:val="0"/>
      <w:jc w:val="both"/>
    </w:pPr>
    <w:rPr>
      <w:rFonts w:eastAsia="Times New Roman" w:cs="Times New Roman"/>
      <w:b/>
      <w:bCs w:val="0"/>
      <w:color w:val="auto"/>
      <w:sz w:val="22"/>
      <w:szCs w:val="22"/>
    </w:rPr>
  </w:style>
  <w:style w:type="paragraph" w:customStyle="1" w:styleId="StyleHeading2ArialBefore0ptAfter0ptLinespacing">
    <w:name w:val="Style Heading 2 + Arial Before:  0 pt After:  0 pt Line spacing:..."/>
    <w:basedOn w:val="Heading2"/>
    <w:qFormat/>
    <w:rsid w:val="007257E3"/>
    <w:pPr>
      <w:keepLines w:val="0"/>
      <w:widowControl w:val="0"/>
      <w:numPr>
        <w:ilvl w:val="0"/>
        <w:numId w:val="0"/>
      </w:numPr>
      <w:tabs>
        <w:tab w:val="left" w:pos="567"/>
        <w:tab w:val="num" w:pos="1494"/>
      </w:tabs>
      <w:suppressAutoHyphens w:val="0"/>
      <w:adjustRightInd w:val="0"/>
      <w:spacing w:before="0" w:line="360" w:lineRule="auto"/>
      <w:ind w:left="1418" w:hanging="284"/>
      <w:contextualSpacing w:val="0"/>
      <w:jc w:val="both"/>
    </w:pPr>
    <w:rPr>
      <w:rFonts w:eastAsia="Times New Roman" w:cs="Times New Roman"/>
      <w:b/>
      <w:bCs w:val="0"/>
      <w:iCs/>
      <w:sz w:val="22"/>
      <w:szCs w:val="22"/>
    </w:rPr>
  </w:style>
  <w:style w:type="paragraph" w:customStyle="1" w:styleId="TextnBalon1">
    <w:name w:val="Text în Balon1"/>
    <w:basedOn w:val="Normal"/>
    <w:semiHidden/>
    <w:qFormat/>
    <w:rsid w:val="007257E3"/>
    <w:pPr>
      <w:widowControl w:val="0"/>
      <w:tabs>
        <w:tab w:val="left" w:pos="567"/>
      </w:tabs>
      <w:adjustRightInd w:val="0"/>
      <w:spacing w:line="360" w:lineRule="auto"/>
      <w:jc w:val="both"/>
    </w:pPr>
    <w:rPr>
      <w:rFonts w:ascii="Tahoma" w:eastAsia="Times New Roman" w:hAnsi="Tahoma" w:cs="Tahoma"/>
      <w:sz w:val="16"/>
      <w:szCs w:val="16"/>
      <w:lang w:val="en-GB"/>
    </w:rPr>
  </w:style>
  <w:style w:type="paragraph" w:customStyle="1" w:styleId="NormalWeb2">
    <w:name w:val="Normal (Web)2"/>
    <w:basedOn w:val="Normal"/>
    <w:qFormat/>
    <w:rsid w:val="007257E3"/>
    <w:pPr>
      <w:widowControl w:val="0"/>
      <w:tabs>
        <w:tab w:val="left" w:pos="567"/>
      </w:tabs>
      <w:adjustRightInd w:val="0"/>
      <w:spacing w:before="105" w:after="105" w:line="360" w:lineRule="auto"/>
      <w:ind w:left="105" w:right="105"/>
      <w:jc w:val="both"/>
    </w:pPr>
    <w:rPr>
      <w:rFonts w:ascii="Arial" w:eastAsia="Times New Roman" w:hAnsi="Arial" w:cs="Times New Roman"/>
      <w:szCs w:val="24"/>
      <w:lang w:val="en-GB"/>
    </w:rPr>
  </w:style>
  <w:style w:type="paragraph" w:customStyle="1" w:styleId="bulletsCharChar">
    <w:name w:val="bullets Char Char"/>
    <w:basedOn w:val="Normal"/>
    <w:qFormat/>
    <w:rsid w:val="007257E3"/>
    <w:pPr>
      <w:widowControl w:val="0"/>
      <w:tabs>
        <w:tab w:val="num" w:pos="567"/>
      </w:tabs>
      <w:adjustRightInd w:val="0"/>
      <w:spacing w:line="360" w:lineRule="auto"/>
      <w:ind w:left="1701"/>
      <w:jc w:val="both"/>
    </w:pPr>
    <w:rPr>
      <w:rFonts w:ascii="Arial" w:eastAsia="Times New Roman" w:hAnsi="Arial" w:cs="Times New Roman"/>
      <w:szCs w:val="24"/>
      <w:lang w:val="en-GB"/>
    </w:rPr>
  </w:style>
  <w:style w:type="paragraph" w:customStyle="1" w:styleId="liniutze">
    <w:name w:val="liniutze"/>
    <w:basedOn w:val="Normal"/>
    <w:qFormat/>
    <w:rsid w:val="007257E3"/>
    <w:pPr>
      <w:widowControl w:val="0"/>
      <w:tabs>
        <w:tab w:val="num" w:pos="567"/>
      </w:tabs>
      <w:adjustRightInd w:val="0"/>
      <w:spacing w:line="360" w:lineRule="auto"/>
      <w:ind w:left="1701"/>
      <w:jc w:val="both"/>
    </w:pPr>
    <w:rPr>
      <w:rFonts w:ascii="Arial" w:eastAsia="Times New Roman" w:hAnsi="Arial" w:cs="Arial"/>
      <w:szCs w:val="24"/>
      <w:lang w:val="en-US"/>
    </w:rPr>
  </w:style>
  <w:style w:type="paragraph" w:customStyle="1" w:styleId="bulet0">
    <w:name w:val="bulet"/>
    <w:basedOn w:val="Normal"/>
    <w:qFormat/>
    <w:rsid w:val="007257E3"/>
    <w:pPr>
      <w:widowControl w:val="0"/>
      <w:tabs>
        <w:tab w:val="num" w:pos="306"/>
        <w:tab w:val="left" w:pos="567"/>
      </w:tabs>
      <w:adjustRightInd w:val="0"/>
      <w:spacing w:line="360" w:lineRule="auto"/>
      <w:ind w:left="1440"/>
      <w:jc w:val="both"/>
    </w:pPr>
    <w:rPr>
      <w:rFonts w:ascii="Arial" w:eastAsia="Times New Roman" w:hAnsi="Arial" w:cs="Times New Roman"/>
      <w:szCs w:val="24"/>
      <w:lang w:val="en-US"/>
    </w:rPr>
  </w:style>
  <w:style w:type="paragraph" w:customStyle="1" w:styleId="bulletsCharChar1">
    <w:name w:val="bullets Char Char1"/>
    <w:basedOn w:val="Normal"/>
    <w:qFormat/>
    <w:rsid w:val="007257E3"/>
    <w:pPr>
      <w:widowControl w:val="0"/>
      <w:tabs>
        <w:tab w:val="num" w:pos="567"/>
      </w:tabs>
      <w:adjustRightInd w:val="0"/>
      <w:spacing w:line="360" w:lineRule="auto"/>
      <w:ind w:left="1701"/>
      <w:jc w:val="both"/>
    </w:pPr>
    <w:rPr>
      <w:rFonts w:ascii="Arial" w:eastAsia="Times New Roman" w:hAnsi="Arial" w:cs="Times New Roman"/>
      <w:szCs w:val="24"/>
      <w:lang w:val="en-GB"/>
    </w:rPr>
  </w:style>
  <w:style w:type="paragraph" w:customStyle="1" w:styleId="CharCharCaracterCharCaracter">
    <w:name w:val="Char Char Caracter Char Caracter"/>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Char2">
    <w:name w:val="Caracter Char2"/>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aracterCharCaracter">
    <w:name w:val="Caracter Char Caracter"/>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
    <w:name w:val="Caracter Char Char Caracter Char Char Caracter"/>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CharCharCaracterCharCharCaracterCharCaracterCharCharChar">
    <w:name w:val="Caracter Char Char Caracter Char Char Caracter Char Char Caracter Char Char Caracter Char Caracter Char Char Char"/>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harChar13CaracterCaracterCharChar">
    <w:name w:val="Char Char13 Caracter Caracter Char Char"/>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character" w:customStyle="1" w:styleId="ListBullet1Char">
    <w:name w:val="List Bullet 1 Char"/>
    <w:link w:val="ListBullet1"/>
    <w:locked/>
    <w:rsid w:val="007257E3"/>
    <w:rPr>
      <w:rFonts w:eastAsia="Times New Roman" w:cs="Times New Roman"/>
      <w:sz w:val="20"/>
      <w:szCs w:val="20"/>
      <w:lang w:val="ro-RO" w:eastAsia="x-none"/>
    </w:rPr>
  </w:style>
  <w:style w:type="paragraph" w:customStyle="1" w:styleId="Char13">
    <w:name w:val="Char13"/>
    <w:basedOn w:val="Normal"/>
    <w:qFormat/>
    <w:rsid w:val="007257E3"/>
    <w:pPr>
      <w:spacing w:after="160" w:line="240" w:lineRule="exact"/>
      <w:jc w:val="both"/>
    </w:pPr>
    <w:rPr>
      <w:rFonts w:eastAsia="Times New Roman" w:cs="Times New Roman"/>
      <w:sz w:val="20"/>
      <w:szCs w:val="20"/>
      <w:lang w:val="en-US"/>
    </w:rPr>
  </w:style>
  <w:style w:type="paragraph" w:customStyle="1" w:styleId="CaracterCaracterCharCaracterCaracterCharCaracterCaracterCharCaracterCaracterCharCaracterCaracter1CharCharCharCharCaracterCaracterCaracterCaracter4">
    <w:name w:val="Caracter Caracter Char Caracter Caracter Char Caracter Caracter Char Caracter Caracter Char Caracter Caracter1 Char Char Char Char Caracter Caracter Caracter Caracter4"/>
    <w:basedOn w:val="Normal"/>
    <w:qFormat/>
    <w:rsid w:val="007257E3"/>
    <w:pPr>
      <w:spacing w:line="240" w:lineRule="auto"/>
      <w:jc w:val="both"/>
    </w:pPr>
    <w:rPr>
      <w:rFonts w:ascii="Arial" w:eastAsia="Times New Roman" w:hAnsi="Arial" w:cs="Times New Roman"/>
      <w:sz w:val="24"/>
      <w:szCs w:val="24"/>
      <w:lang w:val="pl-PL" w:eastAsia="pl-PL"/>
    </w:rPr>
  </w:style>
  <w:style w:type="paragraph" w:customStyle="1" w:styleId="CharCharCharChar1Char4">
    <w:name w:val="Char Char Char Char1 Char4"/>
    <w:basedOn w:val="Normal"/>
    <w:semiHidden/>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CharCharCharChar7">
    <w:name w:val="Char Char Char Char7"/>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CaracterCaracterCaracter3">
    <w:name w:val="Caracter Caracter Caracter3"/>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CaracterCharCharCharChar3">
    <w:name w:val="Caracter Char Char Char Char3"/>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CharCharCharChar1CharChar13">
    <w:name w:val="Char Char Char Char1 Char Char13"/>
    <w:basedOn w:val="Normal"/>
    <w:qFormat/>
    <w:rsid w:val="007257E3"/>
    <w:pPr>
      <w:spacing w:before="120" w:line="240" w:lineRule="auto"/>
      <w:jc w:val="both"/>
    </w:pPr>
    <w:rPr>
      <w:rFonts w:ascii="Times New Roman" w:eastAsia="Times New Roman" w:hAnsi="Times New Roman" w:cs="Times New Roman"/>
      <w:sz w:val="24"/>
      <w:szCs w:val="24"/>
      <w:lang w:val="pl-PL" w:eastAsia="pl-PL"/>
    </w:rPr>
  </w:style>
  <w:style w:type="character" w:customStyle="1" w:styleId="TextbilantChar">
    <w:name w:val="Text bilant Char"/>
    <w:link w:val="Textbilant"/>
    <w:locked/>
    <w:rsid w:val="007257E3"/>
    <w:rPr>
      <w:rFonts w:ascii="Arial" w:hAnsi="Arial"/>
      <w:sz w:val="24"/>
      <w:szCs w:val="24"/>
      <w:lang w:val="x-none" w:eastAsia="x-none"/>
    </w:rPr>
  </w:style>
  <w:style w:type="paragraph" w:customStyle="1" w:styleId="Textbilant">
    <w:name w:val="Text bilant"/>
    <w:basedOn w:val="Normal"/>
    <w:link w:val="TextbilantChar"/>
    <w:qFormat/>
    <w:rsid w:val="007257E3"/>
    <w:pPr>
      <w:spacing w:before="80" w:after="160" w:line="240" w:lineRule="auto"/>
      <w:ind w:left="1304"/>
      <w:jc w:val="both"/>
    </w:pPr>
    <w:rPr>
      <w:rFonts w:ascii="Arial" w:hAnsi="Arial"/>
      <w:sz w:val="24"/>
      <w:szCs w:val="24"/>
      <w:lang w:val="x-none" w:eastAsia="x-none"/>
    </w:rPr>
  </w:style>
  <w:style w:type="character" w:customStyle="1" w:styleId="BuletChar">
    <w:name w:val="Bulet Char"/>
    <w:locked/>
    <w:rsid w:val="007257E3"/>
    <w:rPr>
      <w:rFonts w:ascii="Arial" w:hAnsi="Arial"/>
      <w:iCs/>
      <w:sz w:val="24"/>
      <w:lang w:val="it-IT" w:eastAsia="x-none"/>
    </w:rPr>
  </w:style>
  <w:style w:type="paragraph" w:customStyle="1" w:styleId="Astyle">
    <w:name w:val="A. style"/>
    <w:basedOn w:val="BodyText"/>
    <w:qFormat/>
    <w:rsid w:val="007257E3"/>
    <w:pPr>
      <w:tabs>
        <w:tab w:val="left" w:pos="425"/>
      </w:tabs>
      <w:spacing w:before="120" w:line="240" w:lineRule="auto"/>
      <w:ind w:left="720" w:hanging="360"/>
      <w:jc w:val="both"/>
    </w:pPr>
    <w:rPr>
      <w:rFonts w:ascii="Arial" w:eastAsia="Times New Roman" w:hAnsi="Arial" w:cs="Times New Roman"/>
      <w:b/>
      <w:i/>
      <w:sz w:val="16"/>
      <w:szCs w:val="24"/>
    </w:rPr>
  </w:style>
  <w:style w:type="paragraph" w:customStyle="1" w:styleId="Heading2-">
    <w:name w:val="Heading 2 -"/>
    <w:basedOn w:val="Normal"/>
    <w:next w:val="Normal"/>
    <w:qFormat/>
    <w:rsid w:val="007257E3"/>
    <w:pPr>
      <w:spacing w:line="240" w:lineRule="auto"/>
      <w:jc w:val="both"/>
    </w:pPr>
    <w:rPr>
      <w:rFonts w:eastAsia="Times New Roman" w:cs="Times New Roman"/>
      <w:b/>
      <w:szCs w:val="24"/>
      <w:lang w:val="en-GB" w:eastAsia="da-DK"/>
    </w:rPr>
  </w:style>
  <w:style w:type="paragraph" w:customStyle="1" w:styleId="Pa7">
    <w:name w:val="Pa7"/>
    <w:basedOn w:val="Default"/>
    <w:next w:val="Default"/>
    <w:uiPriority w:val="99"/>
    <w:qFormat/>
    <w:rsid w:val="007257E3"/>
    <w:pPr>
      <w:spacing w:after="0" w:line="515" w:lineRule="atLeast"/>
    </w:pPr>
    <w:rPr>
      <w:rFonts w:ascii="Whitney Bold" w:eastAsia="Calibri" w:hAnsi="Whitney Bold" w:cs="Times New Roman"/>
      <w:color w:val="auto"/>
      <w:lang w:val="ro-RO"/>
    </w:rPr>
  </w:style>
  <w:style w:type="paragraph" w:customStyle="1" w:styleId="Pa5">
    <w:name w:val="Pa5"/>
    <w:basedOn w:val="Default"/>
    <w:next w:val="Default"/>
    <w:uiPriority w:val="99"/>
    <w:qFormat/>
    <w:rsid w:val="007257E3"/>
    <w:pPr>
      <w:spacing w:after="0" w:line="201" w:lineRule="atLeast"/>
    </w:pPr>
    <w:rPr>
      <w:rFonts w:ascii="Whitney Bold" w:eastAsia="Calibri" w:hAnsi="Whitney Bold" w:cs="Times New Roman"/>
      <w:color w:val="auto"/>
      <w:lang w:val="ro-RO"/>
    </w:rPr>
  </w:style>
  <w:style w:type="paragraph" w:customStyle="1" w:styleId="CaracterCharCharCaracterCharCharCaracterCharCharCaracter3">
    <w:name w:val="Caracter Char Char Caracter Char Char Caracter Char Char Caracter3"/>
    <w:basedOn w:val="Normal"/>
    <w:qFormat/>
    <w:rsid w:val="007257E3"/>
    <w:pPr>
      <w:spacing w:after="160" w:line="240" w:lineRule="exact"/>
      <w:jc w:val="both"/>
    </w:pPr>
    <w:rPr>
      <w:rFonts w:ascii="Tahoma" w:eastAsia="Times New Roman" w:hAnsi="Tahoma" w:cs="Times New Roman"/>
      <w:sz w:val="20"/>
      <w:szCs w:val="20"/>
      <w:lang w:val="en-US" w:bidi="en-US"/>
    </w:rPr>
  </w:style>
  <w:style w:type="paragraph" w:customStyle="1" w:styleId="CaracterCharCharCaracterCharCharCaracterCharCharCaracterCharCharCaracterCharCaracter3">
    <w:name w:val="Caracter Char Char Caracter Char Char Caracter Char Char Caracter Char Char Caracter Char Caracter3"/>
    <w:basedOn w:val="Normal"/>
    <w:qFormat/>
    <w:rsid w:val="007257E3"/>
    <w:pPr>
      <w:spacing w:after="160" w:line="240" w:lineRule="exact"/>
      <w:jc w:val="both"/>
    </w:pPr>
    <w:rPr>
      <w:rFonts w:ascii="Tahoma" w:eastAsia="Times New Roman" w:hAnsi="Tahoma" w:cs="Times New Roman"/>
      <w:sz w:val="20"/>
      <w:szCs w:val="20"/>
      <w:lang w:val="en-US" w:bidi="en-US"/>
    </w:rPr>
  </w:style>
  <w:style w:type="paragraph" w:customStyle="1" w:styleId="Caracter7CharCharCaracterCharCharCaracterCharCharCaracterCharCharCaracterCharCharCaracterCharCharCaracterCharCharCaracterCharCharCaracterCharCharCaracterCharCharChar3">
    <w:name w:val="Caracter7 Char Char Caracter Char Char Caracter Char Char Caracter Char Char Caracter Char Char Caracter Char Char Caracter Char Char Caracter Char Char Caracter Char Char Caracter Char Char Char3"/>
    <w:basedOn w:val="Normal"/>
    <w:qFormat/>
    <w:rsid w:val="007257E3"/>
    <w:pPr>
      <w:overflowPunct w:val="0"/>
      <w:autoSpaceDE w:val="0"/>
      <w:autoSpaceDN w:val="0"/>
      <w:adjustRightInd w:val="0"/>
      <w:spacing w:line="240" w:lineRule="auto"/>
      <w:jc w:val="both"/>
    </w:pPr>
    <w:rPr>
      <w:rFonts w:ascii="Arial" w:eastAsia="Times New Roman" w:hAnsi="Arial" w:cs="Times New Roman"/>
      <w:sz w:val="20"/>
      <w:szCs w:val="20"/>
      <w:lang w:val="pl-PL" w:eastAsia="pl-PL" w:bidi="en-US"/>
    </w:rPr>
  </w:style>
  <w:style w:type="paragraph" w:customStyle="1" w:styleId="CaracterCharCharCaracterCharCharCaracterCaracter3">
    <w:name w:val="Caracter Char Char Caracter Char Char Caracter Caracter3"/>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bidi="en-US"/>
    </w:rPr>
  </w:style>
  <w:style w:type="paragraph" w:customStyle="1" w:styleId="CharCharCaracterCharCaracter3">
    <w:name w:val="Char Char Caracter Char Caracter3"/>
    <w:basedOn w:val="Normal"/>
    <w:qFormat/>
    <w:rsid w:val="007257E3"/>
    <w:pPr>
      <w:spacing w:after="160" w:line="240" w:lineRule="exact"/>
      <w:jc w:val="both"/>
    </w:pPr>
    <w:rPr>
      <w:rFonts w:ascii="Tahoma" w:eastAsia="Times New Roman" w:hAnsi="Tahoma" w:cs="Times New Roman"/>
      <w:sz w:val="20"/>
      <w:szCs w:val="20"/>
      <w:lang w:val="en-US" w:bidi="en-US"/>
    </w:rPr>
  </w:style>
  <w:style w:type="paragraph" w:customStyle="1" w:styleId="CaracterCharCaracter3">
    <w:name w:val="Caracter Char Caracter3"/>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bidi="en-US"/>
    </w:rPr>
  </w:style>
  <w:style w:type="paragraph" w:customStyle="1" w:styleId="CaracterCharCharCaracterCharCharCaracter3">
    <w:name w:val="Caracter Char Char Caracter Char Char Caracter3"/>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bidi="en-US"/>
    </w:rPr>
  </w:style>
  <w:style w:type="paragraph" w:customStyle="1" w:styleId="CaracterCharCharCaracterCharCharCaracterCharCharCaracterCharCharCaracterCharCaracterCharCharChar3">
    <w:name w:val="Caracter Char Char Caracter Char Char Caracter Char Char Caracter Char Char Caracter Char Caracter Char Char Char3"/>
    <w:basedOn w:val="Normal"/>
    <w:qFormat/>
    <w:rsid w:val="007257E3"/>
    <w:pPr>
      <w:spacing w:after="160" w:line="240" w:lineRule="exact"/>
      <w:jc w:val="both"/>
    </w:pPr>
    <w:rPr>
      <w:rFonts w:ascii="Tahoma" w:eastAsia="Times New Roman" w:hAnsi="Tahoma" w:cs="Times New Roman"/>
      <w:sz w:val="20"/>
      <w:szCs w:val="20"/>
      <w:lang w:val="en-US" w:bidi="en-US"/>
    </w:rPr>
  </w:style>
  <w:style w:type="paragraph" w:customStyle="1" w:styleId="CharChar13CaracterCaracterCharChar3">
    <w:name w:val="Char Char13 Caracter Caracter Char Char3"/>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bidi="en-US"/>
    </w:rPr>
  </w:style>
  <w:style w:type="paragraph" w:customStyle="1" w:styleId="CharChar313">
    <w:name w:val="Char Char313"/>
    <w:basedOn w:val="Normal"/>
    <w:semiHidden/>
    <w:qFormat/>
    <w:rsid w:val="007257E3"/>
    <w:pPr>
      <w:spacing w:line="240" w:lineRule="auto"/>
      <w:jc w:val="both"/>
    </w:pPr>
    <w:rPr>
      <w:rFonts w:ascii="Times New Roman" w:eastAsia="Times New Roman" w:hAnsi="Times New Roman" w:cs="Times New Roman"/>
      <w:sz w:val="24"/>
      <w:szCs w:val="24"/>
      <w:lang w:val="pl-PL" w:eastAsia="pl-PL" w:bidi="en-US"/>
    </w:rPr>
  </w:style>
  <w:style w:type="paragraph" w:customStyle="1" w:styleId="CharCharCharChar1Char3">
    <w:name w:val="Char Char Char Char1 Char3"/>
    <w:basedOn w:val="Normal"/>
    <w:semiHidden/>
    <w:qFormat/>
    <w:rsid w:val="007257E3"/>
    <w:pPr>
      <w:spacing w:line="240" w:lineRule="auto"/>
      <w:jc w:val="both"/>
    </w:pPr>
    <w:rPr>
      <w:rFonts w:ascii="Times New Roman" w:eastAsia="Times New Roman" w:hAnsi="Times New Roman" w:cs="Times New Roman"/>
      <w:sz w:val="24"/>
      <w:szCs w:val="24"/>
      <w:lang w:val="pl-PL" w:eastAsia="pl-PL" w:bidi="en-US"/>
    </w:rPr>
  </w:style>
  <w:style w:type="paragraph" w:customStyle="1" w:styleId="CharCharCharChar6">
    <w:name w:val="Char Char Char Char6"/>
    <w:basedOn w:val="Normal"/>
    <w:qFormat/>
    <w:rsid w:val="007257E3"/>
    <w:pPr>
      <w:spacing w:line="240" w:lineRule="auto"/>
      <w:ind w:left="300"/>
      <w:jc w:val="both"/>
    </w:pPr>
    <w:rPr>
      <w:rFonts w:ascii="Times New Roman" w:eastAsia="Times New Roman" w:hAnsi="Times New Roman" w:cs="Times New Roman"/>
      <w:sz w:val="24"/>
      <w:szCs w:val="24"/>
      <w:lang w:val="pl-PL" w:eastAsia="pl-PL" w:bidi="en-US"/>
    </w:rPr>
  </w:style>
  <w:style w:type="character" w:customStyle="1" w:styleId="Style165Char">
    <w:name w:val="Style165 Char"/>
    <w:link w:val="Style165"/>
    <w:locked/>
    <w:rsid w:val="007257E3"/>
    <w:rPr>
      <w:rFonts w:eastAsia="Times New Roman" w:cs="Times New Roman"/>
      <w:szCs w:val="24"/>
      <w:lang w:val="en-GB" w:eastAsia="da-DK"/>
    </w:rPr>
  </w:style>
  <w:style w:type="paragraph" w:customStyle="1" w:styleId="CaracterCharCharCaracterCharCharCaracterCharCharCaracter2">
    <w:name w:val="Caracter Char Char Caracter Char Char Caracter Char Char Caracter2"/>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CharCharCaracterCharCharCaracterCharCaracter2">
    <w:name w:val="Caracter Char Char Caracter Char Char Caracter Char Char Caracter Char Char Caracter Char Caracter2"/>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7CharCharCaracterCharCharCaracterCharCharCaracterCharCharCaracterCharCharCaracterCharCharCaracterCharCharCaracterCharCharCaracterCharCharCaracterCharCharChar2">
    <w:name w:val="Caracter7 Char Char Caracter Char Char Caracter Char Char Caracter Char Char Caracter Char Char Caracter Char Char Caracter Char Char Caracter Char Char Caracter Char Char Caracter Char Char Char2"/>
    <w:basedOn w:val="Normal"/>
    <w:qFormat/>
    <w:rsid w:val="007257E3"/>
    <w:pPr>
      <w:overflowPunct w:val="0"/>
      <w:autoSpaceDE w:val="0"/>
      <w:autoSpaceDN w:val="0"/>
      <w:adjustRightInd w:val="0"/>
      <w:spacing w:line="240" w:lineRule="auto"/>
      <w:jc w:val="both"/>
    </w:pPr>
    <w:rPr>
      <w:rFonts w:ascii="Arial" w:eastAsia="Times New Roman" w:hAnsi="Arial" w:cs="Times New Roman"/>
      <w:sz w:val="20"/>
      <w:szCs w:val="20"/>
      <w:lang w:val="pl-PL" w:eastAsia="pl-PL"/>
    </w:rPr>
  </w:style>
  <w:style w:type="paragraph" w:customStyle="1" w:styleId="CaracterCharCharCaracterCharCharCaracterCaracter2">
    <w:name w:val="Caracter Char Char Caracter Char Char Caracter Caracter2"/>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har24">
    <w:name w:val="Char24"/>
    <w:basedOn w:val="Normal"/>
    <w:qFormat/>
    <w:rsid w:val="007257E3"/>
    <w:pPr>
      <w:widowControl w:val="0"/>
      <w:tabs>
        <w:tab w:val="left" w:pos="709"/>
      </w:tabs>
      <w:adjustRightInd w:val="0"/>
      <w:spacing w:line="240" w:lineRule="auto"/>
      <w:jc w:val="both"/>
    </w:pPr>
    <w:rPr>
      <w:rFonts w:ascii="Tahoma" w:eastAsia="Times New Roman" w:hAnsi="Tahoma" w:cs="Times New Roman"/>
      <w:sz w:val="24"/>
      <w:szCs w:val="24"/>
      <w:lang w:val="pl-PL" w:eastAsia="pl-PL"/>
    </w:rPr>
  </w:style>
  <w:style w:type="paragraph" w:customStyle="1" w:styleId="CharCharCaracterCharCaracter2">
    <w:name w:val="Char Char Caracter Char Caracter2"/>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Char3">
    <w:name w:val="Caracter Char3"/>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aracterCharCaracter2">
    <w:name w:val="Caracter Char Caracter2"/>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2">
    <w:name w:val="Caracter Char Char Caracter Char Char Caracter2"/>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CharCharCaracterCharCharCaracterCharCaracterCharCharChar2">
    <w:name w:val="Caracter Char Char Caracter Char Char Caracter Char Char Caracter Char Char Caracter Char Caracter Char Char Char2"/>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harChar13CaracterCaracterCharChar2">
    <w:name w:val="Char Char13 Caracter Caracter Char Char2"/>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harCharCharChar5">
    <w:name w:val="Char Char Char Char5"/>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CharChar312">
    <w:name w:val="Char Char312"/>
    <w:basedOn w:val="Normal"/>
    <w:semiHidden/>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Listparagraf2">
    <w:name w:val="Listă paragraf2"/>
    <w:basedOn w:val="Normal"/>
    <w:qFormat/>
    <w:rsid w:val="007257E3"/>
    <w:pPr>
      <w:spacing w:after="200" w:line="276" w:lineRule="auto"/>
      <w:ind w:left="720"/>
      <w:contextualSpacing/>
      <w:jc w:val="both"/>
    </w:pPr>
    <w:rPr>
      <w:rFonts w:eastAsia="Calibri" w:cs="Times New Roman"/>
      <w:sz w:val="20"/>
      <w:szCs w:val="22"/>
      <w:lang w:val="en-US"/>
    </w:rPr>
  </w:style>
  <w:style w:type="paragraph" w:customStyle="1" w:styleId="gmail-basic">
    <w:name w:val="gmail-basic"/>
    <w:basedOn w:val="Normal"/>
    <w:qFormat/>
    <w:rsid w:val="007257E3"/>
    <w:pPr>
      <w:spacing w:before="100" w:beforeAutospacing="1" w:after="100" w:afterAutospacing="1" w:line="240" w:lineRule="auto"/>
      <w:jc w:val="both"/>
    </w:pPr>
    <w:rPr>
      <w:rFonts w:ascii="Times New Roman" w:eastAsia="Calibri" w:hAnsi="Times New Roman" w:cs="Times New Roman"/>
      <w:sz w:val="24"/>
      <w:szCs w:val="24"/>
      <w:lang w:eastAsia="ro-RO"/>
    </w:rPr>
  </w:style>
  <w:style w:type="paragraph" w:customStyle="1" w:styleId="gmail-msocaption">
    <w:name w:val="gmail-msocaption"/>
    <w:basedOn w:val="Normal"/>
    <w:qFormat/>
    <w:rsid w:val="007257E3"/>
    <w:pPr>
      <w:spacing w:before="100" w:beforeAutospacing="1" w:after="100" w:afterAutospacing="1" w:line="240" w:lineRule="auto"/>
      <w:jc w:val="both"/>
    </w:pPr>
    <w:rPr>
      <w:rFonts w:ascii="Times New Roman" w:eastAsia="Calibri" w:hAnsi="Times New Roman" w:cs="Times New Roman"/>
      <w:sz w:val="24"/>
      <w:szCs w:val="24"/>
      <w:lang w:eastAsia="ro-RO"/>
    </w:rPr>
  </w:style>
  <w:style w:type="paragraph" w:customStyle="1" w:styleId="gmail-msonormal">
    <w:name w:val="gmail-msonormal"/>
    <w:basedOn w:val="Normal"/>
    <w:qFormat/>
    <w:rsid w:val="007257E3"/>
    <w:pPr>
      <w:spacing w:before="100" w:beforeAutospacing="1" w:after="100" w:afterAutospacing="1" w:line="240" w:lineRule="auto"/>
      <w:jc w:val="both"/>
    </w:pPr>
    <w:rPr>
      <w:rFonts w:ascii="Times New Roman" w:eastAsia="Calibri" w:hAnsi="Times New Roman" w:cs="Times New Roman"/>
      <w:sz w:val="24"/>
      <w:szCs w:val="24"/>
      <w:lang w:eastAsia="ro-RO"/>
    </w:rPr>
  </w:style>
  <w:style w:type="paragraph" w:customStyle="1" w:styleId="CaracterCharCharCaracterCharCharCaracterCharCharCaracter1">
    <w:name w:val="Caracter Char Char Caracter Char Char Caracter Char Char Caracter1"/>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CharCharCaracterCharCharCaracterCharCaracter1">
    <w:name w:val="Caracter Char Char Caracter Char Char Caracter Char Char Caracter Char Char Caracter Char Caracter1"/>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7CharCharCaracterCharCharCaracterCharCharCaracterCharCharCaracterCharCharCaracterCharCharCaracterCharCharCaracterCharCharCaracterCharCharCaracterCharCharChar1">
    <w:name w:val="Caracter7 Char Char Caracter Char Char Caracter Char Char Caracter Char Char Caracter Char Char Caracter Char Char Caracter Char Char Caracter Char Char Caracter Char Char Caracter Char Char Char1"/>
    <w:basedOn w:val="Normal"/>
    <w:qFormat/>
    <w:rsid w:val="007257E3"/>
    <w:pPr>
      <w:overflowPunct w:val="0"/>
      <w:autoSpaceDE w:val="0"/>
      <w:autoSpaceDN w:val="0"/>
      <w:adjustRightInd w:val="0"/>
      <w:spacing w:line="240" w:lineRule="auto"/>
      <w:jc w:val="both"/>
    </w:pPr>
    <w:rPr>
      <w:rFonts w:ascii="Arial" w:eastAsia="Times New Roman" w:hAnsi="Arial" w:cs="Times New Roman"/>
      <w:sz w:val="20"/>
      <w:szCs w:val="20"/>
      <w:lang w:val="pl-PL" w:eastAsia="pl-PL"/>
    </w:rPr>
  </w:style>
  <w:style w:type="paragraph" w:customStyle="1" w:styleId="CaracterCharCharCaracterCharCharCaracterCaracter1">
    <w:name w:val="Caracter Char Char Caracter Char Char Caracter Caracter1"/>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har23">
    <w:name w:val="Char23"/>
    <w:basedOn w:val="Normal"/>
    <w:qFormat/>
    <w:rsid w:val="007257E3"/>
    <w:pPr>
      <w:widowControl w:val="0"/>
      <w:tabs>
        <w:tab w:val="left" w:pos="709"/>
      </w:tabs>
      <w:adjustRightInd w:val="0"/>
      <w:spacing w:line="240" w:lineRule="auto"/>
      <w:jc w:val="both"/>
    </w:pPr>
    <w:rPr>
      <w:rFonts w:ascii="Tahoma" w:eastAsia="Times New Roman" w:hAnsi="Tahoma" w:cs="Times New Roman"/>
      <w:sz w:val="24"/>
      <w:szCs w:val="24"/>
      <w:lang w:val="pl-PL" w:eastAsia="pl-PL"/>
    </w:rPr>
  </w:style>
  <w:style w:type="paragraph" w:customStyle="1" w:styleId="CharCharCaracterCharCaracter1">
    <w:name w:val="Char Char Caracter Char Caracter1"/>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CharCaracter1">
    <w:name w:val="Caracter Char Caracter1"/>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1">
    <w:name w:val="Caracter Char Char Caracter Char Char Caracter1"/>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CharCharCaracterCharCharCaracterCharCaracterCharCharChar1">
    <w:name w:val="Caracter Char Char Caracter Char Char Caracter Char Char Caracter Char Char Caracter Char Caracter Char Char Char1"/>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harChar13CaracterCaracterCharChar1">
    <w:name w:val="Char Char13 Caracter Caracter Char Char1"/>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harChar311">
    <w:name w:val="Char Char311"/>
    <w:basedOn w:val="Normal"/>
    <w:semiHidden/>
    <w:qFormat/>
    <w:rsid w:val="007257E3"/>
    <w:pPr>
      <w:spacing w:line="240" w:lineRule="auto"/>
      <w:jc w:val="both"/>
    </w:pPr>
    <w:rPr>
      <w:rFonts w:ascii="Times New Roman" w:eastAsia="Times New Roman" w:hAnsi="Times New Roman" w:cs="Times New Roman"/>
      <w:sz w:val="24"/>
      <w:szCs w:val="24"/>
      <w:lang w:val="pl-PL" w:eastAsia="pl-PL"/>
    </w:rPr>
  </w:style>
  <w:style w:type="character" w:customStyle="1" w:styleId="NormalBold-emphasiseChar">
    <w:name w:val="Normal Bold - emphasise Char"/>
    <w:link w:val="NormalBold-emphasise"/>
    <w:locked/>
    <w:rsid w:val="007257E3"/>
    <w:rPr>
      <w:b/>
    </w:rPr>
  </w:style>
  <w:style w:type="paragraph" w:customStyle="1" w:styleId="NormalBold-emphasise">
    <w:name w:val="Normal Bold - emphasise"/>
    <w:basedOn w:val="Normal"/>
    <w:link w:val="NormalBold-emphasiseChar"/>
    <w:qFormat/>
    <w:rsid w:val="007257E3"/>
    <w:pPr>
      <w:spacing w:before="120" w:after="120" w:line="240" w:lineRule="auto"/>
      <w:jc w:val="both"/>
    </w:pPr>
    <w:rPr>
      <w:b/>
      <w:lang w:val="da-DK"/>
    </w:rPr>
  </w:style>
  <w:style w:type="paragraph" w:customStyle="1" w:styleId="displayfirstversion">
    <w:name w:val="display_first_version"/>
    <w:basedOn w:val="Normal"/>
    <w:qFormat/>
    <w:rsid w:val="007257E3"/>
    <w:pPr>
      <w:spacing w:before="100" w:beforeAutospacing="1" w:after="100" w:afterAutospacing="1" w:line="240" w:lineRule="auto"/>
      <w:jc w:val="both"/>
    </w:pPr>
    <w:rPr>
      <w:rFonts w:ascii="Times New Roman" w:eastAsia="Times New Roman" w:hAnsi="Times New Roman" w:cs="Times New Roman"/>
      <w:vanish/>
      <w:sz w:val="24"/>
      <w:szCs w:val="24"/>
      <w:lang w:val="en-GB" w:eastAsia="en-GB"/>
    </w:rPr>
  </w:style>
  <w:style w:type="paragraph" w:customStyle="1" w:styleId="document-note">
    <w:name w:val="document-note"/>
    <w:basedOn w:val="Normal"/>
    <w:qFormat/>
    <w:rsid w:val="007257E3"/>
    <w:pPr>
      <w:pBdr>
        <w:top w:val="single" w:sz="18" w:space="0" w:color="CCCCCC"/>
        <w:left w:val="single" w:sz="18" w:space="0" w:color="CCCCCC"/>
        <w:bottom w:val="single" w:sz="18" w:space="0" w:color="CCCCCC"/>
        <w:right w:val="single" w:sz="18" w:space="0" w:color="CCCCCC"/>
      </w:pBdr>
      <w:shd w:val="clear" w:color="auto" w:fill="FFFFFF"/>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law">
    <w:name w:val="law"/>
    <w:basedOn w:val="Normal"/>
    <w:qFormat/>
    <w:rsid w:val="007257E3"/>
    <w:pPr>
      <w:spacing w:before="100" w:beforeAutospacing="1" w:after="100" w:afterAutospacing="1" w:line="345" w:lineRule="atLeast"/>
      <w:jc w:val="both"/>
    </w:pPr>
    <w:rPr>
      <w:rFonts w:ascii="Arial" w:eastAsia="Times New Roman" w:hAnsi="Arial" w:cs="Arial"/>
      <w:color w:val="333333"/>
      <w:sz w:val="21"/>
      <w:szCs w:val="21"/>
      <w:lang w:val="en-GB" w:eastAsia="en-GB"/>
    </w:rPr>
  </w:style>
  <w:style w:type="paragraph" w:customStyle="1" w:styleId="js-calendar">
    <w:name w:val="js-calendar"/>
    <w:basedOn w:val="Normal"/>
    <w:qFormat/>
    <w:rsid w:val="007257E3"/>
    <w:pPr>
      <w:spacing w:before="45" w:after="45" w:line="240" w:lineRule="auto"/>
      <w:ind w:left="45" w:right="45"/>
      <w:jc w:val="both"/>
    </w:pPr>
    <w:rPr>
      <w:rFonts w:ascii="Times New Roman" w:eastAsia="Times New Roman" w:hAnsi="Times New Roman" w:cs="Times New Roman"/>
      <w:b/>
      <w:bCs/>
      <w:color w:val="008000"/>
      <w:sz w:val="24"/>
      <w:szCs w:val="24"/>
      <w:lang w:val="en-GB" w:eastAsia="en-GB"/>
    </w:rPr>
  </w:style>
  <w:style w:type="paragraph" w:customStyle="1" w:styleId="pdffooter">
    <w:name w:val="pdf_footer"/>
    <w:basedOn w:val="Normal"/>
    <w:qFormat/>
    <w:rsid w:val="007257E3"/>
    <w:pPr>
      <w:spacing w:before="100" w:beforeAutospacing="1" w:after="100" w:afterAutospacing="1" w:line="240" w:lineRule="auto"/>
      <w:jc w:val="both"/>
    </w:pPr>
    <w:rPr>
      <w:rFonts w:ascii="Arial" w:eastAsia="Times New Roman" w:hAnsi="Arial" w:cs="Arial"/>
      <w:sz w:val="14"/>
      <w:szCs w:val="14"/>
      <w:lang w:val="en-GB" w:eastAsia="en-GB"/>
    </w:rPr>
  </w:style>
  <w:style w:type="paragraph" w:customStyle="1" w:styleId="notablewrapper">
    <w:name w:val="notablewrapper"/>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dateuntil">
    <w:name w:val="date_until"/>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jumptoart">
    <w:name w:val="jump_to_art"/>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quoted">
    <w:name w:val="quoted"/>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s2">
    <w:name w:val="s_2"/>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ac">
    <w:name w:val="a_c"/>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ar">
    <w:name w:val="a_r"/>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document-notetitle">
    <w:name w:val="document-note_title"/>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isapplied">
    <w:name w:val="is_applied"/>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addtotree">
    <w:name w:val="addtotree"/>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t45">
    <w:name w:val="t_45"/>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t46">
    <w:name w:val="t_46"/>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smallgray">
    <w:name w:val="small_gray"/>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sharedlist">
    <w:name w:val="shared_list"/>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waitapprove">
    <w:name w:val="wait_approve"/>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document-noterate">
    <w:name w:val="document-note_rate"/>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js-nomenclature-expand">
    <w:name w:val="js-nomenclature-expand"/>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open">
    <w:name w:val="open"/>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btnclose">
    <w:name w:val="btn_close"/>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nomenclature-content">
    <w:name w:val="nomenclature-content"/>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notablewrapper1">
    <w:name w:val="notablewrapper1"/>
    <w:basedOn w:val="Normal"/>
    <w:qFormat/>
    <w:rsid w:val="007257E3"/>
    <w:pPr>
      <w:spacing w:line="240" w:lineRule="auto"/>
      <w:jc w:val="both"/>
    </w:pPr>
    <w:rPr>
      <w:rFonts w:ascii="Times New Roman" w:eastAsia="Times New Roman" w:hAnsi="Times New Roman" w:cs="Times New Roman"/>
      <w:sz w:val="24"/>
      <w:szCs w:val="24"/>
      <w:lang w:val="en-GB" w:eastAsia="en-GB"/>
    </w:rPr>
  </w:style>
  <w:style w:type="paragraph" w:customStyle="1" w:styleId="dateuntil1">
    <w:name w:val="date_until1"/>
    <w:basedOn w:val="Normal"/>
    <w:qFormat/>
    <w:rsid w:val="007257E3"/>
    <w:pPr>
      <w:spacing w:after="150" w:line="240" w:lineRule="auto"/>
      <w:jc w:val="both"/>
    </w:pPr>
    <w:rPr>
      <w:rFonts w:ascii="Times New Roman" w:eastAsia="Times New Roman" w:hAnsi="Times New Roman" w:cs="Times New Roman"/>
      <w:lang w:val="en-GB" w:eastAsia="en-GB"/>
    </w:rPr>
  </w:style>
  <w:style w:type="paragraph" w:customStyle="1" w:styleId="jumptoart1">
    <w:name w:val="jump_to_art1"/>
    <w:basedOn w:val="Normal"/>
    <w:qFormat/>
    <w:rsid w:val="007257E3"/>
    <w:pPr>
      <w:spacing w:line="240" w:lineRule="auto"/>
      <w:jc w:val="both"/>
    </w:pPr>
    <w:rPr>
      <w:rFonts w:ascii="Times New Roman" w:eastAsia="Times New Roman" w:hAnsi="Times New Roman" w:cs="Times New Roman"/>
      <w:vanish/>
      <w:sz w:val="24"/>
      <w:szCs w:val="24"/>
      <w:lang w:val="en-GB" w:eastAsia="en-GB"/>
    </w:rPr>
  </w:style>
  <w:style w:type="paragraph" w:customStyle="1" w:styleId="quoted1">
    <w:name w:val="quoted1"/>
    <w:basedOn w:val="Normal"/>
    <w:qFormat/>
    <w:rsid w:val="007257E3"/>
    <w:pPr>
      <w:spacing w:line="240" w:lineRule="auto"/>
      <w:jc w:val="both"/>
    </w:pPr>
    <w:rPr>
      <w:rFonts w:ascii="Times New Roman" w:eastAsia="Times New Roman" w:hAnsi="Times New Roman" w:cs="Times New Roman"/>
      <w:i/>
      <w:iCs/>
      <w:sz w:val="24"/>
      <w:szCs w:val="24"/>
      <w:lang w:val="en-GB" w:eastAsia="en-GB"/>
    </w:rPr>
  </w:style>
  <w:style w:type="paragraph" w:customStyle="1" w:styleId="s21">
    <w:name w:val="s_21"/>
    <w:basedOn w:val="Normal"/>
    <w:qFormat/>
    <w:rsid w:val="007257E3"/>
    <w:pPr>
      <w:spacing w:after="300" w:line="240" w:lineRule="auto"/>
      <w:jc w:val="both"/>
    </w:pPr>
    <w:rPr>
      <w:rFonts w:ascii="Times New Roman" w:eastAsia="Times New Roman" w:hAnsi="Times New Roman" w:cs="Times New Roman"/>
      <w:sz w:val="24"/>
      <w:szCs w:val="24"/>
      <w:lang w:val="en-GB" w:eastAsia="en-GB"/>
    </w:rPr>
  </w:style>
  <w:style w:type="paragraph" w:customStyle="1" w:styleId="ac1">
    <w:name w:val="a_c1"/>
    <w:basedOn w:val="Normal"/>
    <w:qFormat/>
    <w:rsid w:val="007257E3"/>
    <w:pPr>
      <w:spacing w:line="240" w:lineRule="auto"/>
      <w:jc w:val="center"/>
    </w:pPr>
    <w:rPr>
      <w:rFonts w:ascii="Times New Roman" w:eastAsia="Times New Roman" w:hAnsi="Times New Roman" w:cs="Times New Roman"/>
      <w:sz w:val="24"/>
      <w:szCs w:val="24"/>
      <w:lang w:val="en-GB" w:eastAsia="en-GB"/>
    </w:rPr>
  </w:style>
  <w:style w:type="paragraph" w:customStyle="1" w:styleId="ar1">
    <w:name w:val="a_r1"/>
    <w:basedOn w:val="Normal"/>
    <w:qFormat/>
    <w:rsid w:val="007257E3"/>
    <w:pPr>
      <w:spacing w:line="240" w:lineRule="auto"/>
      <w:jc w:val="right"/>
    </w:pPr>
    <w:rPr>
      <w:rFonts w:ascii="Times New Roman" w:eastAsia="Times New Roman" w:hAnsi="Times New Roman" w:cs="Times New Roman"/>
      <w:sz w:val="24"/>
      <w:szCs w:val="24"/>
      <w:lang w:val="en-GB" w:eastAsia="en-GB"/>
    </w:rPr>
  </w:style>
  <w:style w:type="paragraph" w:customStyle="1" w:styleId="document-note1">
    <w:name w:val="document-note1"/>
    <w:basedOn w:val="Normal"/>
    <w:qFormat/>
    <w:rsid w:val="007257E3"/>
    <w:pPr>
      <w:pBdr>
        <w:top w:val="single" w:sz="12" w:space="4" w:color="FFEE58"/>
        <w:left w:val="single" w:sz="12" w:space="8" w:color="FFEE58"/>
        <w:bottom w:val="single" w:sz="12" w:space="4" w:color="FFEE58"/>
        <w:right w:val="single" w:sz="12" w:space="8" w:color="FFEE58"/>
      </w:pBdr>
      <w:shd w:val="clear" w:color="auto" w:fill="FFFFFF"/>
      <w:spacing w:before="75" w:after="75" w:line="240" w:lineRule="auto"/>
      <w:jc w:val="both"/>
    </w:pPr>
    <w:rPr>
      <w:rFonts w:ascii="Times New Roman" w:eastAsia="Times New Roman" w:hAnsi="Times New Roman" w:cs="Times New Roman"/>
      <w:lang w:val="en-GB" w:eastAsia="en-GB"/>
    </w:rPr>
  </w:style>
  <w:style w:type="paragraph" w:customStyle="1" w:styleId="smallgray1">
    <w:name w:val="small_gray1"/>
    <w:basedOn w:val="Normal"/>
    <w:qFormat/>
    <w:rsid w:val="007257E3"/>
    <w:pPr>
      <w:spacing w:line="240" w:lineRule="auto"/>
      <w:jc w:val="both"/>
    </w:pPr>
    <w:rPr>
      <w:rFonts w:ascii="Times New Roman" w:eastAsia="Times New Roman" w:hAnsi="Times New Roman" w:cs="Times New Roman"/>
      <w:color w:val="999999"/>
      <w:sz w:val="17"/>
      <w:szCs w:val="17"/>
      <w:lang w:val="en-GB" w:eastAsia="en-GB"/>
    </w:rPr>
  </w:style>
  <w:style w:type="paragraph" w:customStyle="1" w:styleId="sharedlist1">
    <w:name w:val="shared_list1"/>
    <w:basedOn w:val="Normal"/>
    <w:qFormat/>
    <w:rsid w:val="007257E3"/>
    <w:pPr>
      <w:spacing w:line="240" w:lineRule="auto"/>
      <w:jc w:val="both"/>
    </w:pPr>
    <w:rPr>
      <w:rFonts w:ascii="Times New Roman" w:eastAsia="Times New Roman" w:hAnsi="Times New Roman" w:cs="Times New Roman"/>
      <w:vanish/>
      <w:sz w:val="24"/>
      <w:szCs w:val="24"/>
      <w:lang w:val="en-GB" w:eastAsia="en-GB"/>
    </w:rPr>
  </w:style>
  <w:style w:type="paragraph" w:customStyle="1" w:styleId="waitapprove1">
    <w:name w:val="wait_approve1"/>
    <w:basedOn w:val="Normal"/>
    <w:qFormat/>
    <w:rsid w:val="007257E3"/>
    <w:pPr>
      <w:spacing w:line="240" w:lineRule="auto"/>
      <w:jc w:val="both"/>
    </w:pPr>
    <w:rPr>
      <w:rFonts w:ascii="Times New Roman" w:eastAsia="Times New Roman" w:hAnsi="Times New Roman" w:cs="Times New Roman"/>
      <w:vanish/>
      <w:sz w:val="24"/>
      <w:szCs w:val="24"/>
      <w:lang w:val="en-GB" w:eastAsia="en-GB"/>
    </w:rPr>
  </w:style>
  <w:style w:type="paragraph" w:customStyle="1" w:styleId="document-noterate1">
    <w:name w:val="document-note_rate1"/>
    <w:basedOn w:val="Normal"/>
    <w:qFormat/>
    <w:rsid w:val="007257E3"/>
    <w:pPr>
      <w:spacing w:line="240" w:lineRule="auto"/>
      <w:jc w:val="both"/>
    </w:pPr>
    <w:rPr>
      <w:rFonts w:ascii="Times New Roman" w:eastAsia="Times New Roman" w:hAnsi="Times New Roman" w:cs="Times New Roman"/>
      <w:vanish/>
      <w:sz w:val="24"/>
      <w:szCs w:val="24"/>
      <w:lang w:val="en-GB" w:eastAsia="en-GB"/>
    </w:rPr>
  </w:style>
  <w:style w:type="paragraph" w:customStyle="1" w:styleId="document-notetitle1">
    <w:name w:val="document-note_title1"/>
    <w:basedOn w:val="Normal"/>
    <w:qFormat/>
    <w:rsid w:val="007257E3"/>
    <w:pPr>
      <w:spacing w:line="240" w:lineRule="auto"/>
      <w:jc w:val="both"/>
    </w:pPr>
    <w:rPr>
      <w:rFonts w:ascii="Times New Roman" w:eastAsia="Times New Roman" w:hAnsi="Times New Roman" w:cs="Times New Roman"/>
      <w:b/>
      <w:bCs/>
      <w:sz w:val="24"/>
      <w:szCs w:val="24"/>
      <w:lang w:val="en-GB" w:eastAsia="en-GB"/>
    </w:rPr>
  </w:style>
  <w:style w:type="paragraph" w:customStyle="1" w:styleId="js-nomenclature-expand1">
    <w:name w:val="js-nomenclature-expand1"/>
    <w:basedOn w:val="Normal"/>
    <w:qFormat/>
    <w:rsid w:val="007257E3"/>
    <w:pPr>
      <w:spacing w:line="240" w:lineRule="auto"/>
      <w:jc w:val="both"/>
    </w:pPr>
    <w:rPr>
      <w:rFonts w:ascii="Times New Roman" w:eastAsia="Times New Roman" w:hAnsi="Times New Roman" w:cs="Times New Roman"/>
      <w:sz w:val="24"/>
      <w:szCs w:val="24"/>
      <w:u w:val="single"/>
      <w:lang w:val="en-GB" w:eastAsia="en-GB"/>
    </w:rPr>
  </w:style>
  <w:style w:type="paragraph" w:customStyle="1" w:styleId="isapplied1">
    <w:name w:val="is_applied1"/>
    <w:basedOn w:val="Normal"/>
    <w:qFormat/>
    <w:rsid w:val="007257E3"/>
    <w:pPr>
      <w:spacing w:line="240" w:lineRule="auto"/>
      <w:jc w:val="both"/>
    </w:pPr>
    <w:rPr>
      <w:rFonts w:ascii="Times New Roman" w:eastAsia="Times New Roman" w:hAnsi="Times New Roman" w:cs="Times New Roman"/>
      <w:sz w:val="24"/>
      <w:szCs w:val="24"/>
      <w:lang w:val="en-GB" w:eastAsia="en-GB"/>
    </w:rPr>
  </w:style>
  <w:style w:type="paragraph" w:customStyle="1" w:styleId="open1">
    <w:name w:val="open1"/>
    <w:basedOn w:val="Normal"/>
    <w:qFormat/>
    <w:rsid w:val="007257E3"/>
    <w:pPr>
      <w:spacing w:line="240" w:lineRule="auto"/>
      <w:jc w:val="both"/>
    </w:pPr>
    <w:rPr>
      <w:rFonts w:ascii="Times New Roman" w:eastAsia="Times New Roman" w:hAnsi="Times New Roman" w:cs="Times New Roman"/>
      <w:sz w:val="24"/>
      <w:szCs w:val="24"/>
      <w:lang w:val="en-GB" w:eastAsia="en-GB"/>
    </w:rPr>
  </w:style>
  <w:style w:type="paragraph" w:customStyle="1" w:styleId="document-notetitle2">
    <w:name w:val="document-note_title2"/>
    <w:basedOn w:val="Normal"/>
    <w:qFormat/>
    <w:rsid w:val="007257E3"/>
    <w:pPr>
      <w:spacing w:line="240" w:lineRule="auto"/>
      <w:ind w:left="300"/>
      <w:jc w:val="both"/>
    </w:pPr>
    <w:rPr>
      <w:rFonts w:ascii="Times New Roman" w:eastAsia="Times New Roman" w:hAnsi="Times New Roman" w:cs="Times New Roman"/>
      <w:b/>
      <w:bCs/>
      <w:sz w:val="24"/>
      <w:szCs w:val="24"/>
      <w:lang w:val="en-GB" w:eastAsia="en-GB"/>
    </w:rPr>
  </w:style>
  <w:style w:type="paragraph" w:customStyle="1" w:styleId="btnclose1">
    <w:name w:val="btn_close1"/>
    <w:basedOn w:val="Normal"/>
    <w:qFormat/>
    <w:rsid w:val="007257E3"/>
    <w:pPr>
      <w:spacing w:line="240" w:lineRule="auto"/>
      <w:ind w:hanging="18913"/>
      <w:jc w:val="both"/>
    </w:pPr>
    <w:rPr>
      <w:rFonts w:ascii="Times New Roman" w:eastAsia="Times New Roman" w:hAnsi="Times New Roman" w:cs="Times New Roman"/>
      <w:vanish/>
      <w:sz w:val="24"/>
      <w:szCs w:val="24"/>
      <w:lang w:val="en-GB" w:eastAsia="en-GB"/>
    </w:rPr>
  </w:style>
  <w:style w:type="paragraph" w:customStyle="1" w:styleId="nomenclature-content1">
    <w:name w:val="nomenclature-content1"/>
    <w:basedOn w:val="Normal"/>
    <w:qFormat/>
    <w:rsid w:val="007257E3"/>
    <w:pPr>
      <w:pBdr>
        <w:top w:val="single" w:sz="18" w:space="8" w:color="FFA64D"/>
        <w:left w:val="single" w:sz="18" w:space="8" w:color="FFA64D"/>
        <w:bottom w:val="single" w:sz="18" w:space="8" w:color="FFA64D"/>
        <w:right w:val="single" w:sz="18" w:space="8" w:color="FFA64D"/>
      </w:pBdr>
      <w:spacing w:before="150" w:line="240" w:lineRule="auto"/>
      <w:jc w:val="both"/>
    </w:pPr>
    <w:rPr>
      <w:rFonts w:ascii="Times New Roman" w:eastAsia="Times New Roman" w:hAnsi="Times New Roman" w:cs="Times New Roman"/>
      <w:vanish/>
      <w:sz w:val="24"/>
      <w:szCs w:val="24"/>
      <w:lang w:val="en-GB" w:eastAsia="en-GB"/>
    </w:rPr>
  </w:style>
  <w:style w:type="paragraph" w:customStyle="1" w:styleId="t451">
    <w:name w:val="t_451"/>
    <w:basedOn w:val="Normal"/>
    <w:qFormat/>
    <w:rsid w:val="007257E3"/>
    <w:pPr>
      <w:spacing w:before="150" w:line="240" w:lineRule="auto"/>
      <w:jc w:val="both"/>
    </w:pPr>
    <w:rPr>
      <w:rFonts w:ascii="Times New Roman" w:eastAsia="Times New Roman" w:hAnsi="Times New Roman" w:cs="Times New Roman"/>
      <w:i/>
      <w:iCs/>
      <w:sz w:val="24"/>
      <w:szCs w:val="24"/>
      <w:lang w:val="en-GB" w:eastAsia="en-GB"/>
    </w:rPr>
  </w:style>
  <w:style w:type="paragraph" w:customStyle="1" w:styleId="t461">
    <w:name w:val="t_461"/>
    <w:basedOn w:val="Normal"/>
    <w:qFormat/>
    <w:rsid w:val="007257E3"/>
    <w:pPr>
      <w:spacing w:line="240" w:lineRule="auto"/>
      <w:jc w:val="both"/>
    </w:pPr>
    <w:rPr>
      <w:rFonts w:ascii="Times New Roman" w:eastAsia="Times New Roman" w:hAnsi="Times New Roman" w:cs="Times New Roman"/>
      <w:sz w:val="24"/>
      <w:szCs w:val="24"/>
      <w:lang w:val="en-GB" w:eastAsia="en-GB"/>
    </w:rPr>
  </w:style>
  <w:style w:type="paragraph" w:customStyle="1" w:styleId="addtotree1">
    <w:name w:val="addtotree1"/>
    <w:basedOn w:val="Normal"/>
    <w:qFormat/>
    <w:rsid w:val="007257E3"/>
    <w:pPr>
      <w:spacing w:after="300" w:line="240" w:lineRule="auto"/>
      <w:jc w:val="both"/>
    </w:pPr>
    <w:rPr>
      <w:rFonts w:ascii="Times New Roman" w:eastAsia="Times New Roman" w:hAnsi="Times New Roman" w:cs="Times New Roman"/>
      <w:sz w:val="24"/>
      <w:szCs w:val="24"/>
      <w:lang w:val="en-GB" w:eastAsia="en-GB"/>
    </w:rPr>
  </w:style>
  <w:style w:type="paragraph" w:customStyle="1" w:styleId="CharCharCharCharCaracter">
    <w:name w:val="Char Char Char Char Caracter"/>
    <w:basedOn w:val="Normal"/>
    <w:qFormat/>
    <w:rsid w:val="007257E3"/>
    <w:pPr>
      <w:spacing w:line="360" w:lineRule="auto"/>
      <w:ind w:firstLine="720"/>
      <w:jc w:val="both"/>
    </w:pPr>
    <w:rPr>
      <w:rFonts w:eastAsia="Times New Roman" w:cs="Times New Roman"/>
      <w:szCs w:val="24"/>
      <w:lang w:val="pl-PL" w:eastAsia="pl-PL"/>
    </w:rPr>
  </w:style>
  <w:style w:type="paragraph" w:customStyle="1" w:styleId="normaltext0">
    <w:name w:val="normaltext"/>
    <w:qFormat/>
    <w:rsid w:val="007257E3"/>
    <w:pPr>
      <w:autoSpaceDE w:val="0"/>
      <w:autoSpaceDN w:val="0"/>
      <w:spacing w:line="240" w:lineRule="auto"/>
    </w:pPr>
    <w:rPr>
      <w:rFonts w:ascii="System" w:eastAsia="Times New Roman" w:hAnsi="System" w:cs="Times New Roman"/>
      <w:sz w:val="24"/>
      <w:szCs w:val="24"/>
      <w:lang w:val="en-US"/>
    </w:rPr>
  </w:style>
  <w:style w:type="paragraph" w:customStyle="1" w:styleId="style0">
    <w:name w:val="style0"/>
    <w:basedOn w:val="Normal"/>
    <w:qFormat/>
    <w:rsid w:val="007257E3"/>
    <w:pPr>
      <w:spacing w:before="100" w:beforeAutospacing="1" w:after="100" w:afterAutospacing="1" w:line="240" w:lineRule="auto"/>
      <w:jc w:val="both"/>
    </w:pPr>
    <w:rPr>
      <w:rFonts w:ascii="Times New Roman" w:eastAsia="Times New Roman" w:hAnsi="Times New Roman" w:cs="Times New Roman"/>
      <w:szCs w:val="24"/>
      <w:lang w:val="en-US"/>
    </w:rPr>
  </w:style>
  <w:style w:type="paragraph" w:customStyle="1" w:styleId="CM67">
    <w:name w:val="CM67"/>
    <w:basedOn w:val="Normal"/>
    <w:next w:val="Normal"/>
    <w:qFormat/>
    <w:rsid w:val="007257E3"/>
    <w:pPr>
      <w:widowControl w:val="0"/>
      <w:autoSpaceDE w:val="0"/>
      <w:autoSpaceDN w:val="0"/>
      <w:adjustRightInd w:val="0"/>
      <w:spacing w:line="240" w:lineRule="auto"/>
      <w:jc w:val="both"/>
    </w:pPr>
    <w:rPr>
      <w:rFonts w:ascii="Times New Roman" w:eastAsia="Times New Roman" w:hAnsi="Times New Roman" w:cs="Times New Roman"/>
      <w:szCs w:val="24"/>
      <w:lang w:val="en-US"/>
    </w:rPr>
  </w:style>
  <w:style w:type="paragraph" w:customStyle="1" w:styleId="CM21">
    <w:name w:val="CM21"/>
    <w:basedOn w:val="Normal"/>
    <w:next w:val="Normal"/>
    <w:qFormat/>
    <w:rsid w:val="007257E3"/>
    <w:pPr>
      <w:widowControl w:val="0"/>
      <w:autoSpaceDE w:val="0"/>
      <w:autoSpaceDN w:val="0"/>
      <w:adjustRightInd w:val="0"/>
      <w:spacing w:line="323" w:lineRule="atLeast"/>
      <w:jc w:val="both"/>
    </w:pPr>
    <w:rPr>
      <w:rFonts w:ascii="Times New Roman" w:eastAsia="Times New Roman" w:hAnsi="Times New Roman" w:cs="Times New Roman"/>
      <w:szCs w:val="24"/>
      <w:lang w:val="en-US"/>
    </w:rPr>
  </w:style>
  <w:style w:type="paragraph" w:customStyle="1" w:styleId="CM63">
    <w:name w:val="CM63"/>
    <w:basedOn w:val="Default"/>
    <w:next w:val="Default"/>
    <w:qFormat/>
    <w:rsid w:val="007257E3"/>
    <w:pPr>
      <w:widowControl w:val="0"/>
      <w:spacing w:after="0" w:line="240" w:lineRule="auto"/>
    </w:pPr>
    <w:rPr>
      <w:rFonts w:ascii="Helvetica" w:hAnsi="Helvetica" w:cs="Times New Roman"/>
      <w:color w:val="auto"/>
    </w:rPr>
  </w:style>
  <w:style w:type="paragraph" w:customStyle="1" w:styleId="CM68">
    <w:name w:val="CM68"/>
    <w:basedOn w:val="Default"/>
    <w:next w:val="Default"/>
    <w:qFormat/>
    <w:rsid w:val="007257E3"/>
    <w:pPr>
      <w:widowControl w:val="0"/>
      <w:spacing w:after="0" w:line="240" w:lineRule="auto"/>
    </w:pPr>
    <w:rPr>
      <w:rFonts w:ascii="Helvetica" w:hAnsi="Helvetica" w:cs="Times New Roman"/>
      <w:color w:val="auto"/>
    </w:rPr>
  </w:style>
  <w:style w:type="paragraph" w:customStyle="1" w:styleId="CM72">
    <w:name w:val="CM72"/>
    <w:basedOn w:val="Default"/>
    <w:next w:val="Default"/>
    <w:qFormat/>
    <w:rsid w:val="007257E3"/>
    <w:pPr>
      <w:widowControl w:val="0"/>
      <w:spacing w:after="0" w:line="240" w:lineRule="auto"/>
    </w:pPr>
    <w:rPr>
      <w:rFonts w:ascii="Helvetica" w:hAnsi="Helvetica" w:cs="Times New Roman"/>
      <w:color w:val="auto"/>
    </w:rPr>
  </w:style>
  <w:style w:type="paragraph" w:customStyle="1" w:styleId="CM38">
    <w:name w:val="CM38"/>
    <w:basedOn w:val="Default"/>
    <w:next w:val="Default"/>
    <w:qFormat/>
    <w:rsid w:val="007257E3"/>
    <w:pPr>
      <w:widowControl w:val="0"/>
      <w:spacing w:after="0" w:line="278" w:lineRule="atLeast"/>
    </w:pPr>
    <w:rPr>
      <w:rFonts w:ascii="Helvetica" w:hAnsi="Helvetica" w:cs="Times New Roman"/>
      <w:color w:val="auto"/>
    </w:rPr>
  </w:style>
  <w:style w:type="paragraph" w:customStyle="1" w:styleId="CM39">
    <w:name w:val="CM39"/>
    <w:basedOn w:val="Default"/>
    <w:next w:val="Default"/>
    <w:qFormat/>
    <w:rsid w:val="007257E3"/>
    <w:pPr>
      <w:widowControl w:val="0"/>
      <w:spacing w:after="0" w:line="276" w:lineRule="atLeast"/>
    </w:pPr>
    <w:rPr>
      <w:rFonts w:ascii="Helvetica" w:hAnsi="Helvetica" w:cs="Times New Roman"/>
      <w:color w:val="auto"/>
    </w:rPr>
  </w:style>
  <w:style w:type="paragraph" w:customStyle="1" w:styleId="CM32">
    <w:name w:val="CM32"/>
    <w:basedOn w:val="Default"/>
    <w:next w:val="Default"/>
    <w:qFormat/>
    <w:rsid w:val="007257E3"/>
    <w:pPr>
      <w:widowControl w:val="0"/>
      <w:spacing w:after="0" w:line="276" w:lineRule="atLeast"/>
    </w:pPr>
    <w:rPr>
      <w:rFonts w:ascii="Helvetica" w:hAnsi="Helvetica" w:cs="Times New Roman"/>
      <w:color w:val="auto"/>
    </w:rPr>
  </w:style>
  <w:style w:type="paragraph" w:customStyle="1" w:styleId="Indentcorptext21">
    <w:name w:val="Indent corp text 21"/>
    <w:basedOn w:val="Normal"/>
    <w:qFormat/>
    <w:rsid w:val="007257E3"/>
    <w:pPr>
      <w:suppressAutoHyphens/>
      <w:spacing w:after="120" w:line="480" w:lineRule="auto"/>
      <w:ind w:left="360"/>
      <w:jc w:val="both"/>
    </w:pPr>
    <w:rPr>
      <w:rFonts w:ascii="Times New Roman" w:eastAsia="Times New Roman" w:hAnsi="Times New Roman" w:cs="Times New Roman"/>
      <w:szCs w:val="20"/>
      <w:lang w:eastAsia="ar-SA"/>
    </w:rPr>
  </w:style>
  <w:style w:type="paragraph" w:customStyle="1" w:styleId="Indentcorptext31">
    <w:name w:val="Indent corp text 31"/>
    <w:basedOn w:val="Normal"/>
    <w:qFormat/>
    <w:rsid w:val="007257E3"/>
    <w:pPr>
      <w:widowControl w:val="0"/>
      <w:suppressAutoHyphens/>
      <w:spacing w:line="300" w:lineRule="auto"/>
      <w:ind w:firstLine="720"/>
      <w:jc w:val="both"/>
    </w:pPr>
    <w:rPr>
      <w:rFonts w:ascii="Times-Ro" w:eastAsia="Lucida Sans Unicode" w:hAnsi="Times-Ro" w:cs="Times New Roman"/>
      <w:color w:val="FF0000"/>
      <w:sz w:val="28"/>
      <w:szCs w:val="24"/>
      <w:lang w:val="en-US" w:eastAsia="ar-SA"/>
    </w:rPr>
  </w:style>
  <w:style w:type="paragraph" w:customStyle="1" w:styleId="Corptext21">
    <w:name w:val="Corp text 21"/>
    <w:basedOn w:val="Normal"/>
    <w:qFormat/>
    <w:rsid w:val="007257E3"/>
    <w:pPr>
      <w:suppressAutoHyphens/>
      <w:spacing w:after="120" w:line="480" w:lineRule="auto"/>
      <w:jc w:val="both"/>
    </w:pPr>
    <w:rPr>
      <w:rFonts w:ascii="Times New Roman" w:eastAsia="Times New Roman" w:hAnsi="Times New Roman" w:cs="Times New Roman"/>
      <w:szCs w:val="20"/>
      <w:lang w:eastAsia="ar-SA"/>
    </w:rPr>
  </w:style>
  <w:style w:type="paragraph" w:customStyle="1" w:styleId="StyleHeading212ptJustifiedFirstline127cmBefore">
    <w:name w:val="Style Heading 2 + 12 pt Justified First line:  1.27 cm Before:  ..."/>
    <w:basedOn w:val="Heading2"/>
    <w:qFormat/>
    <w:rsid w:val="007257E3"/>
    <w:pPr>
      <w:keepLines w:val="0"/>
      <w:numPr>
        <w:ilvl w:val="0"/>
        <w:numId w:val="0"/>
      </w:numPr>
      <w:tabs>
        <w:tab w:val="num" w:pos="360"/>
      </w:tabs>
      <w:suppressAutoHyphens w:val="0"/>
      <w:spacing w:before="0" w:line="360" w:lineRule="auto"/>
      <w:ind w:left="360" w:hanging="360"/>
      <w:contextualSpacing w:val="0"/>
      <w:jc w:val="both"/>
    </w:pPr>
    <w:rPr>
      <w:rFonts w:ascii="Calibri" w:eastAsia="Times New Roman" w:hAnsi="Calibri" w:cs="Times New Roman"/>
      <w:b/>
      <w:iCs/>
      <w:sz w:val="22"/>
      <w:szCs w:val="22"/>
      <w:lang w:val="en-US"/>
    </w:rPr>
  </w:style>
  <w:style w:type="paragraph" w:customStyle="1" w:styleId="PUGBullet1">
    <w:name w:val="PUG Bullet1"/>
    <w:basedOn w:val="Indentcorptext21"/>
    <w:qFormat/>
    <w:rsid w:val="007257E3"/>
    <w:pPr>
      <w:widowControl w:val="0"/>
      <w:tabs>
        <w:tab w:val="left" w:pos="-1440"/>
        <w:tab w:val="num" w:pos="735"/>
      </w:tabs>
      <w:spacing w:after="0" w:line="360" w:lineRule="auto"/>
      <w:ind w:left="-10263"/>
    </w:pPr>
    <w:rPr>
      <w:rFonts w:ascii="Arial" w:eastAsia="Lucida Sans Unicode" w:hAnsi="Arial"/>
      <w:color w:val="008000"/>
      <w:sz w:val="20"/>
      <w:szCs w:val="24"/>
      <w:lang w:val="it-IT"/>
    </w:rPr>
  </w:style>
  <w:style w:type="paragraph" w:customStyle="1" w:styleId="CaracterCaracterCaracterCharCharCaracterCharCharCaracterCharCharCaracterCarCarCharCharCaracterCharCharCaracterCaracterCharCharChar">
    <w:name w:val="Caracter Caracter Caracter Char Char Caracter Char Char Caracter Char Char Caracter Car Car Char Char Caracter Char Char Caracter Caracter Char Char Char"/>
    <w:basedOn w:val="Normal"/>
    <w:qFormat/>
    <w:rsid w:val="007257E3"/>
    <w:pPr>
      <w:spacing w:line="240" w:lineRule="auto"/>
      <w:jc w:val="both"/>
    </w:pPr>
    <w:rPr>
      <w:rFonts w:ascii="Times New Roman" w:eastAsia="Times New Roman" w:hAnsi="Times New Roman" w:cs="Times New Roman"/>
      <w:szCs w:val="24"/>
      <w:lang w:val="pl-PL" w:eastAsia="pl-PL"/>
    </w:rPr>
  </w:style>
  <w:style w:type="paragraph" w:customStyle="1" w:styleId="CaracterCaracterCaracterCharCharCaracterCharCharCaracterCharCharCaracterCarCarCharCharCaracterCharCharCaracterCaracterCharCharCharCharCharChar">
    <w:name w:val="Caracter Caracter Caracter Char Char Caracter Char Char Caracter Char Char Caracter Car Car Char Char Caracter Char Char Caracter Caracter Char Char Char Char Char Char"/>
    <w:basedOn w:val="Normal"/>
    <w:qFormat/>
    <w:rsid w:val="007257E3"/>
    <w:pPr>
      <w:spacing w:line="240" w:lineRule="auto"/>
      <w:jc w:val="both"/>
    </w:pPr>
    <w:rPr>
      <w:rFonts w:ascii="Times New Roman" w:eastAsia="Times New Roman" w:hAnsi="Times New Roman" w:cs="Times New Roman"/>
      <w:szCs w:val="24"/>
      <w:lang w:val="pl-PL" w:eastAsia="pl-PL"/>
    </w:rPr>
  </w:style>
  <w:style w:type="paragraph" w:customStyle="1" w:styleId="Indentcorptext32">
    <w:name w:val="Indent corp text 32"/>
    <w:basedOn w:val="Normal"/>
    <w:qFormat/>
    <w:rsid w:val="007257E3"/>
    <w:pPr>
      <w:widowControl w:val="0"/>
      <w:suppressAutoHyphens/>
      <w:spacing w:line="240" w:lineRule="auto"/>
      <w:ind w:firstLine="720"/>
      <w:jc w:val="both"/>
    </w:pPr>
    <w:rPr>
      <w:rFonts w:eastAsia="Arial Unicode MS" w:cs="Arial"/>
      <w:kern w:val="2"/>
      <w:szCs w:val="24"/>
      <w:lang w:eastAsia="ro-RO"/>
    </w:rPr>
  </w:style>
  <w:style w:type="paragraph" w:customStyle="1" w:styleId="CaracterCaracter1Char1">
    <w:name w:val="Caracter Caracter1 Char1"/>
    <w:basedOn w:val="Normal"/>
    <w:qFormat/>
    <w:rsid w:val="007257E3"/>
    <w:pPr>
      <w:spacing w:line="240" w:lineRule="auto"/>
      <w:jc w:val="both"/>
    </w:pPr>
    <w:rPr>
      <w:rFonts w:ascii="Times New Roman" w:eastAsia="Times New Roman" w:hAnsi="Times New Roman" w:cs="Times New Roman"/>
      <w:szCs w:val="24"/>
      <w:lang w:val="pl-PL" w:eastAsia="pl-PL"/>
    </w:rPr>
  </w:style>
  <w:style w:type="paragraph" w:customStyle="1" w:styleId="CaracterCaracterCaracterCharCharCaracterCharCharCaracterCharCharCaracterCarCarCharCharCaracterCharCharCaracterCaracterChar">
    <w:name w:val="Caracter Caracter Caracter Char Char Caracter Char Char Caracter Char Char Caracter Car Car Char Char Caracter Char Char Caracter Caracter Char"/>
    <w:basedOn w:val="Normal"/>
    <w:qFormat/>
    <w:rsid w:val="007257E3"/>
    <w:pPr>
      <w:spacing w:line="240" w:lineRule="auto"/>
      <w:jc w:val="both"/>
    </w:pPr>
    <w:rPr>
      <w:rFonts w:ascii="Times New Roman" w:eastAsia="Times New Roman" w:hAnsi="Times New Roman" w:cs="Times New Roman"/>
      <w:szCs w:val="24"/>
      <w:lang w:val="pl-PL" w:eastAsia="pl-PL"/>
    </w:rPr>
  </w:style>
  <w:style w:type="paragraph" w:customStyle="1" w:styleId="Index">
    <w:name w:val="Index"/>
    <w:basedOn w:val="Normal"/>
    <w:qFormat/>
    <w:rsid w:val="007257E3"/>
    <w:pPr>
      <w:widowControl w:val="0"/>
      <w:suppressLineNumbers/>
      <w:suppressAutoHyphens/>
      <w:spacing w:line="240" w:lineRule="auto"/>
      <w:jc w:val="both"/>
    </w:pPr>
    <w:rPr>
      <w:rFonts w:ascii="Times New Roman" w:eastAsia="Times New Roman" w:hAnsi="Times New Roman" w:cs="Tahoma"/>
      <w:szCs w:val="20"/>
      <w:lang w:val="en-US" w:eastAsia="ro-RO"/>
    </w:rPr>
  </w:style>
  <w:style w:type="paragraph" w:customStyle="1" w:styleId="Framecontents">
    <w:name w:val="Frame contents"/>
    <w:basedOn w:val="BodyText"/>
    <w:qFormat/>
    <w:rsid w:val="007257E3"/>
    <w:pPr>
      <w:suppressAutoHyphens/>
      <w:spacing w:line="240" w:lineRule="auto"/>
    </w:pPr>
    <w:rPr>
      <w:rFonts w:ascii="Times New Roman" w:eastAsia="Times New Roman" w:hAnsi="Times New Roman" w:cs="Times New Roman"/>
      <w:sz w:val="22"/>
      <w:szCs w:val="24"/>
      <w:lang w:eastAsia="ar-SA"/>
    </w:rPr>
  </w:style>
  <w:style w:type="paragraph" w:customStyle="1" w:styleId="user">
    <w:name w:val="user"/>
    <w:basedOn w:val="Normal"/>
    <w:qFormat/>
    <w:rsid w:val="007257E3"/>
    <w:pPr>
      <w:spacing w:before="100" w:beforeAutospacing="1" w:after="100" w:afterAutospacing="1" w:line="240" w:lineRule="auto"/>
      <w:jc w:val="both"/>
    </w:pPr>
    <w:rPr>
      <w:rFonts w:ascii="Times New Roman" w:eastAsia="Times New Roman" w:hAnsi="Times New Roman" w:cs="Times New Roman"/>
      <w:szCs w:val="24"/>
      <w:lang w:val="en-US"/>
    </w:rPr>
  </w:style>
  <w:style w:type="paragraph" w:customStyle="1" w:styleId="CaracterCaracterCaracterCharCharCaracterCharCharCaracterCharCharCaracterCarCarCharCharCaracterCharCharCaracterCaracterCharCharCharChar">
    <w:name w:val="Caracter Caracter Caracter Char Char Caracter Char Char Caracter Char Char Caracter Car Car Char Char Caracter Char Char Caracter Caracter Char Char Char Char"/>
    <w:basedOn w:val="Normal"/>
    <w:qFormat/>
    <w:rsid w:val="007257E3"/>
    <w:pPr>
      <w:spacing w:line="240" w:lineRule="auto"/>
      <w:jc w:val="both"/>
    </w:pPr>
    <w:rPr>
      <w:rFonts w:ascii="Times New Roman" w:eastAsia="Times New Roman" w:hAnsi="Times New Roman" w:cs="Times New Roman"/>
      <w:szCs w:val="24"/>
      <w:lang w:val="pl-PL" w:eastAsia="pl-PL"/>
    </w:rPr>
  </w:style>
  <w:style w:type="paragraph" w:customStyle="1" w:styleId="CaracterCaracterCaracterCharCharCaracterCharCharCaracterCharCharCaracterCarCarCharCharCaracterCharCharCaracterCaracter">
    <w:name w:val="Caracter Caracter Caracter Char Char Caracter Char Char Caracter Char Char Caracter Car Car Char Char Caracter Char Char Caracter Caracter"/>
    <w:basedOn w:val="Normal"/>
    <w:qFormat/>
    <w:rsid w:val="007257E3"/>
    <w:pPr>
      <w:spacing w:line="240" w:lineRule="auto"/>
      <w:jc w:val="both"/>
    </w:pPr>
    <w:rPr>
      <w:rFonts w:ascii="Times New Roman" w:eastAsia="Times New Roman" w:hAnsi="Times New Roman" w:cs="Times New Roman"/>
      <w:szCs w:val="24"/>
      <w:lang w:val="pl-PL" w:eastAsia="pl-PL"/>
    </w:rPr>
  </w:style>
  <w:style w:type="paragraph" w:customStyle="1" w:styleId="NormaleWeb">
    <w:name w:val="Normale (Web)"/>
    <w:basedOn w:val="Normal"/>
    <w:qFormat/>
    <w:rsid w:val="007257E3"/>
    <w:pPr>
      <w:suppressAutoHyphens/>
      <w:spacing w:before="280" w:after="280" w:line="276" w:lineRule="auto"/>
      <w:jc w:val="both"/>
    </w:pPr>
    <w:rPr>
      <w:rFonts w:eastAsia="Times New Roman" w:cs="Calibri"/>
      <w:szCs w:val="22"/>
      <w:lang w:val="en-US" w:eastAsia="ar-SA"/>
    </w:rPr>
  </w:style>
  <w:style w:type="paragraph" w:customStyle="1" w:styleId="Char1CaracterCaracterChar">
    <w:name w:val="Char1 Caracter Caracter Char"/>
    <w:basedOn w:val="Normal"/>
    <w:qFormat/>
    <w:rsid w:val="007257E3"/>
    <w:pPr>
      <w:spacing w:line="240" w:lineRule="auto"/>
      <w:jc w:val="both"/>
    </w:pPr>
    <w:rPr>
      <w:rFonts w:ascii="Times New Roman" w:eastAsia="Times New Roman" w:hAnsi="Times New Roman" w:cs="Times New Roman"/>
      <w:szCs w:val="24"/>
      <w:lang w:val="pl-PL" w:eastAsia="pl-PL"/>
    </w:rPr>
  </w:style>
  <w:style w:type="paragraph" w:customStyle="1" w:styleId="Caption2">
    <w:name w:val="Caption2"/>
    <w:basedOn w:val="Normal"/>
    <w:qFormat/>
    <w:rsid w:val="007257E3"/>
    <w:pPr>
      <w:suppressLineNumbers/>
      <w:suppressAutoHyphens/>
      <w:spacing w:before="120" w:after="120" w:line="240" w:lineRule="auto"/>
      <w:jc w:val="both"/>
    </w:pPr>
    <w:rPr>
      <w:rFonts w:ascii="Times New Roman" w:eastAsia="Times New Roman" w:hAnsi="Times New Roman" w:cs="Tahoma"/>
      <w:i/>
      <w:iCs/>
      <w:szCs w:val="24"/>
      <w:lang w:eastAsia="ar-SA"/>
    </w:rPr>
  </w:style>
  <w:style w:type="paragraph" w:customStyle="1" w:styleId="style190">
    <w:name w:val="style19"/>
    <w:basedOn w:val="Normal"/>
    <w:qFormat/>
    <w:rsid w:val="007257E3"/>
    <w:pPr>
      <w:spacing w:before="100" w:beforeAutospacing="1" w:after="100" w:afterAutospacing="1" w:line="240" w:lineRule="auto"/>
      <w:jc w:val="both"/>
    </w:pPr>
    <w:rPr>
      <w:rFonts w:ascii="Times New Roman" w:eastAsia="Times New Roman" w:hAnsi="Times New Roman" w:cs="Times New Roman"/>
      <w:szCs w:val="24"/>
      <w:lang w:val="en-US"/>
    </w:rPr>
  </w:style>
  <w:style w:type="character" w:customStyle="1" w:styleId="CorpDescriereCaracter">
    <w:name w:val="CorpDescriere Caracter"/>
    <w:link w:val="CorpDescriere"/>
    <w:locked/>
    <w:rsid w:val="007257E3"/>
    <w:rPr>
      <w:rFonts w:cs="Arial"/>
      <w:lang w:eastAsia="ar-SA"/>
    </w:rPr>
  </w:style>
  <w:style w:type="paragraph" w:customStyle="1" w:styleId="CorpDescriere">
    <w:name w:val="CorpDescriere"/>
    <w:basedOn w:val="Normal"/>
    <w:link w:val="CorpDescriereCaracter"/>
    <w:qFormat/>
    <w:rsid w:val="007257E3"/>
    <w:pPr>
      <w:widowControl w:val="0"/>
      <w:tabs>
        <w:tab w:val="left" w:pos="720"/>
      </w:tabs>
      <w:suppressAutoHyphens/>
      <w:spacing w:before="120" w:after="120" w:line="360" w:lineRule="auto"/>
      <w:ind w:left="720" w:right="144" w:firstLine="720"/>
      <w:jc w:val="both"/>
    </w:pPr>
    <w:rPr>
      <w:rFonts w:cs="Arial"/>
      <w:lang w:val="da-DK" w:eastAsia="ar-SA"/>
    </w:rPr>
  </w:style>
  <w:style w:type="paragraph" w:customStyle="1" w:styleId="CorpTabel">
    <w:name w:val="CorpTabel"/>
    <w:basedOn w:val="Normal"/>
    <w:qFormat/>
    <w:rsid w:val="007257E3"/>
    <w:pPr>
      <w:widowControl w:val="0"/>
      <w:suppressAutoHyphens/>
      <w:spacing w:line="240" w:lineRule="auto"/>
      <w:jc w:val="both"/>
    </w:pPr>
    <w:rPr>
      <w:rFonts w:eastAsia="Lucida Sans Unicode" w:cs="Arial"/>
      <w:noProof/>
      <w:sz w:val="20"/>
      <w:szCs w:val="20"/>
      <w:lang w:val="it-IT" w:eastAsia="ar-SA"/>
    </w:rPr>
  </w:style>
  <w:style w:type="paragraph" w:customStyle="1" w:styleId="CharCaracterCaracterChar">
    <w:name w:val="Char Caracter Caracter Char"/>
    <w:basedOn w:val="Normal"/>
    <w:qFormat/>
    <w:rsid w:val="007257E3"/>
    <w:pPr>
      <w:spacing w:line="240" w:lineRule="auto"/>
      <w:jc w:val="both"/>
    </w:pPr>
    <w:rPr>
      <w:rFonts w:ascii="Times New Roman" w:eastAsia="Times New Roman" w:hAnsi="Times New Roman" w:cs="Times New Roman"/>
      <w:szCs w:val="24"/>
      <w:lang w:val="pl-PL" w:eastAsia="pl-PL"/>
    </w:rPr>
  </w:style>
  <w:style w:type="character" w:customStyle="1" w:styleId="TITLUSUBPARAGRAFCaracter">
    <w:name w:val="TITLU SUBPARAGRAF Caracter"/>
    <w:link w:val="TITLUSUBPARAGRAF"/>
    <w:locked/>
    <w:rsid w:val="007257E3"/>
    <w:rPr>
      <w:rFonts w:cs="Arial"/>
      <w:b/>
      <w:bCs/>
      <w:lang w:eastAsia="ar-SA"/>
    </w:rPr>
  </w:style>
  <w:style w:type="paragraph" w:customStyle="1" w:styleId="TITLUSUBPARAGRAF">
    <w:name w:val="TITLU SUBPARAGRAF"/>
    <w:basedOn w:val="Normal"/>
    <w:next w:val="CorpDescriere"/>
    <w:link w:val="TITLUSUBPARAGRAFCaracter"/>
    <w:qFormat/>
    <w:rsid w:val="007257E3"/>
    <w:pPr>
      <w:keepNext/>
      <w:widowControl w:val="0"/>
      <w:tabs>
        <w:tab w:val="left" w:leader="dot" w:pos="720"/>
        <w:tab w:val="left" w:pos="1152"/>
        <w:tab w:val="left" w:pos="1440"/>
        <w:tab w:val="left" w:pos="1728"/>
      </w:tabs>
      <w:suppressAutoHyphens/>
      <w:spacing w:before="240" w:after="240" w:line="240" w:lineRule="auto"/>
      <w:ind w:left="1440"/>
      <w:jc w:val="both"/>
      <w:outlineLvl w:val="2"/>
    </w:pPr>
    <w:rPr>
      <w:rFonts w:cs="Arial"/>
      <w:b/>
      <w:bCs/>
      <w:lang w:val="da-DK" w:eastAsia="ar-SA"/>
    </w:rPr>
  </w:style>
  <w:style w:type="character" w:customStyle="1" w:styleId="TitluInSubparagrafCaracter">
    <w:name w:val="TitluInSubparagraf Caracter"/>
    <w:link w:val="TitluInSubparagraf"/>
    <w:locked/>
    <w:rsid w:val="007257E3"/>
    <w:rPr>
      <w:rFonts w:cs="Arial"/>
      <w:b/>
      <w:bCs/>
      <w:lang w:eastAsia="ar-SA"/>
    </w:rPr>
  </w:style>
  <w:style w:type="paragraph" w:customStyle="1" w:styleId="TitluInSubparagraf">
    <w:name w:val="TitluInSubparagraf"/>
    <w:basedOn w:val="TITLUSUBPARAGRAF"/>
    <w:next w:val="CorpDescriere"/>
    <w:link w:val="TitluInSubparagrafCaracter"/>
    <w:qFormat/>
    <w:rsid w:val="007257E3"/>
    <w:pPr>
      <w:ind w:left="1872"/>
    </w:pPr>
  </w:style>
  <w:style w:type="paragraph" w:customStyle="1" w:styleId="TitluTabel">
    <w:name w:val="TitluTabel"/>
    <w:basedOn w:val="CorpTabel"/>
    <w:qFormat/>
    <w:rsid w:val="007257E3"/>
    <w:pPr>
      <w:spacing w:before="120"/>
      <w:jc w:val="center"/>
    </w:pPr>
    <w:rPr>
      <w:b/>
      <w:sz w:val="24"/>
      <w:szCs w:val="24"/>
    </w:rPr>
  </w:style>
  <w:style w:type="paragraph" w:customStyle="1" w:styleId="TitluListe">
    <w:name w:val="TitluListe"/>
    <w:basedOn w:val="TitluInSubparagraf"/>
    <w:qFormat/>
    <w:rsid w:val="007257E3"/>
    <w:pPr>
      <w:tabs>
        <w:tab w:val="left" w:pos="720"/>
      </w:tabs>
      <w:spacing w:before="0" w:after="0"/>
      <w:ind w:left="0"/>
    </w:pPr>
  </w:style>
  <w:style w:type="paragraph" w:customStyle="1" w:styleId="Normal-SupplementsTOC2">
    <w:name w:val="Normal - Supplements TOC2"/>
    <w:basedOn w:val="Normal"/>
    <w:semiHidden/>
    <w:qFormat/>
    <w:rsid w:val="007257E3"/>
    <w:pPr>
      <w:spacing w:line="240" w:lineRule="atLeast"/>
      <w:jc w:val="both"/>
    </w:pPr>
    <w:rPr>
      <w:rFonts w:eastAsia="Times New Roman" w:cs="Times New Roman"/>
      <w:szCs w:val="24"/>
      <w:lang w:val="en-GB" w:eastAsia="da-DK"/>
    </w:rPr>
  </w:style>
  <w:style w:type="paragraph" w:customStyle="1" w:styleId="Normal-TOCHeadingSupplements">
    <w:name w:val="Normal - TOC Heading Supplements"/>
    <w:basedOn w:val="Normal-TOCHeading"/>
    <w:qFormat/>
    <w:rsid w:val="007257E3"/>
    <w:pPr>
      <w:jc w:val="both"/>
    </w:pPr>
    <w:rPr>
      <w:sz w:val="18"/>
    </w:rPr>
  </w:style>
  <w:style w:type="paragraph" w:customStyle="1" w:styleId="style12a">
    <w:name w:val="style12"/>
    <w:basedOn w:val="Normal"/>
    <w:qFormat/>
    <w:rsid w:val="007257E3"/>
    <w:pPr>
      <w:spacing w:before="100" w:beforeAutospacing="1" w:after="100" w:afterAutospacing="1" w:line="240" w:lineRule="auto"/>
      <w:jc w:val="both"/>
    </w:pPr>
    <w:rPr>
      <w:rFonts w:eastAsia="Times New Roman" w:cs="Times New Roman"/>
      <w:color w:val="666666"/>
      <w:sz w:val="17"/>
      <w:szCs w:val="17"/>
    </w:rPr>
  </w:style>
  <w:style w:type="paragraph" w:customStyle="1" w:styleId="Questionnairebullets">
    <w:name w:val="Questionnaire bullets"/>
    <w:basedOn w:val="Normal"/>
    <w:qFormat/>
    <w:rsid w:val="007257E3"/>
    <w:pPr>
      <w:tabs>
        <w:tab w:val="num" w:pos="360"/>
      </w:tabs>
      <w:spacing w:line="240" w:lineRule="auto"/>
      <w:ind w:left="360" w:hanging="360"/>
      <w:jc w:val="both"/>
    </w:pPr>
    <w:rPr>
      <w:rFonts w:ascii="Myriad Roman" w:eastAsia="Times New Roman" w:hAnsi="Myriad Roman" w:cs="Times New Roman"/>
      <w:szCs w:val="20"/>
      <w:lang w:eastAsia="ro-RO"/>
    </w:rPr>
  </w:style>
  <w:style w:type="paragraph" w:customStyle="1" w:styleId="ln2acttitlu">
    <w:name w:val="ln2acttitlu"/>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FreieForm">
    <w:name w:val="Freie Form"/>
    <w:qFormat/>
    <w:rsid w:val="007257E3"/>
    <w:pPr>
      <w:spacing w:line="240" w:lineRule="auto"/>
    </w:pPr>
    <w:rPr>
      <w:rFonts w:ascii="Lucida Grande" w:eastAsia="ヒラギノ角ゴ Pro W3" w:hAnsi="Lucida Grande" w:cs="Times New Roman"/>
      <w:color w:val="000000"/>
      <w:sz w:val="20"/>
      <w:szCs w:val="20"/>
      <w:lang w:val="en-GB" w:eastAsia="en-GB"/>
    </w:rPr>
  </w:style>
  <w:style w:type="paragraph" w:customStyle="1" w:styleId="CaracterCharCharCaracterCharChar">
    <w:name w:val="Caracter Char Char Caracter Char Char"/>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DefaultText0">
    <w:name w:val="Default Text:"/>
    <w:basedOn w:val="Normal"/>
    <w:qFormat/>
    <w:rsid w:val="007257E3"/>
    <w:pPr>
      <w:overflowPunct w:val="0"/>
      <w:autoSpaceDE w:val="0"/>
      <w:autoSpaceDN w:val="0"/>
      <w:adjustRightInd w:val="0"/>
      <w:spacing w:line="240" w:lineRule="auto"/>
      <w:jc w:val="both"/>
    </w:pPr>
    <w:rPr>
      <w:rFonts w:ascii="Times New Roman" w:eastAsia="Times New Roman" w:hAnsi="Times New Roman" w:cs="Times New Roman"/>
      <w:noProof/>
      <w:sz w:val="24"/>
      <w:szCs w:val="20"/>
      <w:lang w:val="en-US"/>
    </w:rPr>
  </w:style>
  <w:style w:type="paragraph" w:customStyle="1" w:styleId="bodytexta">
    <w:name w:val="bodytext"/>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US"/>
    </w:rPr>
  </w:style>
  <w:style w:type="paragraph" w:customStyle="1" w:styleId="1Char">
    <w:name w:val="1 Char"/>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yiv6320196246msonormal">
    <w:name w:val="yiv6320196246msonormal"/>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BodyText91">
    <w:name w:val="Body Text9"/>
    <w:basedOn w:val="Normal"/>
    <w:qFormat/>
    <w:rsid w:val="007257E3"/>
    <w:pPr>
      <w:widowControl w:val="0"/>
      <w:shd w:val="clear" w:color="auto" w:fill="FFFFFF"/>
      <w:spacing w:before="180" w:line="274" w:lineRule="exact"/>
      <w:ind w:hanging="380"/>
      <w:jc w:val="both"/>
    </w:pPr>
    <w:rPr>
      <w:rFonts w:ascii="Times New Roman" w:eastAsia="Times New Roman" w:hAnsi="Times New Roman" w:cs="Times New Roman"/>
      <w:color w:val="000000"/>
      <w:sz w:val="21"/>
      <w:szCs w:val="21"/>
      <w:lang w:eastAsia="en-GB"/>
    </w:rPr>
  </w:style>
  <w:style w:type="character" w:customStyle="1" w:styleId="Tablecaption4">
    <w:name w:val="Table caption (4)_"/>
    <w:link w:val="Tablecaption40"/>
    <w:locked/>
    <w:rsid w:val="007257E3"/>
    <w:rPr>
      <w:sz w:val="21"/>
      <w:szCs w:val="21"/>
      <w:shd w:val="clear" w:color="auto" w:fill="FFFFFF"/>
    </w:rPr>
  </w:style>
  <w:style w:type="paragraph" w:customStyle="1" w:styleId="Tablecaption40">
    <w:name w:val="Table caption (4)"/>
    <w:basedOn w:val="Normal"/>
    <w:link w:val="Tablecaption4"/>
    <w:qFormat/>
    <w:rsid w:val="007257E3"/>
    <w:pPr>
      <w:widowControl w:val="0"/>
      <w:shd w:val="clear" w:color="auto" w:fill="FFFFFF"/>
      <w:spacing w:line="410" w:lineRule="exact"/>
      <w:jc w:val="both"/>
    </w:pPr>
    <w:rPr>
      <w:sz w:val="21"/>
      <w:szCs w:val="21"/>
      <w:lang w:val="da-DK"/>
    </w:rPr>
  </w:style>
  <w:style w:type="character" w:customStyle="1" w:styleId="Heading53">
    <w:name w:val="Heading #5 (3)_"/>
    <w:link w:val="Heading530"/>
    <w:locked/>
    <w:rsid w:val="007257E3"/>
    <w:rPr>
      <w:b/>
      <w:bCs/>
      <w:sz w:val="21"/>
      <w:szCs w:val="21"/>
      <w:shd w:val="clear" w:color="auto" w:fill="FFFFFF"/>
    </w:rPr>
  </w:style>
  <w:style w:type="paragraph" w:customStyle="1" w:styleId="Heading530">
    <w:name w:val="Heading #5 (3)"/>
    <w:basedOn w:val="Normal"/>
    <w:link w:val="Heading53"/>
    <w:qFormat/>
    <w:rsid w:val="007257E3"/>
    <w:pPr>
      <w:widowControl w:val="0"/>
      <w:shd w:val="clear" w:color="auto" w:fill="FFFFFF"/>
      <w:spacing w:before="240" w:line="274" w:lineRule="exact"/>
      <w:ind w:firstLine="520"/>
      <w:jc w:val="both"/>
      <w:outlineLvl w:val="4"/>
    </w:pPr>
    <w:rPr>
      <w:b/>
      <w:bCs/>
      <w:sz w:val="21"/>
      <w:szCs w:val="21"/>
      <w:lang w:val="da-DK"/>
    </w:rPr>
  </w:style>
  <w:style w:type="character" w:customStyle="1" w:styleId="Heading40">
    <w:name w:val="Heading #4_"/>
    <w:link w:val="Heading41"/>
    <w:locked/>
    <w:rsid w:val="007257E3"/>
    <w:rPr>
      <w:b/>
      <w:bCs/>
      <w:sz w:val="26"/>
      <w:szCs w:val="26"/>
      <w:shd w:val="clear" w:color="auto" w:fill="FFFFFF"/>
    </w:rPr>
  </w:style>
  <w:style w:type="paragraph" w:customStyle="1" w:styleId="Heading41">
    <w:name w:val="Heading #4"/>
    <w:basedOn w:val="Normal"/>
    <w:link w:val="Heading40"/>
    <w:qFormat/>
    <w:rsid w:val="007257E3"/>
    <w:pPr>
      <w:widowControl w:val="0"/>
      <w:shd w:val="clear" w:color="auto" w:fill="FFFFFF"/>
      <w:spacing w:after="240" w:line="0" w:lineRule="atLeast"/>
      <w:ind w:firstLine="700"/>
      <w:jc w:val="both"/>
      <w:outlineLvl w:val="3"/>
    </w:pPr>
    <w:rPr>
      <w:b/>
      <w:bCs/>
      <w:sz w:val="26"/>
      <w:szCs w:val="26"/>
      <w:lang w:val="da-DK"/>
    </w:rPr>
  </w:style>
  <w:style w:type="paragraph" w:customStyle="1" w:styleId="PreformattedText">
    <w:name w:val="Preformatted Text"/>
    <w:basedOn w:val="Normal"/>
    <w:qFormat/>
    <w:rsid w:val="007257E3"/>
    <w:pPr>
      <w:suppressAutoHyphens/>
      <w:spacing w:line="240" w:lineRule="auto"/>
      <w:jc w:val="both"/>
    </w:pPr>
    <w:rPr>
      <w:rFonts w:ascii="Times New Roman" w:eastAsia="Times New Roman" w:hAnsi="Times New Roman" w:cs="Times New Roman"/>
      <w:sz w:val="20"/>
      <w:szCs w:val="20"/>
      <w:lang w:val="en-US" w:eastAsia="ar-SA"/>
    </w:rPr>
  </w:style>
  <w:style w:type="paragraph" w:customStyle="1" w:styleId="Indentcorptext3">
    <w:name w:val="Indent corp text 3"/>
    <w:basedOn w:val="Normal"/>
    <w:qFormat/>
    <w:rsid w:val="007257E3"/>
    <w:pPr>
      <w:widowControl w:val="0"/>
      <w:suppressAutoHyphens/>
      <w:spacing w:line="240" w:lineRule="auto"/>
      <w:ind w:firstLine="720"/>
      <w:jc w:val="both"/>
    </w:pPr>
    <w:rPr>
      <w:rFonts w:ascii="Arial" w:eastAsia="Arial Unicode MS" w:hAnsi="Arial" w:cs="Arial"/>
      <w:kern w:val="2"/>
      <w:sz w:val="24"/>
      <w:szCs w:val="24"/>
      <w:lang w:eastAsia="ro-RO"/>
    </w:rPr>
  </w:style>
  <w:style w:type="paragraph" w:customStyle="1" w:styleId="CharCharCharCharCaracter1">
    <w:name w:val="Char Char Char Char Caracter1"/>
    <w:basedOn w:val="Normal"/>
    <w:qFormat/>
    <w:rsid w:val="007257E3"/>
    <w:pPr>
      <w:spacing w:line="360" w:lineRule="auto"/>
      <w:ind w:firstLine="720"/>
      <w:jc w:val="both"/>
    </w:pPr>
    <w:rPr>
      <w:rFonts w:ascii="Arial" w:eastAsia="Times New Roman" w:hAnsi="Arial" w:cs="Times New Roman"/>
      <w:sz w:val="24"/>
      <w:szCs w:val="24"/>
      <w:lang w:val="pl-PL" w:eastAsia="pl-PL"/>
    </w:rPr>
  </w:style>
  <w:style w:type="paragraph" w:customStyle="1" w:styleId="NoSpacing1">
    <w:name w:val="No Spacing1"/>
    <w:basedOn w:val="Normal"/>
    <w:qFormat/>
    <w:rsid w:val="007257E3"/>
    <w:pPr>
      <w:suppressAutoHyphens/>
      <w:spacing w:line="100" w:lineRule="atLeast"/>
      <w:jc w:val="both"/>
    </w:pPr>
    <w:rPr>
      <w:rFonts w:ascii="Arial" w:eastAsia="Arial Unicode MS" w:hAnsi="Arial" w:cs="Arial"/>
      <w:color w:val="000000"/>
      <w:kern w:val="2"/>
      <w:sz w:val="24"/>
      <w:szCs w:val="24"/>
      <w:lang w:val="en-GB" w:eastAsia="ar-SA"/>
    </w:rPr>
  </w:style>
  <w:style w:type="paragraph" w:customStyle="1" w:styleId="Frspaiere">
    <w:name w:val="Fără spațiere"/>
    <w:qFormat/>
    <w:rsid w:val="007257E3"/>
    <w:pPr>
      <w:spacing w:line="240" w:lineRule="auto"/>
    </w:pPr>
    <w:rPr>
      <w:rFonts w:ascii="Calibri" w:eastAsia="Calibri" w:hAnsi="Calibri" w:cs="Times New Roman"/>
      <w:sz w:val="22"/>
      <w:szCs w:val="22"/>
      <w:lang w:val="ro-RO"/>
    </w:rPr>
  </w:style>
  <w:style w:type="paragraph" w:customStyle="1" w:styleId="label">
    <w:name w:val="label"/>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helptext">
    <w:name w:val="helptext"/>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label1">
    <w:name w:val="label1"/>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character" w:customStyle="1" w:styleId="ALINIATChar1">
    <w:name w:val="ALINIAT Char1"/>
    <w:link w:val="ALINIAT"/>
    <w:locked/>
    <w:rsid w:val="007257E3"/>
    <w:rPr>
      <w:rFonts w:eastAsia="Calibri" w:cs="Arial"/>
      <w:sz w:val="24"/>
      <w:szCs w:val="24"/>
    </w:rPr>
  </w:style>
  <w:style w:type="paragraph" w:customStyle="1" w:styleId="ALINIAT">
    <w:name w:val="ALINIAT"/>
    <w:basedOn w:val="Normal"/>
    <w:link w:val="ALINIATChar1"/>
    <w:qFormat/>
    <w:rsid w:val="007257E3"/>
    <w:pPr>
      <w:spacing w:line="276" w:lineRule="auto"/>
      <w:ind w:firstLine="709"/>
      <w:contextualSpacing/>
      <w:jc w:val="both"/>
    </w:pPr>
    <w:rPr>
      <w:rFonts w:eastAsia="Calibri" w:cs="Arial"/>
      <w:sz w:val="24"/>
      <w:szCs w:val="24"/>
      <w:lang w:val="da-DK"/>
    </w:rPr>
  </w:style>
  <w:style w:type="paragraph" w:customStyle="1" w:styleId="Corptext23">
    <w:name w:val="Corp text 23"/>
    <w:basedOn w:val="Normal"/>
    <w:qFormat/>
    <w:rsid w:val="007257E3"/>
    <w:pPr>
      <w:widowControl w:val="0"/>
      <w:suppressAutoHyphens/>
      <w:spacing w:line="240" w:lineRule="auto"/>
      <w:jc w:val="both"/>
    </w:pPr>
    <w:rPr>
      <w:rFonts w:ascii="Times New Roman" w:eastAsia="Lucida Sans Unicode" w:hAnsi="Times New Roman" w:cs="Times New Roman"/>
      <w:sz w:val="24"/>
      <w:szCs w:val="24"/>
      <w:lang w:eastAsia="ar-SA"/>
    </w:rPr>
  </w:style>
  <w:style w:type="character" w:customStyle="1" w:styleId="Marcator1Char">
    <w:name w:val="Marcator1 Char"/>
    <w:link w:val="Marcator1"/>
    <w:locked/>
    <w:rsid w:val="007257E3"/>
    <w:rPr>
      <w:rFonts w:ascii="Arial" w:eastAsia="Lucida Sans Unicode" w:hAnsi="Arial" w:cs="Arial"/>
      <w:sz w:val="24"/>
      <w:szCs w:val="24"/>
      <w:lang w:eastAsia="ar-SA"/>
    </w:rPr>
  </w:style>
  <w:style w:type="paragraph" w:customStyle="1" w:styleId="Marcator1">
    <w:name w:val="Marcator1"/>
    <w:basedOn w:val="Normal"/>
    <w:link w:val="Marcator1Char"/>
    <w:qFormat/>
    <w:rsid w:val="007257E3"/>
    <w:pPr>
      <w:widowControl w:val="0"/>
      <w:tabs>
        <w:tab w:val="num" w:pos="540"/>
        <w:tab w:val="left" w:pos="1101"/>
        <w:tab w:val="left" w:pos="1170"/>
      </w:tabs>
      <w:suppressAutoHyphens/>
      <w:spacing w:line="240" w:lineRule="auto"/>
      <w:ind w:left="1101" w:hanging="360"/>
      <w:jc w:val="both"/>
    </w:pPr>
    <w:rPr>
      <w:rFonts w:ascii="Arial" w:eastAsia="Lucida Sans Unicode" w:hAnsi="Arial" w:cs="Arial"/>
      <w:sz w:val="24"/>
      <w:szCs w:val="24"/>
      <w:lang w:val="da-DK" w:eastAsia="ar-SA"/>
    </w:rPr>
  </w:style>
  <w:style w:type="paragraph" w:customStyle="1" w:styleId="CaracterCaracter1Char11">
    <w:name w:val="Caracter Caracter1 Char11"/>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Style212">
    <w:name w:val="Style212"/>
    <w:basedOn w:val="Normal"/>
    <w:uiPriority w:val="99"/>
    <w:qFormat/>
    <w:rsid w:val="007257E3"/>
    <w:pPr>
      <w:widowControl w:val="0"/>
      <w:autoSpaceDE w:val="0"/>
      <w:autoSpaceDN w:val="0"/>
      <w:adjustRightInd w:val="0"/>
      <w:spacing w:line="278" w:lineRule="exact"/>
      <w:ind w:hanging="346"/>
      <w:jc w:val="both"/>
    </w:pPr>
    <w:rPr>
      <w:rFonts w:ascii="Courier New" w:eastAsia="Times New Roman" w:hAnsi="Courier New" w:cs="Courier New"/>
      <w:sz w:val="24"/>
      <w:szCs w:val="24"/>
      <w:lang w:val="en-GB" w:eastAsia="en-GB"/>
    </w:rPr>
  </w:style>
  <w:style w:type="paragraph" w:customStyle="1" w:styleId="Style173">
    <w:name w:val="Style173"/>
    <w:basedOn w:val="Normal"/>
    <w:uiPriority w:val="99"/>
    <w:qFormat/>
    <w:rsid w:val="007257E3"/>
    <w:pPr>
      <w:widowControl w:val="0"/>
      <w:autoSpaceDE w:val="0"/>
      <w:autoSpaceDN w:val="0"/>
      <w:adjustRightInd w:val="0"/>
      <w:spacing w:line="274" w:lineRule="exact"/>
      <w:ind w:hanging="350"/>
      <w:jc w:val="both"/>
    </w:pPr>
    <w:rPr>
      <w:rFonts w:ascii="Courier New" w:eastAsia="Times New Roman" w:hAnsi="Courier New" w:cs="Courier New"/>
      <w:sz w:val="24"/>
      <w:szCs w:val="24"/>
      <w:lang w:val="en-GB" w:eastAsia="en-GB"/>
    </w:rPr>
  </w:style>
  <w:style w:type="paragraph" w:customStyle="1" w:styleId="Style192">
    <w:name w:val="Style192"/>
    <w:basedOn w:val="Normal"/>
    <w:uiPriority w:val="99"/>
    <w:qFormat/>
    <w:rsid w:val="007257E3"/>
    <w:pPr>
      <w:widowControl w:val="0"/>
      <w:autoSpaceDE w:val="0"/>
      <w:autoSpaceDN w:val="0"/>
      <w:adjustRightInd w:val="0"/>
      <w:spacing w:line="274" w:lineRule="exact"/>
      <w:jc w:val="center"/>
    </w:pPr>
    <w:rPr>
      <w:rFonts w:ascii="Courier New" w:eastAsia="Times New Roman" w:hAnsi="Courier New" w:cs="Courier New"/>
      <w:sz w:val="24"/>
      <w:szCs w:val="24"/>
      <w:lang w:val="en-GB" w:eastAsia="en-GB"/>
    </w:rPr>
  </w:style>
  <w:style w:type="paragraph" w:customStyle="1" w:styleId="Style204">
    <w:name w:val="Style204"/>
    <w:basedOn w:val="Normal"/>
    <w:uiPriority w:val="99"/>
    <w:qFormat/>
    <w:rsid w:val="007257E3"/>
    <w:pPr>
      <w:widowControl w:val="0"/>
      <w:autoSpaceDE w:val="0"/>
      <w:autoSpaceDN w:val="0"/>
      <w:adjustRightInd w:val="0"/>
      <w:spacing w:line="269" w:lineRule="exact"/>
      <w:ind w:firstLine="197"/>
      <w:jc w:val="both"/>
    </w:pPr>
    <w:rPr>
      <w:rFonts w:ascii="Times New Roman" w:eastAsia="Times New Roman" w:hAnsi="Times New Roman" w:cs="Times New Roman"/>
      <w:sz w:val="24"/>
      <w:szCs w:val="24"/>
      <w:lang w:val="en-GB" w:eastAsia="en-GB"/>
    </w:rPr>
  </w:style>
  <w:style w:type="paragraph" w:customStyle="1" w:styleId="Style228">
    <w:name w:val="Style228"/>
    <w:basedOn w:val="Normal"/>
    <w:uiPriority w:val="99"/>
    <w:qFormat/>
    <w:rsid w:val="007257E3"/>
    <w:pPr>
      <w:widowControl w:val="0"/>
      <w:autoSpaceDE w:val="0"/>
      <w:autoSpaceDN w:val="0"/>
      <w:adjustRightInd w:val="0"/>
      <w:spacing w:line="276" w:lineRule="exact"/>
      <w:ind w:hanging="336"/>
      <w:jc w:val="both"/>
    </w:pPr>
    <w:rPr>
      <w:rFonts w:ascii="Courier New" w:eastAsia="Times New Roman" w:hAnsi="Courier New" w:cs="Courier New"/>
      <w:sz w:val="24"/>
      <w:szCs w:val="24"/>
      <w:lang w:val="en-GB" w:eastAsia="en-GB"/>
    </w:rPr>
  </w:style>
  <w:style w:type="paragraph" w:customStyle="1" w:styleId="Style181">
    <w:name w:val="Style181"/>
    <w:basedOn w:val="Normal"/>
    <w:uiPriority w:val="99"/>
    <w:qFormat/>
    <w:rsid w:val="007257E3"/>
    <w:pPr>
      <w:widowControl w:val="0"/>
      <w:autoSpaceDE w:val="0"/>
      <w:autoSpaceDN w:val="0"/>
      <w:adjustRightInd w:val="0"/>
      <w:spacing w:line="278" w:lineRule="exact"/>
      <w:ind w:hanging="346"/>
      <w:jc w:val="both"/>
    </w:pPr>
    <w:rPr>
      <w:rFonts w:ascii="Courier New" w:eastAsia="Times New Roman" w:hAnsi="Courier New" w:cs="Courier New"/>
      <w:sz w:val="24"/>
      <w:szCs w:val="24"/>
      <w:lang w:val="en-GB" w:eastAsia="en-GB"/>
    </w:rPr>
  </w:style>
  <w:style w:type="paragraph" w:customStyle="1" w:styleId="Style191">
    <w:name w:val="Style191"/>
    <w:basedOn w:val="Normal"/>
    <w:uiPriority w:val="99"/>
    <w:qFormat/>
    <w:rsid w:val="007257E3"/>
    <w:pPr>
      <w:widowControl w:val="0"/>
      <w:autoSpaceDE w:val="0"/>
      <w:autoSpaceDN w:val="0"/>
      <w:adjustRightInd w:val="0"/>
      <w:spacing w:line="240" w:lineRule="auto"/>
      <w:jc w:val="both"/>
    </w:pPr>
    <w:rPr>
      <w:rFonts w:ascii="Courier New" w:eastAsia="Times New Roman" w:hAnsi="Courier New" w:cs="Courier New"/>
      <w:sz w:val="24"/>
      <w:szCs w:val="24"/>
      <w:lang w:val="en-GB" w:eastAsia="en-GB"/>
    </w:rPr>
  </w:style>
  <w:style w:type="paragraph" w:customStyle="1" w:styleId="Style214">
    <w:name w:val="Style214"/>
    <w:basedOn w:val="Normal"/>
    <w:uiPriority w:val="99"/>
    <w:qFormat/>
    <w:rsid w:val="007257E3"/>
    <w:pPr>
      <w:widowControl w:val="0"/>
      <w:autoSpaceDE w:val="0"/>
      <w:autoSpaceDN w:val="0"/>
      <w:adjustRightInd w:val="0"/>
      <w:spacing w:line="240" w:lineRule="auto"/>
      <w:jc w:val="right"/>
    </w:pPr>
    <w:rPr>
      <w:rFonts w:ascii="Courier New" w:eastAsia="Times New Roman" w:hAnsi="Courier New" w:cs="Courier New"/>
      <w:sz w:val="24"/>
      <w:szCs w:val="24"/>
      <w:lang w:val="en-GB" w:eastAsia="en-GB"/>
    </w:rPr>
  </w:style>
  <w:style w:type="paragraph" w:customStyle="1" w:styleId="Style218">
    <w:name w:val="Style218"/>
    <w:basedOn w:val="Normal"/>
    <w:uiPriority w:val="99"/>
    <w:qFormat/>
    <w:rsid w:val="007257E3"/>
    <w:pPr>
      <w:widowControl w:val="0"/>
      <w:autoSpaceDE w:val="0"/>
      <w:autoSpaceDN w:val="0"/>
      <w:adjustRightInd w:val="0"/>
      <w:spacing w:line="276" w:lineRule="exact"/>
      <w:ind w:hanging="346"/>
      <w:jc w:val="both"/>
    </w:pPr>
    <w:rPr>
      <w:rFonts w:ascii="Courier New" w:eastAsia="Times New Roman" w:hAnsi="Courier New" w:cs="Courier New"/>
      <w:sz w:val="24"/>
      <w:szCs w:val="24"/>
      <w:lang w:val="en-GB" w:eastAsia="en-GB"/>
    </w:rPr>
  </w:style>
  <w:style w:type="paragraph" w:customStyle="1" w:styleId="Style234">
    <w:name w:val="Style234"/>
    <w:basedOn w:val="Normal"/>
    <w:uiPriority w:val="99"/>
    <w:qFormat/>
    <w:rsid w:val="007257E3"/>
    <w:pPr>
      <w:widowControl w:val="0"/>
      <w:autoSpaceDE w:val="0"/>
      <w:autoSpaceDN w:val="0"/>
      <w:adjustRightInd w:val="0"/>
      <w:spacing w:line="276" w:lineRule="exact"/>
      <w:ind w:hanging="341"/>
      <w:jc w:val="both"/>
    </w:pPr>
    <w:rPr>
      <w:rFonts w:ascii="Courier New" w:eastAsia="Times New Roman" w:hAnsi="Courier New" w:cs="Courier New"/>
      <w:sz w:val="24"/>
      <w:szCs w:val="24"/>
      <w:lang w:val="en-GB" w:eastAsia="en-GB"/>
    </w:rPr>
  </w:style>
  <w:style w:type="paragraph" w:customStyle="1" w:styleId="Style1900">
    <w:name w:val="Style190"/>
    <w:basedOn w:val="Normal"/>
    <w:uiPriority w:val="99"/>
    <w:qFormat/>
    <w:rsid w:val="007257E3"/>
    <w:pPr>
      <w:widowControl w:val="0"/>
      <w:autoSpaceDE w:val="0"/>
      <w:autoSpaceDN w:val="0"/>
      <w:adjustRightInd w:val="0"/>
      <w:spacing w:line="276" w:lineRule="exact"/>
      <w:ind w:firstLine="360"/>
      <w:jc w:val="both"/>
    </w:pPr>
    <w:rPr>
      <w:rFonts w:ascii="Courier New" w:eastAsia="Times New Roman" w:hAnsi="Courier New" w:cs="Courier New"/>
      <w:sz w:val="24"/>
      <w:szCs w:val="24"/>
      <w:lang w:val="en-GB" w:eastAsia="en-GB"/>
    </w:rPr>
  </w:style>
  <w:style w:type="paragraph" w:customStyle="1" w:styleId="Char1CaracterCaracterChar2">
    <w:name w:val="Char1 Caracter Caracter Char2"/>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character" w:customStyle="1" w:styleId="TITLUSUBCAPITOLCaracter">
    <w:name w:val="TITLU SUBCAPITOL Caracter"/>
    <w:link w:val="TITLUSUBCAPITOL"/>
    <w:locked/>
    <w:rsid w:val="007257E3"/>
    <w:rPr>
      <w:rFonts w:ascii="Arial" w:hAnsi="Arial" w:cs="Arial"/>
      <w:b/>
      <w:bCs/>
      <w:i/>
      <w:sz w:val="24"/>
      <w:szCs w:val="24"/>
      <w:lang w:eastAsia="ar-SA"/>
    </w:rPr>
  </w:style>
  <w:style w:type="paragraph" w:customStyle="1" w:styleId="TITLUSUBCAPITOL">
    <w:name w:val="TITLU SUBCAPITOL"/>
    <w:basedOn w:val="Normal"/>
    <w:link w:val="TITLUSUBCAPITOLCaracter"/>
    <w:qFormat/>
    <w:rsid w:val="007257E3"/>
    <w:pPr>
      <w:keepNext/>
      <w:widowControl w:val="0"/>
      <w:tabs>
        <w:tab w:val="left" w:leader="dot" w:pos="720"/>
        <w:tab w:val="left" w:pos="1152"/>
      </w:tabs>
      <w:suppressAutoHyphens/>
      <w:spacing w:before="360" w:after="240" w:line="240" w:lineRule="auto"/>
      <w:ind w:left="1152"/>
      <w:jc w:val="both"/>
      <w:outlineLvl w:val="2"/>
    </w:pPr>
    <w:rPr>
      <w:rFonts w:ascii="Arial" w:hAnsi="Arial" w:cs="Arial"/>
      <w:b/>
      <w:bCs/>
      <w:i/>
      <w:sz w:val="24"/>
      <w:szCs w:val="24"/>
      <w:lang w:val="da-DK" w:eastAsia="ar-SA"/>
    </w:rPr>
  </w:style>
  <w:style w:type="paragraph" w:customStyle="1" w:styleId="Char1CaracterCaracterChar1">
    <w:name w:val="Char1 Caracter Caracter Char1"/>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CharChar4CaracterCharChar">
    <w:name w:val="Char Char4 Caracter Char Char"/>
    <w:basedOn w:val="Normal"/>
    <w:qFormat/>
    <w:rsid w:val="007257E3"/>
    <w:pPr>
      <w:spacing w:line="240" w:lineRule="auto"/>
      <w:jc w:val="both"/>
    </w:pPr>
    <w:rPr>
      <w:rFonts w:ascii="Arial" w:eastAsia="Times New Roman" w:hAnsi="Arial" w:cs="Arial"/>
      <w:sz w:val="24"/>
      <w:szCs w:val="24"/>
      <w:lang w:val="pl-PL" w:eastAsia="pl-PL"/>
    </w:rPr>
  </w:style>
  <w:style w:type="paragraph" w:customStyle="1" w:styleId="yiv2080238908msolistparagraph">
    <w:name w:val="yiv2080238908msolistparagraph"/>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Times-Roman-R">
    <w:name w:val="Times-Roman-R"/>
    <w:basedOn w:val="Normal"/>
    <w:next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Frspaiere1">
    <w:name w:val="Fără spațiere1"/>
    <w:qFormat/>
    <w:rsid w:val="007257E3"/>
    <w:pPr>
      <w:spacing w:line="240" w:lineRule="auto"/>
    </w:pPr>
    <w:rPr>
      <w:rFonts w:ascii="Calibri" w:eastAsia="Calibri" w:hAnsi="Calibri" w:cs="Times New Roman"/>
      <w:sz w:val="22"/>
      <w:szCs w:val="22"/>
      <w:lang w:val="ro-RO"/>
    </w:rPr>
  </w:style>
  <w:style w:type="paragraph" w:customStyle="1" w:styleId="Corptext24">
    <w:name w:val="Corp text 24"/>
    <w:basedOn w:val="Normal"/>
    <w:qFormat/>
    <w:rsid w:val="007257E3"/>
    <w:pPr>
      <w:widowControl w:val="0"/>
      <w:suppressAutoHyphens/>
      <w:spacing w:line="240" w:lineRule="auto"/>
      <w:jc w:val="both"/>
    </w:pPr>
    <w:rPr>
      <w:rFonts w:ascii="Times New Roman" w:eastAsia="Lucida Sans Unicode" w:hAnsi="Times New Roman" w:cs="Times New Roman"/>
      <w:sz w:val="24"/>
      <w:szCs w:val="24"/>
      <w:lang w:eastAsia="ar-SA"/>
    </w:rPr>
  </w:style>
  <w:style w:type="paragraph" w:customStyle="1" w:styleId="Indentcorptext33">
    <w:name w:val="Indent corp text 33"/>
    <w:basedOn w:val="Normal"/>
    <w:qFormat/>
    <w:rsid w:val="007257E3"/>
    <w:pPr>
      <w:widowControl w:val="0"/>
      <w:suppressAutoHyphens/>
      <w:spacing w:line="240" w:lineRule="auto"/>
      <w:ind w:firstLine="720"/>
      <w:jc w:val="both"/>
    </w:pPr>
    <w:rPr>
      <w:rFonts w:ascii="Arial" w:eastAsia="Arial Unicode MS" w:hAnsi="Arial" w:cs="Arial"/>
      <w:kern w:val="2"/>
      <w:sz w:val="24"/>
      <w:szCs w:val="24"/>
      <w:lang w:eastAsia="ro-RO"/>
    </w:rPr>
  </w:style>
  <w:style w:type="paragraph" w:customStyle="1" w:styleId="label2">
    <w:name w:val="label2"/>
    <w:basedOn w:val="Normal"/>
    <w:qFormat/>
    <w:rsid w:val="007257E3"/>
    <w:pPr>
      <w:spacing w:before="75" w:after="100" w:afterAutospacing="1" w:line="240" w:lineRule="auto"/>
      <w:ind w:left="75"/>
      <w:jc w:val="both"/>
    </w:pPr>
    <w:rPr>
      <w:rFonts w:ascii="Times New Roman" w:eastAsia="Times New Roman" w:hAnsi="Times New Roman" w:cs="Times New Roman"/>
      <w:color w:val="000000"/>
      <w:sz w:val="24"/>
      <w:szCs w:val="24"/>
      <w:lang w:val="en-US"/>
    </w:rPr>
  </w:style>
  <w:style w:type="paragraph" w:customStyle="1" w:styleId="BodyText81">
    <w:name w:val="Body Text8"/>
    <w:basedOn w:val="Normal"/>
    <w:qFormat/>
    <w:rsid w:val="007257E3"/>
    <w:pPr>
      <w:widowControl w:val="0"/>
      <w:shd w:val="clear" w:color="auto" w:fill="FFFFFF"/>
      <w:spacing w:line="0" w:lineRule="atLeast"/>
      <w:ind w:hanging="680"/>
      <w:jc w:val="both"/>
    </w:pPr>
    <w:rPr>
      <w:rFonts w:ascii="Arial Unicode MS" w:eastAsia="Times New Roman" w:hAnsi="Arial Unicode MS" w:cs="Times New Roman"/>
      <w:sz w:val="21"/>
      <w:szCs w:val="21"/>
      <w:lang w:val="en-GB" w:eastAsia="en-GB"/>
    </w:rPr>
  </w:style>
  <w:style w:type="paragraph" w:customStyle="1" w:styleId="CaracterCaracter3">
    <w:name w:val="Caracter Caracter3"/>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CaracterCaracter1Char12">
    <w:name w:val="Caracter Caracter1 Char12"/>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Char1CaracterCaracterChar3">
    <w:name w:val="Char1 Caracter Caracter Char3"/>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alignmentl">
    <w:name w:val="alignment_l"/>
    <w:basedOn w:val="Normal"/>
    <w:qFormat/>
    <w:rsid w:val="007257E3"/>
    <w:pPr>
      <w:spacing w:after="300" w:line="240" w:lineRule="auto"/>
      <w:jc w:val="both"/>
    </w:pPr>
    <w:rPr>
      <w:rFonts w:ascii="Times New Roman" w:eastAsia="Times New Roman" w:hAnsi="Times New Roman" w:cs="Times New Roman"/>
      <w:sz w:val="24"/>
      <w:szCs w:val="24"/>
      <w:lang w:val="en-US"/>
    </w:rPr>
  </w:style>
  <w:style w:type="paragraph" w:customStyle="1" w:styleId="CaracterCaracter21">
    <w:name w:val="Caracter Caracter21"/>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fright">
    <w:name w:val="fright"/>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normal11">
    <w:name w:val="normal1"/>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US"/>
    </w:rPr>
  </w:style>
  <w:style w:type="paragraph" w:customStyle="1" w:styleId="BodyText72">
    <w:name w:val="Body Text7"/>
    <w:basedOn w:val="Normal"/>
    <w:qFormat/>
    <w:rsid w:val="007257E3"/>
    <w:pPr>
      <w:widowControl w:val="0"/>
      <w:shd w:val="clear" w:color="auto" w:fill="FFFFFF"/>
      <w:spacing w:after="240" w:line="269" w:lineRule="exact"/>
      <w:ind w:hanging="400"/>
      <w:jc w:val="right"/>
    </w:pPr>
    <w:rPr>
      <w:rFonts w:eastAsia="Calibri" w:cs="Calibri"/>
      <w:color w:val="000000"/>
      <w:sz w:val="20"/>
      <w:szCs w:val="20"/>
      <w:lang w:eastAsia="en-GB"/>
    </w:rPr>
  </w:style>
  <w:style w:type="paragraph" w:customStyle="1" w:styleId="Texttabel0">
    <w:name w:val="Text tabel"/>
    <w:basedOn w:val="Normal"/>
    <w:qFormat/>
    <w:rsid w:val="007257E3"/>
    <w:pPr>
      <w:widowControl w:val="0"/>
      <w:spacing w:before="60" w:after="60" w:line="240" w:lineRule="auto"/>
      <w:jc w:val="both"/>
    </w:pPr>
    <w:rPr>
      <w:rFonts w:ascii="Times New Roman" w:eastAsia="Times New Roman" w:hAnsi="Times New Roman" w:cs="Times New Roman"/>
      <w:i/>
      <w:sz w:val="20"/>
      <w:szCs w:val="19"/>
      <w:lang w:val="en-GB"/>
    </w:rPr>
  </w:style>
  <w:style w:type="paragraph" w:customStyle="1" w:styleId="Point2">
    <w:name w:val="Point 2"/>
    <w:basedOn w:val="Normal"/>
    <w:qFormat/>
    <w:rsid w:val="007257E3"/>
    <w:pPr>
      <w:spacing w:before="120" w:after="120" w:line="360" w:lineRule="auto"/>
      <w:ind w:left="1984" w:hanging="567"/>
      <w:jc w:val="both"/>
    </w:pPr>
    <w:rPr>
      <w:rFonts w:eastAsia="Times New Roman" w:cs="Times New Roman"/>
      <w:szCs w:val="24"/>
      <w:lang w:eastAsia="de-DE"/>
    </w:rPr>
  </w:style>
  <w:style w:type="paragraph" w:customStyle="1" w:styleId="CharCharChar1CaracterCharCaracterCharCharCaracter">
    <w:name w:val="Char Char Char1 Caracter Char Caracter Char Char Caracter"/>
    <w:basedOn w:val="Normal"/>
    <w:qFormat/>
    <w:rsid w:val="007257E3"/>
    <w:pPr>
      <w:spacing w:before="120" w:after="160" w:line="240" w:lineRule="exact"/>
      <w:jc w:val="both"/>
    </w:pPr>
    <w:rPr>
      <w:rFonts w:ascii="Tahoma" w:eastAsia="Times New Roman" w:hAnsi="Tahoma" w:cs="Times New Roman"/>
      <w:sz w:val="20"/>
      <w:szCs w:val="20"/>
      <w:lang w:val="en-GB"/>
    </w:rPr>
  </w:style>
  <w:style w:type="paragraph" w:customStyle="1" w:styleId="CharChar1CharChar">
    <w:name w:val="Char Char1 Char Char"/>
    <w:basedOn w:val="Normal"/>
    <w:qFormat/>
    <w:rsid w:val="007257E3"/>
    <w:pPr>
      <w:spacing w:before="120" w:after="120" w:line="360" w:lineRule="auto"/>
      <w:jc w:val="both"/>
    </w:pPr>
    <w:rPr>
      <w:rFonts w:eastAsia="Times New Roman" w:cs="Times New Roman"/>
      <w:szCs w:val="24"/>
      <w:lang w:val="pl-PL" w:eastAsia="pl-PL"/>
    </w:rPr>
  </w:style>
  <w:style w:type="paragraph" w:customStyle="1" w:styleId="CharChar2CaracterCharCharCaracterCharCharCaracterCharCharCaracterCaracterCharCharCaracterCharCharCaracterCaracterCharCharCaracterCaracterCharCharCaracterCaracter4">
    <w:name w:val="Char Char2 Caracter Char Char Caracter Char Char Caracter Char Char Caracter Caracter Char Char Caracter Char Char Caracter Caracter Char Char Caracter Caracter Char Char Caracter Caracter4"/>
    <w:basedOn w:val="Normal"/>
    <w:qFormat/>
    <w:rsid w:val="007257E3"/>
    <w:pPr>
      <w:spacing w:before="120" w:after="120" w:line="360" w:lineRule="auto"/>
      <w:jc w:val="both"/>
    </w:pPr>
    <w:rPr>
      <w:rFonts w:eastAsia="Times New Roman" w:cs="Times New Roman"/>
      <w:szCs w:val="24"/>
      <w:lang w:val="pl-PL" w:eastAsia="pl-PL"/>
    </w:rPr>
  </w:style>
  <w:style w:type="character" w:customStyle="1" w:styleId="BodytextboldChar0">
    <w:name w:val="Body text bold Char"/>
    <w:link w:val="Bodytextbold4"/>
    <w:locked/>
    <w:rsid w:val="007257E3"/>
    <w:rPr>
      <w:rFonts w:ascii="Arial Bold" w:hAnsi="Arial Bold"/>
      <w:b/>
    </w:rPr>
  </w:style>
  <w:style w:type="paragraph" w:customStyle="1" w:styleId="Bodytextbold4">
    <w:name w:val="Body text bold"/>
    <w:basedOn w:val="BodyText"/>
    <w:next w:val="BodyText"/>
    <w:link w:val="BodytextboldChar0"/>
    <w:qFormat/>
    <w:rsid w:val="007257E3"/>
    <w:pPr>
      <w:spacing w:before="120" w:after="0" w:line="360" w:lineRule="auto"/>
    </w:pPr>
    <w:rPr>
      <w:rFonts w:ascii="Arial Bold" w:hAnsi="Arial Bold"/>
      <w:b/>
      <w:lang w:val="da-DK"/>
    </w:rPr>
  </w:style>
  <w:style w:type="paragraph" w:customStyle="1" w:styleId="CaracterCharCharCaracterCharCharCaracterCharCharCharCharCaracterCharCharCaracter1">
    <w:name w:val="Caracter Char Char Caracter Char Char Caracter Char Char Char Char Caracter Char Char Caracter1"/>
    <w:basedOn w:val="Normal"/>
    <w:qFormat/>
    <w:rsid w:val="007257E3"/>
    <w:pPr>
      <w:autoSpaceDE w:val="0"/>
      <w:snapToGrid w:val="0"/>
      <w:spacing w:before="120" w:after="120" w:line="360" w:lineRule="auto"/>
      <w:ind w:left="-108"/>
      <w:jc w:val="both"/>
    </w:pPr>
    <w:rPr>
      <w:rFonts w:eastAsia="Times New Roman" w:cs="Times New Roman"/>
      <w:szCs w:val="24"/>
      <w:lang w:val="pl-PL" w:eastAsia="pl-PL"/>
    </w:rPr>
  </w:style>
  <w:style w:type="paragraph" w:customStyle="1" w:styleId="CaracterCaracterCharCaracterCaracterCharCaracterCaracterCharCaracterCaracterCharCaracterCaracter1CharCharCar2">
    <w:name w:val="Caracter Caracter Char Caracter Caracter Char Caracter Caracter Char Caracter Caracter Char Caracter Caracter1 Char Char Car2"/>
    <w:basedOn w:val="Normal"/>
    <w:qFormat/>
    <w:rsid w:val="007257E3"/>
    <w:pPr>
      <w:spacing w:before="120" w:after="120" w:line="360" w:lineRule="auto"/>
      <w:jc w:val="both"/>
    </w:pPr>
    <w:rPr>
      <w:rFonts w:eastAsia="Times New Roman" w:cs="Times New Roman"/>
      <w:szCs w:val="24"/>
      <w:lang w:val="pl-PL" w:eastAsia="pl-PL"/>
    </w:rPr>
  </w:style>
  <w:style w:type="paragraph" w:customStyle="1" w:styleId="nummering1">
    <w:name w:val="nummering 1"/>
    <w:basedOn w:val="Standaardzonderwitregel"/>
    <w:qFormat/>
    <w:rsid w:val="007257E3"/>
    <w:pPr>
      <w:numPr>
        <w:numId w:val="146"/>
      </w:numPr>
      <w:spacing w:after="120"/>
      <w:jc w:val="both"/>
    </w:pPr>
    <w:rPr>
      <w:rFonts w:ascii="Arial" w:hAnsi="Arial"/>
      <w:lang w:val="en-GB" w:eastAsia="en-US"/>
    </w:rPr>
  </w:style>
  <w:style w:type="paragraph" w:customStyle="1" w:styleId="nummering2">
    <w:name w:val="nummering 2"/>
    <w:basedOn w:val="Standaardzonderwitregel"/>
    <w:qFormat/>
    <w:rsid w:val="007257E3"/>
    <w:pPr>
      <w:numPr>
        <w:numId w:val="162"/>
      </w:numPr>
      <w:spacing w:after="120"/>
      <w:jc w:val="both"/>
    </w:pPr>
    <w:rPr>
      <w:rFonts w:ascii="Arial" w:hAnsi="Arial"/>
      <w:lang w:val="en-GB" w:eastAsia="en-US"/>
    </w:rPr>
  </w:style>
  <w:style w:type="paragraph" w:customStyle="1" w:styleId="opsomming1">
    <w:name w:val="opsomming 1"/>
    <w:basedOn w:val="Standaardzonderwitregel"/>
    <w:qFormat/>
    <w:rsid w:val="007257E3"/>
    <w:pPr>
      <w:numPr>
        <w:numId w:val="147"/>
      </w:numPr>
      <w:tabs>
        <w:tab w:val="clear" w:pos="360"/>
        <w:tab w:val="left" w:pos="357"/>
      </w:tabs>
      <w:spacing w:after="120"/>
      <w:jc w:val="both"/>
    </w:pPr>
    <w:rPr>
      <w:rFonts w:ascii="Arial" w:hAnsi="Arial"/>
      <w:lang w:val="en-GB" w:eastAsia="en-US"/>
    </w:rPr>
  </w:style>
  <w:style w:type="paragraph" w:customStyle="1" w:styleId="opsomming2">
    <w:name w:val="opsomming 2"/>
    <w:basedOn w:val="opsomming1"/>
    <w:qFormat/>
    <w:rsid w:val="007257E3"/>
    <w:pPr>
      <w:numPr>
        <w:numId w:val="0"/>
      </w:numPr>
      <w:tabs>
        <w:tab w:val="left" w:pos="357"/>
      </w:tabs>
      <w:ind w:left="720" w:hanging="360"/>
    </w:pPr>
  </w:style>
  <w:style w:type="paragraph" w:customStyle="1" w:styleId="plaatje">
    <w:name w:val="plaatje"/>
    <w:basedOn w:val="Normal"/>
    <w:next w:val="Normal"/>
    <w:qFormat/>
    <w:rsid w:val="007257E3"/>
    <w:pPr>
      <w:spacing w:before="252" w:after="120" w:line="240" w:lineRule="atLeast"/>
      <w:jc w:val="both"/>
    </w:pPr>
    <w:rPr>
      <w:rFonts w:ascii="Arial" w:eastAsia="Times New Roman" w:hAnsi="Arial" w:cs="Times New Roman"/>
      <w:b/>
      <w:sz w:val="21"/>
      <w:szCs w:val="20"/>
      <w:lang w:val="en-GB"/>
    </w:rPr>
  </w:style>
  <w:style w:type="paragraph" w:customStyle="1" w:styleId="Rapporttitel">
    <w:name w:val="Rapporttitel"/>
    <w:basedOn w:val="Standaardzonderwitregel"/>
    <w:next w:val="Normal"/>
    <w:qFormat/>
    <w:rsid w:val="007257E3"/>
    <w:pPr>
      <w:spacing w:after="120" w:line="400" w:lineRule="exact"/>
      <w:jc w:val="both"/>
    </w:pPr>
    <w:rPr>
      <w:rFonts w:ascii="Arial" w:hAnsi="Arial"/>
      <w:b/>
      <w:sz w:val="32"/>
      <w:lang w:val="en-GB" w:eastAsia="en-US"/>
    </w:rPr>
  </w:style>
  <w:style w:type="paragraph" w:customStyle="1" w:styleId="tabelkopje">
    <w:name w:val="tabelkopje"/>
    <w:basedOn w:val="Standaardzonderwitregel"/>
    <w:qFormat/>
    <w:rsid w:val="007257E3"/>
    <w:pPr>
      <w:spacing w:after="120"/>
    </w:pPr>
    <w:rPr>
      <w:rFonts w:ascii="Arial" w:hAnsi="Arial"/>
      <w:b/>
      <w:sz w:val="16"/>
      <w:lang w:val="en-GB" w:eastAsia="en-US"/>
    </w:rPr>
  </w:style>
  <w:style w:type="paragraph" w:customStyle="1" w:styleId="Inspringen1">
    <w:name w:val="Inspringen1"/>
    <w:basedOn w:val="Standaardzonderwitregel"/>
    <w:qFormat/>
    <w:rsid w:val="007257E3"/>
    <w:pPr>
      <w:spacing w:after="120"/>
      <w:ind w:left="357"/>
      <w:jc w:val="both"/>
    </w:pPr>
    <w:rPr>
      <w:rFonts w:ascii="Arial" w:hAnsi="Arial"/>
      <w:lang w:val="en-GB" w:eastAsia="en-US"/>
    </w:rPr>
  </w:style>
  <w:style w:type="paragraph" w:customStyle="1" w:styleId="Inspringen2">
    <w:name w:val="Inspringen2"/>
    <w:basedOn w:val="Inspringen1"/>
    <w:qFormat/>
    <w:rsid w:val="007257E3"/>
    <w:pPr>
      <w:ind w:left="714"/>
    </w:pPr>
  </w:style>
  <w:style w:type="paragraph" w:customStyle="1" w:styleId="kleinkopje">
    <w:name w:val="kleinkopje"/>
    <w:basedOn w:val="Normal"/>
    <w:qFormat/>
    <w:rsid w:val="007257E3"/>
    <w:pPr>
      <w:tabs>
        <w:tab w:val="left" w:pos="567"/>
        <w:tab w:val="left" w:pos="1134"/>
        <w:tab w:val="left" w:pos="1701"/>
        <w:tab w:val="left" w:pos="2268"/>
        <w:tab w:val="left" w:pos="3402"/>
        <w:tab w:val="left" w:pos="4536"/>
        <w:tab w:val="right" w:pos="9356"/>
      </w:tabs>
      <w:spacing w:after="120" w:line="240" w:lineRule="auto"/>
      <w:jc w:val="both"/>
    </w:pPr>
    <w:rPr>
      <w:rFonts w:ascii="Arial" w:eastAsia="Times New Roman" w:hAnsi="Arial" w:cs="Times New Roman"/>
      <w:b/>
      <w:sz w:val="12"/>
      <w:szCs w:val="20"/>
      <w:lang w:val="en-GB"/>
    </w:rPr>
  </w:style>
  <w:style w:type="paragraph" w:customStyle="1" w:styleId="x">
    <w:name w:val="x"/>
    <w:basedOn w:val="Standaardzonderwitregel"/>
    <w:qFormat/>
    <w:rsid w:val="007257E3"/>
    <w:pPr>
      <w:spacing w:after="120" w:line="240" w:lineRule="exact"/>
      <w:jc w:val="both"/>
    </w:pPr>
    <w:rPr>
      <w:rFonts w:ascii="Arial" w:hAnsi="Arial"/>
      <w:b/>
      <w:sz w:val="12"/>
      <w:lang w:val="en-GB" w:eastAsia="en-US"/>
    </w:rPr>
  </w:style>
  <w:style w:type="paragraph" w:customStyle="1" w:styleId="inspringen3">
    <w:name w:val="inspringen3"/>
    <w:basedOn w:val="Standaardzonderwitregel"/>
    <w:qFormat/>
    <w:rsid w:val="007257E3"/>
    <w:pPr>
      <w:spacing w:after="120"/>
      <w:ind w:left="1072"/>
      <w:jc w:val="both"/>
    </w:pPr>
    <w:rPr>
      <w:rFonts w:ascii="Arial" w:hAnsi="Arial"/>
      <w:lang w:val="en-GB" w:eastAsia="en-US"/>
    </w:rPr>
  </w:style>
  <w:style w:type="paragraph" w:customStyle="1" w:styleId="nummering3">
    <w:name w:val="nummering 3"/>
    <w:basedOn w:val="Standaardzonderwitregel"/>
    <w:qFormat/>
    <w:rsid w:val="007257E3"/>
    <w:pPr>
      <w:numPr>
        <w:numId w:val="148"/>
      </w:numPr>
      <w:spacing w:after="120"/>
      <w:jc w:val="both"/>
    </w:pPr>
    <w:rPr>
      <w:rFonts w:ascii="Arial" w:hAnsi="Arial"/>
      <w:lang w:val="en-GB" w:eastAsia="en-US"/>
    </w:rPr>
  </w:style>
  <w:style w:type="paragraph" w:customStyle="1" w:styleId="opsomming3">
    <w:name w:val="opsomming 3"/>
    <w:basedOn w:val="Standaardzonderwitregel"/>
    <w:qFormat/>
    <w:rsid w:val="007257E3"/>
    <w:pPr>
      <w:numPr>
        <w:numId w:val="149"/>
      </w:numPr>
      <w:spacing w:after="120"/>
      <w:jc w:val="both"/>
    </w:pPr>
    <w:rPr>
      <w:rFonts w:ascii="Arial" w:hAnsi="Arial"/>
      <w:lang w:val="en-GB" w:eastAsia="en-US"/>
    </w:rPr>
  </w:style>
  <w:style w:type="paragraph" w:customStyle="1" w:styleId="opsomming0">
    <w:name w:val="opsomming0"/>
    <w:basedOn w:val="Standaardzonderwitregel"/>
    <w:qFormat/>
    <w:rsid w:val="007257E3"/>
    <w:pPr>
      <w:spacing w:after="120"/>
      <w:jc w:val="both"/>
    </w:pPr>
    <w:rPr>
      <w:rFonts w:ascii="Arial" w:hAnsi="Arial"/>
      <w:lang w:val="en-GB" w:eastAsia="en-US"/>
    </w:rPr>
  </w:style>
  <w:style w:type="paragraph" w:customStyle="1" w:styleId="dockoptekst">
    <w:name w:val="dockoptekst"/>
    <w:basedOn w:val="Normal"/>
    <w:qFormat/>
    <w:rsid w:val="007257E3"/>
    <w:pPr>
      <w:spacing w:before="40" w:after="120" w:line="240" w:lineRule="atLeast"/>
      <w:jc w:val="both"/>
    </w:pPr>
    <w:rPr>
      <w:rFonts w:ascii="Arial" w:eastAsia="Times New Roman" w:hAnsi="Arial" w:cs="Times New Roman"/>
      <w:b/>
      <w:sz w:val="28"/>
      <w:szCs w:val="20"/>
      <w:lang w:val="en-GB"/>
    </w:rPr>
  </w:style>
  <w:style w:type="paragraph" w:customStyle="1" w:styleId="AGPNR">
    <w:name w:val="AGPNR"/>
    <w:basedOn w:val="Normal"/>
    <w:next w:val="opsomming0"/>
    <w:qFormat/>
    <w:rsid w:val="007257E3"/>
    <w:pPr>
      <w:spacing w:before="252" w:after="120" w:line="240" w:lineRule="atLeast"/>
      <w:jc w:val="both"/>
    </w:pPr>
    <w:rPr>
      <w:rFonts w:ascii="Arial" w:eastAsia="Times New Roman" w:hAnsi="Arial" w:cs="Times New Roman"/>
      <w:b/>
      <w:sz w:val="21"/>
      <w:szCs w:val="20"/>
      <w:lang w:val="en-GB"/>
    </w:rPr>
  </w:style>
  <w:style w:type="paragraph" w:customStyle="1" w:styleId="AGPTI">
    <w:name w:val="AGPTI"/>
    <w:basedOn w:val="Normal"/>
    <w:next w:val="Standaardzonderwitregel"/>
    <w:qFormat/>
    <w:rsid w:val="007257E3"/>
    <w:pPr>
      <w:spacing w:before="252" w:after="120" w:line="240" w:lineRule="atLeast"/>
      <w:jc w:val="both"/>
    </w:pPr>
    <w:rPr>
      <w:rFonts w:ascii="Arial" w:eastAsia="Times New Roman" w:hAnsi="Arial" w:cs="Times New Roman"/>
      <w:b/>
      <w:sz w:val="21"/>
      <w:szCs w:val="20"/>
      <w:lang w:val="en-GB"/>
    </w:rPr>
  </w:style>
  <w:style w:type="paragraph" w:customStyle="1" w:styleId="bijlagekolom">
    <w:name w:val="bijlagekolom"/>
    <w:basedOn w:val="opsomming0"/>
    <w:qFormat/>
    <w:rsid w:val="007257E3"/>
    <w:pPr>
      <w:spacing w:before="240"/>
    </w:pPr>
  </w:style>
  <w:style w:type="paragraph" w:customStyle="1" w:styleId="BijlageNr">
    <w:name w:val="BijlageNr"/>
    <w:basedOn w:val="Standaardzonderwitregel"/>
    <w:qFormat/>
    <w:rsid w:val="007257E3"/>
    <w:pPr>
      <w:tabs>
        <w:tab w:val="left" w:pos="340"/>
      </w:tabs>
      <w:spacing w:after="120"/>
      <w:jc w:val="both"/>
    </w:pPr>
    <w:rPr>
      <w:rFonts w:ascii="Arial" w:hAnsi="Arial"/>
      <w:b/>
      <w:caps/>
      <w:lang w:val="en-GB" w:eastAsia="en-US"/>
    </w:rPr>
  </w:style>
  <w:style w:type="paragraph" w:customStyle="1" w:styleId="ManagementSamenvatting">
    <w:name w:val="ManagementSamenvatting"/>
    <w:basedOn w:val="Title"/>
    <w:next w:val="Normal"/>
    <w:qFormat/>
    <w:rsid w:val="007257E3"/>
    <w:pPr>
      <w:tabs>
        <w:tab w:val="left" w:pos="482"/>
      </w:tabs>
      <w:suppressAutoHyphens/>
      <w:spacing w:after="120" w:line="264" w:lineRule="auto"/>
      <w:ind w:left="425" w:hanging="425"/>
      <w:contextualSpacing w:val="0"/>
      <w:outlineLvl w:val="0"/>
    </w:pPr>
    <w:rPr>
      <w:rFonts w:ascii="Arial" w:eastAsia="Times New Roman" w:hAnsi="Arial" w:cs="Times New Roman"/>
      <w:sz w:val="21"/>
      <w:szCs w:val="20"/>
      <w:lang w:val="en-GB"/>
    </w:rPr>
  </w:style>
  <w:style w:type="paragraph" w:customStyle="1" w:styleId="KopIV">
    <w:name w:val="KopIV"/>
    <w:basedOn w:val="Heading6"/>
    <w:next w:val="Standaardzonderwitregel"/>
    <w:qFormat/>
    <w:rsid w:val="007257E3"/>
    <w:pPr>
      <w:keepNext w:val="0"/>
      <w:keepLines w:val="0"/>
      <w:numPr>
        <w:ilvl w:val="3"/>
        <w:numId w:val="152"/>
      </w:numPr>
      <w:tabs>
        <w:tab w:val="num" w:pos="1492"/>
      </w:tabs>
      <w:spacing w:before="252" w:line="240" w:lineRule="atLeast"/>
      <w:contextualSpacing w:val="0"/>
      <w:jc w:val="both"/>
      <w:outlineLvl w:val="3"/>
    </w:pPr>
    <w:rPr>
      <w:rFonts w:ascii="Arial" w:eastAsia="Times New Roman" w:hAnsi="Arial" w:cs="Times New Roman"/>
      <w:i/>
      <w:iCs w:val="0"/>
      <w:color w:val="0070C0"/>
      <w:sz w:val="21"/>
      <w:szCs w:val="20"/>
      <w:lang w:val="en-GB"/>
    </w:rPr>
  </w:style>
  <w:style w:type="paragraph" w:customStyle="1" w:styleId="TitelBijlage">
    <w:name w:val="TitelBijlage"/>
    <w:basedOn w:val="Normal"/>
    <w:next w:val="Normal"/>
    <w:qFormat/>
    <w:rsid w:val="007257E3"/>
    <w:pPr>
      <w:tabs>
        <w:tab w:val="left" w:pos="284"/>
      </w:tabs>
      <w:spacing w:after="120" w:line="20" w:lineRule="atLeast"/>
      <w:jc w:val="both"/>
    </w:pPr>
    <w:rPr>
      <w:rFonts w:ascii="Arial" w:eastAsia="Times New Roman" w:hAnsi="Arial" w:cs="Times New Roman"/>
      <w:b/>
      <w:sz w:val="21"/>
      <w:szCs w:val="20"/>
      <w:lang w:val="en-GB"/>
    </w:rPr>
  </w:style>
  <w:style w:type="paragraph" w:customStyle="1" w:styleId="bvkop3">
    <w:name w:val="bvkop3"/>
    <w:basedOn w:val="Heading3"/>
    <w:next w:val="Standaardzonderwitregel"/>
    <w:qFormat/>
    <w:rsid w:val="007257E3"/>
    <w:pPr>
      <w:numPr>
        <w:ilvl w:val="0"/>
        <w:numId w:val="0"/>
      </w:numPr>
      <w:tabs>
        <w:tab w:val="left" w:pos="964"/>
        <w:tab w:val="left" w:pos="1418"/>
        <w:tab w:val="right" w:pos="10036"/>
      </w:tabs>
      <w:spacing w:before="252" w:after="120" w:line="240" w:lineRule="atLeast"/>
      <w:contextualSpacing w:val="0"/>
      <w:jc w:val="both"/>
    </w:pPr>
    <w:rPr>
      <w:rFonts w:eastAsia="Calibri" w:cs="Times New Roman"/>
      <w:b/>
      <w:bCs w:val="0"/>
      <w:szCs w:val="20"/>
      <w:lang w:val="en-GB" w:eastAsia="da-DK"/>
    </w:rPr>
  </w:style>
  <w:style w:type="paragraph" w:customStyle="1" w:styleId="bskop5">
    <w:name w:val="bskop5"/>
    <w:basedOn w:val="bvkop5"/>
    <w:next w:val="Standaardzonderwitregel"/>
    <w:qFormat/>
    <w:rsid w:val="007257E3"/>
    <w:pPr>
      <w:keepNext w:val="0"/>
      <w:numPr>
        <w:ilvl w:val="2"/>
        <w:numId w:val="150"/>
      </w:numPr>
      <w:tabs>
        <w:tab w:val="clear" w:pos="1077"/>
        <w:tab w:val="clear" w:pos="10036"/>
        <w:tab w:val="num" w:pos="360"/>
      </w:tabs>
    </w:pPr>
  </w:style>
  <w:style w:type="paragraph" w:customStyle="1" w:styleId="ncheierefuncie">
    <w:name w:val="încheiere_funcţie"/>
    <w:basedOn w:val="Normal"/>
    <w:qFormat/>
    <w:rsid w:val="007257E3"/>
    <w:pPr>
      <w:spacing w:after="120" w:line="240" w:lineRule="auto"/>
      <w:jc w:val="both"/>
    </w:pPr>
    <w:rPr>
      <w:rFonts w:ascii="Arial" w:eastAsia="Times New Roman" w:hAnsi="Arial" w:cs="Times New Roman"/>
      <w:szCs w:val="20"/>
      <w:lang w:val="en-GB"/>
    </w:rPr>
  </w:style>
  <w:style w:type="paragraph" w:customStyle="1" w:styleId="CaracterCharCharCaracterCaracterCharCharCharCharChar1CharCharCharCharCharChar1">
    <w:name w:val="Caracter Char Char Caracter Caracter Char Char Char Char Char1 Char Char Char Char Char Char1"/>
    <w:basedOn w:val="Normal"/>
    <w:qFormat/>
    <w:rsid w:val="007257E3"/>
    <w:pPr>
      <w:spacing w:after="160" w:line="240" w:lineRule="exact"/>
      <w:jc w:val="both"/>
    </w:pPr>
    <w:rPr>
      <w:rFonts w:eastAsia="Times New Roman" w:cs="Times New Roman"/>
      <w:sz w:val="20"/>
      <w:szCs w:val="20"/>
      <w:lang w:val="en-US"/>
    </w:rPr>
  </w:style>
  <w:style w:type="paragraph" w:customStyle="1" w:styleId="CharChar2CaracterCharCharCaracterCharCharCaracterCharCharCaracterCaracterCharCharCaracterCharCharCaracterCaracterCharCharCaracterCaracterCharCharCaracterCaracter3">
    <w:name w:val="Char Char2 Caracter Char Char Caracter Char Char Caracter Char Char Caracter Caracter Char Char Caracter Char Char Caracter Caracter Char Char Caracter Caracter Char Char Caracter Caracter3"/>
    <w:basedOn w:val="Normal"/>
    <w:qFormat/>
    <w:rsid w:val="007257E3"/>
    <w:pPr>
      <w:spacing w:after="120" w:line="240" w:lineRule="auto"/>
      <w:jc w:val="both"/>
    </w:pPr>
    <w:rPr>
      <w:rFonts w:ascii="Times New Roman" w:eastAsia="Times New Roman" w:hAnsi="Times New Roman" w:cs="Times New Roman"/>
      <w:sz w:val="24"/>
      <w:szCs w:val="24"/>
      <w:lang w:val="pl-PL" w:eastAsia="pl-PL"/>
    </w:rPr>
  </w:style>
  <w:style w:type="paragraph" w:customStyle="1" w:styleId="CharChar2CaracterCharCharCaracterCharCharCaracterCharCharCaracterCaracterCharCharCaracterCharCharCaracterCaracterCharCharCaracterCaracterCharCharCaracterCaracter2">
    <w:name w:val="Char Char2 Caracter Char Char Caracter Char Char Caracter Char Char Caracter Caracter Char Char Caracter Char Char Caracter Caracter Char Char Caracter Caracter Char Char Caracter Caracter2"/>
    <w:basedOn w:val="Normal"/>
    <w:qFormat/>
    <w:rsid w:val="007257E3"/>
    <w:pPr>
      <w:spacing w:after="120" w:line="240" w:lineRule="auto"/>
      <w:jc w:val="both"/>
    </w:pPr>
    <w:rPr>
      <w:rFonts w:ascii="Times New Roman" w:eastAsia="Times New Roman" w:hAnsi="Times New Roman" w:cs="Times New Roman"/>
      <w:sz w:val="24"/>
      <w:szCs w:val="24"/>
      <w:lang w:val="pl-PL" w:eastAsia="pl-PL"/>
    </w:rPr>
  </w:style>
  <w:style w:type="paragraph" w:customStyle="1" w:styleId="yiv6515723111msonormal">
    <w:name w:val="yiv6515723111msonormal"/>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eastAsia="ro-RO"/>
    </w:rPr>
  </w:style>
  <w:style w:type="paragraph" w:customStyle="1" w:styleId="yiv6515723111msolistparagraph">
    <w:name w:val="yiv6515723111msolistparagraph"/>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eastAsia="ro-RO"/>
    </w:rPr>
  </w:style>
  <w:style w:type="character" w:customStyle="1" w:styleId="E1Char1CaracterCaracter">
    <w:name w:val="E1 Char1 Caracter Caracter"/>
    <w:link w:val="E1Char1Caracter"/>
    <w:locked/>
    <w:rsid w:val="007257E3"/>
    <w:rPr>
      <w:rFonts w:ascii="Arial" w:eastAsia="SimSun" w:hAnsi="Arial"/>
      <w:lang w:val="de-DE" w:eastAsia="de-DE"/>
    </w:rPr>
  </w:style>
  <w:style w:type="paragraph" w:customStyle="1" w:styleId="E1Char1Caracter">
    <w:name w:val="E1 Char1 Caracter"/>
    <w:basedOn w:val="Normal"/>
    <w:link w:val="E1Char1CaracterCaracter"/>
    <w:qFormat/>
    <w:rsid w:val="007257E3"/>
    <w:pPr>
      <w:overflowPunct w:val="0"/>
      <w:autoSpaceDE w:val="0"/>
      <w:autoSpaceDN w:val="0"/>
      <w:adjustRightInd w:val="0"/>
      <w:spacing w:after="160" w:line="320" w:lineRule="atLeast"/>
      <w:ind w:left="851"/>
      <w:jc w:val="both"/>
    </w:pPr>
    <w:rPr>
      <w:rFonts w:ascii="Arial" w:eastAsia="SimSun" w:hAnsi="Arial"/>
      <w:lang w:val="de-DE" w:eastAsia="de-DE"/>
    </w:rPr>
  </w:style>
  <w:style w:type="character" w:customStyle="1" w:styleId="Style168Char">
    <w:name w:val="Style168 Char"/>
    <w:link w:val="Style168"/>
    <w:locked/>
    <w:rsid w:val="007257E3"/>
    <w:rPr>
      <w:rFonts w:eastAsia="Calibri"/>
      <w:bCs/>
      <w:iCs/>
      <w:lang w:val="fr-FR" w:eastAsia="da-DK"/>
    </w:rPr>
  </w:style>
  <w:style w:type="paragraph" w:customStyle="1" w:styleId="Style168">
    <w:name w:val="Style168"/>
    <w:basedOn w:val="Heading5"/>
    <w:link w:val="Style168Char"/>
    <w:qFormat/>
    <w:rsid w:val="007257E3"/>
    <w:pPr>
      <w:keepLines w:val="0"/>
      <w:numPr>
        <w:numId w:val="151"/>
      </w:numPr>
      <w:tabs>
        <w:tab w:val="num" w:pos="1492"/>
      </w:tabs>
      <w:spacing w:before="360" w:after="60" w:line="360" w:lineRule="auto"/>
      <w:contextualSpacing w:val="0"/>
      <w:jc w:val="both"/>
    </w:pPr>
    <w:rPr>
      <w:rFonts w:eastAsia="Calibri" w:cstheme="minorBidi"/>
      <w:bCs/>
      <w:iCs/>
      <w:u w:val="none"/>
      <w:lang w:val="fr-FR" w:eastAsia="da-DK"/>
    </w:rPr>
  </w:style>
  <w:style w:type="paragraph" w:customStyle="1" w:styleId="c5">
    <w:name w:val="c5"/>
    <w:basedOn w:val="Normal"/>
    <w:qFormat/>
    <w:rsid w:val="007257E3"/>
    <w:pPr>
      <w:spacing w:after="120" w:line="240" w:lineRule="auto"/>
      <w:jc w:val="both"/>
    </w:pPr>
    <w:rPr>
      <w:rFonts w:ascii="Arial" w:eastAsia="Times New Roman" w:hAnsi="Arial" w:cs="Arial"/>
      <w:color w:val="000000"/>
      <w:szCs w:val="22"/>
      <w:lang w:val="en-US"/>
    </w:rPr>
  </w:style>
  <w:style w:type="paragraph" w:customStyle="1" w:styleId="BodyTextItalic1">
    <w:name w:val="Body Text + Italic"/>
    <w:basedOn w:val="BodyText"/>
    <w:next w:val="BodyText"/>
    <w:autoRedefine/>
    <w:qFormat/>
    <w:rsid w:val="007257E3"/>
    <w:pPr>
      <w:spacing w:before="120" w:line="240" w:lineRule="exact"/>
      <w:jc w:val="both"/>
    </w:pPr>
    <w:rPr>
      <w:rFonts w:ascii="Arial" w:eastAsia="Times New Roman" w:hAnsi="Arial" w:cs="Times New Roman"/>
      <w:b/>
      <w:sz w:val="16"/>
      <w:szCs w:val="16"/>
      <w:lang w:val="it-IT"/>
    </w:rPr>
  </w:style>
  <w:style w:type="paragraph" w:customStyle="1" w:styleId="StyleBodyText8ptBefore0ptLinespacingsingle">
    <w:name w:val="Style Body Text + 8 pt Before:  0 pt Line spacing:  single"/>
    <w:basedOn w:val="BodyText"/>
    <w:qFormat/>
    <w:rsid w:val="007257E3"/>
    <w:pPr>
      <w:tabs>
        <w:tab w:val="left" w:pos="415"/>
        <w:tab w:val="left" w:pos="4860"/>
        <w:tab w:val="right" w:leader="dot" w:pos="9900"/>
      </w:tabs>
      <w:autoSpaceDE w:val="0"/>
      <w:autoSpaceDN w:val="0"/>
      <w:adjustRightInd w:val="0"/>
      <w:spacing w:after="0" w:line="240" w:lineRule="auto"/>
      <w:jc w:val="both"/>
    </w:pPr>
    <w:rPr>
      <w:rFonts w:ascii="Arial" w:eastAsia="Times New Roman" w:hAnsi="Arial" w:cs="Times New Roman"/>
      <w:b/>
      <w:i/>
      <w:sz w:val="16"/>
      <w:szCs w:val="16"/>
      <w:lang w:val="en-GB"/>
    </w:rPr>
  </w:style>
  <w:style w:type="paragraph" w:customStyle="1" w:styleId="StyleBoldCentered">
    <w:name w:val="Style Bold Centered"/>
    <w:basedOn w:val="Normal"/>
    <w:qFormat/>
    <w:rsid w:val="007257E3"/>
    <w:pPr>
      <w:spacing w:before="120" w:after="120" w:line="360" w:lineRule="auto"/>
      <w:jc w:val="center"/>
    </w:pPr>
    <w:rPr>
      <w:rFonts w:ascii="Arial" w:eastAsia="Times New Roman" w:hAnsi="Arial" w:cs="Times New Roman"/>
      <w:b/>
      <w:bCs/>
      <w:sz w:val="20"/>
      <w:szCs w:val="20"/>
      <w:lang w:val="en-US"/>
    </w:rPr>
  </w:style>
  <w:style w:type="paragraph" w:customStyle="1" w:styleId="Tabheader">
    <w:name w:val="Tab_header"/>
    <w:basedOn w:val="Normal"/>
    <w:next w:val="Normal"/>
    <w:qFormat/>
    <w:rsid w:val="007257E3"/>
    <w:pPr>
      <w:spacing w:before="240" w:after="60" w:line="288" w:lineRule="auto"/>
      <w:jc w:val="both"/>
    </w:pPr>
    <w:rPr>
      <w:rFonts w:ascii="Arial" w:eastAsia="Times New Roman" w:hAnsi="Arial" w:cs="Times New Roman"/>
      <w:szCs w:val="20"/>
      <w:lang w:val="en-GB" w:eastAsia="de-DE"/>
    </w:rPr>
  </w:style>
  <w:style w:type="paragraph" w:customStyle="1" w:styleId="Tabparabold">
    <w:name w:val="Tab_para_bold"/>
    <w:basedOn w:val="Normal"/>
    <w:qFormat/>
    <w:rsid w:val="007257E3"/>
    <w:pPr>
      <w:tabs>
        <w:tab w:val="left" w:pos="284"/>
      </w:tabs>
      <w:spacing w:before="120" w:after="120" w:line="288" w:lineRule="auto"/>
      <w:jc w:val="both"/>
    </w:pPr>
    <w:rPr>
      <w:rFonts w:ascii="Arial" w:eastAsia="Times New Roman" w:hAnsi="Arial" w:cs="Times New Roman"/>
      <w:lang w:val="en-GB" w:eastAsia="de-DE"/>
    </w:rPr>
  </w:style>
  <w:style w:type="paragraph" w:customStyle="1" w:styleId="Textkrper">
    <w:name w:val="Textkörper"/>
    <w:basedOn w:val="Normal"/>
    <w:next w:val="Normal"/>
    <w:qFormat/>
    <w:rsid w:val="007257E3"/>
    <w:pPr>
      <w:autoSpaceDE w:val="0"/>
      <w:autoSpaceDN w:val="0"/>
      <w:adjustRightInd w:val="0"/>
      <w:spacing w:before="120" w:after="120" w:line="360" w:lineRule="auto"/>
      <w:jc w:val="both"/>
    </w:pPr>
    <w:rPr>
      <w:rFonts w:ascii="Arial" w:eastAsia="Times New Roman" w:hAnsi="Arial" w:cs="Times New Roman"/>
      <w:sz w:val="20"/>
      <w:szCs w:val="20"/>
      <w:lang w:val="en-US"/>
    </w:rPr>
  </w:style>
  <w:style w:type="character" w:customStyle="1" w:styleId="sourceChar">
    <w:name w:val="source Char"/>
    <w:link w:val="source0"/>
    <w:locked/>
    <w:rsid w:val="007257E3"/>
    <w:rPr>
      <w:rFonts w:ascii="Arial" w:hAnsi="Arial"/>
      <w:sz w:val="16"/>
      <w:szCs w:val="16"/>
      <w:lang w:val="en-GB"/>
    </w:rPr>
  </w:style>
  <w:style w:type="paragraph" w:customStyle="1" w:styleId="source0">
    <w:name w:val="source"/>
    <w:basedOn w:val="Normal"/>
    <w:link w:val="sourceChar"/>
    <w:autoRedefine/>
    <w:qFormat/>
    <w:rsid w:val="007257E3"/>
    <w:pPr>
      <w:spacing w:before="120" w:after="120" w:line="360" w:lineRule="auto"/>
      <w:jc w:val="both"/>
    </w:pPr>
    <w:rPr>
      <w:rFonts w:ascii="Arial" w:hAnsi="Arial"/>
      <w:sz w:val="16"/>
      <w:szCs w:val="16"/>
      <w:lang w:val="en-GB"/>
    </w:rPr>
  </w:style>
  <w:style w:type="paragraph" w:customStyle="1" w:styleId="Comment">
    <w:name w:val="Comment"/>
    <w:basedOn w:val="Normal"/>
    <w:qFormat/>
    <w:rsid w:val="007257E3"/>
    <w:pPr>
      <w:spacing w:before="120" w:after="120" w:line="360" w:lineRule="auto"/>
      <w:jc w:val="both"/>
    </w:pPr>
    <w:rPr>
      <w:rFonts w:ascii="Arial" w:eastAsia="Times New Roman" w:hAnsi="Arial" w:cs="Times New Roman"/>
      <w:color w:val="FF0000"/>
      <w:sz w:val="20"/>
      <w:szCs w:val="20"/>
      <w:lang w:val="en-GB" w:eastAsia="de-DE"/>
    </w:rPr>
  </w:style>
  <w:style w:type="paragraph" w:customStyle="1" w:styleId="StyleHeading1Left0Firstline0">
    <w:name w:val="Style Heading 1 + Left:  0&quot; First line:  0&quot;"/>
    <w:basedOn w:val="Heading1"/>
    <w:autoRedefine/>
    <w:qFormat/>
    <w:rsid w:val="007257E3"/>
    <w:pPr>
      <w:keepNext w:val="0"/>
      <w:keepLines w:val="0"/>
      <w:numPr>
        <w:numId w:val="0"/>
      </w:numPr>
      <w:tabs>
        <w:tab w:val="left" w:pos="432"/>
        <w:tab w:val="num" w:pos="643"/>
      </w:tabs>
      <w:suppressAutoHyphens w:val="0"/>
      <w:spacing w:before="720" w:after="360" w:line="260" w:lineRule="exact"/>
      <w:ind w:left="643" w:hanging="360"/>
      <w:contextualSpacing w:val="0"/>
      <w:jc w:val="both"/>
    </w:pPr>
    <w:rPr>
      <w:rFonts w:eastAsia="Times New Roman" w:cs="Times New Roman"/>
      <w:b/>
      <w:color w:val="4472C4"/>
      <w:sz w:val="20"/>
      <w:szCs w:val="22"/>
      <w:lang w:val="en-US"/>
    </w:rPr>
  </w:style>
  <w:style w:type="paragraph" w:customStyle="1" w:styleId="Char1CharCharChar">
    <w:name w:val="Char1 Char Char Char"/>
    <w:basedOn w:val="Normal"/>
    <w:qFormat/>
    <w:rsid w:val="007257E3"/>
    <w:pPr>
      <w:spacing w:before="120" w:after="120" w:line="360" w:lineRule="auto"/>
      <w:jc w:val="center"/>
    </w:pPr>
    <w:rPr>
      <w:rFonts w:ascii="Times New Roman" w:eastAsia="Times New Roman" w:hAnsi="Times New Roman" w:cs="Times New Roman"/>
      <w:sz w:val="20"/>
      <w:szCs w:val="20"/>
      <w:lang w:val="pl-PL" w:eastAsia="pl-PL"/>
    </w:rPr>
  </w:style>
  <w:style w:type="paragraph" w:customStyle="1" w:styleId="tabletextbold">
    <w:name w:val="table text bold"/>
    <w:basedOn w:val="Tabletext"/>
    <w:autoRedefine/>
    <w:qFormat/>
    <w:rsid w:val="007257E3"/>
    <w:pPr>
      <w:tabs>
        <w:tab w:val="clear" w:pos="415"/>
        <w:tab w:val="clear" w:pos="9900"/>
      </w:tabs>
      <w:autoSpaceDE/>
      <w:autoSpaceDN/>
      <w:adjustRightInd/>
      <w:spacing w:after="120" w:line="240" w:lineRule="auto"/>
      <w:jc w:val="both"/>
    </w:pPr>
    <w:rPr>
      <w:rFonts w:ascii="Arial" w:hAnsi="Arial"/>
      <w:b/>
      <w:color w:val="FF0000"/>
      <w:lang w:eastAsia="en-US"/>
    </w:rPr>
  </w:style>
  <w:style w:type="paragraph" w:customStyle="1" w:styleId="tabletextcenter">
    <w:name w:val="table text center"/>
    <w:basedOn w:val="Tabletext"/>
    <w:autoRedefine/>
    <w:qFormat/>
    <w:rsid w:val="007257E3"/>
    <w:pPr>
      <w:tabs>
        <w:tab w:val="clear" w:pos="415"/>
        <w:tab w:val="clear" w:pos="9900"/>
      </w:tabs>
      <w:autoSpaceDE/>
      <w:autoSpaceDN/>
      <w:adjustRightInd/>
      <w:spacing w:after="120"/>
      <w:jc w:val="both"/>
    </w:pPr>
    <w:rPr>
      <w:rFonts w:ascii="Arial" w:hAnsi="Arial"/>
      <w:szCs w:val="18"/>
      <w:lang w:val="ro-RO" w:eastAsia="en-US"/>
    </w:rPr>
  </w:style>
  <w:style w:type="paragraph" w:customStyle="1" w:styleId="Tabletexttitle">
    <w:name w:val="Table text title"/>
    <w:basedOn w:val="BodyText"/>
    <w:qFormat/>
    <w:rsid w:val="007257E3"/>
    <w:pPr>
      <w:tabs>
        <w:tab w:val="left" w:pos="425"/>
      </w:tabs>
      <w:spacing w:before="120" w:line="240" w:lineRule="auto"/>
      <w:jc w:val="center"/>
    </w:pPr>
    <w:rPr>
      <w:rFonts w:ascii="Arial Bold" w:eastAsia="Times New Roman" w:hAnsi="Arial Bold" w:cs="Times New Roman"/>
      <w:i/>
      <w:szCs w:val="24"/>
    </w:rPr>
  </w:style>
  <w:style w:type="paragraph" w:customStyle="1" w:styleId="CharChar13CharChar">
    <w:name w:val="Char Char13 Char Char"/>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Heading31">
    <w:name w:val="Heading 3ș"/>
    <w:basedOn w:val="Normal"/>
    <w:autoRedefine/>
    <w:qFormat/>
    <w:rsid w:val="007257E3"/>
    <w:pPr>
      <w:spacing w:after="120" w:line="360" w:lineRule="auto"/>
      <w:jc w:val="both"/>
    </w:pPr>
    <w:rPr>
      <w:rFonts w:eastAsia="Times New Roman" w:cs="Times New Roman"/>
      <w:b/>
      <w:szCs w:val="26"/>
      <w:lang w:val="fr-FR"/>
    </w:rPr>
  </w:style>
  <w:style w:type="paragraph" w:customStyle="1" w:styleId="TableNotes">
    <w:name w:val="Table Notes"/>
    <w:basedOn w:val="Normal"/>
    <w:qFormat/>
    <w:rsid w:val="007257E3"/>
    <w:pPr>
      <w:spacing w:before="80" w:after="120" w:line="240" w:lineRule="auto"/>
      <w:jc w:val="both"/>
    </w:pPr>
    <w:rPr>
      <w:rFonts w:eastAsia="Times New Roman" w:cs="Times New Roman"/>
      <w:lang w:val="en-US"/>
    </w:rPr>
  </w:style>
  <w:style w:type="paragraph" w:customStyle="1" w:styleId="10">
    <w:name w:val="1"/>
    <w:basedOn w:val="Default"/>
    <w:next w:val="Default"/>
    <w:qFormat/>
    <w:rsid w:val="007257E3"/>
    <w:pPr>
      <w:spacing w:after="120" w:line="240" w:lineRule="auto"/>
    </w:pPr>
    <w:rPr>
      <w:rFonts w:ascii="Batang" w:hAnsi="Batang" w:cs="Times New Roman"/>
      <w:color w:val="auto"/>
    </w:rPr>
  </w:style>
  <w:style w:type="character" w:customStyle="1" w:styleId="Heading4Char3">
    <w:name w:val="Heading 4 Char3"/>
    <w:aliases w:val="Char2 Char4,Oscar Faber 4 Char2,Heading 4 Char2 Char2,Heading 4 Char Char2 Char2,Heading 4 Char1 Char Char1 Char2,Heading 4 Char Char Char Char1 Char2,Heading 4 Char1 Char1 Char2,Heading 4 Char Char Char1 Char2"/>
    <w:rsid w:val="007257E3"/>
    <w:rPr>
      <w:rFonts w:ascii="Cambria" w:hAnsi="Cambria" w:hint="default"/>
      <w:b/>
      <w:bCs w:val="0"/>
      <w:i/>
      <w:iCs w:val="0"/>
      <w:color w:val="4F81BD"/>
    </w:rPr>
  </w:style>
  <w:style w:type="character" w:customStyle="1" w:styleId="Heading7Char2">
    <w:name w:val="Heading 7 Char2"/>
    <w:aliases w:val="Heading Attachment Char2,7Hub Char2"/>
    <w:rsid w:val="007257E3"/>
    <w:rPr>
      <w:rFonts w:ascii="Calibri Light" w:eastAsia="Times New Roman" w:hAnsi="Calibri Light" w:cs="Times New Roman"/>
      <w:i/>
      <w:iCs/>
      <w:color w:val="1F3763"/>
      <w:sz w:val="18"/>
      <w:szCs w:val="22"/>
      <w:lang w:val="en-GB"/>
    </w:rPr>
  </w:style>
  <w:style w:type="character" w:customStyle="1" w:styleId="msg-content-inner">
    <w:name w:val="msg-content-inner"/>
    <w:rsid w:val="007257E3"/>
  </w:style>
  <w:style w:type="character" w:customStyle="1" w:styleId="NormalChar">
    <w:name w:val="`Normal Char"/>
    <w:rsid w:val="007257E3"/>
    <w:rPr>
      <w:rFonts w:ascii="Arial" w:hAnsi="Arial" w:cs="Arial" w:hint="default"/>
      <w:sz w:val="24"/>
      <w:lang w:val="ro-RO" w:eastAsia="en-US"/>
    </w:rPr>
  </w:style>
  <w:style w:type="character" w:customStyle="1" w:styleId="Normal20">
    <w:name w:val="Normal2"/>
    <w:rsid w:val="007257E3"/>
  </w:style>
  <w:style w:type="character" w:customStyle="1" w:styleId="Normal30">
    <w:name w:val="Normal3"/>
    <w:rsid w:val="007257E3"/>
  </w:style>
  <w:style w:type="character" w:customStyle="1" w:styleId="l11">
    <w:name w:val="l11"/>
    <w:rsid w:val="007257E3"/>
  </w:style>
  <w:style w:type="character" w:customStyle="1" w:styleId="l7">
    <w:name w:val="l7"/>
    <w:rsid w:val="007257E3"/>
  </w:style>
  <w:style w:type="character" w:customStyle="1" w:styleId="l9">
    <w:name w:val="l9"/>
    <w:rsid w:val="007257E3"/>
  </w:style>
  <w:style w:type="character" w:customStyle="1" w:styleId="l">
    <w:name w:val="l"/>
    <w:rsid w:val="007257E3"/>
  </w:style>
  <w:style w:type="character" w:customStyle="1" w:styleId="Normal4">
    <w:name w:val="Normal4"/>
    <w:rsid w:val="007257E3"/>
    <w:rPr>
      <w:rFonts w:ascii="Arial" w:hAnsi="Arial" w:cs="Arial" w:hint="default"/>
    </w:rPr>
  </w:style>
  <w:style w:type="character" w:customStyle="1" w:styleId="bulletsCharCharChar">
    <w:name w:val="bullets Char Char Char"/>
    <w:rsid w:val="007257E3"/>
    <w:rPr>
      <w:rFonts w:ascii="Arial" w:hAnsi="Arial" w:cs="Arial" w:hint="default"/>
      <w:sz w:val="22"/>
      <w:szCs w:val="24"/>
      <w:lang w:val="ro-RO" w:eastAsia="en-US" w:bidi="ar-SA"/>
    </w:rPr>
  </w:style>
  <w:style w:type="character" w:customStyle="1" w:styleId="CharCaracter">
    <w:name w:val="Char Caracter"/>
    <w:rsid w:val="007257E3"/>
    <w:rPr>
      <w:rFonts w:ascii="Arial" w:hAnsi="Arial" w:cs="Arial" w:hint="default"/>
      <w:bCs/>
      <w:sz w:val="22"/>
      <w:lang w:val="ro-RO" w:eastAsia="en-US" w:bidi="ar-SA"/>
    </w:rPr>
  </w:style>
  <w:style w:type="character" w:customStyle="1" w:styleId="CharCaracter4">
    <w:name w:val="Char Caracter4"/>
    <w:rsid w:val="007257E3"/>
    <w:rPr>
      <w:rFonts w:ascii="Arial" w:hAnsi="Arial" w:cs="Arial" w:hint="default"/>
      <w:b/>
      <w:bCs/>
      <w:sz w:val="22"/>
      <w:szCs w:val="24"/>
      <w:lang w:val="ro-RO" w:eastAsia="en-US" w:bidi="ar-SA"/>
    </w:rPr>
  </w:style>
  <w:style w:type="character" w:customStyle="1" w:styleId="Caracter5">
    <w:name w:val="Caracter5"/>
    <w:rsid w:val="007257E3"/>
    <w:rPr>
      <w:rFonts w:ascii="Arial" w:hAnsi="Arial" w:cs="Arial" w:hint="default"/>
      <w:b/>
      <w:bCs/>
      <w:i/>
      <w:iCs/>
      <w:sz w:val="26"/>
      <w:szCs w:val="26"/>
      <w:lang w:val="ro-RO" w:eastAsia="en-US" w:bidi="ar-SA"/>
    </w:rPr>
  </w:style>
  <w:style w:type="character" w:customStyle="1" w:styleId="mw-headline">
    <w:name w:val="mw-headline"/>
    <w:basedOn w:val="DefaultParagraphFont"/>
    <w:rsid w:val="007257E3"/>
  </w:style>
  <w:style w:type="character" w:customStyle="1" w:styleId="search">
    <w:name w:val="search"/>
    <w:basedOn w:val="DefaultParagraphFont"/>
    <w:rsid w:val="007257E3"/>
  </w:style>
  <w:style w:type="character" w:customStyle="1" w:styleId="E1Zchn1">
    <w:name w:val="E1 Zchn1"/>
    <w:rsid w:val="007257E3"/>
    <w:rPr>
      <w:rFonts w:ascii="Arial" w:hAnsi="Arial" w:cs="Arial" w:hint="default"/>
      <w:sz w:val="22"/>
      <w:szCs w:val="22"/>
      <w:lang w:val="de-DE" w:eastAsia="de-DE" w:bidi="ar-SA"/>
    </w:rPr>
  </w:style>
  <w:style w:type="character" w:customStyle="1" w:styleId="E1CaracterChar">
    <w:name w:val="E1 Caracter Char"/>
    <w:rsid w:val="007257E3"/>
    <w:rPr>
      <w:rFonts w:ascii="Arial" w:hAnsi="Arial" w:cs="Arial" w:hint="default"/>
      <w:sz w:val="22"/>
      <w:szCs w:val="22"/>
      <w:lang w:val="de-DE" w:eastAsia="de-DE" w:bidi="ar-SA"/>
    </w:rPr>
  </w:style>
  <w:style w:type="character" w:customStyle="1" w:styleId="yshortcuts">
    <w:name w:val="yshortcuts"/>
    <w:basedOn w:val="DefaultParagraphFont"/>
    <w:rsid w:val="007257E3"/>
  </w:style>
  <w:style w:type="character" w:customStyle="1" w:styleId="CharChar173">
    <w:name w:val="Char Char173"/>
    <w:locked/>
    <w:rsid w:val="007257E3"/>
    <w:rPr>
      <w:rFonts w:ascii="Calibri" w:hAnsi="Calibri" w:cs="Calibri" w:hint="default"/>
      <w:bCs/>
      <w:i/>
      <w:iCs/>
      <w:sz w:val="24"/>
      <w:szCs w:val="26"/>
    </w:rPr>
  </w:style>
  <w:style w:type="character" w:customStyle="1" w:styleId="CharChar163">
    <w:name w:val="Char Char163"/>
    <w:locked/>
    <w:rsid w:val="007257E3"/>
    <w:rPr>
      <w:rFonts w:ascii="Calibri" w:hAnsi="Calibri" w:cs="Calibri" w:hint="default"/>
      <w:bCs/>
      <w:i/>
      <w:iCs w:val="0"/>
      <w:sz w:val="24"/>
      <w:szCs w:val="24"/>
    </w:rPr>
  </w:style>
  <w:style w:type="character" w:customStyle="1" w:styleId="CharChar153">
    <w:name w:val="Char Char153"/>
    <w:locked/>
    <w:rsid w:val="007257E3"/>
    <w:rPr>
      <w:rFonts w:ascii="Calibri" w:hAnsi="Calibri" w:cs="Calibri" w:hint="default"/>
      <w:sz w:val="24"/>
      <w:szCs w:val="24"/>
    </w:rPr>
  </w:style>
  <w:style w:type="character" w:customStyle="1" w:styleId="CharChar143">
    <w:name w:val="Char Char143"/>
    <w:locked/>
    <w:rsid w:val="007257E3"/>
    <w:rPr>
      <w:rFonts w:ascii="Calibri" w:hAnsi="Calibri" w:cs="Calibri" w:hint="default"/>
      <w:i/>
      <w:iCs/>
      <w:sz w:val="24"/>
      <w:szCs w:val="24"/>
    </w:rPr>
  </w:style>
  <w:style w:type="character" w:customStyle="1" w:styleId="CharChar123">
    <w:name w:val="Char Char123"/>
    <w:locked/>
    <w:rsid w:val="007257E3"/>
    <w:rPr>
      <w:rFonts w:ascii="Cambria" w:hAnsi="Cambria" w:cs="Times New Roman" w:hint="default"/>
      <w:b/>
      <w:bCs/>
      <w:noProof w:val="0"/>
      <w:kern w:val="28"/>
      <w:sz w:val="32"/>
      <w:szCs w:val="32"/>
      <w:lang w:val="en-US" w:eastAsia="en-US"/>
    </w:rPr>
  </w:style>
  <w:style w:type="character" w:customStyle="1" w:styleId="CharChar114">
    <w:name w:val="Char Char114"/>
    <w:locked/>
    <w:rsid w:val="007257E3"/>
    <w:rPr>
      <w:rFonts w:ascii="Cambria" w:hAnsi="Cambria" w:cs="Times New Roman" w:hint="default"/>
      <w:noProof w:val="0"/>
      <w:sz w:val="24"/>
      <w:szCs w:val="24"/>
      <w:lang w:val="en-US" w:eastAsia="en-US"/>
    </w:rPr>
  </w:style>
  <w:style w:type="character" w:customStyle="1" w:styleId="CharChar103">
    <w:name w:val="Char Char103"/>
    <w:semiHidden/>
    <w:locked/>
    <w:rsid w:val="007257E3"/>
    <w:rPr>
      <w:rFonts w:ascii="Tahoma" w:hAnsi="Tahoma" w:cs="Tahoma" w:hint="default"/>
      <w:noProof w:val="0"/>
      <w:sz w:val="16"/>
      <w:szCs w:val="16"/>
      <w:lang w:val="en-US" w:eastAsia="en-US"/>
    </w:rPr>
  </w:style>
  <w:style w:type="character" w:customStyle="1" w:styleId="CharChar93">
    <w:name w:val="Char Char93"/>
    <w:semiHidden/>
    <w:locked/>
    <w:rsid w:val="007257E3"/>
    <w:rPr>
      <w:rFonts w:ascii="Calibri" w:hAnsi="Calibri" w:cs="Times New Roman" w:hint="default"/>
      <w:noProof w:val="0"/>
      <w:lang w:val="en-US" w:eastAsia="en-US"/>
    </w:rPr>
  </w:style>
  <w:style w:type="character" w:customStyle="1" w:styleId="CharChar83">
    <w:name w:val="Char Char83"/>
    <w:locked/>
    <w:rsid w:val="007257E3"/>
    <w:rPr>
      <w:rFonts w:ascii="Arial" w:hAnsi="Arial" w:cs="Times New Roman" w:hint="default"/>
      <w:noProof w:val="0"/>
      <w:spacing w:val="-5"/>
      <w:sz w:val="22"/>
      <w:lang w:val="fr-FR" w:eastAsia="de-DE"/>
    </w:rPr>
  </w:style>
  <w:style w:type="character" w:customStyle="1" w:styleId="CharChar73">
    <w:name w:val="Char Char73"/>
    <w:locked/>
    <w:rsid w:val="007257E3"/>
    <w:rPr>
      <w:rFonts w:ascii="Arial" w:hAnsi="Arial" w:cs="Arial" w:hint="default"/>
      <w:noProof w:val="0"/>
      <w:color w:val="292526"/>
      <w:sz w:val="24"/>
      <w:szCs w:val="24"/>
      <w:lang w:val="en-GB" w:eastAsia="en-GB"/>
    </w:rPr>
  </w:style>
  <w:style w:type="character" w:customStyle="1" w:styleId="CharChar63">
    <w:name w:val="Char Char63"/>
    <w:semiHidden/>
    <w:locked/>
    <w:rsid w:val="007257E3"/>
    <w:rPr>
      <w:rFonts w:ascii="Calibri" w:hAnsi="Calibri" w:cs="Times New Roman" w:hint="default"/>
      <w:noProof w:val="0"/>
      <w:sz w:val="24"/>
      <w:szCs w:val="24"/>
      <w:lang w:val="en-US" w:eastAsia="en-US"/>
    </w:rPr>
  </w:style>
  <w:style w:type="character" w:customStyle="1" w:styleId="CharChar53">
    <w:name w:val="Char Char53"/>
    <w:locked/>
    <w:rsid w:val="007257E3"/>
    <w:rPr>
      <w:rFonts w:ascii="MS Mincho" w:eastAsia="MS Mincho" w:hAnsi="MS Mincho" w:cs="Times New Roman" w:hint="eastAsia"/>
      <w:noProof w:val="0"/>
      <w:sz w:val="16"/>
      <w:szCs w:val="16"/>
      <w:lang w:val="en-GB" w:eastAsia="ja-JP"/>
    </w:rPr>
  </w:style>
  <w:style w:type="character" w:customStyle="1" w:styleId="CharChar43">
    <w:name w:val="Char Char43"/>
    <w:locked/>
    <w:rsid w:val="007257E3"/>
    <w:rPr>
      <w:rFonts w:ascii="Calibri" w:hAnsi="Calibri" w:cs="Times New Roman" w:hint="default"/>
      <w:noProof w:val="0"/>
      <w:sz w:val="24"/>
      <w:szCs w:val="24"/>
      <w:lang w:val="en-US" w:eastAsia="en-US"/>
    </w:rPr>
  </w:style>
  <w:style w:type="character" w:customStyle="1" w:styleId="CharChar34">
    <w:name w:val="Char Char34"/>
    <w:locked/>
    <w:rsid w:val="007257E3"/>
    <w:rPr>
      <w:rFonts w:ascii="Calibri" w:hAnsi="Calibri" w:cs="Times New Roman" w:hint="default"/>
      <w:noProof w:val="0"/>
      <w:sz w:val="24"/>
      <w:szCs w:val="24"/>
      <w:lang w:val="en-US" w:eastAsia="en-US"/>
    </w:rPr>
  </w:style>
  <w:style w:type="character" w:customStyle="1" w:styleId="ax1">
    <w:name w:val="ax1"/>
    <w:rsid w:val="007257E3"/>
    <w:rPr>
      <w:b/>
      <w:bCs/>
      <w:sz w:val="26"/>
      <w:szCs w:val="26"/>
    </w:rPr>
  </w:style>
  <w:style w:type="character" w:customStyle="1" w:styleId="TextnormalCharChar">
    <w:name w:val="Text normal Char Char"/>
    <w:rsid w:val="007257E3"/>
    <w:rPr>
      <w:rFonts w:ascii="Arial" w:hAnsi="Arial" w:cs="Arial" w:hint="default"/>
      <w:sz w:val="24"/>
      <w:szCs w:val="22"/>
      <w:lang w:val="en-US" w:eastAsia="en-US" w:bidi="ar-SA"/>
    </w:rPr>
  </w:style>
  <w:style w:type="character" w:customStyle="1" w:styleId="CharCaracter3">
    <w:name w:val="Char Caracter3"/>
    <w:rsid w:val="007257E3"/>
    <w:rPr>
      <w:rFonts w:ascii="Arial" w:hAnsi="Arial" w:cs="Arial" w:hint="default"/>
      <w:b/>
      <w:bCs/>
      <w:sz w:val="22"/>
      <w:szCs w:val="24"/>
      <w:lang w:val="ro-RO" w:eastAsia="en-US" w:bidi="ar-SA"/>
    </w:rPr>
  </w:style>
  <w:style w:type="character" w:customStyle="1" w:styleId="Caracter4">
    <w:name w:val="Caracter4"/>
    <w:rsid w:val="007257E3"/>
    <w:rPr>
      <w:rFonts w:ascii="Arial" w:hAnsi="Arial" w:cs="Arial" w:hint="default"/>
      <w:b/>
      <w:bCs/>
      <w:i/>
      <w:iCs/>
      <w:sz w:val="26"/>
      <w:szCs w:val="26"/>
      <w:lang w:val="ro-RO" w:eastAsia="en-US" w:bidi="ar-SA"/>
    </w:rPr>
  </w:style>
  <w:style w:type="character" w:customStyle="1" w:styleId="Caracter13">
    <w:name w:val="Caracter13"/>
    <w:rsid w:val="007257E3"/>
    <w:rPr>
      <w:rFonts w:ascii="Arial" w:hAnsi="Arial" w:cs="Arial" w:hint="default"/>
      <w:bCs/>
      <w:sz w:val="22"/>
      <w:szCs w:val="24"/>
      <w:lang w:val="ro-RO" w:eastAsia="en-US" w:bidi="ar-SA"/>
    </w:rPr>
  </w:style>
  <w:style w:type="character" w:customStyle="1" w:styleId="CharCaracter2">
    <w:name w:val="Char Caracter2"/>
    <w:rsid w:val="007257E3"/>
    <w:rPr>
      <w:rFonts w:ascii="Arial" w:hAnsi="Arial" w:cs="Arial" w:hint="default"/>
      <w:bCs/>
      <w:sz w:val="22"/>
      <w:lang w:val="ro-RO" w:eastAsia="en-US" w:bidi="ar-SA"/>
    </w:rPr>
  </w:style>
  <w:style w:type="character" w:customStyle="1" w:styleId="Caracter3">
    <w:name w:val="Caracter3"/>
    <w:rsid w:val="007257E3"/>
    <w:rPr>
      <w:rFonts w:ascii="Arial" w:hAnsi="Arial" w:cs="Arial" w:hint="default"/>
      <w:b/>
      <w:bCs/>
      <w:i/>
      <w:iCs/>
      <w:sz w:val="26"/>
      <w:szCs w:val="26"/>
      <w:lang w:val="ro-RO" w:eastAsia="en-US" w:bidi="ar-SA"/>
    </w:rPr>
  </w:style>
  <w:style w:type="character" w:customStyle="1" w:styleId="Caracter12">
    <w:name w:val="Caracter12"/>
    <w:rsid w:val="007257E3"/>
    <w:rPr>
      <w:rFonts w:ascii="Arial" w:hAnsi="Arial" w:cs="Arial" w:hint="default"/>
      <w:bCs/>
      <w:sz w:val="22"/>
      <w:szCs w:val="24"/>
      <w:lang w:val="ro-RO" w:eastAsia="en-US" w:bidi="ar-SA"/>
    </w:rPr>
  </w:style>
  <w:style w:type="character" w:customStyle="1" w:styleId="CharChar33">
    <w:name w:val="Char Char33"/>
    <w:locked/>
    <w:rsid w:val="007257E3"/>
    <w:rPr>
      <w:rFonts w:ascii="Calibri" w:hAnsi="Calibri" w:cs="Times New Roman" w:hint="default"/>
      <w:noProof w:val="0"/>
      <w:sz w:val="24"/>
      <w:szCs w:val="24"/>
      <w:lang w:val="en-US" w:eastAsia="en-US"/>
    </w:rPr>
  </w:style>
  <w:style w:type="character" w:customStyle="1" w:styleId="CharCaracter1">
    <w:name w:val="Char Caracter1"/>
    <w:rsid w:val="007257E3"/>
    <w:rPr>
      <w:rFonts w:ascii="Arial" w:hAnsi="Arial" w:cs="Arial" w:hint="default"/>
      <w:bCs/>
      <w:sz w:val="22"/>
      <w:lang w:val="ro-RO" w:eastAsia="en-US" w:bidi="ar-SA"/>
    </w:rPr>
  </w:style>
  <w:style w:type="character" w:customStyle="1" w:styleId="Caracter11">
    <w:name w:val="Caracter11"/>
    <w:rsid w:val="007257E3"/>
    <w:rPr>
      <w:rFonts w:ascii="Arial" w:hAnsi="Arial" w:cs="Arial" w:hint="default"/>
      <w:bCs/>
      <w:sz w:val="22"/>
      <w:szCs w:val="24"/>
      <w:lang w:val="ro-RO" w:eastAsia="en-US" w:bidi="ar-SA"/>
    </w:rPr>
  </w:style>
  <w:style w:type="character" w:customStyle="1" w:styleId="cmg">
    <w:name w:val="cmg"/>
    <w:rsid w:val="007257E3"/>
  </w:style>
  <w:style w:type="character" w:customStyle="1" w:styleId="js-ineffectstring">
    <w:name w:val="js-ineffectstring"/>
    <w:rsid w:val="007257E3"/>
  </w:style>
  <w:style w:type="character" w:customStyle="1" w:styleId="js-calendar1">
    <w:name w:val="js-calendar1"/>
    <w:rsid w:val="007257E3"/>
    <w:rPr>
      <w:b/>
      <w:bCs/>
      <w:color w:val="008000"/>
    </w:rPr>
  </w:style>
  <w:style w:type="character" w:customStyle="1" w:styleId="style11a">
    <w:name w:val="style11"/>
    <w:rsid w:val="007257E3"/>
    <w:rPr>
      <w:i/>
      <w:iCs/>
      <w:color w:val="FF0000"/>
    </w:rPr>
  </w:style>
  <w:style w:type="character" w:customStyle="1" w:styleId="ln2actnume1">
    <w:name w:val="ln2actnume1"/>
    <w:rsid w:val="007257E3"/>
    <w:rPr>
      <w:b/>
      <w:bCs/>
      <w:sz w:val="30"/>
      <w:szCs w:val="30"/>
    </w:rPr>
  </w:style>
  <w:style w:type="character" w:customStyle="1" w:styleId="ln2actpublicatie1">
    <w:name w:val="ln2actpublicatie1"/>
    <w:rsid w:val="007257E3"/>
    <w:rPr>
      <w:i/>
      <w:iCs/>
      <w:sz w:val="16"/>
      <w:szCs w:val="16"/>
    </w:rPr>
  </w:style>
  <w:style w:type="character" w:customStyle="1" w:styleId="ln2acttematica1">
    <w:name w:val="ln2acttematica1"/>
    <w:rsid w:val="007257E3"/>
    <w:rPr>
      <w:color w:val="000066"/>
      <w:sz w:val="18"/>
      <w:szCs w:val="18"/>
    </w:rPr>
  </w:style>
  <w:style w:type="character" w:customStyle="1" w:styleId="ln2acttitlu1">
    <w:name w:val="ln2acttitlu1"/>
    <w:rsid w:val="007257E3"/>
    <w:rPr>
      <w:color w:val="000010"/>
      <w:sz w:val="18"/>
      <w:szCs w:val="18"/>
    </w:rPr>
  </w:style>
  <w:style w:type="character" w:customStyle="1" w:styleId="start1">
    <w:name w:val="st_art1"/>
    <w:rsid w:val="007257E3"/>
    <w:rPr>
      <w:b/>
      <w:bCs/>
      <w:color w:val="0000AF"/>
    </w:rPr>
  </w:style>
  <w:style w:type="character" w:customStyle="1" w:styleId="sttart1">
    <w:name w:val="st_tart1"/>
    <w:rsid w:val="007257E3"/>
    <w:rPr>
      <w:color w:val="000000"/>
    </w:rPr>
  </w:style>
  <w:style w:type="character" w:customStyle="1" w:styleId="stalineat1">
    <w:name w:val="st_alineat1"/>
    <w:rsid w:val="007257E3"/>
    <w:rPr>
      <w:b/>
      <w:bCs/>
      <w:color w:val="74929F"/>
    </w:rPr>
  </w:style>
  <w:style w:type="character" w:customStyle="1" w:styleId="stlitera1">
    <w:name w:val="st_litera1"/>
    <w:rsid w:val="007257E3"/>
    <w:rPr>
      <w:b/>
      <w:bCs/>
      <w:color w:val="00008F"/>
    </w:rPr>
  </w:style>
  <w:style w:type="character" w:customStyle="1" w:styleId="sttlitera1">
    <w:name w:val="st_tlitera1"/>
    <w:rsid w:val="007257E3"/>
    <w:rPr>
      <w:color w:val="000000"/>
    </w:rPr>
  </w:style>
  <w:style w:type="character" w:customStyle="1" w:styleId="stpar">
    <w:name w:val="st_par"/>
    <w:basedOn w:val="DefaultParagraphFont"/>
    <w:rsid w:val="007257E3"/>
  </w:style>
  <w:style w:type="character" w:customStyle="1" w:styleId="style510">
    <w:name w:val="style51"/>
    <w:rsid w:val="007257E3"/>
    <w:rPr>
      <w:b/>
      <w:bCs/>
      <w:color w:val="FF8400"/>
    </w:rPr>
  </w:style>
  <w:style w:type="character" w:customStyle="1" w:styleId="text11">
    <w:name w:val="text11"/>
    <w:rsid w:val="007257E3"/>
    <w:rPr>
      <w:rFonts w:ascii="Verdana" w:hAnsi="Verdana" w:hint="default"/>
      <w:strike w:val="0"/>
      <w:dstrike w:val="0"/>
      <w:color w:val="000000"/>
      <w:sz w:val="15"/>
      <w:szCs w:val="15"/>
      <w:u w:val="none"/>
      <w:effect w:val="none"/>
    </w:rPr>
  </w:style>
  <w:style w:type="character" w:customStyle="1" w:styleId="ln2preambul">
    <w:name w:val="ln2preambul"/>
    <w:basedOn w:val="DefaultParagraphFont"/>
    <w:rsid w:val="007257E3"/>
  </w:style>
  <w:style w:type="character" w:customStyle="1" w:styleId="ln2paragraf">
    <w:name w:val="ln2paragraf"/>
    <w:basedOn w:val="DefaultParagraphFont"/>
    <w:rsid w:val="007257E3"/>
  </w:style>
  <w:style w:type="character" w:customStyle="1" w:styleId="ln2linie">
    <w:name w:val="ln2linie"/>
    <w:basedOn w:val="DefaultParagraphFont"/>
    <w:rsid w:val="007257E3"/>
  </w:style>
  <w:style w:type="character" w:customStyle="1" w:styleId="ln2tlinie">
    <w:name w:val="ln2tlinie"/>
    <w:basedOn w:val="DefaultParagraphFont"/>
    <w:rsid w:val="007257E3"/>
  </w:style>
  <w:style w:type="character" w:customStyle="1" w:styleId="WW8Num2z0">
    <w:name w:val="WW8Num2z0"/>
    <w:rsid w:val="007257E3"/>
    <w:rPr>
      <w:rFonts w:ascii="Symbol" w:hAnsi="Symbol" w:cs="StarSymbol" w:hint="default"/>
      <w:sz w:val="18"/>
      <w:szCs w:val="18"/>
    </w:rPr>
  </w:style>
  <w:style w:type="character" w:customStyle="1" w:styleId="WW8Num3z0">
    <w:name w:val="WW8Num3z0"/>
    <w:rsid w:val="007257E3"/>
    <w:rPr>
      <w:rFonts w:ascii="Symbol" w:hAnsi="Symbol" w:hint="default"/>
    </w:rPr>
  </w:style>
  <w:style w:type="character" w:customStyle="1" w:styleId="WW8Num3z1">
    <w:name w:val="WW8Num3z1"/>
    <w:rsid w:val="007257E3"/>
    <w:rPr>
      <w:rFonts w:ascii="Courier New" w:hAnsi="Courier New" w:cs="Arial" w:hint="default"/>
    </w:rPr>
  </w:style>
  <w:style w:type="character" w:customStyle="1" w:styleId="WW8Num3z2">
    <w:name w:val="WW8Num3z2"/>
    <w:rsid w:val="007257E3"/>
    <w:rPr>
      <w:rFonts w:ascii="Wingdings" w:hAnsi="Wingdings" w:hint="default"/>
    </w:rPr>
  </w:style>
  <w:style w:type="character" w:customStyle="1" w:styleId="WW8Num4z0">
    <w:name w:val="WW8Num4z0"/>
    <w:rsid w:val="007257E3"/>
    <w:rPr>
      <w:rFonts w:ascii="Symbol" w:hAnsi="Symbol" w:cs="StarSymbol" w:hint="default"/>
      <w:sz w:val="18"/>
      <w:szCs w:val="18"/>
    </w:rPr>
  </w:style>
  <w:style w:type="character" w:customStyle="1" w:styleId="WW8Num6z0">
    <w:name w:val="WW8Num6z0"/>
    <w:rsid w:val="007257E3"/>
    <w:rPr>
      <w:rFonts w:ascii="Symbol" w:hAnsi="Symbol" w:hint="default"/>
      <w:b w:val="0"/>
      <w:bCs w:val="0"/>
    </w:rPr>
  </w:style>
  <w:style w:type="character" w:customStyle="1" w:styleId="WW8Num7z0">
    <w:name w:val="WW8Num7z0"/>
    <w:rsid w:val="007257E3"/>
    <w:rPr>
      <w:rFonts w:ascii="Symbol" w:hAnsi="Symbol" w:cs="StarSymbol" w:hint="default"/>
      <w:sz w:val="18"/>
      <w:szCs w:val="18"/>
    </w:rPr>
  </w:style>
  <w:style w:type="character" w:customStyle="1" w:styleId="Absatz-Standardschriftart">
    <w:name w:val="Absatz-Standardschriftart"/>
    <w:rsid w:val="007257E3"/>
  </w:style>
  <w:style w:type="character" w:customStyle="1" w:styleId="WW-Absatz-Standardschriftart">
    <w:name w:val="WW-Absatz-Standardschriftart"/>
    <w:rsid w:val="007257E3"/>
  </w:style>
  <w:style w:type="character" w:customStyle="1" w:styleId="WW-Absatz-Standardschriftart1">
    <w:name w:val="WW-Absatz-Standardschriftart1"/>
    <w:rsid w:val="007257E3"/>
  </w:style>
  <w:style w:type="character" w:customStyle="1" w:styleId="WW-Absatz-Standardschriftart11">
    <w:name w:val="WW-Absatz-Standardschriftart11"/>
    <w:rsid w:val="007257E3"/>
  </w:style>
  <w:style w:type="character" w:customStyle="1" w:styleId="WW-Absatz-Standardschriftart111">
    <w:name w:val="WW-Absatz-Standardschriftart111"/>
    <w:rsid w:val="007257E3"/>
  </w:style>
  <w:style w:type="character" w:customStyle="1" w:styleId="WW-Absatz-Standardschriftart1111">
    <w:name w:val="WW-Absatz-Standardschriftart1111"/>
    <w:rsid w:val="007257E3"/>
  </w:style>
  <w:style w:type="character" w:customStyle="1" w:styleId="WW-Absatz-Standardschriftart11111">
    <w:name w:val="WW-Absatz-Standardschriftart11111"/>
    <w:rsid w:val="007257E3"/>
  </w:style>
  <w:style w:type="character" w:customStyle="1" w:styleId="WW-Absatz-Standardschriftart111111">
    <w:name w:val="WW-Absatz-Standardschriftart111111"/>
    <w:rsid w:val="007257E3"/>
  </w:style>
  <w:style w:type="character" w:customStyle="1" w:styleId="WW-Absatz-Standardschriftart1111111">
    <w:name w:val="WW-Absatz-Standardschriftart1111111"/>
    <w:rsid w:val="007257E3"/>
  </w:style>
  <w:style w:type="character" w:customStyle="1" w:styleId="WW-Absatz-Standardschriftart11111111">
    <w:name w:val="WW-Absatz-Standardschriftart11111111"/>
    <w:rsid w:val="007257E3"/>
  </w:style>
  <w:style w:type="character" w:customStyle="1" w:styleId="WW-Absatz-Standardschriftart111111111">
    <w:name w:val="WW-Absatz-Standardschriftart111111111"/>
    <w:rsid w:val="007257E3"/>
  </w:style>
  <w:style w:type="character" w:customStyle="1" w:styleId="WW-Absatz-Standardschriftart1111111111">
    <w:name w:val="WW-Absatz-Standardschriftart1111111111"/>
    <w:rsid w:val="007257E3"/>
  </w:style>
  <w:style w:type="character" w:customStyle="1" w:styleId="NumberingSymbols">
    <w:name w:val="Numbering Symbols"/>
    <w:rsid w:val="007257E3"/>
  </w:style>
  <w:style w:type="character" w:customStyle="1" w:styleId="Bullets">
    <w:name w:val="Bullets"/>
    <w:rsid w:val="007257E3"/>
    <w:rPr>
      <w:rFonts w:ascii="StarSymbol" w:eastAsia="StarSymbol" w:hAnsi="StarSymbol" w:cs="StarSymbol" w:hint="default"/>
      <w:sz w:val="18"/>
      <w:szCs w:val="18"/>
    </w:rPr>
  </w:style>
  <w:style w:type="character" w:customStyle="1" w:styleId="WW-Absatz-Standardschriftart11111111111">
    <w:name w:val="WW-Absatz-Standardschriftart11111111111"/>
    <w:rsid w:val="007257E3"/>
  </w:style>
  <w:style w:type="character" w:customStyle="1" w:styleId="WW-Absatz-Standardschriftart111111111111">
    <w:name w:val="WW-Absatz-Standardschriftart111111111111"/>
    <w:rsid w:val="007257E3"/>
  </w:style>
  <w:style w:type="character" w:customStyle="1" w:styleId="WW-Absatz-Standardschriftart1111111111111">
    <w:name w:val="WW-Absatz-Standardschriftart1111111111111"/>
    <w:rsid w:val="007257E3"/>
  </w:style>
  <w:style w:type="character" w:customStyle="1" w:styleId="WW-Absatz-Standardschriftart11111111111111">
    <w:name w:val="WW-Absatz-Standardschriftart11111111111111"/>
    <w:rsid w:val="007257E3"/>
  </w:style>
  <w:style w:type="character" w:customStyle="1" w:styleId="WW-Absatz-Standardschriftart111111111111111">
    <w:name w:val="WW-Absatz-Standardschriftart111111111111111"/>
    <w:rsid w:val="007257E3"/>
  </w:style>
  <w:style w:type="character" w:customStyle="1" w:styleId="WW-Absatz-Standardschriftart1111111111111111">
    <w:name w:val="WW-Absatz-Standardschriftart1111111111111111"/>
    <w:rsid w:val="007257E3"/>
  </w:style>
  <w:style w:type="character" w:customStyle="1" w:styleId="WW-Absatz-Standardschriftart11111111111111111">
    <w:name w:val="WW-Absatz-Standardschriftart11111111111111111"/>
    <w:rsid w:val="007257E3"/>
  </w:style>
  <w:style w:type="character" w:customStyle="1" w:styleId="WW-Absatz-Standardschriftart111111111111111111">
    <w:name w:val="WW-Absatz-Standardschriftart111111111111111111"/>
    <w:rsid w:val="007257E3"/>
  </w:style>
  <w:style w:type="character" w:customStyle="1" w:styleId="WW-Absatz-Standardschriftart1111111111111111111">
    <w:name w:val="WW-Absatz-Standardschriftart1111111111111111111"/>
    <w:rsid w:val="007257E3"/>
  </w:style>
  <w:style w:type="character" w:customStyle="1" w:styleId="WW-Absatz-Standardschriftart11111111111111111111">
    <w:name w:val="WW-Absatz-Standardschriftart11111111111111111111"/>
    <w:rsid w:val="007257E3"/>
  </w:style>
  <w:style w:type="character" w:customStyle="1" w:styleId="WW-Absatz-Standardschriftart111111111111111111111">
    <w:name w:val="WW-Absatz-Standardschriftart111111111111111111111"/>
    <w:rsid w:val="007257E3"/>
  </w:style>
  <w:style w:type="character" w:customStyle="1" w:styleId="WW8Num116z0">
    <w:name w:val="WW8Num116z0"/>
    <w:rsid w:val="007257E3"/>
    <w:rPr>
      <w:rFonts w:ascii="Symbol" w:hAnsi="Symbol" w:hint="default"/>
    </w:rPr>
  </w:style>
  <w:style w:type="character" w:customStyle="1" w:styleId="WW8Num116z1">
    <w:name w:val="WW8Num116z1"/>
    <w:rsid w:val="007257E3"/>
    <w:rPr>
      <w:rFonts w:ascii="Arial" w:eastAsia="Lucida Sans Unicode" w:hAnsi="Arial" w:cs="Arial" w:hint="default"/>
    </w:rPr>
  </w:style>
  <w:style w:type="character" w:customStyle="1" w:styleId="WW8Num116z2">
    <w:name w:val="WW8Num116z2"/>
    <w:rsid w:val="007257E3"/>
    <w:rPr>
      <w:rFonts w:ascii="Wingdings" w:hAnsi="Wingdings" w:hint="default"/>
    </w:rPr>
  </w:style>
  <w:style w:type="character" w:customStyle="1" w:styleId="WW8Num115z1">
    <w:name w:val="WW8Num115z1"/>
    <w:rsid w:val="007257E3"/>
    <w:rPr>
      <w:rFonts w:ascii="Arial" w:eastAsia="Times New Roman" w:hAnsi="Arial" w:cs="Arial" w:hint="default"/>
      <w:b/>
      <w:bCs w:val="0"/>
    </w:rPr>
  </w:style>
  <w:style w:type="character" w:customStyle="1" w:styleId="WW8Num115z3">
    <w:name w:val="WW8Num115z3"/>
    <w:rsid w:val="007257E3"/>
    <w:rPr>
      <w:rFonts w:ascii="Symbol" w:hAnsi="Symbol" w:hint="default"/>
    </w:rPr>
  </w:style>
  <w:style w:type="character" w:customStyle="1" w:styleId="WW8Num116z4">
    <w:name w:val="WW8Num116z4"/>
    <w:rsid w:val="007257E3"/>
    <w:rPr>
      <w:rFonts w:ascii="Courier New" w:hAnsi="Courier New" w:cs="Courier New" w:hint="default"/>
    </w:rPr>
  </w:style>
  <w:style w:type="character" w:customStyle="1" w:styleId="WW8Num131z4">
    <w:name w:val="WW8Num131z4"/>
    <w:rsid w:val="007257E3"/>
    <w:rPr>
      <w:rFonts w:ascii="Courier New" w:hAnsi="Courier New" w:cs="Courier New" w:hint="default"/>
    </w:rPr>
  </w:style>
  <w:style w:type="character" w:customStyle="1" w:styleId="Fontdeparagrafimplicit1">
    <w:name w:val="Font de paragraf implicit1"/>
    <w:rsid w:val="007257E3"/>
  </w:style>
  <w:style w:type="character" w:customStyle="1" w:styleId="sort11">
    <w:name w:val="sort11"/>
    <w:rsid w:val="007257E3"/>
    <w:rPr>
      <w:rFonts w:ascii="Verdana" w:hAnsi="Verdana" w:hint="default"/>
      <w:b w:val="0"/>
      <w:bCs w:val="0"/>
      <w:i w:val="0"/>
      <w:iCs w:val="0"/>
      <w:smallCaps w:val="0"/>
      <w:sz w:val="15"/>
      <w:szCs w:val="15"/>
    </w:rPr>
  </w:style>
  <w:style w:type="character" w:customStyle="1" w:styleId="a13darkgrey">
    <w:name w:val="a13darkgrey"/>
    <w:basedOn w:val="DefaultParagraphFont"/>
    <w:rsid w:val="007257E3"/>
  </w:style>
  <w:style w:type="character" w:customStyle="1" w:styleId="editsection">
    <w:name w:val="editsection"/>
    <w:basedOn w:val="DefaultParagraphFont"/>
    <w:rsid w:val="007257E3"/>
  </w:style>
  <w:style w:type="character" w:customStyle="1" w:styleId="ln2punct">
    <w:name w:val="ln2punct"/>
    <w:basedOn w:val="DefaultParagraphFont"/>
    <w:rsid w:val="007257E3"/>
  </w:style>
  <w:style w:type="character" w:customStyle="1" w:styleId="ln2tabel">
    <w:name w:val="ln2tabel"/>
    <w:basedOn w:val="DefaultParagraphFont"/>
    <w:rsid w:val="007257E3"/>
  </w:style>
  <w:style w:type="character" w:customStyle="1" w:styleId="ln2ttabel">
    <w:name w:val="ln2ttabel"/>
    <w:basedOn w:val="DefaultParagraphFont"/>
    <w:rsid w:val="007257E3"/>
  </w:style>
  <w:style w:type="character" w:customStyle="1" w:styleId="ln2nota">
    <w:name w:val="ln2nota"/>
    <w:basedOn w:val="DefaultParagraphFont"/>
    <w:rsid w:val="007257E3"/>
  </w:style>
  <w:style w:type="character" w:customStyle="1" w:styleId="ln2tnota">
    <w:name w:val="ln2tnota"/>
    <w:basedOn w:val="DefaultParagraphFont"/>
    <w:rsid w:val="007257E3"/>
  </w:style>
  <w:style w:type="character" w:customStyle="1" w:styleId="main-expl">
    <w:name w:val="main-expl"/>
    <w:basedOn w:val="DefaultParagraphFont"/>
    <w:rsid w:val="007257E3"/>
  </w:style>
  <w:style w:type="character" w:customStyle="1" w:styleId="download">
    <w:name w:val="download"/>
    <w:basedOn w:val="DefaultParagraphFont"/>
    <w:rsid w:val="007257E3"/>
  </w:style>
  <w:style w:type="character" w:customStyle="1" w:styleId="skypepnhcontainer">
    <w:name w:val="skype_pnh_container"/>
    <w:basedOn w:val="DefaultParagraphFont"/>
    <w:rsid w:val="007257E3"/>
  </w:style>
  <w:style w:type="character" w:customStyle="1" w:styleId="skypepnhtextspan">
    <w:name w:val="skype_pnh_text_span"/>
    <w:basedOn w:val="DefaultParagraphFont"/>
    <w:rsid w:val="007257E3"/>
  </w:style>
  <w:style w:type="character" w:customStyle="1" w:styleId="ln2litera">
    <w:name w:val="ln2litera"/>
    <w:basedOn w:val="DefaultParagraphFont"/>
    <w:rsid w:val="007257E3"/>
  </w:style>
  <w:style w:type="character" w:customStyle="1" w:styleId="ln2tlitera">
    <w:name w:val="ln2tlitera"/>
    <w:basedOn w:val="DefaultParagraphFont"/>
    <w:rsid w:val="007257E3"/>
  </w:style>
  <w:style w:type="character" w:customStyle="1" w:styleId="FontStyle290">
    <w:name w:val="Font Style290"/>
    <w:uiPriority w:val="99"/>
    <w:rsid w:val="007257E3"/>
    <w:rPr>
      <w:rFonts w:ascii="Times New Roman" w:hAnsi="Times New Roman" w:cs="Times New Roman" w:hint="default"/>
      <w:sz w:val="22"/>
      <w:szCs w:val="22"/>
    </w:rPr>
  </w:style>
  <w:style w:type="character" w:customStyle="1" w:styleId="Bodytext7Bold">
    <w:name w:val="Body text (7) + Bold"/>
    <w:aliases w:val="Spacing 1 pt"/>
    <w:rsid w:val="007257E3"/>
    <w:rPr>
      <w:b/>
      <w:bCs/>
      <w:i/>
      <w:iCs/>
      <w:color w:val="000000"/>
      <w:spacing w:val="0"/>
      <w:w w:val="100"/>
      <w:position w:val="0"/>
      <w:sz w:val="21"/>
      <w:szCs w:val="21"/>
      <w:shd w:val="clear" w:color="auto" w:fill="FFFFFF"/>
      <w:lang w:val="ro-RO"/>
    </w:rPr>
  </w:style>
  <w:style w:type="character" w:customStyle="1" w:styleId="Bodytext7NotItalic">
    <w:name w:val="Body text (7) + Not Italic"/>
    <w:rsid w:val="007257E3"/>
    <w:rPr>
      <w:i/>
      <w:iCs/>
      <w:color w:val="000000"/>
      <w:spacing w:val="0"/>
      <w:w w:val="100"/>
      <w:position w:val="0"/>
      <w:sz w:val="21"/>
      <w:szCs w:val="21"/>
      <w:shd w:val="clear" w:color="auto" w:fill="FFFFFF"/>
      <w:lang w:val="ro-RO"/>
    </w:rPr>
  </w:style>
  <w:style w:type="character" w:customStyle="1" w:styleId="Bodytext12">
    <w:name w:val="Body text (12)_"/>
    <w:rsid w:val="007257E3"/>
    <w:rPr>
      <w:rFonts w:ascii="Times New Roman" w:eastAsia="Times New Roman" w:hAnsi="Times New Roman" w:cs="Times New Roman" w:hint="default"/>
      <w:b/>
      <w:bCs/>
      <w:i w:val="0"/>
      <w:iCs w:val="0"/>
      <w:smallCaps w:val="0"/>
      <w:strike w:val="0"/>
      <w:dstrike w:val="0"/>
      <w:sz w:val="17"/>
      <w:szCs w:val="17"/>
      <w:u w:val="none"/>
      <w:effect w:val="none"/>
    </w:rPr>
  </w:style>
  <w:style w:type="character" w:customStyle="1" w:styleId="BodyText52">
    <w:name w:val="Body Text5"/>
    <w:rsid w:val="007257E3"/>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shd w:val="clear" w:color="auto" w:fill="FFFFFF"/>
      <w:lang w:val="ro-RO"/>
    </w:rPr>
  </w:style>
  <w:style w:type="character" w:customStyle="1" w:styleId="Bodytext120">
    <w:name w:val="Body text (12)"/>
    <w:rsid w:val="007257E3"/>
    <w:rPr>
      <w:rFonts w:ascii="Times New Roman" w:eastAsia="Times New Roman" w:hAnsi="Times New Roman" w:cs="Times New Roman" w:hint="default"/>
      <w:b/>
      <w:bCs/>
      <w:i w:val="0"/>
      <w:iCs w:val="0"/>
      <w:smallCaps w:val="0"/>
      <w:strike w:val="0"/>
      <w:dstrike w:val="0"/>
      <w:color w:val="000000"/>
      <w:spacing w:val="0"/>
      <w:w w:val="100"/>
      <w:position w:val="0"/>
      <w:sz w:val="17"/>
      <w:szCs w:val="17"/>
      <w:u w:val="single"/>
      <w:effect w:val="none"/>
      <w:lang w:val="ro-RO"/>
    </w:rPr>
  </w:style>
  <w:style w:type="character" w:customStyle="1" w:styleId="Bodytext6pt">
    <w:name w:val="Body text + 6 pt"/>
    <w:rsid w:val="007257E3"/>
    <w:rPr>
      <w:rFonts w:ascii="Times New Roman" w:eastAsia="Times New Roman" w:hAnsi="Times New Roman" w:cs="Times New Roman" w:hint="default"/>
      <w:b w:val="0"/>
      <w:bCs w:val="0"/>
      <w:i w:val="0"/>
      <w:iCs w:val="0"/>
      <w:smallCaps w:val="0"/>
      <w:strike w:val="0"/>
      <w:dstrike w:val="0"/>
      <w:color w:val="000000"/>
      <w:spacing w:val="0"/>
      <w:w w:val="100"/>
      <w:position w:val="0"/>
      <w:sz w:val="12"/>
      <w:szCs w:val="12"/>
      <w:u w:val="none"/>
      <w:effect w:val="none"/>
      <w:shd w:val="clear" w:color="auto" w:fill="FFFFFF"/>
      <w:lang w:val="ro-RO"/>
    </w:rPr>
  </w:style>
  <w:style w:type="character" w:customStyle="1" w:styleId="BodytextSmallCaps">
    <w:name w:val="Body text + Small Caps"/>
    <w:rsid w:val="007257E3"/>
    <w:rPr>
      <w:rFonts w:ascii="Times New Roman" w:eastAsia="Times New Roman" w:hAnsi="Times New Roman" w:cs="Times New Roman" w:hint="default"/>
      <w:b w:val="0"/>
      <w:bCs w:val="0"/>
      <w:i w:val="0"/>
      <w:iCs w:val="0"/>
      <w:smallCaps/>
      <w:strike w:val="0"/>
      <w:dstrike w:val="0"/>
      <w:color w:val="000000"/>
      <w:spacing w:val="0"/>
      <w:w w:val="100"/>
      <w:position w:val="0"/>
      <w:sz w:val="21"/>
      <w:szCs w:val="21"/>
      <w:u w:val="none"/>
      <w:effect w:val="none"/>
      <w:shd w:val="clear" w:color="auto" w:fill="FFFFFF"/>
      <w:lang w:val="ro-RO"/>
    </w:rPr>
  </w:style>
  <w:style w:type="character" w:customStyle="1" w:styleId="Tablecaption48pt">
    <w:name w:val="Table caption (4) + 8 pt"/>
    <w:rsid w:val="007257E3"/>
    <w:rPr>
      <w:rFonts w:ascii="Times New Roman" w:eastAsia="Times New Roman" w:hAnsi="Times New Roman" w:cs="Times New Roman" w:hint="default"/>
      <w:b w:val="0"/>
      <w:bCs w:val="0"/>
      <w:i w:val="0"/>
      <w:iCs w:val="0"/>
      <w:smallCaps w:val="0"/>
      <w:strike w:val="0"/>
      <w:dstrike w:val="0"/>
      <w:color w:val="000000"/>
      <w:spacing w:val="0"/>
      <w:w w:val="100"/>
      <w:position w:val="0"/>
      <w:sz w:val="16"/>
      <w:szCs w:val="16"/>
      <w:u w:val="none"/>
      <w:effect w:val="none"/>
      <w:shd w:val="clear" w:color="auto" w:fill="FFFFFF"/>
      <w:lang w:val="ro-RO"/>
    </w:rPr>
  </w:style>
  <w:style w:type="character" w:customStyle="1" w:styleId="Bodytext711pt">
    <w:name w:val="Body text (7) + 11 pt"/>
    <w:rsid w:val="007257E3"/>
    <w:rPr>
      <w:rFonts w:ascii="Times New Roman" w:eastAsia="Times New Roman" w:hAnsi="Times New Roman" w:cs="Times New Roman" w:hint="default"/>
      <w:b w:val="0"/>
      <w:bCs w:val="0"/>
      <w:i/>
      <w:iCs/>
      <w:smallCaps w:val="0"/>
      <w:strike w:val="0"/>
      <w:dstrike w:val="0"/>
      <w:color w:val="000000"/>
      <w:spacing w:val="0"/>
      <w:w w:val="100"/>
      <w:position w:val="0"/>
      <w:sz w:val="22"/>
      <w:szCs w:val="22"/>
      <w:u w:val="none"/>
      <w:effect w:val="none"/>
      <w:shd w:val="clear" w:color="auto" w:fill="FFFFFF"/>
      <w:lang w:val="ro-RO"/>
    </w:rPr>
  </w:style>
  <w:style w:type="character" w:customStyle="1" w:styleId="Bodytext7MicrosoftSansSerif">
    <w:name w:val="Body text (7) + Microsoft Sans Serif"/>
    <w:aliases w:val="7 pt"/>
    <w:rsid w:val="007257E3"/>
    <w:rPr>
      <w:rFonts w:ascii="Microsoft Sans Serif" w:eastAsia="Microsoft Sans Serif" w:hAnsi="Microsoft Sans Serif" w:cs="Microsoft Sans Serif" w:hint="default"/>
      <w:b w:val="0"/>
      <w:bCs w:val="0"/>
      <w:i/>
      <w:iCs/>
      <w:smallCaps w:val="0"/>
      <w:strike w:val="0"/>
      <w:dstrike w:val="0"/>
      <w:color w:val="000000"/>
      <w:spacing w:val="0"/>
      <w:w w:val="100"/>
      <w:position w:val="0"/>
      <w:sz w:val="14"/>
      <w:szCs w:val="14"/>
      <w:u w:val="none"/>
      <w:effect w:val="none"/>
      <w:shd w:val="clear" w:color="auto" w:fill="FFFFFF"/>
    </w:rPr>
  </w:style>
  <w:style w:type="character" w:customStyle="1" w:styleId="Heading54">
    <w:name w:val="Heading #5 (4)_"/>
    <w:rsid w:val="007257E3"/>
    <w:rPr>
      <w:rFonts w:ascii="Times New Roman" w:eastAsia="Times New Roman" w:hAnsi="Times New Roman" w:cs="Times New Roman" w:hint="default"/>
      <w:b/>
      <w:bCs/>
      <w:i/>
      <w:iCs/>
      <w:smallCaps w:val="0"/>
      <w:strike w:val="0"/>
      <w:dstrike w:val="0"/>
      <w:sz w:val="25"/>
      <w:szCs w:val="25"/>
      <w:u w:val="none"/>
      <w:effect w:val="none"/>
    </w:rPr>
  </w:style>
  <w:style w:type="character" w:customStyle="1" w:styleId="Heading540">
    <w:name w:val="Heading #5 (4)"/>
    <w:rsid w:val="007257E3"/>
    <w:rPr>
      <w:rFonts w:ascii="Times New Roman" w:eastAsia="Times New Roman" w:hAnsi="Times New Roman" w:cs="Times New Roman" w:hint="default"/>
      <w:b/>
      <w:bCs/>
      <w:i/>
      <w:iCs/>
      <w:smallCaps w:val="0"/>
      <w:strike w:val="0"/>
      <w:dstrike w:val="0"/>
      <w:color w:val="000000"/>
      <w:spacing w:val="0"/>
      <w:w w:val="100"/>
      <w:position w:val="0"/>
      <w:sz w:val="25"/>
      <w:szCs w:val="25"/>
      <w:u w:val="none"/>
      <w:effect w:val="none"/>
      <w:lang w:val="ro-RO"/>
    </w:rPr>
  </w:style>
  <w:style w:type="character" w:customStyle="1" w:styleId="Bodytext78pt">
    <w:name w:val="Body text (7) + 8 pt"/>
    <w:rsid w:val="007257E3"/>
    <w:rPr>
      <w:rFonts w:ascii="Times New Roman" w:eastAsia="Times New Roman" w:hAnsi="Times New Roman" w:cs="Times New Roman" w:hint="default"/>
      <w:b w:val="0"/>
      <w:bCs w:val="0"/>
      <w:i/>
      <w:iCs/>
      <w:smallCaps w:val="0"/>
      <w:strike w:val="0"/>
      <w:dstrike w:val="0"/>
      <w:color w:val="000000"/>
      <w:spacing w:val="0"/>
      <w:w w:val="100"/>
      <w:position w:val="0"/>
      <w:sz w:val="16"/>
      <w:szCs w:val="16"/>
      <w:u w:val="none"/>
      <w:effect w:val="none"/>
      <w:shd w:val="clear" w:color="auto" w:fill="FFFFFF"/>
      <w:lang w:val="ro-RO"/>
    </w:rPr>
  </w:style>
  <w:style w:type="character" w:customStyle="1" w:styleId="Bodytext2Spacing0ptExact">
    <w:name w:val="Body text (2) + Spacing 0 pt Exact"/>
    <w:rsid w:val="007257E3"/>
    <w:rPr>
      <w:rFonts w:ascii="Times New Roman" w:eastAsia="Times New Roman" w:hAnsi="Times New Roman" w:cs="Times New Roman" w:hint="default"/>
      <w:b/>
      <w:bCs/>
      <w:i/>
      <w:iCs/>
      <w:smallCaps w:val="0"/>
      <w:strike w:val="0"/>
      <w:dstrike w:val="0"/>
      <w:color w:val="000000"/>
      <w:spacing w:val="2"/>
      <w:w w:val="100"/>
      <w:position w:val="0"/>
      <w:sz w:val="20"/>
      <w:szCs w:val="20"/>
      <w:u w:val="none"/>
      <w:effect w:val="none"/>
      <w:shd w:val="clear" w:color="auto" w:fill="FFFFFF"/>
      <w:lang w:val="ro-RO"/>
    </w:rPr>
  </w:style>
  <w:style w:type="character" w:customStyle="1" w:styleId="BodytextSpacing0ptExact">
    <w:name w:val="Body text + Spacing 0 pt Exact"/>
    <w:rsid w:val="007257E3"/>
    <w:rPr>
      <w:rFonts w:ascii="Times New Roman" w:eastAsia="Times New Roman" w:hAnsi="Times New Roman" w:cs="Times New Roman" w:hint="default"/>
      <w:b w:val="0"/>
      <w:bCs w:val="0"/>
      <w:i w:val="0"/>
      <w:iCs w:val="0"/>
      <w:smallCaps w:val="0"/>
      <w:strike w:val="0"/>
      <w:dstrike w:val="0"/>
      <w:color w:val="000000"/>
      <w:spacing w:val="9"/>
      <w:w w:val="100"/>
      <w:position w:val="0"/>
      <w:sz w:val="20"/>
      <w:szCs w:val="20"/>
      <w:u w:val="none"/>
      <w:effect w:val="none"/>
      <w:shd w:val="clear" w:color="auto" w:fill="FFFFFF"/>
      <w:lang w:val="ro-RO"/>
    </w:rPr>
  </w:style>
  <w:style w:type="character" w:customStyle="1" w:styleId="BodyText61">
    <w:name w:val="Body Text6"/>
    <w:rsid w:val="007257E3"/>
    <w:rPr>
      <w:rFonts w:ascii="Times New Roman" w:eastAsia="Times New Roman" w:hAnsi="Times New Roman" w:cs="Times New Roman" w:hint="default"/>
      <w:b w:val="0"/>
      <w:bCs w:val="0"/>
      <w:i w:val="0"/>
      <w:iCs w:val="0"/>
      <w:smallCaps w:val="0"/>
      <w:color w:val="000000"/>
      <w:spacing w:val="0"/>
      <w:w w:val="100"/>
      <w:position w:val="0"/>
      <w:sz w:val="21"/>
      <w:szCs w:val="21"/>
      <w:u w:val="single"/>
      <w:shd w:val="clear" w:color="auto" w:fill="FFFFFF"/>
      <w:lang w:val="ro-RO"/>
    </w:rPr>
  </w:style>
  <w:style w:type="character" w:customStyle="1" w:styleId="BodytextSpacing3pt">
    <w:name w:val="Body text + Spacing 3 pt"/>
    <w:rsid w:val="007257E3"/>
    <w:rPr>
      <w:rFonts w:ascii="Times New Roman" w:eastAsia="Times New Roman" w:hAnsi="Times New Roman" w:cs="Times New Roman" w:hint="default"/>
      <w:b w:val="0"/>
      <w:bCs w:val="0"/>
      <w:i w:val="0"/>
      <w:iCs w:val="0"/>
      <w:smallCaps w:val="0"/>
      <w:strike w:val="0"/>
      <w:dstrike w:val="0"/>
      <w:color w:val="000000"/>
      <w:spacing w:val="60"/>
      <w:w w:val="100"/>
      <w:position w:val="0"/>
      <w:sz w:val="21"/>
      <w:szCs w:val="21"/>
      <w:u w:val="none"/>
      <w:effect w:val="none"/>
      <w:shd w:val="clear" w:color="auto" w:fill="FFFFFF"/>
      <w:lang w:val="ro-RO"/>
    </w:rPr>
  </w:style>
  <w:style w:type="character" w:customStyle="1" w:styleId="WW8Num61z0">
    <w:name w:val="WW8Num61z0"/>
    <w:rsid w:val="007257E3"/>
    <w:rPr>
      <w:rFonts w:ascii="Wingdings" w:hAnsi="Wingdings" w:hint="default"/>
    </w:rPr>
  </w:style>
  <w:style w:type="character" w:customStyle="1" w:styleId="content">
    <w:name w:val="content"/>
    <w:basedOn w:val="DefaultParagraphFont"/>
    <w:rsid w:val="007257E3"/>
  </w:style>
  <w:style w:type="character" w:customStyle="1" w:styleId="ar10">
    <w:name w:val="ar1"/>
    <w:rsid w:val="007257E3"/>
    <w:rPr>
      <w:b/>
      <w:bCs/>
      <w:color w:val="0000AF"/>
      <w:sz w:val="22"/>
      <w:szCs w:val="22"/>
    </w:rPr>
  </w:style>
  <w:style w:type="character" w:customStyle="1" w:styleId="small">
    <w:name w:val="small"/>
    <w:basedOn w:val="DefaultParagraphFont"/>
    <w:rsid w:val="007257E3"/>
  </w:style>
  <w:style w:type="character" w:customStyle="1" w:styleId="stlitera">
    <w:name w:val="st_litera"/>
    <w:basedOn w:val="DefaultParagraphFont"/>
    <w:rsid w:val="007257E3"/>
  </w:style>
  <w:style w:type="character" w:customStyle="1" w:styleId="sttlitera">
    <w:name w:val="st_tlitera"/>
    <w:basedOn w:val="DefaultParagraphFont"/>
    <w:rsid w:val="007257E3"/>
  </w:style>
  <w:style w:type="character" w:customStyle="1" w:styleId="style8a">
    <w:name w:val="style8"/>
    <w:basedOn w:val="DefaultParagraphFont"/>
    <w:rsid w:val="007257E3"/>
  </w:style>
  <w:style w:type="character" w:customStyle="1" w:styleId="WW8Num96z0">
    <w:name w:val="WW8Num96z0"/>
    <w:rsid w:val="007257E3"/>
    <w:rPr>
      <w:rFonts w:ascii="Wingdings" w:hAnsi="Wingdings" w:hint="default"/>
    </w:rPr>
  </w:style>
  <w:style w:type="character" w:customStyle="1" w:styleId="ln2anexa">
    <w:name w:val="ln2anexa"/>
    <w:basedOn w:val="DefaultParagraphFont"/>
    <w:rsid w:val="007257E3"/>
  </w:style>
  <w:style w:type="character" w:customStyle="1" w:styleId="ln2tanexa">
    <w:name w:val="ln2tanexa"/>
    <w:basedOn w:val="DefaultParagraphFont"/>
    <w:rsid w:val="007257E3"/>
  </w:style>
  <w:style w:type="character" w:customStyle="1" w:styleId="field-name">
    <w:name w:val="field-name"/>
    <w:basedOn w:val="DefaultParagraphFont"/>
    <w:rsid w:val="007257E3"/>
  </w:style>
  <w:style w:type="character" w:customStyle="1" w:styleId="field-resident">
    <w:name w:val="field-resident"/>
    <w:basedOn w:val="DefaultParagraphFont"/>
    <w:rsid w:val="007257E3"/>
  </w:style>
  <w:style w:type="character" w:customStyle="1" w:styleId="field-population">
    <w:name w:val="field-population"/>
    <w:basedOn w:val="DefaultParagraphFont"/>
    <w:rsid w:val="007257E3"/>
  </w:style>
  <w:style w:type="character" w:customStyle="1" w:styleId="field-conservation">
    <w:name w:val="field-conservation"/>
    <w:basedOn w:val="DefaultParagraphFont"/>
    <w:rsid w:val="007257E3"/>
  </w:style>
  <w:style w:type="character" w:customStyle="1" w:styleId="field-isolation">
    <w:name w:val="field-isolation"/>
    <w:basedOn w:val="DefaultParagraphFont"/>
    <w:rsid w:val="007257E3"/>
  </w:style>
  <w:style w:type="character" w:customStyle="1" w:styleId="field-globaleval">
    <w:name w:val="field-global_eval"/>
    <w:basedOn w:val="DefaultParagraphFont"/>
    <w:rsid w:val="007257E3"/>
  </w:style>
  <w:style w:type="character" w:customStyle="1" w:styleId="field-code">
    <w:name w:val="field-code"/>
    <w:basedOn w:val="DefaultParagraphFont"/>
    <w:rsid w:val="007257E3"/>
  </w:style>
  <w:style w:type="character" w:customStyle="1" w:styleId="field-wintering">
    <w:name w:val="field-wintering"/>
    <w:basedOn w:val="DefaultParagraphFont"/>
    <w:rsid w:val="007257E3"/>
  </w:style>
  <w:style w:type="character" w:customStyle="1" w:styleId="field-reproduction">
    <w:name w:val="field-reproduction"/>
    <w:basedOn w:val="DefaultParagraphFont"/>
    <w:rsid w:val="007257E3"/>
  </w:style>
  <w:style w:type="character" w:customStyle="1" w:styleId="field-passage">
    <w:name w:val="field-passage"/>
    <w:basedOn w:val="DefaultParagraphFont"/>
    <w:rsid w:val="007257E3"/>
  </w:style>
  <w:style w:type="character" w:customStyle="1" w:styleId="sort1">
    <w:name w:val="sort1"/>
    <w:basedOn w:val="DefaultParagraphFont"/>
    <w:rsid w:val="007257E3"/>
  </w:style>
  <w:style w:type="character" w:customStyle="1" w:styleId="FontStyle16">
    <w:name w:val="Font Style16"/>
    <w:rsid w:val="007257E3"/>
    <w:rPr>
      <w:rFonts w:ascii="Arial" w:hAnsi="Arial" w:cs="Arial" w:hint="default"/>
      <w:spacing w:val="-10"/>
      <w:sz w:val="24"/>
      <w:szCs w:val="24"/>
    </w:rPr>
  </w:style>
  <w:style w:type="character" w:customStyle="1" w:styleId="sttalineat0">
    <w:name w:val="st_talineat"/>
    <w:basedOn w:val="DefaultParagraphFont"/>
    <w:rsid w:val="007257E3"/>
  </w:style>
  <w:style w:type="character" w:customStyle="1" w:styleId="stalineat">
    <w:name w:val="st_alineat"/>
    <w:basedOn w:val="DefaultParagraphFont"/>
    <w:rsid w:val="007257E3"/>
  </w:style>
  <w:style w:type="character" w:customStyle="1" w:styleId="FontStyle401">
    <w:name w:val="Font Style401"/>
    <w:uiPriority w:val="99"/>
    <w:rsid w:val="007257E3"/>
    <w:rPr>
      <w:rFonts w:ascii="Arial" w:hAnsi="Arial" w:cs="Arial" w:hint="default"/>
      <w:sz w:val="22"/>
      <w:szCs w:val="22"/>
    </w:rPr>
  </w:style>
  <w:style w:type="character" w:customStyle="1" w:styleId="FontStyle402">
    <w:name w:val="Font Style402"/>
    <w:uiPriority w:val="99"/>
    <w:rsid w:val="007257E3"/>
    <w:rPr>
      <w:rFonts w:ascii="Arial" w:hAnsi="Arial" w:cs="Arial" w:hint="default"/>
      <w:b/>
      <w:bCs/>
      <w:sz w:val="22"/>
      <w:szCs w:val="22"/>
    </w:rPr>
  </w:style>
  <w:style w:type="character" w:customStyle="1" w:styleId="FontStyle304">
    <w:name w:val="Font Style304"/>
    <w:uiPriority w:val="99"/>
    <w:rsid w:val="007257E3"/>
    <w:rPr>
      <w:rFonts w:ascii="Arial" w:hAnsi="Arial" w:cs="Arial" w:hint="default"/>
      <w:b/>
      <w:bCs/>
      <w:sz w:val="24"/>
      <w:szCs w:val="24"/>
    </w:rPr>
  </w:style>
  <w:style w:type="character" w:customStyle="1" w:styleId="FontStyle383">
    <w:name w:val="Font Style383"/>
    <w:uiPriority w:val="99"/>
    <w:rsid w:val="007257E3"/>
    <w:rPr>
      <w:rFonts w:ascii="Arial" w:hAnsi="Arial" w:cs="Arial" w:hint="default"/>
      <w:sz w:val="22"/>
      <w:szCs w:val="22"/>
    </w:rPr>
  </w:style>
  <w:style w:type="character" w:customStyle="1" w:styleId="FontStyle370">
    <w:name w:val="Font Style370"/>
    <w:uiPriority w:val="99"/>
    <w:rsid w:val="007257E3"/>
    <w:rPr>
      <w:rFonts w:ascii="Arial" w:hAnsi="Arial" w:cs="Arial" w:hint="default"/>
      <w:sz w:val="32"/>
      <w:szCs w:val="32"/>
    </w:rPr>
  </w:style>
  <w:style w:type="character" w:customStyle="1" w:styleId="FontStyle372">
    <w:name w:val="Font Style372"/>
    <w:uiPriority w:val="99"/>
    <w:rsid w:val="007257E3"/>
    <w:rPr>
      <w:rFonts w:ascii="Arial" w:hAnsi="Arial" w:cs="Arial" w:hint="default"/>
      <w:sz w:val="22"/>
      <w:szCs w:val="22"/>
    </w:rPr>
  </w:style>
  <w:style w:type="character" w:customStyle="1" w:styleId="FontStyle373">
    <w:name w:val="Font Style373"/>
    <w:uiPriority w:val="99"/>
    <w:rsid w:val="007257E3"/>
    <w:rPr>
      <w:rFonts w:ascii="Cambria" w:hAnsi="Cambria" w:cs="Cambria" w:hint="default"/>
      <w:b/>
      <w:bCs/>
      <w:w w:val="60"/>
      <w:sz w:val="16"/>
      <w:szCs w:val="16"/>
    </w:rPr>
  </w:style>
  <w:style w:type="character" w:customStyle="1" w:styleId="FontStyle374">
    <w:name w:val="Font Style374"/>
    <w:uiPriority w:val="99"/>
    <w:rsid w:val="007257E3"/>
    <w:rPr>
      <w:rFonts w:ascii="Century Schoolbook" w:hAnsi="Century Schoolbook" w:cs="Century Schoolbook" w:hint="default"/>
      <w:sz w:val="28"/>
      <w:szCs w:val="28"/>
    </w:rPr>
  </w:style>
  <w:style w:type="character" w:customStyle="1" w:styleId="FontStyle375">
    <w:name w:val="Font Style375"/>
    <w:uiPriority w:val="99"/>
    <w:rsid w:val="007257E3"/>
    <w:rPr>
      <w:rFonts w:ascii="Century Schoolbook" w:hAnsi="Century Schoolbook" w:cs="Century Schoolbook" w:hint="default"/>
      <w:sz w:val="28"/>
      <w:szCs w:val="28"/>
    </w:rPr>
  </w:style>
  <w:style w:type="character" w:customStyle="1" w:styleId="FontStyle376">
    <w:name w:val="Font Style376"/>
    <w:uiPriority w:val="99"/>
    <w:rsid w:val="007257E3"/>
    <w:rPr>
      <w:rFonts w:ascii="Courier New" w:hAnsi="Courier New" w:cs="Courier New" w:hint="default"/>
      <w:i/>
      <w:iCs/>
      <w:sz w:val="34"/>
      <w:szCs w:val="34"/>
    </w:rPr>
  </w:style>
  <w:style w:type="character" w:customStyle="1" w:styleId="FontStyle377">
    <w:name w:val="Font Style377"/>
    <w:uiPriority w:val="99"/>
    <w:rsid w:val="007257E3"/>
    <w:rPr>
      <w:rFonts w:ascii="Arial" w:hAnsi="Arial" w:cs="Arial" w:hint="default"/>
      <w:i/>
      <w:iCs/>
      <w:spacing w:val="-20"/>
      <w:sz w:val="22"/>
      <w:szCs w:val="22"/>
    </w:rPr>
  </w:style>
  <w:style w:type="character" w:customStyle="1" w:styleId="FontStyle403">
    <w:name w:val="Font Style403"/>
    <w:uiPriority w:val="99"/>
    <w:rsid w:val="007257E3"/>
    <w:rPr>
      <w:rFonts w:ascii="Arial" w:hAnsi="Arial" w:cs="Arial" w:hint="default"/>
      <w:b/>
      <w:bCs/>
      <w:sz w:val="22"/>
      <w:szCs w:val="22"/>
    </w:rPr>
  </w:style>
  <w:style w:type="character" w:customStyle="1" w:styleId="FontStyle400">
    <w:name w:val="Font Style400"/>
    <w:uiPriority w:val="99"/>
    <w:rsid w:val="007257E3"/>
    <w:rPr>
      <w:rFonts w:ascii="Arial" w:hAnsi="Arial" w:cs="Arial" w:hint="default"/>
      <w:b/>
      <w:bCs/>
      <w:i/>
      <w:iCs/>
      <w:sz w:val="22"/>
      <w:szCs w:val="22"/>
    </w:rPr>
  </w:style>
  <w:style w:type="character" w:customStyle="1" w:styleId="FontStyle398">
    <w:name w:val="Font Style398"/>
    <w:uiPriority w:val="99"/>
    <w:rsid w:val="007257E3"/>
    <w:rPr>
      <w:rFonts w:ascii="Arial" w:hAnsi="Arial" w:cs="Arial" w:hint="default"/>
      <w:b/>
      <w:bCs/>
      <w:i/>
      <w:iCs/>
      <w:sz w:val="8"/>
      <w:szCs w:val="8"/>
    </w:rPr>
  </w:style>
  <w:style w:type="character" w:customStyle="1" w:styleId="FontStyle382">
    <w:name w:val="Font Style382"/>
    <w:uiPriority w:val="99"/>
    <w:rsid w:val="007257E3"/>
    <w:rPr>
      <w:rFonts w:ascii="Arial" w:hAnsi="Arial" w:cs="Arial" w:hint="default"/>
      <w:b/>
      <w:bCs/>
      <w:sz w:val="14"/>
      <w:szCs w:val="14"/>
    </w:rPr>
  </w:style>
  <w:style w:type="character" w:customStyle="1" w:styleId="FontStyle397">
    <w:name w:val="Font Style397"/>
    <w:uiPriority w:val="99"/>
    <w:rsid w:val="007257E3"/>
    <w:rPr>
      <w:rFonts w:ascii="Arial" w:hAnsi="Arial" w:cs="Arial" w:hint="default"/>
      <w:b/>
      <w:bCs/>
      <w:smallCaps/>
      <w:sz w:val="24"/>
      <w:szCs w:val="24"/>
    </w:rPr>
  </w:style>
  <w:style w:type="character" w:customStyle="1" w:styleId="FontStyle395">
    <w:name w:val="Font Style395"/>
    <w:uiPriority w:val="99"/>
    <w:rsid w:val="007257E3"/>
    <w:rPr>
      <w:rFonts w:ascii="Arial" w:hAnsi="Arial" w:cs="Arial" w:hint="default"/>
      <w:i/>
      <w:iCs/>
      <w:sz w:val="22"/>
      <w:szCs w:val="22"/>
    </w:rPr>
  </w:style>
  <w:style w:type="character" w:customStyle="1" w:styleId="FontStyle343">
    <w:name w:val="Font Style343"/>
    <w:uiPriority w:val="99"/>
    <w:rsid w:val="007257E3"/>
    <w:rPr>
      <w:rFonts w:ascii="Arial" w:hAnsi="Arial" w:cs="Arial" w:hint="default"/>
      <w:b/>
      <w:bCs/>
      <w:sz w:val="20"/>
      <w:szCs w:val="20"/>
    </w:rPr>
  </w:style>
  <w:style w:type="character" w:customStyle="1" w:styleId="FontStyle344">
    <w:name w:val="Font Style344"/>
    <w:uiPriority w:val="99"/>
    <w:rsid w:val="007257E3"/>
    <w:rPr>
      <w:rFonts w:ascii="Arial" w:hAnsi="Arial" w:cs="Arial" w:hint="default"/>
      <w:sz w:val="20"/>
      <w:szCs w:val="20"/>
    </w:rPr>
  </w:style>
  <w:style w:type="character" w:customStyle="1" w:styleId="FontStyle388">
    <w:name w:val="Font Style388"/>
    <w:uiPriority w:val="99"/>
    <w:rsid w:val="007257E3"/>
    <w:rPr>
      <w:rFonts w:ascii="Arial" w:hAnsi="Arial" w:cs="Arial" w:hint="default"/>
      <w:b/>
      <w:bCs/>
      <w:i/>
      <w:iCs/>
      <w:sz w:val="22"/>
      <w:szCs w:val="22"/>
    </w:rPr>
  </w:style>
  <w:style w:type="character" w:customStyle="1" w:styleId="FontStyle457">
    <w:name w:val="Font Style457"/>
    <w:uiPriority w:val="99"/>
    <w:rsid w:val="007257E3"/>
    <w:rPr>
      <w:rFonts w:ascii="Arial" w:hAnsi="Arial" w:cs="Arial" w:hint="default"/>
      <w:b/>
      <w:bCs/>
      <w:sz w:val="20"/>
      <w:szCs w:val="20"/>
    </w:rPr>
  </w:style>
  <w:style w:type="character" w:customStyle="1" w:styleId="NormalBOLDChar">
    <w:name w:val="Normal BOLD Char"/>
    <w:rsid w:val="007257E3"/>
    <w:rPr>
      <w:rFonts w:ascii="Arial" w:eastAsia="Lucida Sans Unicode" w:hAnsi="Arial" w:cs="Arial" w:hint="default"/>
      <w:b/>
      <w:bCs w:val="0"/>
      <w:sz w:val="24"/>
      <w:szCs w:val="24"/>
      <w:lang w:val="en-US" w:eastAsia="ar-SA" w:bidi="ar-SA"/>
    </w:rPr>
  </w:style>
  <w:style w:type="character" w:customStyle="1" w:styleId="TitluInSubparagrafChar">
    <w:name w:val="TitluInSubparagraf Char"/>
    <w:rsid w:val="007257E3"/>
    <w:rPr>
      <w:rFonts w:ascii="Arial" w:hAnsi="Arial" w:cs="Arial" w:hint="default"/>
      <w:b/>
      <w:bCs/>
      <w:sz w:val="24"/>
      <w:lang w:val="ro-RO" w:eastAsia="ar-SA" w:bidi="ar-SA"/>
    </w:rPr>
  </w:style>
  <w:style w:type="character" w:customStyle="1" w:styleId="field-type">
    <w:name w:val="field-type"/>
    <w:basedOn w:val="DefaultParagraphFont"/>
    <w:rsid w:val="007257E3"/>
  </w:style>
  <w:style w:type="character" w:customStyle="1" w:styleId="field-longitude">
    <w:name w:val="field-longitude"/>
    <w:basedOn w:val="DefaultParagraphFont"/>
    <w:rsid w:val="007257E3"/>
  </w:style>
  <w:style w:type="character" w:customStyle="1" w:styleId="field-latitude">
    <w:name w:val="field-latitude"/>
    <w:basedOn w:val="DefaultParagraphFont"/>
    <w:rsid w:val="007257E3"/>
  </w:style>
  <w:style w:type="character" w:customStyle="1" w:styleId="field-area">
    <w:name w:val="field-area"/>
    <w:basedOn w:val="DefaultParagraphFont"/>
    <w:rsid w:val="007257E3"/>
  </w:style>
  <w:style w:type="character" w:customStyle="1" w:styleId="field-min">
    <w:name w:val="field-min"/>
    <w:basedOn w:val="DefaultParagraphFont"/>
    <w:rsid w:val="007257E3"/>
  </w:style>
  <w:style w:type="character" w:customStyle="1" w:styleId="field-max">
    <w:name w:val="field-max"/>
    <w:basedOn w:val="DefaultParagraphFont"/>
    <w:rsid w:val="007257E3"/>
  </w:style>
  <w:style w:type="character" w:customStyle="1" w:styleId="field-mean">
    <w:name w:val="field-mean"/>
    <w:basedOn w:val="DefaultParagraphFont"/>
    <w:rsid w:val="007257E3"/>
  </w:style>
  <w:style w:type="character" w:customStyle="1" w:styleId="field-n12">
    <w:name w:val="field-n12"/>
    <w:basedOn w:val="DefaultParagraphFont"/>
    <w:rsid w:val="007257E3"/>
  </w:style>
  <w:style w:type="character" w:customStyle="1" w:styleId="field-n23">
    <w:name w:val="field-n23"/>
    <w:basedOn w:val="DefaultParagraphFont"/>
    <w:rsid w:val="007257E3"/>
  </w:style>
  <w:style w:type="character" w:customStyle="1" w:styleId="field-other">
    <w:name w:val="field-other"/>
    <w:basedOn w:val="DefaultParagraphFont"/>
    <w:rsid w:val="007257E3"/>
  </w:style>
  <w:style w:type="character" w:customStyle="1" w:styleId="field-quality">
    <w:name w:val="field-quality"/>
    <w:basedOn w:val="DefaultParagraphFont"/>
    <w:rsid w:val="007257E3"/>
  </w:style>
  <w:style w:type="character" w:customStyle="1" w:styleId="field-vulnerability">
    <w:name w:val="field-vulnerability"/>
    <w:basedOn w:val="DefaultParagraphFont"/>
    <w:rsid w:val="007257E3"/>
  </w:style>
  <w:style w:type="character" w:customStyle="1" w:styleId="field-intensity">
    <w:name w:val="field-intensity"/>
    <w:basedOn w:val="DefaultParagraphFont"/>
    <w:rsid w:val="007257E3"/>
  </w:style>
  <w:style w:type="character" w:customStyle="1" w:styleId="field-percentage">
    <w:name w:val="field-percentage"/>
    <w:basedOn w:val="DefaultParagraphFont"/>
    <w:rsid w:val="007257E3"/>
  </w:style>
  <w:style w:type="character" w:customStyle="1" w:styleId="field-influence">
    <w:name w:val="field-influence"/>
    <w:basedOn w:val="DefaultParagraphFont"/>
    <w:rsid w:val="007257E3"/>
  </w:style>
  <w:style w:type="character" w:customStyle="1" w:styleId="field-representativeness">
    <w:name w:val="field-representativeness"/>
    <w:basedOn w:val="DefaultParagraphFont"/>
    <w:rsid w:val="007257E3"/>
  </w:style>
  <w:style w:type="character" w:customStyle="1" w:styleId="field-relativearea">
    <w:name w:val="field-relative_area"/>
    <w:basedOn w:val="DefaultParagraphFont"/>
    <w:rsid w:val="007257E3"/>
  </w:style>
  <w:style w:type="character" w:customStyle="1" w:styleId="field-conservationstatus">
    <w:name w:val="field-conservation_status"/>
    <w:basedOn w:val="DefaultParagraphFont"/>
    <w:rsid w:val="007257E3"/>
  </w:style>
  <w:style w:type="character" w:customStyle="1" w:styleId="field-globalevaluation">
    <w:name w:val="field-global_evaluation"/>
    <w:basedOn w:val="DefaultParagraphFont"/>
    <w:rsid w:val="007257E3"/>
  </w:style>
  <w:style w:type="character" w:customStyle="1" w:styleId="field-scientificname">
    <w:name w:val="field-scientific_name"/>
    <w:basedOn w:val="DefaultParagraphFont"/>
    <w:rsid w:val="007257E3"/>
  </w:style>
  <w:style w:type="character" w:customStyle="1" w:styleId="field-text">
    <w:name w:val="field-text"/>
    <w:basedOn w:val="DefaultParagraphFont"/>
    <w:rsid w:val="007257E3"/>
  </w:style>
  <w:style w:type="character" w:customStyle="1" w:styleId="field-trend">
    <w:name w:val="field-trend"/>
    <w:basedOn w:val="DefaultParagraphFont"/>
    <w:rsid w:val="007257E3"/>
  </w:style>
  <w:style w:type="character" w:customStyle="1" w:styleId="field-designation">
    <w:name w:val="field-designation"/>
    <w:basedOn w:val="DefaultParagraphFont"/>
    <w:rsid w:val="007257E3"/>
  </w:style>
  <w:style w:type="character" w:customStyle="1" w:styleId="field-overlap">
    <w:name w:val="field-overlap"/>
    <w:basedOn w:val="DefaultParagraphFont"/>
    <w:rsid w:val="007257E3"/>
  </w:style>
  <w:style w:type="character" w:customStyle="1" w:styleId="FontStyle45">
    <w:name w:val="Font Style45"/>
    <w:uiPriority w:val="99"/>
    <w:rsid w:val="007257E3"/>
    <w:rPr>
      <w:rFonts w:ascii="Times New Roman" w:hAnsi="Times New Roman" w:cs="Times New Roman" w:hint="default"/>
      <w:sz w:val="24"/>
      <w:szCs w:val="24"/>
    </w:rPr>
  </w:style>
  <w:style w:type="character" w:customStyle="1" w:styleId="FontStyle52">
    <w:name w:val="Font Style52"/>
    <w:uiPriority w:val="99"/>
    <w:rsid w:val="007257E3"/>
    <w:rPr>
      <w:rFonts w:ascii="Times New Roman" w:hAnsi="Times New Roman" w:cs="Times New Roman" w:hint="default"/>
      <w:spacing w:val="-30"/>
      <w:sz w:val="34"/>
      <w:szCs w:val="34"/>
    </w:rPr>
  </w:style>
  <w:style w:type="character" w:customStyle="1" w:styleId="ALINIATChar">
    <w:name w:val="ALINIAT Char"/>
    <w:rsid w:val="007257E3"/>
    <w:rPr>
      <w:rFonts w:ascii="Calibri" w:eastAsia="Calibri" w:hAnsi="Calibri" w:cs="Arial" w:hint="default"/>
      <w:sz w:val="24"/>
      <w:szCs w:val="24"/>
    </w:rPr>
  </w:style>
  <w:style w:type="character" w:customStyle="1" w:styleId="CorpDescriereChar">
    <w:name w:val="CorpDescriere Char"/>
    <w:rsid w:val="007257E3"/>
    <w:rPr>
      <w:rFonts w:ascii="Arial" w:hAnsi="Arial" w:cs="Arial" w:hint="default"/>
      <w:lang w:val="en-US" w:eastAsia="ar-SA" w:bidi="ar-SA"/>
    </w:rPr>
  </w:style>
  <w:style w:type="character" w:customStyle="1" w:styleId="FontStyle12">
    <w:name w:val="Font Style12"/>
    <w:uiPriority w:val="99"/>
    <w:rsid w:val="007257E3"/>
    <w:rPr>
      <w:rFonts w:ascii="Arial" w:hAnsi="Arial" w:cs="Arial" w:hint="default"/>
      <w:i/>
      <w:iCs/>
      <w:sz w:val="16"/>
      <w:szCs w:val="16"/>
    </w:rPr>
  </w:style>
  <w:style w:type="character" w:customStyle="1" w:styleId="FontStyle17">
    <w:name w:val="Font Style17"/>
    <w:uiPriority w:val="99"/>
    <w:rsid w:val="007257E3"/>
    <w:rPr>
      <w:rFonts w:ascii="Arial" w:hAnsi="Arial" w:cs="Arial" w:hint="default"/>
      <w:b/>
      <w:bCs/>
      <w:sz w:val="16"/>
      <w:szCs w:val="16"/>
    </w:rPr>
  </w:style>
  <w:style w:type="character" w:customStyle="1" w:styleId="yiv8270465792">
    <w:name w:val="yiv8270465792"/>
    <w:basedOn w:val="DefaultParagraphFont"/>
    <w:rsid w:val="007257E3"/>
  </w:style>
  <w:style w:type="character" w:customStyle="1" w:styleId="FontStyle26">
    <w:name w:val="Font Style26"/>
    <w:uiPriority w:val="99"/>
    <w:rsid w:val="007257E3"/>
    <w:rPr>
      <w:rFonts w:ascii="Arial" w:hAnsi="Arial" w:cs="Arial" w:hint="default"/>
      <w:b/>
      <w:bCs/>
      <w:sz w:val="14"/>
      <w:szCs w:val="14"/>
    </w:rPr>
  </w:style>
  <w:style w:type="character" w:customStyle="1" w:styleId="FontStyle24">
    <w:name w:val="Font Style24"/>
    <w:uiPriority w:val="99"/>
    <w:rsid w:val="007257E3"/>
    <w:rPr>
      <w:rFonts w:ascii="Arial" w:hAnsi="Arial" w:cs="Arial" w:hint="default"/>
      <w:i/>
      <w:iCs/>
      <w:sz w:val="14"/>
      <w:szCs w:val="14"/>
    </w:rPr>
  </w:style>
  <w:style w:type="character" w:customStyle="1" w:styleId="FontStyle25">
    <w:name w:val="Font Style25"/>
    <w:uiPriority w:val="99"/>
    <w:rsid w:val="007257E3"/>
    <w:rPr>
      <w:rFonts w:ascii="Arial" w:hAnsi="Arial" w:cs="Arial" w:hint="default"/>
      <w:sz w:val="14"/>
      <w:szCs w:val="14"/>
    </w:rPr>
  </w:style>
  <w:style w:type="character" w:customStyle="1" w:styleId="FontStyle27">
    <w:name w:val="Font Style27"/>
    <w:uiPriority w:val="99"/>
    <w:rsid w:val="007257E3"/>
    <w:rPr>
      <w:rFonts w:ascii="Arial" w:hAnsi="Arial" w:cs="Arial" w:hint="default"/>
      <w:sz w:val="10"/>
      <w:szCs w:val="10"/>
    </w:rPr>
  </w:style>
  <w:style w:type="character" w:customStyle="1" w:styleId="FontStyle28">
    <w:name w:val="Font Style28"/>
    <w:uiPriority w:val="99"/>
    <w:rsid w:val="007257E3"/>
    <w:rPr>
      <w:rFonts w:ascii="Arial" w:hAnsi="Arial" w:cs="Arial" w:hint="default"/>
      <w:sz w:val="12"/>
      <w:szCs w:val="12"/>
    </w:rPr>
  </w:style>
  <w:style w:type="character" w:customStyle="1" w:styleId="field-ownership">
    <w:name w:val="field-ownership"/>
    <w:rsid w:val="007257E3"/>
  </w:style>
  <w:style w:type="character" w:customStyle="1" w:styleId="field-organisation">
    <w:name w:val="field-organisation"/>
    <w:rsid w:val="007257E3"/>
  </w:style>
  <w:style w:type="character" w:customStyle="1" w:styleId="field-plan">
    <w:name w:val="field-plan"/>
    <w:rsid w:val="007257E3"/>
  </w:style>
  <w:style w:type="character" w:customStyle="1" w:styleId="js-ineffectdate">
    <w:name w:val="js-ineffectdate"/>
    <w:basedOn w:val="DefaultParagraphFont"/>
    <w:rsid w:val="007257E3"/>
  </w:style>
  <w:style w:type="character" w:customStyle="1" w:styleId="js-headerdate">
    <w:name w:val="js-headerdate"/>
    <w:basedOn w:val="DefaultParagraphFont"/>
    <w:rsid w:val="007257E3"/>
  </w:style>
  <w:style w:type="character" w:customStyle="1" w:styleId="TITLUSUBCAPITOLChar">
    <w:name w:val="TITLU SUBCAPITOL Char"/>
    <w:rsid w:val="007257E3"/>
    <w:rPr>
      <w:rFonts w:ascii="Arial" w:eastAsia="Times New Roman" w:hAnsi="Arial" w:cs="Times New Roman" w:hint="default"/>
      <w:b/>
      <w:bCs/>
      <w:i/>
      <w:iCs w:val="0"/>
      <w:sz w:val="24"/>
      <w:szCs w:val="24"/>
      <w:lang w:val="ro-RO" w:eastAsia="ar-SA"/>
    </w:rPr>
  </w:style>
  <w:style w:type="character" w:customStyle="1" w:styleId="mw-editsection">
    <w:name w:val="mw-editsection"/>
    <w:basedOn w:val="DefaultParagraphFont"/>
    <w:rsid w:val="007257E3"/>
  </w:style>
  <w:style w:type="character" w:customStyle="1" w:styleId="mw-editsection-bracket">
    <w:name w:val="mw-editsection-bracket"/>
    <w:basedOn w:val="DefaultParagraphFont"/>
    <w:rsid w:val="007257E3"/>
  </w:style>
  <w:style w:type="character" w:customStyle="1" w:styleId="mw-editsection-divider">
    <w:name w:val="mw-editsection-divider"/>
    <w:basedOn w:val="DefaultParagraphFont"/>
    <w:rsid w:val="007257E3"/>
  </w:style>
  <w:style w:type="character" w:customStyle="1" w:styleId="plainlinks">
    <w:name w:val="plainlinks"/>
    <w:basedOn w:val="DefaultParagraphFont"/>
    <w:rsid w:val="007257E3"/>
  </w:style>
  <w:style w:type="character" w:customStyle="1" w:styleId="geo-dec">
    <w:name w:val="geo-dec"/>
    <w:basedOn w:val="DefaultParagraphFont"/>
    <w:rsid w:val="007257E3"/>
  </w:style>
  <w:style w:type="character" w:customStyle="1" w:styleId="Bodytext5NotItalic">
    <w:name w:val="Body text (5) + Not Italic"/>
    <w:rsid w:val="007257E3"/>
    <w:rPr>
      <w:rFonts w:ascii="Calibri" w:hAnsi="Calibri" w:cs="Calibri"/>
      <w:i/>
      <w:iCs/>
      <w:color w:val="000000"/>
      <w:spacing w:val="0"/>
      <w:w w:val="100"/>
      <w:position w:val="0"/>
      <w:shd w:val="clear" w:color="auto" w:fill="FFFFFF"/>
      <w:lang w:val="ro-RO"/>
    </w:rPr>
  </w:style>
  <w:style w:type="character" w:customStyle="1" w:styleId="Heading4NotItalic">
    <w:name w:val="Heading #4 + Not Italic"/>
    <w:rsid w:val="007257E3"/>
    <w:rPr>
      <w:rFonts w:ascii="Calibri" w:eastAsia="Calibri" w:hAnsi="Calibri" w:cs="Calibri" w:hint="default"/>
      <w:b w:val="0"/>
      <w:bCs w:val="0"/>
      <w:i/>
      <w:iCs/>
      <w:smallCaps w:val="0"/>
      <w:strike w:val="0"/>
      <w:dstrike w:val="0"/>
      <w:color w:val="000000"/>
      <w:spacing w:val="0"/>
      <w:w w:val="100"/>
      <w:position w:val="0"/>
      <w:sz w:val="20"/>
      <w:szCs w:val="20"/>
      <w:u w:val="none"/>
      <w:effect w:val="none"/>
      <w:shd w:val="clear" w:color="auto" w:fill="FFFFFF"/>
      <w:lang w:val="ro-RO"/>
    </w:rPr>
  </w:style>
  <w:style w:type="character" w:customStyle="1" w:styleId="FontStyle147">
    <w:name w:val="Font Style147"/>
    <w:rsid w:val="007257E3"/>
    <w:rPr>
      <w:rFonts w:ascii="Times New Roman" w:hAnsi="Times New Roman" w:cs="Times New Roman" w:hint="default"/>
      <w:b/>
      <w:bCs/>
      <w:sz w:val="20"/>
      <w:szCs w:val="20"/>
    </w:rPr>
  </w:style>
  <w:style w:type="character" w:customStyle="1" w:styleId="FontStyle146">
    <w:name w:val="Font Style146"/>
    <w:rsid w:val="007257E3"/>
    <w:rPr>
      <w:rFonts w:ascii="Times New Roman" w:hAnsi="Times New Roman" w:cs="Times New Roman" w:hint="default"/>
      <w:b/>
      <w:bCs/>
      <w:sz w:val="18"/>
      <w:szCs w:val="18"/>
    </w:rPr>
  </w:style>
  <w:style w:type="character" w:customStyle="1" w:styleId="FontStyle148">
    <w:name w:val="Font Style148"/>
    <w:rsid w:val="007257E3"/>
    <w:rPr>
      <w:rFonts w:ascii="Times New Roman" w:hAnsi="Times New Roman" w:cs="Times New Roman" w:hint="default"/>
      <w:sz w:val="18"/>
      <w:szCs w:val="18"/>
    </w:rPr>
  </w:style>
  <w:style w:type="character" w:customStyle="1" w:styleId="FontStyle110">
    <w:name w:val="Font Style110"/>
    <w:rsid w:val="007257E3"/>
    <w:rPr>
      <w:rFonts w:ascii="Times New Roman" w:hAnsi="Times New Roman" w:cs="Times New Roman" w:hint="default"/>
      <w:sz w:val="20"/>
      <w:szCs w:val="20"/>
    </w:rPr>
  </w:style>
  <w:style w:type="character" w:customStyle="1" w:styleId="FontStyle149">
    <w:name w:val="Font Style149"/>
    <w:rsid w:val="007257E3"/>
    <w:rPr>
      <w:rFonts w:ascii="Times New Roman" w:hAnsi="Times New Roman" w:cs="Times New Roman" w:hint="default"/>
      <w:sz w:val="20"/>
      <w:szCs w:val="20"/>
    </w:rPr>
  </w:style>
  <w:style w:type="character" w:customStyle="1" w:styleId="FontStyle119">
    <w:name w:val="Font Style119"/>
    <w:rsid w:val="007257E3"/>
    <w:rPr>
      <w:rFonts w:ascii="Times New Roman" w:hAnsi="Times New Roman" w:cs="Times New Roman" w:hint="default"/>
      <w:sz w:val="14"/>
      <w:szCs w:val="14"/>
    </w:rPr>
  </w:style>
  <w:style w:type="character" w:customStyle="1" w:styleId="FontStyle133">
    <w:name w:val="Font Style133"/>
    <w:rsid w:val="007257E3"/>
    <w:rPr>
      <w:rFonts w:ascii="Times New Roman" w:hAnsi="Times New Roman" w:cs="Times New Roman" w:hint="default"/>
      <w:sz w:val="16"/>
      <w:szCs w:val="16"/>
    </w:rPr>
  </w:style>
  <w:style w:type="character" w:customStyle="1" w:styleId="NormalTimesNewRomanChar">
    <w:name w:val="Normal + Times New Roman Char"/>
    <w:aliases w:val="9 pt Char,Line spacing:  1 lines Char"/>
    <w:rsid w:val="007257E3"/>
    <w:rPr>
      <w:rFonts w:ascii="Calibri" w:eastAsia="Calibri" w:hAnsi="Calibri" w:cs="Calibri" w:hint="default"/>
      <w:sz w:val="18"/>
      <w:szCs w:val="18"/>
      <w:lang w:val="en-US" w:eastAsia="de-AT" w:bidi="ar-SA"/>
    </w:rPr>
  </w:style>
  <w:style w:type="character" w:customStyle="1" w:styleId="tabel1">
    <w:name w:val="tabel1"/>
    <w:rsid w:val="007257E3"/>
    <w:rPr>
      <w:rFonts w:ascii="Courier New" w:hAnsi="Courier New" w:cs="Courier New" w:hint="default"/>
      <w:color w:val="000000"/>
      <w:sz w:val="20"/>
      <w:szCs w:val="20"/>
    </w:rPr>
  </w:style>
  <w:style w:type="character" w:customStyle="1" w:styleId="SubparagraafChar">
    <w:name w:val="Subparagraaf Char"/>
    <w:aliases w:val="1.1.1 Char,Bplan 1.1.1 Char,NZlijn kop 3 Char"/>
    <w:rsid w:val="007257E3"/>
    <w:rPr>
      <w:rFonts w:ascii="Verdana" w:hAnsi="Verdana" w:hint="default"/>
      <w:b/>
      <w:bCs w:val="0"/>
      <w:sz w:val="18"/>
      <w:lang w:eastAsia="en-US"/>
    </w:rPr>
  </w:style>
  <w:style w:type="character" w:customStyle="1" w:styleId="Mention1">
    <w:name w:val="Mention1"/>
    <w:uiPriority w:val="99"/>
    <w:semiHidden/>
    <w:rsid w:val="007257E3"/>
    <w:rPr>
      <w:color w:val="2B579A"/>
      <w:shd w:val="clear" w:color="auto" w:fill="E6E6E6"/>
    </w:rPr>
  </w:style>
  <w:style w:type="character" w:customStyle="1" w:styleId="User0">
    <w:name w:val="User"/>
    <w:semiHidden/>
    <w:rsid w:val="007257E3"/>
    <w:rPr>
      <w:rFonts w:ascii="Arial" w:hAnsi="Arial" w:cs="Arial" w:hint="default"/>
      <w:color w:val="000080"/>
      <w:sz w:val="20"/>
      <w:szCs w:val="20"/>
    </w:rPr>
  </w:style>
  <w:style w:type="character" w:customStyle="1" w:styleId="normalboldtextstyle">
    <w:name w:val="normalboldtextstyle"/>
    <w:rsid w:val="007257E3"/>
  </w:style>
  <w:style w:type="character" w:customStyle="1" w:styleId="FootnoteTextCharCharCharCharChar">
    <w:name w:val="Footnote Text.Char Char Char Char Char"/>
    <w:rsid w:val="007257E3"/>
    <w:rPr>
      <w:rFonts w:ascii="Arial" w:hAnsi="Arial" w:cs="Arial" w:hint="default"/>
      <w:sz w:val="16"/>
      <w:szCs w:val="16"/>
      <w:lang w:val="en-US" w:eastAsia="en-US" w:bidi="ar-SA"/>
    </w:rPr>
  </w:style>
  <w:style w:type="character" w:customStyle="1" w:styleId="ListBulletCharChar">
    <w:name w:val="List Bullet Char Char"/>
    <w:rsid w:val="007257E3"/>
    <w:rPr>
      <w:rFonts w:ascii="Arial" w:hAnsi="Arial" w:cs="Arial" w:hint="default"/>
      <w:lang w:val="en-US" w:eastAsia="en-US" w:bidi="ar-SA"/>
    </w:rPr>
  </w:style>
  <w:style w:type="character" w:customStyle="1" w:styleId="titlu21">
    <w:name w:val="titlu21"/>
    <w:rsid w:val="007257E3"/>
    <w:rPr>
      <w:rFonts w:ascii="Verdana" w:hAnsi="Verdana" w:cs="Times New Roman" w:hint="default"/>
      <w:b/>
      <w:bCs/>
      <w:color w:val="0661BE"/>
      <w:sz w:val="18"/>
      <w:szCs w:val="18"/>
    </w:rPr>
  </w:style>
  <w:style w:type="character" w:customStyle="1" w:styleId="c21">
    <w:name w:val="c21"/>
    <w:rsid w:val="007257E3"/>
    <w:rPr>
      <w:sz w:val="20"/>
      <w:szCs w:val="20"/>
    </w:rPr>
  </w:style>
  <w:style w:type="character" w:customStyle="1" w:styleId="EmailStyle1564">
    <w:name w:val="EmailStyle1564"/>
    <w:semiHidden/>
    <w:rsid w:val="007257E3"/>
    <w:rPr>
      <w:rFonts w:ascii="Arial" w:hAnsi="Arial" w:cs="Arial" w:hint="default"/>
      <w:color w:val="000080"/>
      <w:sz w:val="20"/>
      <w:szCs w:val="20"/>
    </w:rPr>
  </w:style>
  <w:style w:type="character" w:customStyle="1" w:styleId="WW8Num35z3">
    <w:name w:val="WW8Num35z3"/>
    <w:rsid w:val="007257E3"/>
    <w:rPr>
      <w:rFonts w:ascii="Symbol" w:hAnsi="Symbol" w:hint="default"/>
    </w:rPr>
  </w:style>
  <w:style w:type="character" w:customStyle="1" w:styleId="bodytext3155pt">
    <w:name w:val="bodytext3155pt"/>
    <w:basedOn w:val="DefaultParagraphFont"/>
    <w:rsid w:val="007257E3"/>
  </w:style>
  <w:style w:type="character" w:customStyle="1" w:styleId="CharCharCharCharCharCharChar2">
    <w:name w:val="Char Char Char Char Char Char Char2"/>
    <w:rsid w:val="007257E3"/>
    <w:rPr>
      <w:rFonts w:ascii="Calibri" w:hAnsi="Calibri" w:cs="Calibri" w:hint="default"/>
      <w:b/>
      <w:bCs/>
      <w:noProof w:val="0"/>
      <w:lang w:val="en-GB" w:eastAsia="en-US"/>
    </w:rPr>
  </w:style>
  <w:style w:type="table" w:customStyle="1" w:styleId="TabelNormal1">
    <w:name w:val="Tabel Normal1"/>
    <w:semiHidden/>
    <w:rsid w:val="007257E3"/>
    <w:pPr>
      <w:spacing w:line="240" w:lineRule="auto"/>
    </w:pPr>
    <w:rPr>
      <w:rFonts w:ascii="Arial" w:eastAsia="Times New Roman" w:hAnsi="Arial" w:cs="Times New Roman"/>
      <w:sz w:val="20"/>
      <w:szCs w:val="20"/>
      <w:lang w:val="en-US"/>
    </w:rPr>
    <w:tblPr>
      <w:tblCellMar>
        <w:top w:w="0" w:type="dxa"/>
        <w:left w:w="108" w:type="dxa"/>
        <w:bottom w:w="0" w:type="dxa"/>
        <w:right w:w="108" w:type="dxa"/>
      </w:tblCellMar>
    </w:tblPr>
  </w:style>
  <w:style w:type="table" w:customStyle="1" w:styleId="TabelNormal11">
    <w:name w:val="Tabel Normal11"/>
    <w:semiHidden/>
    <w:rsid w:val="007257E3"/>
    <w:pPr>
      <w:spacing w:line="240" w:lineRule="auto"/>
    </w:pPr>
    <w:rPr>
      <w:rFonts w:ascii="Arial" w:eastAsia="Times New Roman" w:hAnsi="Arial" w:cs="Times New Roman"/>
      <w:sz w:val="20"/>
      <w:szCs w:val="20"/>
      <w:lang w:val="en-US"/>
    </w:rPr>
    <w:tblPr>
      <w:tblCellMar>
        <w:top w:w="0" w:type="dxa"/>
        <w:left w:w="108" w:type="dxa"/>
        <w:bottom w:w="0" w:type="dxa"/>
        <w:right w:w="108" w:type="dxa"/>
      </w:tblCellMar>
    </w:tblPr>
  </w:style>
  <w:style w:type="table" w:customStyle="1" w:styleId="LightShadingAccent51">
    <w:name w:val="Light Shading Accent 51"/>
    <w:rsid w:val="007257E3"/>
    <w:pPr>
      <w:spacing w:line="240" w:lineRule="auto"/>
    </w:pPr>
    <w:rPr>
      <w:rFonts w:ascii="Calibri" w:eastAsia="Times New Roman" w:hAnsi="Calibri" w:cs="Times New Roman"/>
      <w:color w:val="31849B"/>
      <w:sz w:val="20"/>
      <w:szCs w:val="20"/>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ShadingAccent41">
    <w:name w:val="Light Shading Accent 41"/>
    <w:rsid w:val="007257E3"/>
    <w:pPr>
      <w:spacing w:line="240" w:lineRule="auto"/>
    </w:pPr>
    <w:rPr>
      <w:rFonts w:ascii="Calibri" w:eastAsia="Times New Roman" w:hAnsi="Calibri" w:cs="Times New Roman"/>
      <w:color w:val="5F497A"/>
      <w:sz w:val="20"/>
      <w:szCs w:val="20"/>
      <w:lang w:val="en-US"/>
    </w:rPr>
    <w:tblPr>
      <w:tblStyleRowBandSize w:val="1"/>
      <w:tblStyleColBandSize w:val="1"/>
      <w:tblBorders>
        <w:top w:val="single" w:sz="8" w:space="0" w:color="8064A2"/>
        <w:bottom w:val="single" w:sz="8" w:space="0" w:color="8064A2"/>
      </w:tblBorders>
      <w:tblCellMar>
        <w:top w:w="0" w:type="dxa"/>
        <w:left w:w="108" w:type="dxa"/>
        <w:bottom w:w="0" w:type="dxa"/>
        <w:right w:w="108" w:type="dxa"/>
      </w:tblCellMar>
    </w:tblPr>
  </w:style>
  <w:style w:type="table" w:customStyle="1" w:styleId="LightShading-Accent514">
    <w:name w:val="Light Shading - Accent 514"/>
    <w:uiPriority w:val="60"/>
    <w:rsid w:val="007257E3"/>
    <w:pPr>
      <w:spacing w:after="200" w:line="276" w:lineRule="auto"/>
    </w:pPr>
    <w:rPr>
      <w:rFonts w:ascii="Calibri" w:eastAsia="Times New Roman" w:hAnsi="Calibri" w:cs="Times New Roman"/>
      <w:color w:val="31849B"/>
      <w:sz w:val="22"/>
      <w:szCs w:val="22"/>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Shading-Accent414">
    <w:name w:val="Light Shading - Accent 414"/>
    <w:uiPriority w:val="60"/>
    <w:rsid w:val="007257E3"/>
    <w:pPr>
      <w:spacing w:after="200" w:line="276" w:lineRule="auto"/>
    </w:pPr>
    <w:rPr>
      <w:rFonts w:ascii="Calibri" w:eastAsia="Times New Roman" w:hAnsi="Calibri" w:cs="Times New Roman"/>
      <w:color w:val="5F497A"/>
      <w:sz w:val="22"/>
      <w:szCs w:val="22"/>
      <w:lang w:val="en-US"/>
    </w:rPr>
    <w:tblPr>
      <w:tblStyleRowBandSize w:val="1"/>
      <w:tblStyleColBandSize w:val="1"/>
      <w:tblBorders>
        <w:top w:val="single" w:sz="8" w:space="0" w:color="8064A2"/>
        <w:bottom w:val="single" w:sz="8" w:space="0" w:color="8064A2"/>
      </w:tblBorders>
      <w:tblCellMar>
        <w:top w:w="0" w:type="dxa"/>
        <w:left w:w="108" w:type="dxa"/>
        <w:bottom w:w="0" w:type="dxa"/>
        <w:right w:w="108" w:type="dxa"/>
      </w:tblCellMar>
    </w:tblPr>
  </w:style>
  <w:style w:type="table" w:customStyle="1" w:styleId="TableGrid231">
    <w:name w:val="Table Grid231"/>
    <w:rsid w:val="007257E3"/>
    <w:pPr>
      <w:spacing w:line="240" w:lineRule="auto"/>
    </w:pPr>
    <w:rPr>
      <w:rFonts w:ascii="Times New Roman" w:eastAsia="Calibri" w:hAnsi="Times New Roman" w:cs="Times New Roman"/>
      <w:sz w:val="20"/>
      <w:szCs w:val="20"/>
      <w:lang w:val="en-US"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rsid w:val="007257E3"/>
    <w:pPr>
      <w:spacing w:line="240" w:lineRule="auto"/>
    </w:pPr>
    <w:rPr>
      <w:rFonts w:ascii="Calibri" w:eastAsia="Times New Roman"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Shading-Accent52">
    <w:name w:val="Light Shading - Accent 52"/>
    <w:rsid w:val="007257E3"/>
    <w:pPr>
      <w:spacing w:line="240" w:lineRule="auto"/>
    </w:pPr>
    <w:rPr>
      <w:rFonts w:ascii="Calibri" w:eastAsia="Times New Roman" w:hAnsi="Calibri" w:cs="Times New Roman"/>
      <w:color w:val="31849B"/>
      <w:sz w:val="20"/>
      <w:szCs w:val="20"/>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Shading-Accent42">
    <w:name w:val="Light Shading - Accent 42"/>
    <w:rsid w:val="007257E3"/>
    <w:pPr>
      <w:spacing w:line="240" w:lineRule="auto"/>
    </w:pPr>
    <w:rPr>
      <w:rFonts w:ascii="Calibri" w:eastAsia="Times New Roman" w:hAnsi="Calibri" w:cs="Times New Roman"/>
      <w:color w:val="5F497A"/>
      <w:sz w:val="20"/>
      <w:szCs w:val="20"/>
      <w:lang w:val="en-US"/>
    </w:rPr>
    <w:tblPr>
      <w:tblStyleRowBandSize w:val="1"/>
      <w:tblStyleColBandSize w:val="1"/>
      <w:tblBorders>
        <w:top w:val="single" w:sz="8" w:space="0" w:color="8064A2"/>
        <w:bottom w:val="single" w:sz="8" w:space="0" w:color="8064A2"/>
      </w:tblBorders>
      <w:tblCellMar>
        <w:top w:w="0" w:type="dxa"/>
        <w:left w:w="108" w:type="dxa"/>
        <w:bottom w:w="0" w:type="dxa"/>
        <w:right w:w="108" w:type="dxa"/>
      </w:tblCellMar>
    </w:tblPr>
  </w:style>
  <w:style w:type="table" w:customStyle="1" w:styleId="TableElegant5">
    <w:name w:val="Table Elegant5"/>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5">
    <w:name w:val="Table Web 25"/>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Classic14">
    <w:name w:val="Table Classic 14"/>
    <w:basedOn w:val="TableNormal"/>
    <w:rsid w:val="007257E3"/>
    <w:pPr>
      <w:spacing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4">
    <w:name w:val="Table Web 14"/>
    <w:basedOn w:val="TableNormal"/>
    <w:rsid w:val="007257E3"/>
    <w:pPr>
      <w:spacing w:line="280" w:lineRule="exact"/>
    </w:pPr>
    <w:rPr>
      <w:rFonts w:ascii="Times New Roman" w:eastAsia="Calibri"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4">
    <w:name w:val="Table Web 34"/>
    <w:basedOn w:val="TableNormal"/>
    <w:rsid w:val="007257E3"/>
    <w:pPr>
      <w:spacing w:line="280" w:lineRule="exact"/>
    </w:pPr>
    <w:rPr>
      <w:rFonts w:ascii="Times New Roman" w:eastAsia="Calibri"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41">
    <w:name w:val="Table Elegant141"/>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41">
    <w:name w:val="Table Web 2141"/>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1131">
    <w:name w:val="Table Web 1131"/>
    <w:basedOn w:val="TableNormal"/>
    <w:rsid w:val="007257E3"/>
    <w:pPr>
      <w:spacing w:line="280" w:lineRule="exact"/>
    </w:pPr>
    <w:rPr>
      <w:rFonts w:ascii="Times New Roman" w:eastAsia="Calibri"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31">
    <w:name w:val="Table Web 3131"/>
    <w:basedOn w:val="TableNormal"/>
    <w:rsid w:val="007257E3"/>
    <w:pPr>
      <w:spacing w:line="280" w:lineRule="exact"/>
    </w:pPr>
    <w:rPr>
      <w:rFonts w:ascii="Times New Roman" w:eastAsia="Calibri"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131">
    <w:name w:val="Table Grid1131"/>
    <w:basedOn w:val="TableNormal"/>
    <w:rsid w:val="007257E3"/>
    <w:pPr>
      <w:spacing w:line="240" w:lineRule="auto"/>
    </w:pPr>
    <w:rPr>
      <w:rFonts w:ascii="Calibri" w:eastAsia="Calibri"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Accent53">
    <w:name w:val="Light Shading - Accent 53"/>
    <w:rsid w:val="007257E3"/>
    <w:pPr>
      <w:spacing w:line="240" w:lineRule="auto"/>
    </w:pPr>
    <w:rPr>
      <w:rFonts w:ascii="Calibri" w:eastAsia="Times New Roman" w:hAnsi="Calibri" w:cs="Times New Roman"/>
      <w:color w:val="31849B"/>
      <w:sz w:val="20"/>
      <w:szCs w:val="20"/>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Shading-Accent43">
    <w:name w:val="Light Shading - Accent 43"/>
    <w:rsid w:val="007257E3"/>
    <w:pPr>
      <w:spacing w:line="240" w:lineRule="auto"/>
    </w:pPr>
    <w:rPr>
      <w:rFonts w:ascii="Calibri" w:eastAsia="Times New Roman" w:hAnsi="Calibri" w:cs="Times New Roman"/>
      <w:color w:val="5F497A"/>
      <w:sz w:val="20"/>
      <w:szCs w:val="20"/>
      <w:lang w:val="en-US"/>
    </w:rPr>
    <w:tblPr>
      <w:tblStyleRowBandSize w:val="1"/>
      <w:tblStyleColBandSize w:val="1"/>
      <w:tblBorders>
        <w:top w:val="single" w:sz="8" w:space="0" w:color="8064A2"/>
        <w:bottom w:val="single" w:sz="8" w:space="0" w:color="8064A2"/>
      </w:tblBorders>
      <w:tblCellMar>
        <w:top w:w="0" w:type="dxa"/>
        <w:left w:w="108" w:type="dxa"/>
        <w:bottom w:w="0" w:type="dxa"/>
        <w:right w:w="108" w:type="dxa"/>
      </w:tblCellMar>
    </w:tblPr>
  </w:style>
  <w:style w:type="table" w:customStyle="1" w:styleId="TableElegant15">
    <w:name w:val="Table Elegant15"/>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Grid24">
    <w:name w:val="Table Grid24"/>
    <w:rsid w:val="007257E3"/>
    <w:pPr>
      <w:spacing w:after="200" w:line="276" w:lineRule="auto"/>
    </w:pPr>
    <w:rPr>
      <w:rFonts w:ascii="Times New Roman" w:eastAsia="Times New Roman" w:hAnsi="Times New Roman" w:cs="Times New Roman"/>
      <w:sz w:val="22"/>
      <w:szCs w:val="22"/>
      <w:lang w:val="en-US"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Normal12">
    <w:name w:val="Tabel Normal12"/>
    <w:semiHidden/>
    <w:rsid w:val="007257E3"/>
    <w:pPr>
      <w:spacing w:after="200" w:line="276" w:lineRule="auto"/>
    </w:pPr>
    <w:rPr>
      <w:rFonts w:ascii="Arial" w:eastAsia="Times New Roman" w:hAnsi="Arial" w:cs="Times New Roman"/>
      <w:sz w:val="22"/>
      <w:szCs w:val="22"/>
      <w:lang w:val="en-US"/>
    </w:rPr>
    <w:tblPr>
      <w:tblCellMar>
        <w:top w:w="0" w:type="dxa"/>
        <w:left w:w="108" w:type="dxa"/>
        <w:bottom w:w="0" w:type="dxa"/>
        <w:right w:w="108" w:type="dxa"/>
      </w:tblCellMar>
    </w:tblPr>
  </w:style>
  <w:style w:type="table" w:customStyle="1" w:styleId="TableGrid33">
    <w:name w:val="Table Grid33"/>
    <w:rsid w:val="007257E3"/>
    <w:pPr>
      <w:spacing w:after="200" w:line="276" w:lineRule="auto"/>
    </w:pPr>
    <w:rPr>
      <w:rFonts w:ascii="Calibri" w:eastAsia="Times New Roman" w:hAnsi="Calibri" w:cs="Times New Roman"/>
      <w:sz w:val="22"/>
      <w:szCs w:val="22"/>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MediumList1-Accent112">
    <w:name w:val="Medium List 1 - Accent 112"/>
    <w:rsid w:val="007257E3"/>
    <w:pPr>
      <w:spacing w:after="200" w:line="276" w:lineRule="auto"/>
    </w:pPr>
    <w:rPr>
      <w:rFonts w:ascii="Calibri" w:eastAsia="Times New Roman" w:hAnsi="Calibri" w:cs="Times New Roman"/>
      <w:color w:val="000000"/>
      <w:sz w:val="22"/>
      <w:szCs w:val="22"/>
      <w:lang w:val="en-US"/>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LightShading-Accent511">
    <w:name w:val="Light Shading - Accent 511"/>
    <w:rsid w:val="007257E3"/>
    <w:pPr>
      <w:spacing w:after="200" w:line="276" w:lineRule="auto"/>
    </w:pPr>
    <w:rPr>
      <w:rFonts w:ascii="Calibri" w:eastAsia="Times New Roman" w:hAnsi="Calibri" w:cs="Times New Roman"/>
      <w:color w:val="31849B"/>
      <w:sz w:val="22"/>
      <w:szCs w:val="22"/>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Shading-Accent411">
    <w:name w:val="Light Shading - Accent 411"/>
    <w:rsid w:val="007257E3"/>
    <w:pPr>
      <w:spacing w:after="200" w:line="276" w:lineRule="auto"/>
    </w:pPr>
    <w:rPr>
      <w:rFonts w:ascii="Calibri" w:eastAsia="Times New Roman" w:hAnsi="Calibri" w:cs="Times New Roman"/>
      <w:color w:val="5F497A"/>
      <w:sz w:val="22"/>
      <w:szCs w:val="22"/>
      <w:lang w:val="en-US"/>
    </w:rPr>
    <w:tblPr>
      <w:tblStyleRowBandSize w:val="1"/>
      <w:tblStyleColBandSize w:val="1"/>
      <w:tblBorders>
        <w:top w:val="single" w:sz="8" w:space="0" w:color="8064A2"/>
        <w:bottom w:val="single" w:sz="8" w:space="0" w:color="8064A2"/>
      </w:tblBorders>
      <w:tblCellMar>
        <w:top w:w="0" w:type="dxa"/>
        <w:left w:w="108" w:type="dxa"/>
        <w:bottom w:w="0" w:type="dxa"/>
        <w:right w:w="108" w:type="dxa"/>
      </w:tblCellMar>
    </w:tblPr>
  </w:style>
  <w:style w:type="table" w:customStyle="1" w:styleId="LightShading12">
    <w:name w:val="Light Shading12"/>
    <w:rsid w:val="007257E3"/>
    <w:pPr>
      <w:spacing w:after="200" w:line="276" w:lineRule="auto"/>
    </w:pPr>
    <w:rPr>
      <w:rFonts w:ascii="Calibri" w:eastAsia="Times New Roman" w:hAnsi="Calibri" w:cs="Times New Roman"/>
      <w:color w:val="000000"/>
      <w:sz w:val="22"/>
      <w:szCs w:val="22"/>
      <w:lang w:val="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TableClassic15">
    <w:name w:val="Table Classic 15"/>
    <w:basedOn w:val="TableNormal"/>
    <w:rsid w:val="007257E3"/>
    <w:pPr>
      <w:spacing w:before="120" w:after="120" w:line="260" w:lineRule="exact"/>
    </w:pPr>
    <w:rPr>
      <w:rFonts w:ascii="Times New Roman" w:eastAsia="Times New Roman" w:hAnsi="Times New Roman" w:cs="Times New Roman"/>
      <w:sz w:val="20"/>
      <w:szCs w:val="20"/>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Elegant6">
    <w:name w:val="Table Elegant6"/>
    <w:basedOn w:val="TableNormal"/>
    <w:rsid w:val="007257E3"/>
    <w:pPr>
      <w:spacing w:before="120" w:after="120" w:line="260" w:lineRule="exact"/>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TableWeb15">
    <w:name w:val="Table Web 15"/>
    <w:basedOn w:val="TableNormal"/>
    <w:rsid w:val="007257E3"/>
    <w:pPr>
      <w:spacing w:before="120" w:after="120" w:line="260" w:lineRule="exact"/>
    </w:pPr>
    <w:rPr>
      <w:rFonts w:ascii="Times New Roman" w:eastAsia="Times New Roman"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26">
    <w:name w:val="Table Web 26"/>
    <w:basedOn w:val="TableNormal"/>
    <w:rsid w:val="007257E3"/>
    <w:pPr>
      <w:spacing w:before="120" w:after="120" w:line="260" w:lineRule="exact"/>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5">
    <w:name w:val="Table Web 35"/>
    <w:basedOn w:val="TableNormal"/>
    <w:rsid w:val="007257E3"/>
    <w:pPr>
      <w:spacing w:before="120" w:after="120" w:line="260" w:lineRule="exact"/>
    </w:pPr>
    <w:rPr>
      <w:rFonts w:ascii="Times New Roman" w:eastAsia="Times New Roman"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6">
    <w:name w:val="Table Elegant16"/>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5">
    <w:name w:val="Table Web 215"/>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231">
    <w:name w:val="Table Elegant231"/>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231">
    <w:name w:val="Table Web 2231"/>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Classic1131">
    <w:name w:val="Table Classic 1131"/>
    <w:basedOn w:val="TableNormal"/>
    <w:semiHidden/>
    <w:rsid w:val="007257E3"/>
    <w:pPr>
      <w:spacing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14">
    <w:name w:val="Table Web 114"/>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4">
    <w:name w:val="Table Web 314"/>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131">
    <w:name w:val="Table Elegant1131"/>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131">
    <w:name w:val="Table Web 21131"/>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140">
    <w:name w:val="Table Grid114"/>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Web1221">
    <w:name w:val="Table Web 1221"/>
    <w:basedOn w:val="TableNormal"/>
    <w:semiHidden/>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221">
    <w:name w:val="Table Web 3221"/>
    <w:basedOn w:val="TableNormal"/>
    <w:semiHidden/>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221">
    <w:name w:val="Table Grid122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1">
    <w:name w:val="Table Grid212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Web11121">
    <w:name w:val="Table Web 11121"/>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121">
    <w:name w:val="Table Web 31121"/>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1121">
    <w:name w:val="Table Grid1112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Elegant411">
    <w:name w:val="Table Elegant411"/>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411">
    <w:name w:val="Table Web 2411"/>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Classic1311">
    <w:name w:val="Table Classic 1311"/>
    <w:basedOn w:val="TableNormal"/>
    <w:semiHidden/>
    <w:rsid w:val="007257E3"/>
    <w:pPr>
      <w:spacing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311">
    <w:name w:val="Table Web 1311"/>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311">
    <w:name w:val="Table Web 3311"/>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311">
    <w:name w:val="Table Elegant1311"/>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311">
    <w:name w:val="Table Web 21311"/>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2211">
    <w:name w:val="Table Elegant2211"/>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2211">
    <w:name w:val="Table Web 22211"/>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221">
    <w:name w:val="Table Grid22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Classic11211">
    <w:name w:val="Table Classic 11211"/>
    <w:basedOn w:val="TableNormal"/>
    <w:semiHidden/>
    <w:rsid w:val="007257E3"/>
    <w:pPr>
      <w:spacing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1211">
    <w:name w:val="Table Web 11211"/>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211">
    <w:name w:val="Table Web 31211"/>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1211">
    <w:name w:val="Table Elegant11211"/>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1211">
    <w:name w:val="Table Web 211211"/>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121">
    <w:name w:val="Table Grid112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Web12111">
    <w:name w:val="Table Web 12111"/>
    <w:basedOn w:val="TableNormal"/>
    <w:semiHidden/>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2111">
    <w:name w:val="Table Web 32111"/>
    <w:basedOn w:val="TableNormal"/>
    <w:semiHidden/>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3111">
    <w:name w:val="Table Grid311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111">
    <w:name w:val="Table Grid1211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11">
    <w:name w:val="Table Grid211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Web111111">
    <w:name w:val="Table Web 111111"/>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1111">
    <w:name w:val="Table Web 311111"/>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1111">
    <w:name w:val="Table Grid1111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11">
    <w:name w:val="Table Grid1411"/>
    <w:rsid w:val="007257E3"/>
    <w:pPr>
      <w:spacing w:line="240" w:lineRule="auto"/>
    </w:pPr>
    <w:rPr>
      <w:rFonts w:ascii="Times New Roman" w:eastAsia="Calibri"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Normal111">
    <w:name w:val="Tabel Normal111"/>
    <w:semiHidden/>
    <w:rsid w:val="007257E3"/>
    <w:pPr>
      <w:spacing w:line="240" w:lineRule="auto"/>
    </w:pPr>
    <w:rPr>
      <w:rFonts w:ascii="Arial" w:eastAsia="Times New Roman" w:hAnsi="Arial" w:cs="Times New Roman"/>
      <w:sz w:val="20"/>
      <w:szCs w:val="20"/>
      <w:lang w:val="en-US"/>
    </w:rPr>
    <w:tblPr>
      <w:tblCellMar>
        <w:top w:w="0" w:type="dxa"/>
        <w:left w:w="108" w:type="dxa"/>
        <w:bottom w:w="0" w:type="dxa"/>
        <w:right w:w="108" w:type="dxa"/>
      </w:tblCellMar>
    </w:tblPr>
  </w:style>
  <w:style w:type="table" w:customStyle="1" w:styleId="MediumList1-Accent1111">
    <w:name w:val="Medium List 1 - Accent 1111"/>
    <w:rsid w:val="007257E3"/>
    <w:pPr>
      <w:spacing w:line="240" w:lineRule="auto"/>
    </w:pPr>
    <w:rPr>
      <w:rFonts w:ascii="Calibri" w:eastAsia="Times New Roman" w:hAnsi="Calibri" w:cs="Times New Roman"/>
      <w:color w:val="000000"/>
      <w:sz w:val="20"/>
      <w:szCs w:val="20"/>
      <w:lang w:val="en-US"/>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LightGrid-Accent1111">
    <w:name w:val="Light Grid - Accent 1111"/>
    <w:rsid w:val="007257E3"/>
    <w:pPr>
      <w:spacing w:line="240" w:lineRule="auto"/>
    </w:pPr>
    <w:rPr>
      <w:rFonts w:ascii="Calibri" w:eastAsia="Times New Roman" w:hAnsi="Calibri" w:cs="Times New Roman"/>
      <w:sz w:val="20"/>
      <w:szCs w:val="20"/>
      <w:lang w:val="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LightShading-Accent521">
    <w:name w:val="Light Shading - Accent 521"/>
    <w:rsid w:val="007257E3"/>
    <w:pPr>
      <w:spacing w:line="240" w:lineRule="auto"/>
    </w:pPr>
    <w:rPr>
      <w:rFonts w:ascii="Calibri" w:eastAsia="Times New Roman" w:hAnsi="Calibri" w:cs="Times New Roman"/>
      <w:color w:val="31849B"/>
      <w:sz w:val="20"/>
      <w:szCs w:val="20"/>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Shading-Accent421">
    <w:name w:val="Light Shading - Accent 421"/>
    <w:rsid w:val="007257E3"/>
    <w:pPr>
      <w:spacing w:line="240" w:lineRule="auto"/>
    </w:pPr>
    <w:rPr>
      <w:rFonts w:ascii="Calibri" w:eastAsia="Times New Roman" w:hAnsi="Calibri" w:cs="Times New Roman"/>
      <w:color w:val="5F497A"/>
      <w:sz w:val="20"/>
      <w:szCs w:val="20"/>
      <w:lang w:val="en-US"/>
    </w:rPr>
    <w:tblPr>
      <w:tblStyleRowBandSize w:val="1"/>
      <w:tblStyleColBandSize w:val="1"/>
      <w:tblBorders>
        <w:top w:val="single" w:sz="8" w:space="0" w:color="8064A2"/>
        <w:bottom w:val="single" w:sz="8" w:space="0" w:color="8064A2"/>
      </w:tblBorders>
      <w:tblCellMar>
        <w:top w:w="0" w:type="dxa"/>
        <w:left w:w="108" w:type="dxa"/>
        <w:bottom w:w="0" w:type="dxa"/>
        <w:right w:w="108" w:type="dxa"/>
      </w:tblCellMar>
    </w:tblPr>
  </w:style>
  <w:style w:type="table" w:customStyle="1" w:styleId="LightShading111">
    <w:name w:val="Light Shading111"/>
    <w:rsid w:val="007257E3"/>
    <w:pPr>
      <w:spacing w:line="240" w:lineRule="auto"/>
    </w:pPr>
    <w:rPr>
      <w:rFonts w:ascii="Calibri" w:eastAsia="Times New Roman" w:hAnsi="Calibri" w:cs="Times New Roman"/>
      <w:color w:val="000000"/>
      <w:sz w:val="20"/>
      <w:szCs w:val="20"/>
      <w:lang w:val="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TableElegant51">
    <w:name w:val="Table Elegant51"/>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51">
    <w:name w:val="Table Web 251"/>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Classic141">
    <w:name w:val="Table Classic 141"/>
    <w:basedOn w:val="TableNormal"/>
    <w:rsid w:val="007257E3"/>
    <w:pPr>
      <w:spacing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41">
    <w:name w:val="Table Web 141"/>
    <w:basedOn w:val="TableNormal"/>
    <w:rsid w:val="007257E3"/>
    <w:pPr>
      <w:spacing w:line="280" w:lineRule="exact"/>
    </w:pPr>
    <w:rPr>
      <w:rFonts w:ascii="Times New Roman" w:eastAsia="Calibri"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41">
    <w:name w:val="Table Web 341"/>
    <w:basedOn w:val="TableNormal"/>
    <w:rsid w:val="007257E3"/>
    <w:pPr>
      <w:spacing w:line="280" w:lineRule="exact"/>
    </w:pPr>
    <w:rPr>
      <w:rFonts w:ascii="Times New Roman" w:eastAsia="Calibri"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LightShading-Accent531">
    <w:name w:val="Light Shading - Accent 531"/>
    <w:rsid w:val="007257E3"/>
    <w:pPr>
      <w:spacing w:line="240" w:lineRule="auto"/>
    </w:pPr>
    <w:rPr>
      <w:rFonts w:ascii="Calibri" w:eastAsia="Times New Roman" w:hAnsi="Calibri" w:cs="Times New Roman"/>
      <w:color w:val="31849B"/>
      <w:sz w:val="20"/>
      <w:szCs w:val="20"/>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Shading-Accent431">
    <w:name w:val="Light Shading - Accent 431"/>
    <w:rsid w:val="007257E3"/>
    <w:pPr>
      <w:spacing w:line="240" w:lineRule="auto"/>
    </w:pPr>
    <w:rPr>
      <w:rFonts w:ascii="Calibri" w:eastAsia="Times New Roman" w:hAnsi="Calibri" w:cs="Times New Roman"/>
      <w:color w:val="5F497A"/>
      <w:sz w:val="20"/>
      <w:szCs w:val="20"/>
      <w:lang w:val="en-US"/>
    </w:rPr>
    <w:tblPr>
      <w:tblStyleRowBandSize w:val="1"/>
      <w:tblStyleColBandSize w:val="1"/>
      <w:tblBorders>
        <w:top w:val="single" w:sz="8" w:space="0" w:color="8064A2"/>
        <w:bottom w:val="single" w:sz="8" w:space="0" w:color="8064A2"/>
      </w:tblBorders>
      <w:tblCellMar>
        <w:top w:w="0" w:type="dxa"/>
        <w:left w:w="108" w:type="dxa"/>
        <w:bottom w:w="0" w:type="dxa"/>
        <w:right w:w="108" w:type="dxa"/>
      </w:tblCellMar>
    </w:tblPr>
  </w:style>
  <w:style w:type="table" w:customStyle="1" w:styleId="LightList-Accent12">
    <w:name w:val="Light List - Accent 12"/>
    <w:basedOn w:val="TableNormal"/>
    <w:uiPriority w:val="61"/>
    <w:rsid w:val="007257E3"/>
    <w:pPr>
      <w:spacing w:line="240" w:lineRule="auto"/>
    </w:pPr>
    <w:rPr>
      <w:rFonts w:ascii="Times New Roman" w:eastAsia="Times New Roman" w:hAnsi="Times New Roman" w:cs="Times New Roman"/>
      <w:sz w:val="20"/>
      <w:szCs w:val="20"/>
      <w:lang w:eastAsia="da-DK"/>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line="240" w:lineRule="auto"/>
      </w:pPr>
      <w:rPr>
        <w:b/>
        <w:bCs/>
        <w:color w:val="FFFFFF"/>
      </w:rPr>
      <w:tblPr/>
      <w:tcPr>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13">
    <w:name w:val="Light List - Accent 13"/>
    <w:basedOn w:val="TableNormal"/>
    <w:uiPriority w:val="61"/>
    <w:rsid w:val="007257E3"/>
    <w:pPr>
      <w:spacing w:line="240" w:lineRule="auto"/>
    </w:pPr>
    <w:rPr>
      <w:rFonts w:ascii="Times New Roman" w:eastAsia="Times New Roman" w:hAnsi="Times New Roman" w:cs="Times New Roman"/>
      <w:sz w:val="20"/>
      <w:szCs w:val="20"/>
      <w:lang w:eastAsia="da-DK"/>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line="240" w:lineRule="auto"/>
      </w:pPr>
      <w:rPr>
        <w:b/>
        <w:bCs/>
        <w:color w:val="FFFFFF"/>
      </w:rPr>
      <w:tblPr/>
      <w:tcPr>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14">
    <w:name w:val="Light List - Accent 14"/>
    <w:basedOn w:val="TableNormal"/>
    <w:uiPriority w:val="61"/>
    <w:rsid w:val="007257E3"/>
    <w:pPr>
      <w:spacing w:line="240" w:lineRule="auto"/>
    </w:pPr>
    <w:rPr>
      <w:rFonts w:ascii="Times New Roman" w:eastAsia="Times New Roman" w:hAnsi="Times New Roman" w:cs="Times New Roman"/>
      <w:sz w:val="20"/>
      <w:szCs w:val="20"/>
      <w:lang w:eastAsia="da-DK"/>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line="240" w:lineRule="auto"/>
      </w:pPr>
      <w:rPr>
        <w:b/>
        <w:bCs/>
        <w:color w:val="FFFFFF"/>
      </w:rPr>
      <w:tblPr/>
      <w:tcPr>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ColorfulGrid2">
    <w:name w:val="Colorful Grid2"/>
    <w:basedOn w:val="TableNormal"/>
    <w:uiPriority w:val="73"/>
    <w:rsid w:val="007257E3"/>
    <w:pPr>
      <w:spacing w:line="240" w:lineRule="auto"/>
    </w:pPr>
    <w:rPr>
      <w:rFonts w:ascii="Calibri" w:eastAsia="Calibri" w:hAnsi="Calibri" w:cs="Times New Roman"/>
      <w:color w:val="000000"/>
      <w:sz w:val="22"/>
      <w:szCs w:val="22"/>
      <w:lang w:val="ro-RO" w:eastAsia="ro-RO"/>
    </w:rPr>
    <w:tblPr>
      <w:tblStyleRowBandSize w:val="1"/>
      <w:tblStyleColBandSize w:val="1"/>
      <w:tblInd w:w="0" w:type="nil"/>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List2">
    <w:name w:val="Colorful List2"/>
    <w:basedOn w:val="TableNormal"/>
    <w:uiPriority w:val="72"/>
    <w:rsid w:val="007257E3"/>
    <w:pPr>
      <w:spacing w:line="240" w:lineRule="auto"/>
    </w:pPr>
    <w:rPr>
      <w:rFonts w:ascii="Calibri" w:eastAsia="Calibri" w:hAnsi="Calibri" w:cs="Times New Roman"/>
      <w:color w:val="000000"/>
      <w:sz w:val="22"/>
      <w:szCs w:val="22"/>
      <w:lang w:val="ro-RO" w:eastAsia="ro-RO"/>
    </w:rPr>
    <w:tblPr>
      <w:tblStyleRowBandSize w:val="1"/>
      <w:tblStyleColBandSize w:val="1"/>
      <w:tblInd w:w="0" w:type="nil"/>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Shading2">
    <w:name w:val="Colorful Shading2"/>
    <w:basedOn w:val="TableNormal"/>
    <w:uiPriority w:val="71"/>
    <w:rsid w:val="007257E3"/>
    <w:pPr>
      <w:spacing w:line="240" w:lineRule="auto"/>
    </w:pPr>
    <w:rPr>
      <w:rFonts w:ascii="Calibri" w:eastAsia="Calibri" w:hAnsi="Calibri" w:cs="Times New Roman"/>
      <w:color w:val="000000"/>
      <w:sz w:val="22"/>
      <w:szCs w:val="22"/>
      <w:lang w:val="ro-RO" w:eastAsia="ro-RO"/>
    </w:rPr>
    <w:tblPr>
      <w:tblStyleRowBandSize w:val="1"/>
      <w:tblStyleColBandSize w:val="1"/>
      <w:tblInd w:w="0" w:type="nil"/>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DarkList2">
    <w:name w:val="Dark List2"/>
    <w:basedOn w:val="TableNormal"/>
    <w:uiPriority w:val="70"/>
    <w:rsid w:val="007257E3"/>
    <w:pPr>
      <w:spacing w:line="240" w:lineRule="auto"/>
    </w:pPr>
    <w:rPr>
      <w:rFonts w:ascii="Calibri" w:eastAsia="Calibri" w:hAnsi="Calibri" w:cs="Times New Roman"/>
      <w:color w:val="FFFFFF"/>
      <w:sz w:val="22"/>
      <w:szCs w:val="22"/>
      <w:lang w:val="ro-RO" w:eastAsia="ro-RO"/>
    </w:rPr>
    <w:tblPr>
      <w:tblStyleRowBandSize w:val="1"/>
      <w:tblStyleColBandSize w:val="1"/>
      <w:tblInd w:w="0" w:type="nil"/>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LightGrid2">
    <w:name w:val="Light Grid2"/>
    <w:basedOn w:val="TableNormal"/>
    <w:uiPriority w:val="62"/>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Grid-Accent12">
    <w:name w:val="Light Grid - Accent 12"/>
    <w:basedOn w:val="TableNormal"/>
    <w:uiPriority w:val="62"/>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LightList2">
    <w:name w:val="Light List2"/>
    <w:basedOn w:val="TableNormal"/>
    <w:uiPriority w:val="61"/>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2">
    <w:name w:val="Light Shading2"/>
    <w:basedOn w:val="TableNormal"/>
    <w:uiPriority w:val="60"/>
    <w:rsid w:val="007257E3"/>
    <w:pPr>
      <w:spacing w:line="240" w:lineRule="auto"/>
    </w:pPr>
    <w:rPr>
      <w:rFonts w:ascii="Calibri" w:eastAsia="Calibri" w:hAnsi="Calibri" w:cs="Times New Roman"/>
      <w:color w:val="000000"/>
      <w:sz w:val="22"/>
      <w:szCs w:val="22"/>
      <w:lang w:val="ro-RO" w:eastAsia="ro-RO"/>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12">
    <w:name w:val="Light Shading - Accent 12"/>
    <w:basedOn w:val="TableNormal"/>
    <w:uiPriority w:val="60"/>
    <w:rsid w:val="007257E3"/>
    <w:pPr>
      <w:spacing w:line="240" w:lineRule="auto"/>
    </w:pPr>
    <w:rPr>
      <w:rFonts w:ascii="Calibri" w:eastAsia="Calibri" w:hAnsi="Calibri" w:cs="Times New Roman"/>
      <w:color w:val="365F91"/>
      <w:sz w:val="22"/>
      <w:szCs w:val="22"/>
      <w:lang w:val="ro-RO" w:eastAsia="ro-RO"/>
    </w:rPr>
    <w:tblPr>
      <w:tblStyleRowBandSize w:val="1"/>
      <w:tblStyleColBandSize w:val="1"/>
      <w:tblInd w:w="0" w:type="nil"/>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MediumGrid12">
    <w:name w:val="Medium Grid 12"/>
    <w:basedOn w:val="TableNormal"/>
    <w:uiPriority w:val="67"/>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MediumGrid22">
    <w:name w:val="Medium Grid 22"/>
    <w:basedOn w:val="TableNormal"/>
    <w:uiPriority w:val="68"/>
    <w:rsid w:val="007257E3"/>
    <w:pPr>
      <w:spacing w:line="240" w:lineRule="auto"/>
    </w:pPr>
    <w:rPr>
      <w:rFonts w:ascii="Cambria" w:eastAsia="Times New Roman" w:hAnsi="Cambria" w:cs="Times New Roman"/>
      <w:color w:val="000000"/>
      <w:sz w:val="22"/>
      <w:szCs w:val="22"/>
      <w:lang w:val="ro-RO" w:eastAsia="ro-RO"/>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MediumGrid32">
    <w:name w:val="Medium Grid 32"/>
    <w:basedOn w:val="TableNormal"/>
    <w:uiPriority w:val="69"/>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List12">
    <w:name w:val="Medium List 12"/>
    <w:basedOn w:val="TableNormal"/>
    <w:uiPriority w:val="65"/>
    <w:rsid w:val="007257E3"/>
    <w:pPr>
      <w:spacing w:line="240" w:lineRule="auto"/>
    </w:pPr>
    <w:rPr>
      <w:rFonts w:ascii="Calibri" w:eastAsia="Calibri" w:hAnsi="Calibri" w:cs="Times New Roman"/>
      <w:color w:val="000000"/>
      <w:sz w:val="22"/>
      <w:szCs w:val="22"/>
      <w:lang w:val="ro-RO" w:eastAsia="ro-RO"/>
    </w:rPr>
    <w:tblPr>
      <w:tblStyleRowBandSize w:val="1"/>
      <w:tblStyleColBandSize w:val="1"/>
      <w:tblInd w:w="0" w:type="nil"/>
      <w:tblBorders>
        <w:top w:val="single" w:sz="8" w:space="0" w:color="000000"/>
        <w:bottom w:val="single" w:sz="8" w:space="0" w:color="000000"/>
      </w:tblBorders>
    </w:tblPr>
    <w:tblStylePr w:type="firstRow">
      <w:rPr>
        <w:rFonts w:ascii="Lucida Console" w:eastAsia="Times New Roman" w:hAnsi="Lucida Consol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MediumList1-Accent12">
    <w:name w:val="Medium List 1 - Accent 12"/>
    <w:basedOn w:val="TableNormal"/>
    <w:uiPriority w:val="65"/>
    <w:rsid w:val="007257E3"/>
    <w:pPr>
      <w:spacing w:line="240" w:lineRule="auto"/>
    </w:pPr>
    <w:rPr>
      <w:rFonts w:ascii="Calibri" w:eastAsia="Calibri" w:hAnsi="Calibri" w:cs="Times New Roman"/>
      <w:color w:val="000000"/>
      <w:sz w:val="22"/>
      <w:szCs w:val="22"/>
      <w:lang w:val="ro-RO" w:eastAsia="ro-RO"/>
    </w:rPr>
    <w:tblPr>
      <w:tblStyleRowBandSize w:val="1"/>
      <w:tblStyleColBandSize w:val="1"/>
      <w:tblInd w:w="0" w:type="nil"/>
      <w:tblBorders>
        <w:top w:val="single" w:sz="8" w:space="0" w:color="4F81BD"/>
        <w:bottom w:val="single" w:sz="8" w:space="0" w:color="4F81BD"/>
      </w:tblBorders>
    </w:tblPr>
    <w:tblStylePr w:type="firstRow">
      <w:rPr>
        <w:rFonts w:ascii="Lucida Console" w:eastAsia="Times New Roman" w:hAnsi="Lucida Console"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MediumList22">
    <w:name w:val="Medium List 22"/>
    <w:basedOn w:val="TableNormal"/>
    <w:uiPriority w:val="66"/>
    <w:rsid w:val="007257E3"/>
    <w:pPr>
      <w:spacing w:line="240" w:lineRule="auto"/>
    </w:pPr>
    <w:rPr>
      <w:rFonts w:ascii="Cambria" w:eastAsia="Times New Roman" w:hAnsi="Cambria" w:cs="Times New Roman"/>
      <w:color w:val="000000"/>
      <w:sz w:val="22"/>
      <w:szCs w:val="22"/>
      <w:lang w:val="ro-RO" w:eastAsia="ro-RO"/>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MediumShading12">
    <w:name w:val="Medium Shading 12"/>
    <w:basedOn w:val="TableNormal"/>
    <w:uiPriority w:val="63"/>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0" w:beforeAutospacing="0" w:afterLines="0" w:after="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1-Accent12">
    <w:name w:val="Medium Shading 1 - Accent 12"/>
    <w:basedOn w:val="TableNormal"/>
    <w:uiPriority w:val="63"/>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0" w:beforeAutospacing="0" w:afterLines="0" w:after="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22">
    <w:name w:val="Medium Shading 22"/>
    <w:basedOn w:val="TableNormal"/>
    <w:uiPriority w:val="64"/>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12">
    <w:name w:val="Medium Shading 2 - Accent 12"/>
    <w:basedOn w:val="TableNormal"/>
    <w:uiPriority w:val="64"/>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
    <w:name w:val="Table Grid16"/>
    <w:basedOn w:val="TableNormal"/>
    <w:uiPriority w:val="59"/>
    <w:rsid w:val="007257E3"/>
    <w:pPr>
      <w:spacing w:line="240" w:lineRule="auto"/>
    </w:pPr>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Professional2">
    <w:name w:val="Table Professional2"/>
    <w:basedOn w:val="TableNormal"/>
    <w:rsid w:val="007257E3"/>
    <w:pPr>
      <w:spacing w:line="240" w:lineRule="auto"/>
    </w:pPr>
    <w:rPr>
      <w:rFonts w:ascii="Times New Roman" w:eastAsia="Times New Roman" w:hAnsi="Times New Roman" w:cs="Times New Roman"/>
      <w:sz w:val="20"/>
      <w:szCs w:val="20"/>
      <w:lang w:val="ro-RO" w:eastAsia="ro-RO"/>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List42">
    <w:name w:val="Table List 42"/>
    <w:basedOn w:val="TableNormal"/>
    <w:rsid w:val="007257E3"/>
    <w:pPr>
      <w:autoSpaceDE w:val="0"/>
      <w:autoSpaceDN w:val="0"/>
      <w:adjustRightInd w:val="0"/>
      <w:spacing w:line="360" w:lineRule="auto"/>
      <w:jc w:val="both"/>
    </w:pPr>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Grid17">
    <w:name w:val="Table Grid17"/>
    <w:basedOn w:val="TableNormal"/>
    <w:rsid w:val="007257E3"/>
    <w:pPr>
      <w:spacing w:line="240" w:lineRule="auto"/>
    </w:pPr>
    <w:rPr>
      <w:rFonts w:ascii="Times New Roman" w:eastAsia="MS Mincho"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2">
    <w:name w:val="Table 3D effects 12"/>
    <w:basedOn w:val="TableNormal"/>
    <w:rsid w:val="007257E3"/>
    <w:rPr>
      <w:rFonts w:ascii="Times New Roman" w:eastAsia="Times New Roman" w:hAnsi="Times New Roman" w:cs="Times New Roman"/>
      <w:sz w:val="20"/>
      <w:szCs w:val="20"/>
      <w:lang w:val="ro-RO" w:eastAsia="ro-RO"/>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2">
    <w:name w:val="Table 3D effects 22"/>
    <w:basedOn w:val="TableNormal"/>
    <w:rsid w:val="007257E3"/>
    <w:rPr>
      <w:rFonts w:ascii="Times New Roman" w:eastAsia="Times New Roman" w:hAnsi="Times New Roman" w:cs="Times New Roman"/>
      <w:sz w:val="20"/>
      <w:szCs w:val="20"/>
      <w:lang w:val="ro-RO" w:eastAsia="ro-RO"/>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2">
    <w:name w:val="Table 3D effects 32"/>
    <w:basedOn w:val="TableNormal"/>
    <w:uiPriority w:val="99"/>
    <w:semiHidden/>
    <w:rsid w:val="007257E3"/>
    <w:rPr>
      <w:rFonts w:ascii="Times New Roman" w:eastAsia="Times New Roman" w:hAnsi="Times New Roman" w:cs="Times New Roman"/>
      <w:sz w:val="20"/>
      <w:szCs w:val="20"/>
      <w:lang w:val="ro-RO" w:eastAsia="ro-RO"/>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2">
    <w:name w:val="Table Classic 2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2">
    <w:name w:val="Table Classic 32"/>
    <w:basedOn w:val="TableNormal"/>
    <w:uiPriority w:val="99"/>
    <w:semiHidden/>
    <w:rsid w:val="007257E3"/>
    <w:rPr>
      <w:rFonts w:ascii="Times New Roman" w:eastAsia="Times New Roman" w:hAnsi="Times New Roman" w:cs="Times New Roman"/>
      <w:color w:val="000080"/>
      <w:sz w:val="20"/>
      <w:szCs w:val="20"/>
      <w:lang w:val="ro-RO" w:eastAsia="ro-RO"/>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2">
    <w:name w:val="Table Classic 4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2">
    <w:name w:val="Table Colorful 12"/>
    <w:basedOn w:val="TableNormal"/>
    <w:uiPriority w:val="99"/>
    <w:semiHidden/>
    <w:rsid w:val="007257E3"/>
    <w:rPr>
      <w:rFonts w:ascii="Times New Roman" w:eastAsia="Times New Roman" w:hAnsi="Times New Roman" w:cs="Times New Roman"/>
      <w:color w:val="FFFFFF"/>
      <w:sz w:val="20"/>
      <w:szCs w:val="20"/>
      <w:lang w:val="ro-RO" w:eastAsia="ro-RO"/>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2">
    <w:name w:val="Table Colorful 22"/>
    <w:basedOn w:val="TableNormal"/>
    <w:uiPriority w:val="99"/>
    <w:semiHidden/>
    <w:rsid w:val="007257E3"/>
    <w:rPr>
      <w:rFonts w:ascii="Times New Roman" w:eastAsia="Times New Roman" w:hAnsi="Times New Roman" w:cs="Times New Roman"/>
      <w:sz w:val="20"/>
      <w:szCs w:val="20"/>
      <w:lang w:val="ro-RO" w:eastAsia="ro-RO"/>
    </w:rPr>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2">
    <w:name w:val="Table Colorful 3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2">
    <w:name w:val="Table Columns 12"/>
    <w:basedOn w:val="TableNormal"/>
    <w:rsid w:val="007257E3"/>
    <w:rPr>
      <w:rFonts w:ascii="Times New Roman" w:eastAsia="Times New Roman" w:hAnsi="Times New Roman" w:cs="Times New Roman"/>
      <w:b/>
      <w:bCs/>
      <w:sz w:val="20"/>
      <w:szCs w:val="20"/>
      <w:lang w:val="ro-RO" w:eastAsia="ro-RO"/>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2">
    <w:name w:val="Table Columns 22"/>
    <w:basedOn w:val="TableNormal"/>
    <w:uiPriority w:val="99"/>
    <w:semiHidden/>
    <w:rsid w:val="007257E3"/>
    <w:rPr>
      <w:rFonts w:ascii="Times New Roman" w:eastAsia="Times New Roman" w:hAnsi="Times New Roman" w:cs="Times New Roman"/>
      <w:b/>
      <w:bCs/>
      <w:sz w:val="20"/>
      <w:szCs w:val="20"/>
      <w:lang w:val="ro-RO" w:eastAsia="ro-RO"/>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2">
    <w:name w:val="Table Columns 32"/>
    <w:basedOn w:val="TableNormal"/>
    <w:uiPriority w:val="99"/>
    <w:semiHidden/>
    <w:rsid w:val="007257E3"/>
    <w:rPr>
      <w:rFonts w:ascii="Times New Roman" w:eastAsia="Times New Roman" w:hAnsi="Times New Roman" w:cs="Times New Roman"/>
      <w:b/>
      <w:bCs/>
      <w:sz w:val="20"/>
      <w:szCs w:val="20"/>
      <w:lang w:val="ro-RO" w:eastAsia="ro-RO"/>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2">
    <w:name w:val="Table Columns 42"/>
    <w:basedOn w:val="TableNormal"/>
    <w:uiPriority w:val="99"/>
    <w:semiHidden/>
    <w:rsid w:val="007257E3"/>
    <w:rPr>
      <w:rFonts w:ascii="Times New Roman" w:eastAsia="Times New Roman" w:hAnsi="Times New Roman" w:cs="Times New Roman"/>
      <w:sz w:val="20"/>
      <w:szCs w:val="20"/>
      <w:lang w:val="ro-RO" w:eastAsia="ro-RO"/>
    </w:rPr>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2">
    <w:name w:val="Table Columns 52"/>
    <w:basedOn w:val="TableNormal"/>
    <w:uiPriority w:val="99"/>
    <w:semiHidden/>
    <w:rsid w:val="007257E3"/>
    <w:rPr>
      <w:rFonts w:ascii="Times New Roman" w:eastAsia="Times New Roman" w:hAnsi="Times New Roman" w:cs="Times New Roman"/>
      <w:sz w:val="20"/>
      <w:szCs w:val="20"/>
      <w:lang w:val="ro-RO" w:eastAsia="ro-RO"/>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2">
    <w:name w:val="Table Contemporary2"/>
    <w:basedOn w:val="TableNormal"/>
    <w:rsid w:val="007257E3"/>
    <w:rPr>
      <w:rFonts w:ascii="Times New Roman" w:eastAsia="Times New Roman" w:hAnsi="Times New Roman" w:cs="Times New Roman"/>
      <w:sz w:val="20"/>
      <w:szCs w:val="20"/>
      <w:lang w:val="ro-RO" w:eastAsia="ro-RO"/>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23">
    <w:name w:val="Table Grid 1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20">
    <w:name w:val="Table Grid 22"/>
    <w:basedOn w:val="TableNormal"/>
    <w:uiPriority w:val="99"/>
    <w:semiHidden/>
    <w:rsid w:val="007257E3"/>
    <w:rPr>
      <w:rFonts w:ascii="Times New Roman" w:eastAsia="Times New Roman" w:hAnsi="Times New Roman" w:cs="Times New Roman"/>
      <w:sz w:val="20"/>
      <w:szCs w:val="20"/>
      <w:lang w:val="ro-RO" w:eastAsia="ro-RO"/>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22">
    <w:name w:val="Table Grid 3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2">
    <w:name w:val="Table Grid 42"/>
    <w:basedOn w:val="TableNormal"/>
    <w:uiPriority w:val="99"/>
    <w:semiHidden/>
    <w:rsid w:val="007257E3"/>
    <w:rPr>
      <w:rFonts w:ascii="Times New Roman" w:eastAsia="Times New Roman" w:hAnsi="Times New Roman" w:cs="Times New Roman"/>
      <w:sz w:val="20"/>
      <w:szCs w:val="20"/>
      <w:lang w:val="ro-RO" w:eastAsia="ro-RO"/>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2">
    <w:name w:val="Table Grid 5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2">
    <w:name w:val="Table Grid 6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2">
    <w:name w:val="Table Grid 72"/>
    <w:basedOn w:val="TableNormal"/>
    <w:uiPriority w:val="99"/>
    <w:semiHidden/>
    <w:rsid w:val="007257E3"/>
    <w:rPr>
      <w:rFonts w:ascii="Times New Roman" w:eastAsia="Times New Roman" w:hAnsi="Times New Roman" w:cs="Times New Roman"/>
      <w:b/>
      <w:bCs/>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2">
    <w:name w:val="Table Grid 8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2">
    <w:name w:val="Table List 12"/>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2">
    <w:name w:val="Table List 22"/>
    <w:basedOn w:val="TableNormal"/>
    <w:uiPriority w:val="99"/>
    <w:semiHidden/>
    <w:rsid w:val="007257E3"/>
    <w:rPr>
      <w:rFonts w:ascii="Times New Roman" w:eastAsia="Times New Roman" w:hAnsi="Times New Roman" w:cs="Times New Roman"/>
      <w:sz w:val="20"/>
      <w:szCs w:val="20"/>
      <w:lang w:val="ro-RO" w:eastAsia="ro-RO"/>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2">
    <w:name w:val="Table List 3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3">
    <w:name w:val="Table List 4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2">
    <w:name w:val="Table List 5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2">
    <w:name w:val="Table List 62"/>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2">
    <w:name w:val="Table List 72"/>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2">
    <w:name w:val="Table List 82"/>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3">
    <w:name w:val="Table Professional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2">
    <w:name w:val="Table Simple 12"/>
    <w:basedOn w:val="TableNormal"/>
    <w:rsid w:val="007257E3"/>
    <w:rPr>
      <w:rFonts w:ascii="Times New Roman" w:eastAsia="Times New Roman" w:hAnsi="Times New Roman" w:cs="Times New Roman"/>
      <w:sz w:val="20"/>
      <w:szCs w:val="20"/>
      <w:lang w:val="ro-RO" w:eastAsia="ro-RO"/>
    </w:rPr>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2">
    <w:name w:val="Table Simple 22"/>
    <w:basedOn w:val="TableNormal"/>
    <w:uiPriority w:val="99"/>
    <w:semiHidden/>
    <w:rsid w:val="007257E3"/>
    <w:rPr>
      <w:rFonts w:ascii="Times New Roman" w:eastAsia="Times New Roman" w:hAnsi="Times New Roman" w:cs="Times New Roman"/>
      <w:sz w:val="20"/>
      <w:szCs w:val="20"/>
      <w:lang w:val="ro-RO" w:eastAsia="ro-RO"/>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2">
    <w:name w:val="Table Simple 3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2">
    <w:name w:val="Table Subtle 12"/>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uiPriority w:val="99"/>
    <w:semiHidden/>
    <w:rsid w:val="007257E3"/>
    <w:rPr>
      <w:rFonts w:ascii="Times New Roman" w:eastAsia="Times New Roman" w:hAnsi="Times New Roman" w:cs="Times New Roman"/>
      <w:sz w:val="20"/>
      <w:szCs w:val="20"/>
      <w:lang w:val="ro-RO" w:eastAsia="ro-RO"/>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rsid w:val="007257E3"/>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52">
    <w:name w:val="Light List - Accent 52"/>
    <w:basedOn w:val="TableNormal"/>
    <w:uiPriority w:val="61"/>
    <w:rsid w:val="007257E3"/>
    <w:pPr>
      <w:spacing w:line="240" w:lineRule="auto"/>
    </w:pPr>
    <w:rPr>
      <w:rFonts w:ascii="Calibri" w:eastAsia="Calibri" w:hAnsi="Calibri" w:cs="Times New Roman"/>
      <w:sz w:val="22"/>
      <w:szCs w:val="22"/>
      <w:lang w:val="en-GB" w:eastAsia="ro-RO"/>
    </w:rPr>
    <w:tblPr>
      <w:tblStyleRowBandSize w:val="1"/>
      <w:tblStyleColBandSize w:val="1"/>
      <w:tblInd w:w="0" w:type="nil"/>
      <w:tblBorders>
        <w:top w:val="single" w:sz="8" w:space="0" w:color="4BACC6"/>
        <w:left w:val="single" w:sz="8" w:space="0" w:color="4BACC6"/>
        <w:bottom w:val="single" w:sz="8" w:space="0" w:color="4BACC6"/>
        <w:right w:val="single" w:sz="8" w:space="0" w:color="4BACC6"/>
      </w:tblBorders>
    </w:tblPr>
    <w:tblStylePr w:type="firstRow">
      <w:pPr>
        <w:spacing w:beforeLines="0" w:before="0" w:beforeAutospacing="0" w:afterLines="0" w:after="0" w:afterAutospacing="0" w:line="240" w:lineRule="auto"/>
      </w:pPr>
      <w:rPr>
        <w:b/>
        <w:bCs/>
        <w:color w:val="FFFFFF"/>
      </w:rPr>
      <w:tblPr/>
      <w:tcPr>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MediumGrid3-Accent12">
    <w:name w:val="Medium Grid 3 - Accent 1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MediumGrid3-Accent62">
    <w:name w:val="Medium Grid 3 - Accent 6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MediumGrid3-Accent52">
    <w:name w:val="Medium Grid 3 - Accent 5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42">
    <w:name w:val="Medium Grid 3 - Accent 4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32">
    <w:name w:val="Medium Grid 3 - Accent 3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MediumGrid3-Accent22">
    <w:name w:val="Medium Grid 3 - Accent 2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ColorfulGrid-Accent32">
    <w:name w:val="Colorful Grid - Accent 32"/>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ColorfulGrid-Accent22">
    <w:name w:val="Colorful Grid - Accent 22"/>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ColorfulGrid-Accent12">
    <w:name w:val="Colorful Grid - Accent 12"/>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12">
    <w:name w:val="Colorful Grid12"/>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Grid-Accent62">
    <w:name w:val="Colorful Grid - Accent 62"/>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MediumList2-Accent52">
    <w:name w:val="Medium List 2 - Accent 52"/>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MediumList2-Accent42">
    <w:name w:val="Medium List 2 - Accent 42"/>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MediumList2-Accent62">
    <w:name w:val="Medium List 2 - Accent 62"/>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ColorfulList-Accent52">
    <w:name w:val="Colorful List - Accent 52"/>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ColorfulList-Accent42">
    <w:name w:val="Colorful List - Accent 42"/>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ColorfulList-Accent32">
    <w:name w:val="Colorful List - Accent 32"/>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ColorfulList-Accent22">
    <w:name w:val="Colorful List - Accent 22"/>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ColorfulList12">
    <w:name w:val="Colorful List12"/>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Grid-Accent42">
    <w:name w:val="Colorful Grid - Accent 42"/>
    <w:basedOn w:val="TableNormal"/>
    <w:uiPriority w:val="73"/>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ColorfulGrid-Accent52">
    <w:name w:val="Colorful Grid - Accent 52"/>
    <w:basedOn w:val="TableNormal"/>
    <w:uiPriority w:val="73"/>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ColorfulList-Accent62">
    <w:name w:val="Colorful List - Accent 62"/>
    <w:basedOn w:val="TableNormal"/>
    <w:uiPriority w:val="72"/>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ColorfulShading12">
    <w:name w:val="Colorful Shading12"/>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ColorfulShading-Accent12">
    <w:name w:val="Colorful Shading - Accent 12"/>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ColorfulShading-Accent22">
    <w:name w:val="Colorful Shading - Accent 22"/>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ColorfulShading-Accent32">
    <w:name w:val="Colorful Shading - Accent 32"/>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ColorfulShading-Accent42">
    <w:name w:val="Colorful Shading - Accent 42"/>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ColorfulShading-Accent52">
    <w:name w:val="Colorful Shading - Accent 52"/>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ColorfulShading-Accent62">
    <w:name w:val="Colorful Shading - Accent 62"/>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DarkList12">
    <w:name w:val="Dark List12"/>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DarkList-Accent12">
    <w:name w:val="Dark List - Accent 12"/>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DarkList-Accent22">
    <w:name w:val="Dark List - Accent 22"/>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DarkList-Accent32">
    <w:name w:val="Dark List - Accent 32"/>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DarkList-Accent42">
    <w:name w:val="Dark List - Accent 42"/>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DarkList-Accent52">
    <w:name w:val="Dark List - Accent 52"/>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DarkList-Accent62">
    <w:name w:val="Dark List - Accent 62"/>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LightGrid12">
    <w:name w:val="Light Grid12"/>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Grid-Accent22">
    <w:name w:val="Light Grid - Accent 22"/>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LightGrid-Accent32">
    <w:name w:val="Light Grid - Accent 32"/>
    <w:basedOn w:val="TableNormal"/>
    <w:uiPriority w:val="62"/>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LightGrid-Accent42">
    <w:name w:val="Light Grid - Accent 42"/>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LightGrid-Accent52">
    <w:name w:val="Light Grid - Accent 52"/>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62">
    <w:name w:val="Light Grid - Accent 62"/>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LightList12">
    <w:name w:val="Light List12"/>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112">
    <w:name w:val="Light List - Accent 112"/>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line="240" w:lineRule="auto"/>
      </w:pPr>
      <w:rPr>
        <w:b/>
        <w:bCs/>
        <w:color w:val="FFFFFF"/>
      </w:rPr>
      <w:tblPr/>
      <w:tcPr>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22">
    <w:name w:val="Light List - Accent 22"/>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tblBorders>
    </w:tblPr>
    <w:tblStylePr w:type="firstRow">
      <w:pPr>
        <w:spacing w:beforeLines="0" w:before="0" w:beforeAutospacing="0" w:afterLines="0" w:after="0" w:afterAutospacing="0" w:line="240" w:lineRule="auto"/>
      </w:pPr>
      <w:rPr>
        <w:b/>
        <w:bCs/>
        <w:color w:val="FFFFFF"/>
      </w:rPr>
      <w:tblPr/>
      <w:tcPr>
        <w:shd w:val="clear" w:color="auto" w:fill="C0504D"/>
      </w:tcPr>
    </w:tblStylePr>
    <w:tblStylePr w:type="lastRow">
      <w:pPr>
        <w:spacing w:beforeLines="0" w:before="0" w:beforeAutospacing="0" w:afterLines="0" w:after="0" w:afterAutospacing="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List-Accent32">
    <w:name w:val="Light List - Accent 32"/>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pPr>
        <w:spacing w:beforeLines="0" w:before="0" w:beforeAutospacing="0" w:afterLines="0" w:after="0" w:afterAutospacing="0" w:line="240" w:lineRule="auto"/>
      </w:pPr>
      <w:rPr>
        <w:b/>
        <w:bCs/>
        <w:color w:val="FFFFFF"/>
      </w:rPr>
      <w:tblPr/>
      <w:tcPr>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List-Accent42">
    <w:name w:val="Light List - Accent 42"/>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tblBorders>
    </w:tblPr>
    <w:tblStylePr w:type="firstRow">
      <w:pPr>
        <w:spacing w:beforeLines="0" w:before="0" w:beforeAutospacing="0" w:afterLines="0" w:after="0" w:afterAutospacing="0" w:line="240" w:lineRule="auto"/>
      </w:pPr>
      <w:rPr>
        <w:b/>
        <w:bCs/>
        <w:color w:val="FFFFFF"/>
      </w:rPr>
      <w:tblPr/>
      <w:tcPr>
        <w:shd w:val="clear" w:color="auto" w:fill="8064A2"/>
      </w:tcPr>
    </w:tblStylePr>
    <w:tblStylePr w:type="lastRow">
      <w:pPr>
        <w:spacing w:beforeLines="0" w:before="0" w:beforeAutospacing="0" w:afterLines="0" w:after="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LightList-Accent62">
    <w:name w:val="Light List - Accent 62"/>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tblBorders>
    </w:tblPr>
    <w:tblStylePr w:type="firstRow">
      <w:pPr>
        <w:spacing w:beforeLines="0" w:before="0" w:beforeAutospacing="0" w:afterLines="0" w:after="0" w:afterAutospacing="0" w:line="240" w:lineRule="auto"/>
      </w:pPr>
      <w:rPr>
        <w:b/>
        <w:bCs/>
        <w:color w:val="FFFFFF"/>
      </w:rPr>
      <w:tblPr/>
      <w:tcPr>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LightShading-Accent112">
    <w:name w:val="Light Shading - Accent 112"/>
    <w:basedOn w:val="TableNormal"/>
    <w:uiPriority w:val="60"/>
    <w:rsid w:val="007257E3"/>
    <w:pPr>
      <w:spacing w:line="240" w:lineRule="auto"/>
    </w:pPr>
    <w:rPr>
      <w:rFonts w:ascii="Trebuchet MS" w:eastAsia="Times New Roman" w:hAnsi="Trebuchet MS" w:cs="Times New Roman"/>
      <w:color w:val="365F91"/>
      <w:szCs w:val="20"/>
      <w:lang w:val="en-GB" w:eastAsia="en-GB"/>
    </w:rPr>
    <w:tblPr>
      <w:tblStyleRowBandSize w:val="1"/>
      <w:tblStyleColBandSize w:val="1"/>
      <w:tblInd w:w="0" w:type="nil"/>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2">
    <w:name w:val="Light Shading - Accent 22"/>
    <w:basedOn w:val="TableNormal"/>
    <w:uiPriority w:val="60"/>
    <w:rsid w:val="007257E3"/>
    <w:pPr>
      <w:spacing w:line="240" w:lineRule="auto"/>
    </w:pPr>
    <w:rPr>
      <w:rFonts w:ascii="Trebuchet MS" w:eastAsia="Times New Roman" w:hAnsi="Trebuchet MS" w:cs="Times New Roman"/>
      <w:color w:val="943634"/>
      <w:szCs w:val="20"/>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2">
    <w:name w:val="Light Shading - Accent 32"/>
    <w:basedOn w:val="TableNormal"/>
    <w:uiPriority w:val="60"/>
    <w:rsid w:val="007257E3"/>
    <w:pPr>
      <w:spacing w:line="240" w:lineRule="auto"/>
    </w:pPr>
    <w:rPr>
      <w:rFonts w:ascii="Trebuchet MS" w:eastAsia="Times New Roman" w:hAnsi="Trebuchet MS" w:cs="Times New Roman"/>
      <w:color w:val="76923C"/>
      <w:szCs w:val="20"/>
      <w:lang w:val="en-GB" w:eastAsia="en-GB"/>
    </w:rPr>
    <w:tblPr>
      <w:tblStyleRowBandSize w:val="1"/>
      <w:tblStyleColBandSize w:val="1"/>
      <w:tblInd w:w="0" w:type="nil"/>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62">
    <w:name w:val="Light Shading - Accent 62"/>
    <w:basedOn w:val="TableNormal"/>
    <w:uiPriority w:val="60"/>
    <w:rsid w:val="007257E3"/>
    <w:pPr>
      <w:spacing w:line="240" w:lineRule="auto"/>
    </w:pPr>
    <w:rPr>
      <w:rFonts w:ascii="Trebuchet MS" w:eastAsia="Times New Roman" w:hAnsi="Trebuchet MS" w:cs="Times New Roman"/>
      <w:color w:val="E36C0A"/>
      <w:szCs w:val="20"/>
      <w:lang w:val="en-GB" w:eastAsia="en-GB"/>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Grid112">
    <w:name w:val="Medium Grid 112"/>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MediumGrid1-Accent12">
    <w:name w:val="Medium Grid 1 - Accent 12"/>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MediumGrid1-Accent22">
    <w:name w:val="Medium Grid 1 - Accent 22"/>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1-Accent32">
    <w:name w:val="Medium Grid 1 - Accent 32"/>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MediumGrid1-Accent42">
    <w:name w:val="Medium Grid 1 - Accent 42"/>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52">
    <w:name w:val="Medium Grid 1 - Accent 52"/>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MediumGrid1-Accent62">
    <w:name w:val="Medium Grid 1 - Accent 62"/>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212">
    <w:name w:val="Medium Grid 212"/>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MediumGrid2-Accent12">
    <w:name w:val="Medium Grid 2 - Accent 12"/>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MediumGrid2-Accent22">
    <w:name w:val="Medium Grid 2 - Accent 22"/>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MediumGrid2-Accent32">
    <w:name w:val="Medium Grid 2 - Accent 32"/>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MediumGrid2-Accent42">
    <w:name w:val="Medium Grid 2 - Accent 42"/>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52">
    <w:name w:val="Medium Grid 2 - Accent 52"/>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MediumGrid2-Accent62">
    <w:name w:val="Medium Grid 2 - Accent 62"/>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MediumGrid312">
    <w:name w:val="Medium Grid 312"/>
    <w:basedOn w:val="TableNormal"/>
    <w:uiPriority w:val="69"/>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List112">
    <w:name w:val="Medium List 112"/>
    <w:basedOn w:val="TableNormal"/>
    <w:uiPriority w:val="65"/>
    <w:rsid w:val="007257E3"/>
    <w:pPr>
      <w:spacing w:line="240" w:lineRule="auto"/>
    </w:pPr>
    <w:rPr>
      <w:rFonts w:ascii="Trebuchet MS" w:eastAsia="Times New Roman" w:hAnsi="Trebuchet MS" w:cs="Times New Roman"/>
      <w:color w:val="000000"/>
      <w:szCs w:val="20"/>
      <w:lang w:val="en-GB" w:eastAsia="en-GB"/>
    </w:rPr>
    <w:tblPr>
      <w:tblStyleRowBandSize w:val="1"/>
      <w:tblStyleColBandSize w:val="1"/>
      <w:tblInd w:w="0" w:type="nil"/>
      <w:tblBorders>
        <w:top w:val="single" w:sz="8" w:space="0" w:color="000000"/>
        <w:bottom w:val="single" w:sz="8" w:space="0" w:color="000000"/>
      </w:tblBorders>
    </w:tblPr>
    <w:tblStylePr w:type="firstRow">
      <w:rPr>
        <w:rFonts w:ascii="Lucida Console" w:eastAsia="Times New Roman" w:hAnsi="Lucida Consol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MediumList1-Accent22">
    <w:name w:val="Medium List 1 - Accent 22"/>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C0504D"/>
        <w:bottom w:val="single" w:sz="8" w:space="0" w:color="C0504D"/>
      </w:tblBorders>
    </w:tblPr>
    <w:tblStylePr w:type="firstRow">
      <w:rPr>
        <w:rFonts w:ascii="Lucida Console" w:eastAsia="Times New Roman" w:hAnsi="Lucida Console" w:cs="Times New Roman" w:hint="default"/>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MediumList1-Accent32">
    <w:name w:val="Medium List 1 - Accent 32"/>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9BBB59"/>
        <w:bottom w:val="single" w:sz="8" w:space="0" w:color="9BBB59"/>
      </w:tblBorders>
    </w:tblPr>
    <w:tblStylePr w:type="firstRow">
      <w:rPr>
        <w:rFonts w:ascii="Lucida Console" w:eastAsia="Times New Roman" w:hAnsi="Lucida Console" w:cs="Times New Roman" w:hint="default"/>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MediumList1-Accent42">
    <w:name w:val="Medium List 1 - Accent 42"/>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8064A2"/>
        <w:bottom w:val="single" w:sz="8" w:space="0" w:color="8064A2"/>
      </w:tblBorders>
    </w:tblPr>
    <w:tblStylePr w:type="firstRow">
      <w:rPr>
        <w:rFonts w:ascii="Lucida Console" w:eastAsia="Times New Roman" w:hAnsi="Lucida Console" w:cs="Times New Roman" w:hint="default"/>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MediumList1-Accent52">
    <w:name w:val="Medium List 1 - Accent 52"/>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4BACC6"/>
        <w:bottom w:val="single" w:sz="8" w:space="0" w:color="4BACC6"/>
      </w:tblBorders>
    </w:tblPr>
    <w:tblStylePr w:type="firstRow">
      <w:rPr>
        <w:rFonts w:ascii="Lucida Console" w:eastAsia="Times New Roman" w:hAnsi="Lucida Console" w:cs="Times New Roman" w:hint="default"/>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MediumList1-Accent62">
    <w:name w:val="Medium List 1 - Accent 62"/>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F79646"/>
        <w:bottom w:val="single" w:sz="8" w:space="0" w:color="F79646"/>
      </w:tblBorders>
    </w:tblPr>
    <w:tblStylePr w:type="firstRow">
      <w:rPr>
        <w:rFonts w:ascii="Lucida Console" w:eastAsia="Times New Roman" w:hAnsi="Lucida Console" w:cs="Times New Roman" w:hint="default"/>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MediumList212">
    <w:name w:val="Medium List 212"/>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MediumList2-Accent12">
    <w:name w:val="Medium List 2 - Accent 12"/>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MediumList2-Accent22">
    <w:name w:val="Medium List 2 - Accent 22"/>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MediumList2-Accent32">
    <w:name w:val="Medium List 2 - Accent 32"/>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MediumShading112">
    <w:name w:val="Medium Shading 112"/>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0" w:beforeAutospacing="0" w:afterLines="0" w:after="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1-Accent112">
    <w:name w:val="Medium Shading 1 - Accent 112"/>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0" w:beforeAutospacing="0" w:afterLines="0" w:after="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22">
    <w:name w:val="Medium Shading 1 - Accent 22"/>
    <w:basedOn w:val="TableNormal"/>
    <w:uiPriority w:val="63"/>
    <w:rsid w:val="007257E3"/>
    <w:pPr>
      <w:spacing w:line="240" w:lineRule="auto"/>
    </w:pPr>
    <w:rPr>
      <w:rFonts w:ascii="Calibri" w:eastAsia="Times New Roman" w:hAnsi="Calibri" w:cs="Times New Roman"/>
      <w:szCs w:val="20"/>
      <w:lang w:val="en-GB" w:eastAsia="en-GB"/>
    </w:rPr>
    <w:tblPr>
      <w:tblStyleRowBandSize w:val="1"/>
      <w:tblStyleColBandSize w:val="1"/>
      <w:tblInd w:w="0" w:type="nil"/>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Lines="0" w:before="0" w:beforeAutospacing="0" w:afterLines="0" w:after="0" w:afterAutospacing="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Lines="0" w:before="0" w:beforeAutospacing="0" w:afterLines="0" w:after="0" w:afterAutospacing="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MediumShading1-Accent32">
    <w:name w:val="Medium Shading 1 - Accent 32"/>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Lines="0" w:before="0" w:beforeAutospacing="0" w:afterLines="0" w:after="0" w:afterAutospacing="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MediumShading1-Accent42">
    <w:name w:val="Medium Shading 1 - Accent 42"/>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Lines="0" w:before="0" w:beforeAutospacing="0" w:afterLines="0" w:after="0" w:afterAutospacing="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0" w:beforeAutospacing="0" w:afterLines="0" w:after="0" w:afterAutospacing="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MediumShading1-Accent52">
    <w:name w:val="Medium Shading 1 - Accent 52"/>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MediumShading1-Accent62">
    <w:name w:val="Medium Shading 1 - Accent 62"/>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Lines="0" w:before="0" w:beforeAutospacing="0" w:afterLines="0" w:after="0" w:afterAutospacing="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MediumShading212">
    <w:name w:val="Medium Shading 212"/>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112">
    <w:name w:val="Medium Shading 2 - Accent 112"/>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22">
    <w:name w:val="Medium Shading 2 - Accent 22"/>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32">
    <w:name w:val="Medium Shading 2 - Accent 32"/>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42">
    <w:name w:val="Medium Shading 2 - Accent 42"/>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52">
    <w:name w:val="Medium Shading 2 - Accent 52"/>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62">
    <w:name w:val="Medium Shading 2 - Accent 62"/>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9">
    <w:name w:val="Table Grid19"/>
    <w:basedOn w:val="TableNormal"/>
    <w:rsid w:val="007257E3"/>
    <w:pPr>
      <w:spacing w:before="200" w:after="120" w:line="240" w:lineRule="auto"/>
    </w:pPr>
    <w:rPr>
      <w:rFonts w:ascii="Trebuchet MS" w:eastAsia="Times New Roman" w:hAnsi="Trebuchet MS" w:cs="Times New Roman"/>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211">
    <w:name w:val="Table 3D effects 211"/>
    <w:basedOn w:val="TableNormal"/>
    <w:rsid w:val="007257E3"/>
    <w:pPr>
      <w:spacing w:line="240" w:lineRule="auto"/>
    </w:pPr>
    <w:rPr>
      <w:rFonts w:ascii="Times New Roman" w:eastAsia="Times New Roman" w:hAnsi="Times New Roman" w:cs="Times New Roman"/>
      <w:sz w:val="20"/>
      <w:szCs w:val="20"/>
      <w:lang w:val="ro-RO" w:eastAsia="ro-RO"/>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ntemporary11">
    <w:name w:val="Table Contemporary11"/>
    <w:basedOn w:val="TableNormal"/>
    <w:rsid w:val="007257E3"/>
    <w:pPr>
      <w:keepLines/>
      <w:suppressLineNumbers/>
      <w:spacing w:before="40" w:after="80" w:line="240" w:lineRule="auto"/>
      <w:ind w:left="1080"/>
      <w:jc w:val="both"/>
    </w:pPr>
    <w:rPr>
      <w:rFonts w:ascii="Times New Roman" w:eastAsia="Times New Roman" w:hAnsi="Times New Roman" w:cs="Times New Roman"/>
      <w:sz w:val="20"/>
      <w:szCs w:val="20"/>
      <w:lang w:val="ro-RO" w:eastAsia="ro-RO"/>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Theme11">
    <w:name w:val="Table Theme11"/>
    <w:basedOn w:val="TableNormal"/>
    <w:rsid w:val="007257E3"/>
    <w:pPr>
      <w:spacing w:line="240" w:lineRule="auto"/>
    </w:pPr>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11">
    <w:name w:val="Table 3D effects 111"/>
    <w:basedOn w:val="TableNormal"/>
    <w:rsid w:val="007257E3"/>
    <w:pPr>
      <w:spacing w:line="240" w:lineRule="auto"/>
    </w:pPr>
    <w:rPr>
      <w:rFonts w:ascii="Times New Roman" w:eastAsia="Times New Roman" w:hAnsi="Times New Roman" w:cs="Times New Roman"/>
      <w:sz w:val="20"/>
      <w:szCs w:val="20"/>
      <w:lang w:val="ro-RO" w:eastAsia="ro-RO"/>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MediumGrid3-Accent111">
    <w:name w:val="Medium Grid 3 - Accent 111"/>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MediumGrid3-Accent611">
    <w:name w:val="Medium Grid 3 - Accent 611"/>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MediumGrid3-Accent511">
    <w:name w:val="Medium Grid 3 - Accent 511"/>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411">
    <w:name w:val="Medium Grid 3 - Accent 411"/>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311">
    <w:name w:val="Medium Grid 3 - Accent 311"/>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MediumGrid3-Accent211">
    <w:name w:val="Medium Grid 3 - Accent 211"/>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ColorfulGrid-Accent311">
    <w:name w:val="Colorful Grid - Accent 311"/>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ColorfulGrid-Accent211">
    <w:name w:val="Colorful Grid - Accent 211"/>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ColorfulGrid-Accent111">
    <w:name w:val="Colorful Grid - Accent 111"/>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111">
    <w:name w:val="Colorful Grid111"/>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Grid-Accent611">
    <w:name w:val="Colorful Grid - Accent 611"/>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MediumList2-Accent511">
    <w:name w:val="Medium List 2 - Accent 511"/>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MediumList2-Accent411">
    <w:name w:val="Medium List 2 - Accent 411"/>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MediumList2-Accent611">
    <w:name w:val="Medium List 2 - Accent 611"/>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ColorfulList-Accent511">
    <w:name w:val="Colorful List - Accent 511"/>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ColorfulList-Accent411">
    <w:name w:val="Colorful List - Accent 411"/>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ColorfulList-Accent311">
    <w:name w:val="Colorful List - Accent 311"/>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ColorfulList-Accent211">
    <w:name w:val="Colorful List - Accent 211"/>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ColorfulList-Accent111">
    <w:name w:val="Colorful List - Accent 111"/>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111">
    <w:name w:val="Colorful List111"/>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TableSimple111">
    <w:name w:val="Table Simple 111"/>
    <w:basedOn w:val="TableNormal"/>
    <w:rsid w:val="007257E3"/>
    <w:pPr>
      <w:spacing w:line="240" w:lineRule="auto"/>
    </w:pPr>
    <w:rPr>
      <w:rFonts w:ascii="Times New Roman" w:eastAsia="Times New Roman" w:hAnsi="Times New Roman" w:cs="Times New Roman"/>
      <w:sz w:val="20"/>
      <w:szCs w:val="20"/>
      <w:lang w:val="ro-RO" w:eastAsia="ro-RO"/>
    </w:rPr>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ColorfulGrid-Accent411">
    <w:name w:val="Colorful Grid - Accent 411"/>
    <w:basedOn w:val="TableNormal"/>
    <w:uiPriority w:val="73"/>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ColorfulGrid-Accent511">
    <w:name w:val="Colorful Grid - Accent 511"/>
    <w:basedOn w:val="TableNormal"/>
    <w:uiPriority w:val="73"/>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ColorfulList-Accent611">
    <w:name w:val="Colorful List - Accent 611"/>
    <w:basedOn w:val="TableNormal"/>
    <w:uiPriority w:val="72"/>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ColorfulShading111">
    <w:name w:val="Colorful Shading11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ColorfulShading-Accent111">
    <w:name w:val="Colorful Shading - Accent 11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ColorfulShading-Accent211">
    <w:name w:val="Colorful Shading - Accent 21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ColorfulShading-Accent311">
    <w:name w:val="Colorful Shading - Accent 31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ColorfulShading-Accent411">
    <w:name w:val="Colorful Shading - Accent 41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ColorfulShading-Accent511">
    <w:name w:val="Colorful Shading - Accent 51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ColorfulShading-Accent611">
    <w:name w:val="Colorful Shading - Accent 61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DarkList111">
    <w:name w:val="Dark List11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DarkList-Accent111">
    <w:name w:val="Dark List - Accent 11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DarkList-Accent211">
    <w:name w:val="Dark List - Accent 21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DarkList-Accent311">
    <w:name w:val="Dark List - Accent 31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DarkList-Accent411">
    <w:name w:val="Dark List - Accent 41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DarkList-Accent511">
    <w:name w:val="Dark List - Accent 51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DarkList-Accent611">
    <w:name w:val="Dark List - Accent 61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LightGrid111">
    <w:name w:val="Light Grid11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Grid-Accent211">
    <w:name w:val="Light Grid - Accent 21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LightGrid-Accent311">
    <w:name w:val="Light Grid - Accent 311"/>
    <w:basedOn w:val="TableNormal"/>
    <w:uiPriority w:val="62"/>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LightGrid-Accent411">
    <w:name w:val="Light Grid - Accent 41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LightGrid-Accent511">
    <w:name w:val="Light Grid - Accent 51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611">
    <w:name w:val="Light Grid - Accent 61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LightList111">
    <w:name w:val="Light List1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1111">
    <w:name w:val="Light List - Accent 11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line="240" w:lineRule="auto"/>
      </w:pPr>
      <w:rPr>
        <w:b/>
        <w:bCs/>
        <w:color w:val="FFFFFF"/>
      </w:rPr>
      <w:tblPr/>
      <w:tcPr>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211">
    <w:name w:val="Light List - Accent 2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tblBorders>
    </w:tblPr>
    <w:tblStylePr w:type="firstRow">
      <w:pPr>
        <w:spacing w:beforeLines="0" w:before="0" w:beforeAutospacing="0" w:afterLines="0" w:after="0" w:afterAutospacing="0" w:line="240" w:lineRule="auto"/>
      </w:pPr>
      <w:rPr>
        <w:b/>
        <w:bCs/>
        <w:color w:val="FFFFFF"/>
      </w:rPr>
      <w:tblPr/>
      <w:tcPr>
        <w:shd w:val="clear" w:color="auto" w:fill="C0504D"/>
      </w:tcPr>
    </w:tblStylePr>
    <w:tblStylePr w:type="lastRow">
      <w:pPr>
        <w:spacing w:beforeLines="0" w:before="0" w:beforeAutospacing="0" w:afterLines="0" w:after="0" w:afterAutospacing="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List-Accent311">
    <w:name w:val="Light List - Accent 3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pPr>
        <w:spacing w:beforeLines="0" w:before="0" w:beforeAutospacing="0" w:afterLines="0" w:after="0" w:afterAutospacing="0" w:line="240" w:lineRule="auto"/>
      </w:pPr>
      <w:rPr>
        <w:b/>
        <w:bCs/>
        <w:color w:val="FFFFFF"/>
      </w:rPr>
      <w:tblPr/>
      <w:tcPr>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List-Accent411">
    <w:name w:val="Light List - Accent 4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tblBorders>
    </w:tblPr>
    <w:tblStylePr w:type="firstRow">
      <w:pPr>
        <w:spacing w:beforeLines="0" w:before="0" w:beforeAutospacing="0" w:afterLines="0" w:after="0" w:afterAutospacing="0" w:line="240" w:lineRule="auto"/>
      </w:pPr>
      <w:rPr>
        <w:b/>
        <w:bCs/>
        <w:color w:val="FFFFFF"/>
      </w:rPr>
      <w:tblPr/>
      <w:tcPr>
        <w:shd w:val="clear" w:color="auto" w:fill="8064A2"/>
      </w:tcPr>
    </w:tblStylePr>
    <w:tblStylePr w:type="lastRow">
      <w:pPr>
        <w:spacing w:beforeLines="0" w:before="0" w:beforeAutospacing="0" w:afterLines="0" w:after="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LightList-Accent511">
    <w:name w:val="Light List - Accent 5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BACC6"/>
        <w:left w:val="single" w:sz="8" w:space="0" w:color="4BACC6"/>
        <w:bottom w:val="single" w:sz="8" w:space="0" w:color="4BACC6"/>
        <w:right w:val="single" w:sz="8" w:space="0" w:color="4BACC6"/>
      </w:tblBorders>
    </w:tblPr>
    <w:tblStylePr w:type="firstRow">
      <w:pPr>
        <w:spacing w:beforeLines="0" w:before="0" w:beforeAutospacing="0" w:afterLines="0" w:after="0" w:afterAutospacing="0" w:line="240" w:lineRule="auto"/>
      </w:pPr>
      <w:rPr>
        <w:b/>
        <w:bCs/>
        <w:color w:val="FFFFFF"/>
      </w:rPr>
      <w:tblPr/>
      <w:tcPr>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List-Accent611">
    <w:name w:val="Light List - Accent 6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tblBorders>
    </w:tblPr>
    <w:tblStylePr w:type="firstRow">
      <w:pPr>
        <w:spacing w:beforeLines="0" w:before="0" w:beforeAutospacing="0" w:afterLines="0" w:after="0" w:afterAutospacing="0" w:line="240" w:lineRule="auto"/>
      </w:pPr>
      <w:rPr>
        <w:b/>
        <w:bCs/>
        <w:color w:val="FFFFFF"/>
      </w:rPr>
      <w:tblPr/>
      <w:tcPr>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LightShading-Accent1111">
    <w:name w:val="Light Shading - Accent 1111"/>
    <w:basedOn w:val="TableNormal"/>
    <w:uiPriority w:val="60"/>
    <w:rsid w:val="007257E3"/>
    <w:pPr>
      <w:spacing w:line="240" w:lineRule="auto"/>
    </w:pPr>
    <w:rPr>
      <w:rFonts w:ascii="Trebuchet MS" w:eastAsia="Times New Roman" w:hAnsi="Trebuchet MS" w:cs="Times New Roman"/>
      <w:color w:val="365F91"/>
      <w:szCs w:val="20"/>
      <w:lang w:val="en-GB" w:eastAsia="en-GB"/>
    </w:rPr>
    <w:tblPr>
      <w:tblStyleRowBandSize w:val="1"/>
      <w:tblStyleColBandSize w:val="1"/>
      <w:tblInd w:w="0" w:type="nil"/>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11">
    <w:name w:val="Light Shading - Accent 211"/>
    <w:basedOn w:val="TableNormal"/>
    <w:uiPriority w:val="60"/>
    <w:rsid w:val="007257E3"/>
    <w:pPr>
      <w:spacing w:line="240" w:lineRule="auto"/>
    </w:pPr>
    <w:rPr>
      <w:rFonts w:ascii="Trebuchet MS" w:eastAsia="Times New Roman" w:hAnsi="Trebuchet MS" w:cs="Times New Roman"/>
      <w:color w:val="943634"/>
      <w:szCs w:val="20"/>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11">
    <w:name w:val="Light Shading - Accent 311"/>
    <w:basedOn w:val="TableNormal"/>
    <w:uiPriority w:val="60"/>
    <w:rsid w:val="007257E3"/>
    <w:pPr>
      <w:spacing w:line="240" w:lineRule="auto"/>
    </w:pPr>
    <w:rPr>
      <w:rFonts w:ascii="Trebuchet MS" w:eastAsia="Times New Roman" w:hAnsi="Trebuchet MS" w:cs="Times New Roman"/>
      <w:color w:val="76923C"/>
      <w:szCs w:val="20"/>
      <w:lang w:val="en-GB" w:eastAsia="en-GB"/>
    </w:rPr>
    <w:tblPr>
      <w:tblStyleRowBandSize w:val="1"/>
      <w:tblStyleColBandSize w:val="1"/>
      <w:tblInd w:w="0" w:type="nil"/>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611">
    <w:name w:val="Light Shading - Accent 611"/>
    <w:basedOn w:val="TableNormal"/>
    <w:uiPriority w:val="60"/>
    <w:rsid w:val="007257E3"/>
    <w:pPr>
      <w:spacing w:line="240" w:lineRule="auto"/>
    </w:pPr>
    <w:rPr>
      <w:rFonts w:ascii="Trebuchet MS" w:eastAsia="Times New Roman" w:hAnsi="Trebuchet MS" w:cs="Times New Roman"/>
      <w:color w:val="E36C0A"/>
      <w:szCs w:val="20"/>
      <w:lang w:val="en-GB" w:eastAsia="en-GB"/>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Grid1111">
    <w:name w:val="Medium Grid 11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MediumGrid1-Accent111">
    <w:name w:val="Medium Grid 1 - Accent 1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MediumGrid1-Accent211">
    <w:name w:val="Medium Grid 1 - Accent 2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1-Accent311">
    <w:name w:val="Medium Grid 1 - Accent 3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MediumGrid1-Accent411">
    <w:name w:val="Medium Grid 1 - Accent 4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511">
    <w:name w:val="Medium Grid 1 - Accent 5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MediumGrid1-Accent611">
    <w:name w:val="Medium Grid 1 - Accent 6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2111">
    <w:name w:val="Medium Grid 2111"/>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MediumGrid2-Accent111">
    <w:name w:val="Medium Grid 2 - Accent 111"/>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MediumGrid2-Accent211">
    <w:name w:val="Medium Grid 2 - Accent 211"/>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MediumGrid2-Accent311">
    <w:name w:val="Medium Grid 2 - Accent 311"/>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MediumGrid2-Accent411">
    <w:name w:val="Medium Grid 2 - Accent 411"/>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511">
    <w:name w:val="Medium Grid 2 - Accent 511"/>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MediumGrid2-Accent611">
    <w:name w:val="Medium Grid 2 - Accent 611"/>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MediumGrid3111">
    <w:name w:val="Medium Grid 3111"/>
    <w:basedOn w:val="TableNormal"/>
    <w:uiPriority w:val="69"/>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List1111">
    <w:name w:val="Medium List 1111"/>
    <w:basedOn w:val="TableNormal"/>
    <w:uiPriority w:val="65"/>
    <w:rsid w:val="007257E3"/>
    <w:pPr>
      <w:spacing w:line="240" w:lineRule="auto"/>
    </w:pPr>
    <w:rPr>
      <w:rFonts w:ascii="Trebuchet MS" w:eastAsia="Times New Roman" w:hAnsi="Trebuchet MS" w:cs="Times New Roman"/>
      <w:color w:val="000000"/>
      <w:szCs w:val="20"/>
      <w:lang w:val="en-GB" w:eastAsia="en-GB"/>
    </w:rPr>
    <w:tblPr>
      <w:tblStyleRowBandSize w:val="1"/>
      <w:tblStyleColBandSize w:val="1"/>
      <w:tblInd w:w="0" w:type="nil"/>
      <w:tblBorders>
        <w:top w:val="single" w:sz="8" w:space="0" w:color="000000"/>
        <w:bottom w:val="single" w:sz="8" w:space="0" w:color="000000"/>
      </w:tblBorders>
    </w:tblPr>
    <w:tblStylePr w:type="firstRow">
      <w:rPr>
        <w:rFonts w:ascii="Lucida Console" w:eastAsia="Times New Roman" w:hAnsi="Lucida Consol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MediumList1-Accent211">
    <w:name w:val="Medium List 1 - Accent 211"/>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C0504D"/>
        <w:bottom w:val="single" w:sz="8" w:space="0" w:color="C0504D"/>
      </w:tblBorders>
    </w:tblPr>
    <w:tblStylePr w:type="firstRow">
      <w:rPr>
        <w:rFonts w:ascii="Lucida Console" w:eastAsia="Times New Roman" w:hAnsi="Lucida Console" w:cs="Times New Roman" w:hint="default"/>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MediumList1-Accent311">
    <w:name w:val="Medium List 1 - Accent 311"/>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9BBB59"/>
        <w:bottom w:val="single" w:sz="8" w:space="0" w:color="9BBB59"/>
      </w:tblBorders>
    </w:tblPr>
    <w:tblStylePr w:type="firstRow">
      <w:rPr>
        <w:rFonts w:ascii="Lucida Console" w:eastAsia="Times New Roman" w:hAnsi="Lucida Console" w:cs="Times New Roman" w:hint="default"/>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MediumList1-Accent411">
    <w:name w:val="Medium List 1 - Accent 411"/>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8064A2"/>
        <w:bottom w:val="single" w:sz="8" w:space="0" w:color="8064A2"/>
      </w:tblBorders>
    </w:tblPr>
    <w:tblStylePr w:type="firstRow">
      <w:rPr>
        <w:rFonts w:ascii="Lucida Console" w:eastAsia="Times New Roman" w:hAnsi="Lucida Console" w:cs="Times New Roman" w:hint="default"/>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MediumList1-Accent511">
    <w:name w:val="Medium List 1 - Accent 511"/>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4BACC6"/>
        <w:bottom w:val="single" w:sz="8" w:space="0" w:color="4BACC6"/>
      </w:tblBorders>
    </w:tblPr>
    <w:tblStylePr w:type="firstRow">
      <w:rPr>
        <w:rFonts w:ascii="Lucida Console" w:eastAsia="Times New Roman" w:hAnsi="Lucida Console" w:cs="Times New Roman" w:hint="default"/>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MediumList1-Accent611">
    <w:name w:val="Medium List 1 - Accent 611"/>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F79646"/>
        <w:bottom w:val="single" w:sz="8" w:space="0" w:color="F79646"/>
      </w:tblBorders>
    </w:tblPr>
    <w:tblStylePr w:type="firstRow">
      <w:rPr>
        <w:rFonts w:ascii="Lucida Console" w:eastAsia="Times New Roman" w:hAnsi="Lucida Console" w:cs="Times New Roman" w:hint="default"/>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MediumList2111">
    <w:name w:val="Medium List 2111"/>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MediumList2-Accent111">
    <w:name w:val="Medium List 2 - Accent 111"/>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MediumList2-Accent211">
    <w:name w:val="Medium List 2 - Accent 211"/>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MediumList2-Accent311">
    <w:name w:val="Medium List 2 - Accent 311"/>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MediumShading1111">
    <w:name w:val="Medium Shading 11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0" w:beforeAutospacing="0" w:afterLines="0" w:after="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1-Accent1111">
    <w:name w:val="Medium Shading 1 - Accent 11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0" w:beforeAutospacing="0" w:afterLines="0" w:after="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211">
    <w:name w:val="Medium Shading 1 - Accent 211"/>
    <w:basedOn w:val="TableNormal"/>
    <w:uiPriority w:val="63"/>
    <w:rsid w:val="007257E3"/>
    <w:pPr>
      <w:spacing w:line="240" w:lineRule="auto"/>
    </w:pPr>
    <w:rPr>
      <w:rFonts w:ascii="Calibri" w:eastAsia="Times New Roman" w:hAnsi="Calibri" w:cs="Times New Roman"/>
      <w:szCs w:val="20"/>
      <w:lang w:val="en-GB" w:eastAsia="en-GB"/>
    </w:rPr>
    <w:tblPr>
      <w:tblStyleRowBandSize w:val="1"/>
      <w:tblStyleColBandSize w:val="1"/>
      <w:tblInd w:w="0" w:type="nil"/>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Lines="0" w:before="0" w:beforeAutospacing="0" w:afterLines="0" w:after="0" w:afterAutospacing="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Lines="0" w:before="0" w:beforeAutospacing="0" w:afterLines="0" w:after="0" w:afterAutospacing="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MediumShading1-Accent311">
    <w:name w:val="Medium Shading 1 - Accent 3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Lines="0" w:before="0" w:beforeAutospacing="0" w:afterLines="0" w:after="0" w:afterAutospacing="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MediumShading1-Accent411">
    <w:name w:val="Medium Shading 1 - Accent 4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Lines="0" w:before="0" w:beforeAutospacing="0" w:afterLines="0" w:after="0" w:afterAutospacing="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0" w:beforeAutospacing="0" w:afterLines="0" w:after="0" w:afterAutospacing="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MediumShading1-Accent511">
    <w:name w:val="Medium Shading 1 - Accent 5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MediumShading1-Accent611">
    <w:name w:val="Medium Shading 1 - Accent 6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Lines="0" w:before="0" w:beforeAutospacing="0" w:afterLines="0" w:after="0" w:afterAutospacing="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MediumShading2111">
    <w:name w:val="Medium Shading 21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1111">
    <w:name w:val="Medium Shading 2 - Accent 11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211">
    <w:name w:val="Medium Shading 2 - Accent 2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311">
    <w:name w:val="Medium Shading 2 - Accent 3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411">
    <w:name w:val="Medium Shading 2 - Accent 4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511">
    <w:name w:val="Medium Shading 2 - Accent 5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611">
    <w:name w:val="Medium Shading 2 - Accent 6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3Deffects311">
    <w:name w:val="Table 3D effects 3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11">
    <w:name w:val="Table Classic 2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11">
    <w:name w:val="Table Classic 311"/>
    <w:basedOn w:val="TableNormal"/>
    <w:uiPriority w:val="99"/>
    <w:semiHidden/>
    <w:rsid w:val="007257E3"/>
    <w:pPr>
      <w:spacing w:before="200" w:after="100" w:line="220" w:lineRule="atLeast"/>
    </w:pPr>
    <w:rPr>
      <w:rFonts w:ascii="Trebuchet MS" w:eastAsia="Times New Roman" w:hAnsi="Trebuchet MS" w:cs="Times New Roman"/>
      <w:color w:val="000080"/>
      <w:sz w:val="20"/>
      <w:szCs w:val="20"/>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11">
    <w:name w:val="Table Classic 4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11">
    <w:name w:val="Table Colorful 111"/>
    <w:basedOn w:val="TableNormal"/>
    <w:uiPriority w:val="99"/>
    <w:semiHidden/>
    <w:rsid w:val="007257E3"/>
    <w:pPr>
      <w:spacing w:before="200" w:after="100" w:line="220" w:lineRule="atLeast"/>
    </w:pPr>
    <w:rPr>
      <w:rFonts w:ascii="Trebuchet MS" w:eastAsia="Times New Roman" w:hAnsi="Trebuchet MS" w:cs="Times New Roman"/>
      <w:color w:val="FFFFFF"/>
      <w:sz w:val="20"/>
      <w:szCs w:val="20"/>
      <w:lang w:val="en-GB"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11">
    <w:name w:val="Table Colorful 2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11">
    <w:name w:val="Table Colorful 3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11">
    <w:name w:val="Table Columns 111"/>
    <w:basedOn w:val="TableNormal"/>
    <w:uiPriority w:val="99"/>
    <w:semiHidden/>
    <w:rsid w:val="007257E3"/>
    <w:pPr>
      <w:spacing w:before="200" w:after="100" w:line="220" w:lineRule="atLeast"/>
    </w:pPr>
    <w:rPr>
      <w:rFonts w:ascii="Trebuchet MS" w:eastAsia="Times New Roman" w:hAnsi="Trebuchet MS" w:cs="Times New Roman"/>
      <w:b/>
      <w:bCs/>
      <w:sz w:val="20"/>
      <w:szCs w:val="20"/>
      <w:lang w:val="en-GB" w:eastAsia="en-GB"/>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11">
    <w:name w:val="Table Columns 211"/>
    <w:basedOn w:val="TableNormal"/>
    <w:uiPriority w:val="99"/>
    <w:semiHidden/>
    <w:rsid w:val="007257E3"/>
    <w:pPr>
      <w:spacing w:before="200" w:after="100" w:line="220" w:lineRule="atLeast"/>
    </w:pPr>
    <w:rPr>
      <w:rFonts w:ascii="Trebuchet MS" w:eastAsia="Times New Roman" w:hAnsi="Trebuchet MS" w:cs="Times New Roman"/>
      <w:b/>
      <w:bCs/>
      <w:sz w:val="20"/>
      <w:szCs w:val="20"/>
      <w:lang w:val="en-GB" w:eastAsia="en-GB"/>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11">
    <w:name w:val="Table Columns 311"/>
    <w:basedOn w:val="TableNormal"/>
    <w:uiPriority w:val="99"/>
    <w:semiHidden/>
    <w:rsid w:val="007257E3"/>
    <w:pPr>
      <w:spacing w:before="200" w:after="100" w:line="220" w:lineRule="atLeast"/>
    </w:pPr>
    <w:rPr>
      <w:rFonts w:ascii="Trebuchet MS" w:eastAsia="Times New Roman" w:hAnsi="Trebuchet MS" w:cs="Times New Roman"/>
      <w:b/>
      <w:bCs/>
      <w:sz w:val="20"/>
      <w:szCs w:val="20"/>
      <w:lang w:val="en-GB" w:eastAsia="en-GB"/>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11">
    <w:name w:val="Table Columns 4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11">
    <w:name w:val="Table Columns 5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Grid1113">
    <w:name w:val="Table Grid 1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110">
    <w:name w:val="Table Grid 2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110">
    <w:name w:val="Table Grid 3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110">
    <w:name w:val="Table Grid 4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110">
    <w:name w:val="Table Grid 5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110">
    <w:name w:val="Table Grid 6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111">
    <w:name w:val="Table Grid 711"/>
    <w:basedOn w:val="TableNormal"/>
    <w:uiPriority w:val="99"/>
    <w:semiHidden/>
    <w:rsid w:val="007257E3"/>
    <w:pPr>
      <w:spacing w:before="200" w:after="100" w:line="220" w:lineRule="atLeast"/>
    </w:pPr>
    <w:rPr>
      <w:rFonts w:ascii="Trebuchet MS" w:eastAsia="Times New Roman" w:hAnsi="Trebuchet MS" w:cs="Times New Roman"/>
      <w:b/>
      <w:bCs/>
      <w:sz w:val="20"/>
      <w:szCs w:val="20"/>
      <w:lang w:val="en-GB" w:eastAsia="en-GB"/>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110">
    <w:name w:val="Table Grid 8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11">
    <w:name w:val="Table List 1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11">
    <w:name w:val="Table List 2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11">
    <w:name w:val="Table List 3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11">
    <w:name w:val="Table List 4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11">
    <w:name w:val="Table List 5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11">
    <w:name w:val="Table List 6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11">
    <w:name w:val="Table List 7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11">
    <w:name w:val="Table List 8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11">
    <w:name w:val="Table Professional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211">
    <w:name w:val="Table Simple 2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11">
    <w:name w:val="Table Simple 3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11">
    <w:name w:val="Table Subtle 1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812">
    <w:name w:val="Table Grid81"/>
    <w:basedOn w:val="TableNormal"/>
    <w:rsid w:val="007257E3"/>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7257E3"/>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
    <w:basedOn w:val="TableNormal"/>
    <w:rsid w:val="007257E3"/>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7257E3"/>
    <w:pPr>
      <w:spacing w:line="240" w:lineRule="auto"/>
    </w:pPr>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59"/>
    <w:rsid w:val="007257E3"/>
    <w:pPr>
      <w:spacing w:line="240" w:lineRule="auto"/>
    </w:pPr>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Professional21">
    <w:name w:val="Table Professional21"/>
    <w:basedOn w:val="TableNormal"/>
    <w:rsid w:val="007257E3"/>
    <w:pPr>
      <w:spacing w:line="240" w:lineRule="auto"/>
    </w:pPr>
    <w:rPr>
      <w:rFonts w:ascii="Times New Roman" w:eastAsia="Times New Roman" w:hAnsi="Times New Roman" w:cs="Times New Roman"/>
      <w:sz w:val="20"/>
      <w:szCs w:val="20"/>
      <w:lang w:val="ro-RO" w:eastAsia="ro-RO"/>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List421">
    <w:name w:val="Table List 421"/>
    <w:basedOn w:val="TableNormal"/>
    <w:rsid w:val="007257E3"/>
    <w:pPr>
      <w:autoSpaceDE w:val="0"/>
      <w:autoSpaceDN w:val="0"/>
      <w:adjustRightInd w:val="0"/>
      <w:spacing w:line="360" w:lineRule="auto"/>
      <w:jc w:val="both"/>
    </w:pPr>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Grid171">
    <w:name w:val="Table Grid171"/>
    <w:basedOn w:val="TableNormal"/>
    <w:rsid w:val="007257E3"/>
    <w:pPr>
      <w:spacing w:line="240" w:lineRule="auto"/>
    </w:pPr>
    <w:rPr>
      <w:rFonts w:ascii="Times New Roman" w:eastAsia="MS Mincho"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3">
    <w:name w:val="Table 3D effects 13"/>
    <w:basedOn w:val="TableNormal"/>
    <w:rsid w:val="007257E3"/>
    <w:rPr>
      <w:rFonts w:ascii="Times New Roman" w:eastAsia="Times New Roman" w:hAnsi="Times New Roman" w:cs="Times New Roman"/>
      <w:sz w:val="20"/>
      <w:szCs w:val="20"/>
      <w:lang w:val="ro-RO" w:eastAsia="ro-RO"/>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3">
    <w:name w:val="Table 3D effects 23"/>
    <w:basedOn w:val="TableNormal"/>
    <w:rsid w:val="007257E3"/>
    <w:rPr>
      <w:rFonts w:ascii="Times New Roman" w:eastAsia="Times New Roman" w:hAnsi="Times New Roman" w:cs="Times New Roman"/>
      <w:sz w:val="20"/>
      <w:szCs w:val="20"/>
      <w:lang w:val="ro-RO" w:eastAsia="ro-RO"/>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3">
    <w:name w:val="Table 3D effects 33"/>
    <w:basedOn w:val="TableNormal"/>
    <w:uiPriority w:val="99"/>
    <w:semiHidden/>
    <w:rsid w:val="007257E3"/>
    <w:rPr>
      <w:rFonts w:ascii="Times New Roman" w:eastAsia="Times New Roman" w:hAnsi="Times New Roman" w:cs="Times New Roman"/>
      <w:sz w:val="20"/>
      <w:szCs w:val="20"/>
      <w:lang w:val="ro-RO" w:eastAsia="ro-RO"/>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3">
    <w:name w:val="Table Classic 2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3">
    <w:name w:val="Table Classic 33"/>
    <w:basedOn w:val="TableNormal"/>
    <w:uiPriority w:val="99"/>
    <w:semiHidden/>
    <w:rsid w:val="007257E3"/>
    <w:rPr>
      <w:rFonts w:ascii="Times New Roman" w:eastAsia="Times New Roman" w:hAnsi="Times New Roman" w:cs="Times New Roman"/>
      <w:color w:val="000080"/>
      <w:sz w:val="20"/>
      <w:szCs w:val="20"/>
      <w:lang w:val="ro-RO" w:eastAsia="ro-RO"/>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3">
    <w:name w:val="Table Classic 4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3">
    <w:name w:val="Table Colorful 13"/>
    <w:basedOn w:val="TableNormal"/>
    <w:uiPriority w:val="99"/>
    <w:semiHidden/>
    <w:rsid w:val="007257E3"/>
    <w:rPr>
      <w:rFonts w:ascii="Times New Roman" w:eastAsia="Times New Roman" w:hAnsi="Times New Roman" w:cs="Times New Roman"/>
      <w:color w:val="FFFFFF"/>
      <w:sz w:val="20"/>
      <w:szCs w:val="20"/>
      <w:lang w:val="ro-RO" w:eastAsia="ro-RO"/>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3">
    <w:name w:val="Table Colorful 23"/>
    <w:basedOn w:val="TableNormal"/>
    <w:uiPriority w:val="99"/>
    <w:semiHidden/>
    <w:rsid w:val="007257E3"/>
    <w:rPr>
      <w:rFonts w:ascii="Times New Roman" w:eastAsia="Times New Roman" w:hAnsi="Times New Roman" w:cs="Times New Roman"/>
      <w:sz w:val="20"/>
      <w:szCs w:val="20"/>
      <w:lang w:val="ro-RO" w:eastAsia="ro-RO"/>
    </w:rPr>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3">
    <w:name w:val="Table Colorful 3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3">
    <w:name w:val="Table Columns 13"/>
    <w:basedOn w:val="TableNormal"/>
    <w:rsid w:val="007257E3"/>
    <w:rPr>
      <w:rFonts w:ascii="Times New Roman" w:eastAsia="Times New Roman" w:hAnsi="Times New Roman" w:cs="Times New Roman"/>
      <w:b/>
      <w:bCs/>
      <w:sz w:val="20"/>
      <w:szCs w:val="20"/>
      <w:lang w:val="ro-RO" w:eastAsia="ro-RO"/>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3">
    <w:name w:val="Table Columns 23"/>
    <w:basedOn w:val="TableNormal"/>
    <w:uiPriority w:val="99"/>
    <w:semiHidden/>
    <w:rsid w:val="007257E3"/>
    <w:rPr>
      <w:rFonts w:ascii="Times New Roman" w:eastAsia="Times New Roman" w:hAnsi="Times New Roman" w:cs="Times New Roman"/>
      <w:b/>
      <w:bCs/>
      <w:sz w:val="20"/>
      <w:szCs w:val="20"/>
      <w:lang w:val="ro-RO" w:eastAsia="ro-RO"/>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3">
    <w:name w:val="Table Columns 33"/>
    <w:basedOn w:val="TableNormal"/>
    <w:uiPriority w:val="99"/>
    <w:semiHidden/>
    <w:rsid w:val="007257E3"/>
    <w:rPr>
      <w:rFonts w:ascii="Times New Roman" w:eastAsia="Times New Roman" w:hAnsi="Times New Roman" w:cs="Times New Roman"/>
      <w:b/>
      <w:bCs/>
      <w:sz w:val="20"/>
      <w:szCs w:val="20"/>
      <w:lang w:val="ro-RO" w:eastAsia="ro-RO"/>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3">
    <w:name w:val="Table Columns 43"/>
    <w:basedOn w:val="TableNormal"/>
    <w:uiPriority w:val="99"/>
    <w:semiHidden/>
    <w:rsid w:val="007257E3"/>
    <w:rPr>
      <w:rFonts w:ascii="Times New Roman" w:eastAsia="Times New Roman" w:hAnsi="Times New Roman" w:cs="Times New Roman"/>
      <w:sz w:val="20"/>
      <w:szCs w:val="20"/>
      <w:lang w:val="ro-RO" w:eastAsia="ro-RO"/>
    </w:rPr>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3">
    <w:name w:val="Table Columns 53"/>
    <w:basedOn w:val="TableNormal"/>
    <w:uiPriority w:val="99"/>
    <w:semiHidden/>
    <w:rsid w:val="007257E3"/>
    <w:rPr>
      <w:rFonts w:ascii="Times New Roman" w:eastAsia="Times New Roman" w:hAnsi="Times New Roman" w:cs="Times New Roman"/>
      <w:sz w:val="20"/>
      <w:szCs w:val="20"/>
      <w:lang w:val="ro-RO" w:eastAsia="ro-RO"/>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3">
    <w:name w:val="Table Contemporary3"/>
    <w:basedOn w:val="TableNormal"/>
    <w:rsid w:val="007257E3"/>
    <w:rPr>
      <w:rFonts w:ascii="Times New Roman" w:eastAsia="Times New Roman" w:hAnsi="Times New Roman" w:cs="Times New Roman"/>
      <w:sz w:val="20"/>
      <w:szCs w:val="20"/>
      <w:lang w:val="ro-RO" w:eastAsia="ro-RO"/>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32">
    <w:name w:val="Table Grid 1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32">
    <w:name w:val="Table Grid 23"/>
    <w:basedOn w:val="TableNormal"/>
    <w:uiPriority w:val="99"/>
    <w:semiHidden/>
    <w:rsid w:val="007257E3"/>
    <w:rPr>
      <w:rFonts w:ascii="Times New Roman" w:eastAsia="Times New Roman" w:hAnsi="Times New Roman" w:cs="Times New Roman"/>
      <w:sz w:val="20"/>
      <w:szCs w:val="20"/>
      <w:lang w:val="ro-RO" w:eastAsia="ro-RO"/>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30">
    <w:name w:val="Table Grid 3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3">
    <w:name w:val="Table Grid 43"/>
    <w:basedOn w:val="TableNormal"/>
    <w:uiPriority w:val="99"/>
    <w:semiHidden/>
    <w:rsid w:val="007257E3"/>
    <w:rPr>
      <w:rFonts w:ascii="Times New Roman" w:eastAsia="Times New Roman" w:hAnsi="Times New Roman" w:cs="Times New Roman"/>
      <w:sz w:val="20"/>
      <w:szCs w:val="20"/>
      <w:lang w:val="ro-RO" w:eastAsia="ro-RO"/>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3">
    <w:name w:val="Table Grid 5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3">
    <w:name w:val="Table Grid 6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3">
    <w:name w:val="Table Grid 73"/>
    <w:basedOn w:val="TableNormal"/>
    <w:uiPriority w:val="99"/>
    <w:semiHidden/>
    <w:rsid w:val="007257E3"/>
    <w:rPr>
      <w:rFonts w:ascii="Times New Roman" w:eastAsia="Times New Roman" w:hAnsi="Times New Roman" w:cs="Times New Roman"/>
      <w:b/>
      <w:bCs/>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3">
    <w:name w:val="Table Grid 8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3">
    <w:name w:val="Table List 13"/>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3">
    <w:name w:val="Table List 23"/>
    <w:basedOn w:val="TableNormal"/>
    <w:uiPriority w:val="99"/>
    <w:semiHidden/>
    <w:rsid w:val="007257E3"/>
    <w:rPr>
      <w:rFonts w:ascii="Times New Roman" w:eastAsia="Times New Roman" w:hAnsi="Times New Roman" w:cs="Times New Roman"/>
      <w:sz w:val="20"/>
      <w:szCs w:val="20"/>
      <w:lang w:val="ro-RO" w:eastAsia="ro-RO"/>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3">
    <w:name w:val="Table List 3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4">
    <w:name w:val="Table List 44"/>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3">
    <w:name w:val="Table List 5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3">
    <w:name w:val="Table List 63"/>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3">
    <w:name w:val="Table List 73"/>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3">
    <w:name w:val="Table List 83"/>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4">
    <w:name w:val="Table Professional4"/>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3">
    <w:name w:val="Table Simple 13"/>
    <w:basedOn w:val="TableNormal"/>
    <w:rsid w:val="007257E3"/>
    <w:rPr>
      <w:rFonts w:ascii="Times New Roman" w:eastAsia="Times New Roman" w:hAnsi="Times New Roman" w:cs="Times New Roman"/>
      <w:sz w:val="20"/>
      <w:szCs w:val="20"/>
      <w:lang w:val="ro-RO" w:eastAsia="ro-RO"/>
    </w:rPr>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3">
    <w:name w:val="Table Simple 23"/>
    <w:basedOn w:val="TableNormal"/>
    <w:uiPriority w:val="99"/>
    <w:semiHidden/>
    <w:rsid w:val="007257E3"/>
    <w:rPr>
      <w:rFonts w:ascii="Times New Roman" w:eastAsia="Times New Roman" w:hAnsi="Times New Roman" w:cs="Times New Roman"/>
      <w:sz w:val="20"/>
      <w:szCs w:val="20"/>
      <w:lang w:val="ro-RO" w:eastAsia="ro-RO"/>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3">
    <w:name w:val="Table Simple 3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3">
    <w:name w:val="Table Subtle 13"/>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uiPriority w:val="99"/>
    <w:semiHidden/>
    <w:rsid w:val="007257E3"/>
    <w:rPr>
      <w:rFonts w:ascii="Times New Roman" w:eastAsia="Times New Roman" w:hAnsi="Times New Roman" w:cs="Times New Roman"/>
      <w:sz w:val="20"/>
      <w:szCs w:val="20"/>
      <w:lang w:val="ro-RO" w:eastAsia="ro-RO"/>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rsid w:val="007257E3"/>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3">
    <w:name w:val="Light Shading13"/>
    <w:basedOn w:val="TableNormal"/>
    <w:uiPriority w:val="60"/>
    <w:rsid w:val="007257E3"/>
    <w:pPr>
      <w:spacing w:line="240" w:lineRule="auto"/>
    </w:pPr>
    <w:rPr>
      <w:rFonts w:eastAsia="Calibri" w:cs="Times New Roman"/>
      <w:color w:val="000000"/>
      <w:szCs w:val="22"/>
      <w:lang w:eastAsia="ro-RO"/>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Accent53">
    <w:name w:val="Light List - Accent 53"/>
    <w:basedOn w:val="TableNormal"/>
    <w:uiPriority w:val="61"/>
    <w:rsid w:val="007257E3"/>
    <w:pPr>
      <w:spacing w:line="240" w:lineRule="auto"/>
    </w:pPr>
    <w:rPr>
      <w:rFonts w:ascii="Calibri" w:eastAsia="Calibri" w:hAnsi="Calibri" w:cs="Times New Roman"/>
      <w:sz w:val="22"/>
      <w:szCs w:val="22"/>
      <w:lang w:val="en-GB" w:eastAsia="ro-RO"/>
    </w:rPr>
    <w:tblPr>
      <w:tblStyleRowBandSize w:val="1"/>
      <w:tblStyleColBandSize w:val="1"/>
      <w:tblInd w:w="0" w:type="nil"/>
      <w:tblBorders>
        <w:top w:val="single" w:sz="8" w:space="0" w:color="4BACC6"/>
        <w:left w:val="single" w:sz="8" w:space="0" w:color="4BACC6"/>
        <w:bottom w:val="single" w:sz="8" w:space="0" w:color="4BACC6"/>
        <w:right w:val="single" w:sz="8" w:space="0" w:color="4BACC6"/>
      </w:tblBorders>
    </w:tblPr>
    <w:tblStylePr w:type="firstRow">
      <w:pPr>
        <w:spacing w:beforeLines="0" w:before="0" w:beforeAutospacing="0" w:afterLines="0" w:after="0" w:afterAutospacing="0" w:line="240" w:lineRule="auto"/>
      </w:pPr>
      <w:rPr>
        <w:b/>
        <w:bCs/>
        <w:color w:val="FFFFFF"/>
      </w:rPr>
      <w:tblPr/>
      <w:tcPr>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MediumGrid3-Accent13">
    <w:name w:val="Medium Grid 3 - Accent 13"/>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MediumGrid3-Accent63">
    <w:name w:val="Medium Grid 3 - Accent 63"/>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MediumGrid3-Accent53">
    <w:name w:val="Medium Grid 3 - Accent 53"/>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43">
    <w:name w:val="Medium Grid 3 - Accent 43"/>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33">
    <w:name w:val="Medium Grid 3 - Accent 33"/>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MediumGrid3-Accent23">
    <w:name w:val="Medium Grid 3 - Accent 23"/>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ColorfulGrid-Accent33">
    <w:name w:val="Colorful Grid - Accent 33"/>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ColorfulGrid-Accent23">
    <w:name w:val="Colorful Grid - Accent 23"/>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ColorfulGrid-Accent13">
    <w:name w:val="Colorful Grid - Accent 13"/>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13">
    <w:name w:val="Colorful Grid13"/>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Grid-Accent63">
    <w:name w:val="Colorful Grid - Accent 63"/>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MediumList2-Accent53">
    <w:name w:val="Medium List 2 - Accent 53"/>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MediumList2-Accent43">
    <w:name w:val="Medium List 2 - Accent 43"/>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MediumList2-Accent63">
    <w:name w:val="Medium List 2 - Accent 63"/>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ColorfulList-Accent53">
    <w:name w:val="Colorful List - Accent 53"/>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ColorfulList-Accent43">
    <w:name w:val="Colorful List - Accent 43"/>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ColorfulList-Accent33">
    <w:name w:val="Colorful List - Accent 33"/>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ColorfulList-Accent23">
    <w:name w:val="Colorful List - Accent 23"/>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ColorfulList-Accent13">
    <w:name w:val="Colorful List - Accent 13"/>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13">
    <w:name w:val="Colorful List13"/>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Grid-Accent43">
    <w:name w:val="Colorful Grid - Accent 43"/>
    <w:basedOn w:val="TableNormal"/>
    <w:uiPriority w:val="73"/>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ColorfulGrid-Accent53">
    <w:name w:val="Colorful Grid - Accent 53"/>
    <w:basedOn w:val="TableNormal"/>
    <w:uiPriority w:val="73"/>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ColorfulList-Accent63">
    <w:name w:val="Colorful List - Accent 63"/>
    <w:basedOn w:val="TableNormal"/>
    <w:uiPriority w:val="72"/>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ColorfulShading13">
    <w:name w:val="Colorful Shading13"/>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ColorfulShading-Accent13">
    <w:name w:val="Colorful Shading - Accent 13"/>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ColorfulShading-Accent23">
    <w:name w:val="Colorful Shading - Accent 23"/>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ColorfulShading-Accent33">
    <w:name w:val="Colorful Shading - Accent 33"/>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ColorfulShading-Accent43">
    <w:name w:val="Colorful Shading - Accent 43"/>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ColorfulShading-Accent53">
    <w:name w:val="Colorful Shading - Accent 53"/>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ColorfulShading-Accent63">
    <w:name w:val="Colorful Shading - Accent 63"/>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DarkList13">
    <w:name w:val="Dark List13"/>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DarkList-Accent13">
    <w:name w:val="Dark List - Accent 13"/>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DarkList-Accent23">
    <w:name w:val="Dark List - Accent 23"/>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DarkList-Accent33">
    <w:name w:val="Dark List - Accent 33"/>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DarkList-Accent43">
    <w:name w:val="Dark List - Accent 43"/>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DarkList-Accent53">
    <w:name w:val="Dark List - Accent 53"/>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DarkList-Accent63">
    <w:name w:val="Dark List - Accent 63"/>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LightGrid13">
    <w:name w:val="Light Grid13"/>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Grid-Accent113">
    <w:name w:val="Light Grid - Accent 113"/>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LightGrid-Accent23">
    <w:name w:val="Light Grid - Accent 23"/>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LightGrid-Accent33">
    <w:name w:val="Light Grid - Accent 33"/>
    <w:basedOn w:val="TableNormal"/>
    <w:uiPriority w:val="62"/>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LightGrid-Accent43">
    <w:name w:val="Light Grid - Accent 43"/>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LightGrid-Accent53">
    <w:name w:val="Light Grid - Accent 53"/>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63">
    <w:name w:val="Light Grid - Accent 63"/>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LightList13">
    <w:name w:val="Light List13"/>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113">
    <w:name w:val="Light List - Accent 113"/>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line="240" w:lineRule="auto"/>
      </w:pPr>
      <w:rPr>
        <w:b/>
        <w:bCs/>
        <w:color w:val="FFFFFF"/>
      </w:rPr>
      <w:tblPr/>
      <w:tcPr>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23">
    <w:name w:val="Light List - Accent 23"/>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tblBorders>
    </w:tblPr>
    <w:tblStylePr w:type="firstRow">
      <w:pPr>
        <w:spacing w:beforeLines="0" w:before="0" w:beforeAutospacing="0" w:afterLines="0" w:after="0" w:afterAutospacing="0" w:line="240" w:lineRule="auto"/>
      </w:pPr>
      <w:rPr>
        <w:b/>
        <w:bCs/>
        <w:color w:val="FFFFFF"/>
      </w:rPr>
      <w:tblPr/>
      <w:tcPr>
        <w:shd w:val="clear" w:color="auto" w:fill="C0504D"/>
      </w:tcPr>
    </w:tblStylePr>
    <w:tblStylePr w:type="lastRow">
      <w:pPr>
        <w:spacing w:beforeLines="0" w:before="0" w:beforeAutospacing="0" w:afterLines="0" w:after="0" w:afterAutospacing="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List-Accent33">
    <w:name w:val="Light List - Accent 33"/>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pPr>
        <w:spacing w:beforeLines="0" w:before="0" w:beforeAutospacing="0" w:afterLines="0" w:after="0" w:afterAutospacing="0" w:line="240" w:lineRule="auto"/>
      </w:pPr>
      <w:rPr>
        <w:b/>
        <w:bCs/>
        <w:color w:val="FFFFFF"/>
      </w:rPr>
      <w:tblPr/>
      <w:tcPr>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List-Accent43">
    <w:name w:val="Light List - Accent 43"/>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tblBorders>
    </w:tblPr>
    <w:tblStylePr w:type="firstRow">
      <w:pPr>
        <w:spacing w:beforeLines="0" w:before="0" w:beforeAutospacing="0" w:afterLines="0" w:after="0" w:afterAutospacing="0" w:line="240" w:lineRule="auto"/>
      </w:pPr>
      <w:rPr>
        <w:b/>
        <w:bCs/>
        <w:color w:val="FFFFFF"/>
      </w:rPr>
      <w:tblPr/>
      <w:tcPr>
        <w:shd w:val="clear" w:color="auto" w:fill="8064A2"/>
      </w:tcPr>
    </w:tblStylePr>
    <w:tblStylePr w:type="lastRow">
      <w:pPr>
        <w:spacing w:beforeLines="0" w:before="0" w:beforeAutospacing="0" w:afterLines="0" w:after="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LightList-Accent63">
    <w:name w:val="Light List - Accent 63"/>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tblBorders>
    </w:tblPr>
    <w:tblStylePr w:type="firstRow">
      <w:pPr>
        <w:spacing w:beforeLines="0" w:before="0" w:beforeAutospacing="0" w:afterLines="0" w:after="0" w:afterAutospacing="0" w:line="240" w:lineRule="auto"/>
      </w:pPr>
      <w:rPr>
        <w:b/>
        <w:bCs/>
        <w:color w:val="FFFFFF"/>
      </w:rPr>
      <w:tblPr/>
      <w:tcPr>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LightShading-Accent113">
    <w:name w:val="Light Shading - Accent 113"/>
    <w:basedOn w:val="TableNormal"/>
    <w:uiPriority w:val="60"/>
    <w:rsid w:val="007257E3"/>
    <w:pPr>
      <w:spacing w:line="240" w:lineRule="auto"/>
    </w:pPr>
    <w:rPr>
      <w:rFonts w:ascii="Trebuchet MS" w:eastAsia="Times New Roman" w:hAnsi="Trebuchet MS" w:cs="Times New Roman"/>
      <w:color w:val="365F91"/>
      <w:szCs w:val="20"/>
      <w:lang w:val="en-GB" w:eastAsia="en-GB"/>
    </w:rPr>
    <w:tblPr>
      <w:tblStyleRowBandSize w:val="1"/>
      <w:tblStyleColBandSize w:val="1"/>
      <w:tblInd w:w="0" w:type="nil"/>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3">
    <w:name w:val="Light Shading - Accent 23"/>
    <w:basedOn w:val="TableNormal"/>
    <w:uiPriority w:val="60"/>
    <w:rsid w:val="007257E3"/>
    <w:pPr>
      <w:spacing w:line="240" w:lineRule="auto"/>
    </w:pPr>
    <w:rPr>
      <w:rFonts w:ascii="Trebuchet MS" w:eastAsia="Times New Roman" w:hAnsi="Trebuchet MS" w:cs="Times New Roman"/>
      <w:color w:val="943634"/>
      <w:szCs w:val="20"/>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3">
    <w:name w:val="Light Shading - Accent 33"/>
    <w:basedOn w:val="TableNormal"/>
    <w:uiPriority w:val="60"/>
    <w:rsid w:val="007257E3"/>
    <w:pPr>
      <w:spacing w:line="240" w:lineRule="auto"/>
    </w:pPr>
    <w:rPr>
      <w:rFonts w:ascii="Trebuchet MS" w:eastAsia="Times New Roman" w:hAnsi="Trebuchet MS" w:cs="Times New Roman"/>
      <w:color w:val="76923C"/>
      <w:szCs w:val="20"/>
      <w:lang w:val="en-GB" w:eastAsia="en-GB"/>
    </w:rPr>
    <w:tblPr>
      <w:tblStyleRowBandSize w:val="1"/>
      <w:tblStyleColBandSize w:val="1"/>
      <w:tblInd w:w="0" w:type="nil"/>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63">
    <w:name w:val="Light Shading - Accent 63"/>
    <w:basedOn w:val="TableNormal"/>
    <w:uiPriority w:val="60"/>
    <w:rsid w:val="007257E3"/>
    <w:pPr>
      <w:spacing w:line="240" w:lineRule="auto"/>
    </w:pPr>
    <w:rPr>
      <w:rFonts w:ascii="Trebuchet MS" w:eastAsia="Times New Roman" w:hAnsi="Trebuchet MS" w:cs="Times New Roman"/>
      <w:color w:val="E36C0A"/>
      <w:szCs w:val="20"/>
      <w:lang w:val="en-GB" w:eastAsia="en-GB"/>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Grid113">
    <w:name w:val="Medium Grid 113"/>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MediumGrid1-Accent13">
    <w:name w:val="Medium Grid 1 - Accent 13"/>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MediumGrid1-Accent23">
    <w:name w:val="Medium Grid 1 - Accent 23"/>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1-Accent33">
    <w:name w:val="Medium Grid 1 - Accent 33"/>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MediumGrid1-Accent43">
    <w:name w:val="Medium Grid 1 - Accent 43"/>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53">
    <w:name w:val="Medium Grid 1 - Accent 53"/>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MediumGrid1-Accent63">
    <w:name w:val="Medium Grid 1 - Accent 63"/>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213">
    <w:name w:val="Medium Grid 213"/>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MediumGrid2-Accent13">
    <w:name w:val="Medium Grid 2 - Accent 13"/>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MediumGrid2-Accent23">
    <w:name w:val="Medium Grid 2 - Accent 23"/>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MediumGrid2-Accent33">
    <w:name w:val="Medium Grid 2 - Accent 33"/>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MediumGrid2-Accent43">
    <w:name w:val="Medium Grid 2 - Accent 43"/>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53">
    <w:name w:val="Medium Grid 2 - Accent 53"/>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MediumGrid2-Accent63">
    <w:name w:val="Medium Grid 2 - Accent 63"/>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MediumGrid313">
    <w:name w:val="Medium Grid 313"/>
    <w:basedOn w:val="TableNormal"/>
    <w:uiPriority w:val="69"/>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List113">
    <w:name w:val="Medium List 113"/>
    <w:basedOn w:val="TableNormal"/>
    <w:uiPriority w:val="65"/>
    <w:rsid w:val="007257E3"/>
    <w:pPr>
      <w:spacing w:line="240" w:lineRule="auto"/>
    </w:pPr>
    <w:rPr>
      <w:rFonts w:ascii="Trebuchet MS" w:eastAsia="Times New Roman" w:hAnsi="Trebuchet MS" w:cs="Times New Roman"/>
      <w:color w:val="000000"/>
      <w:szCs w:val="20"/>
      <w:lang w:val="en-GB" w:eastAsia="en-GB"/>
    </w:rPr>
    <w:tblPr>
      <w:tblStyleRowBandSize w:val="1"/>
      <w:tblStyleColBandSize w:val="1"/>
      <w:tblInd w:w="0" w:type="nil"/>
      <w:tblBorders>
        <w:top w:val="single" w:sz="8" w:space="0" w:color="000000"/>
        <w:bottom w:val="single" w:sz="8" w:space="0" w:color="000000"/>
      </w:tblBorders>
    </w:tblPr>
    <w:tblStylePr w:type="firstRow">
      <w:rPr>
        <w:rFonts w:ascii="Lucida Console" w:eastAsia="Times New Roman" w:hAnsi="Lucida Consol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MediumList1-Accent113">
    <w:name w:val="Medium List 1 - Accent 113"/>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4F81BD"/>
        <w:bottom w:val="single" w:sz="8" w:space="0" w:color="4F81BD"/>
      </w:tblBorders>
    </w:tblPr>
    <w:tblStylePr w:type="firstRow">
      <w:rPr>
        <w:rFonts w:ascii="Lucida Console" w:eastAsia="Times New Roman" w:hAnsi="Lucida Console"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MediumList1-Accent23">
    <w:name w:val="Medium List 1 - Accent 23"/>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C0504D"/>
        <w:bottom w:val="single" w:sz="8" w:space="0" w:color="C0504D"/>
      </w:tblBorders>
    </w:tblPr>
    <w:tblStylePr w:type="firstRow">
      <w:rPr>
        <w:rFonts w:ascii="Lucida Console" w:eastAsia="Times New Roman" w:hAnsi="Lucida Console" w:cs="Times New Roman" w:hint="default"/>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MediumList1-Accent33">
    <w:name w:val="Medium List 1 - Accent 33"/>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9BBB59"/>
        <w:bottom w:val="single" w:sz="8" w:space="0" w:color="9BBB59"/>
      </w:tblBorders>
    </w:tblPr>
    <w:tblStylePr w:type="firstRow">
      <w:rPr>
        <w:rFonts w:ascii="Lucida Console" w:eastAsia="Times New Roman" w:hAnsi="Lucida Console" w:cs="Times New Roman" w:hint="default"/>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MediumList1-Accent43">
    <w:name w:val="Medium List 1 - Accent 43"/>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8064A2"/>
        <w:bottom w:val="single" w:sz="8" w:space="0" w:color="8064A2"/>
      </w:tblBorders>
    </w:tblPr>
    <w:tblStylePr w:type="firstRow">
      <w:rPr>
        <w:rFonts w:ascii="Lucida Console" w:eastAsia="Times New Roman" w:hAnsi="Lucida Console" w:cs="Times New Roman" w:hint="default"/>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MediumList1-Accent53">
    <w:name w:val="Medium List 1 - Accent 53"/>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4BACC6"/>
        <w:bottom w:val="single" w:sz="8" w:space="0" w:color="4BACC6"/>
      </w:tblBorders>
    </w:tblPr>
    <w:tblStylePr w:type="firstRow">
      <w:rPr>
        <w:rFonts w:ascii="Lucida Console" w:eastAsia="Times New Roman" w:hAnsi="Lucida Console" w:cs="Times New Roman" w:hint="default"/>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MediumList1-Accent63">
    <w:name w:val="Medium List 1 - Accent 63"/>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F79646"/>
        <w:bottom w:val="single" w:sz="8" w:space="0" w:color="F79646"/>
      </w:tblBorders>
    </w:tblPr>
    <w:tblStylePr w:type="firstRow">
      <w:rPr>
        <w:rFonts w:ascii="Lucida Console" w:eastAsia="Times New Roman" w:hAnsi="Lucida Console" w:cs="Times New Roman" w:hint="default"/>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MediumList213">
    <w:name w:val="Medium List 213"/>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MediumList2-Accent13">
    <w:name w:val="Medium List 2 - Accent 13"/>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MediumList2-Accent23">
    <w:name w:val="Medium List 2 - Accent 23"/>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MediumList2-Accent33">
    <w:name w:val="Medium List 2 - Accent 33"/>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MediumShading113">
    <w:name w:val="Medium Shading 113"/>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0" w:beforeAutospacing="0" w:afterLines="0" w:after="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1-Accent113">
    <w:name w:val="Medium Shading 1 - Accent 113"/>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0" w:beforeAutospacing="0" w:afterLines="0" w:after="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23">
    <w:name w:val="Medium Shading 1 - Accent 23"/>
    <w:basedOn w:val="TableNormal"/>
    <w:uiPriority w:val="63"/>
    <w:rsid w:val="007257E3"/>
    <w:pPr>
      <w:spacing w:line="240" w:lineRule="auto"/>
    </w:pPr>
    <w:rPr>
      <w:rFonts w:ascii="Calibri" w:eastAsia="Times New Roman" w:hAnsi="Calibri" w:cs="Times New Roman"/>
      <w:szCs w:val="20"/>
      <w:lang w:val="en-GB" w:eastAsia="en-GB"/>
    </w:rPr>
    <w:tblPr>
      <w:tblStyleRowBandSize w:val="1"/>
      <w:tblStyleColBandSize w:val="1"/>
      <w:tblInd w:w="0" w:type="nil"/>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Lines="0" w:before="0" w:beforeAutospacing="0" w:afterLines="0" w:after="0" w:afterAutospacing="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Lines="0" w:before="0" w:beforeAutospacing="0" w:afterLines="0" w:after="0" w:afterAutospacing="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MediumShading1-Accent33">
    <w:name w:val="Medium Shading 1 - Accent 33"/>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Lines="0" w:before="0" w:beforeAutospacing="0" w:afterLines="0" w:after="0" w:afterAutospacing="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MediumShading1-Accent43">
    <w:name w:val="Medium Shading 1 - Accent 43"/>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Lines="0" w:before="0" w:beforeAutospacing="0" w:afterLines="0" w:after="0" w:afterAutospacing="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0" w:beforeAutospacing="0" w:afterLines="0" w:after="0" w:afterAutospacing="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MediumShading1-Accent53">
    <w:name w:val="Medium Shading 1 - Accent 53"/>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MediumShading1-Accent63">
    <w:name w:val="Medium Shading 1 - Accent 63"/>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Lines="0" w:before="0" w:beforeAutospacing="0" w:afterLines="0" w:after="0" w:afterAutospacing="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MediumShading213">
    <w:name w:val="Medium Shading 213"/>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113">
    <w:name w:val="Medium Shading 2 - Accent 113"/>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23">
    <w:name w:val="Medium Shading 2 - Accent 23"/>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33">
    <w:name w:val="Medium Shading 2 - Accent 33"/>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43">
    <w:name w:val="Medium Shading 2 - Accent 43"/>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53">
    <w:name w:val="Medium Shading 2 - Accent 53"/>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63">
    <w:name w:val="Medium Shading 2 - Accent 63"/>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100">
    <w:name w:val="Table Grid110"/>
    <w:basedOn w:val="TableNormal"/>
    <w:rsid w:val="007257E3"/>
    <w:pPr>
      <w:spacing w:before="200" w:after="120" w:line="240" w:lineRule="auto"/>
    </w:pPr>
    <w:rPr>
      <w:rFonts w:ascii="Trebuchet MS" w:eastAsia="Times New Roman" w:hAnsi="Trebuchet MS" w:cs="Times New Roman"/>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212">
    <w:name w:val="Table 3D effects 212"/>
    <w:basedOn w:val="TableNormal"/>
    <w:rsid w:val="007257E3"/>
    <w:pPr>
      <w:spacing w:line="240" w:lineRule="auto"/>
    </w:pPr>
    <w:rPr>
      <w:rFonts w:ascii="Times New Roman" w:eastAsia="Times New Roman" w:hAnsi="Times New Roman" w:cs="Times New Roman"/>
      <w:sz w:val="20"/>
      <w:szCs w:val="20"/>
      <w:lang w:val="ro-RO" w:eastAsia="ro-RO"/>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ntemporary12">
    <w:name w:val="Table Contemporary12"/>
    <w:basedOn w:val="TableNormal"/>
    <w:rsid w:val="007257E3"/>
    <w:pPr>
      <w:keepLines/>
      <w:suppressLineNumbers/>
      <w:spacing w:before="40" w:after="80" w:line="240" w:lineRule="auto"/>
      <w:ind w:left="1080"/>
      <w:jc w:val="both"/>
    </w:pPr>
    <w:rPr>
      <w:rFonts w:ascii="Times New Roman" w:eastAsia="Times New Roman" w:hAnsi="Times New Roman" w:cs="Times New Roman"/>
      <w:sz w:val="20"/>
      <w:szCs w:val="20"/>
      <w:lang w:val="ro-RO" w:eastAsia="ro-RO"/>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Theme12">
    <w:name w:val="Table Theme12"/>
    <w:basedOn w:val="TableNormal"/>
    <w:rsid w:val="007257E3"/>
    <w:pPr>
      <w:spacing w:line="240" w:lineRule="auto"/>
    </w:pPr>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12">
    <w:name w:val="Table 3D effects 112"/>
    <w:basedOn w:val="TableNormal"/>
    <w:rsid w:val="007257E3"/>
    <w:pPr>
      <w:spacing w:line="240" w:lineRule="auto"/>
    </w:pPr>
    <w:rPr>
      <w:rFonts w:ascii="Times New Roman" w:eastAsia="Times New Roman" w:hAnsi="Times New Roman" w:cs="Times New Roman"/>
      <w:sz w:val="20"/>
      <w:szCs w:val="20"/>
      <w:lang w:val="ro-RO" w:eastAsia="ro-RO"/>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MediumGrid3-Accent112">
    <w:name w:val="Medium Grid 3 - Accent 11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MediumGrid3-Accent612">
    <w:name w:val="Medium Grid 3 - Accent 61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MediumGrid3-Accent512">
    <w:name w:val="Medium Grid 3 - Accent 51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412">
    <w:name w:val="Medium Grid 3 - Accent 41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312">
    <w:name w:val="Medium Grid 3 - Accent 31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MediumGrid3-Accent212">
    <w:name w:val="Medium Grid 3 - Accent 21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ColorfulGrid-Accent312">
    <w:name w:val="Colorful Grid - Accent 312"/>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ColorfulGrid-Accent212">
    <w:name w:val="Colorful Grid - Accent 212"/>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83420">
      <w:bodyDiv w:val="1"/>
      <w:marLeft w:val="0"/>
      <w:marRight w:val="0"/>
      <w:marTop w:val="0"/>
      <w:marBottom w:val="0"/>
      <w:divBdr>
        <w:top w:val="none" w:sz="0" w:space="0" w:color="auto"/>
        <w:left w:val="none" w:sz="0" w:space="0" w:color="auto"/>
        <w:bottom w:val="none" w:sz="0" w:space="0" w:color="auto"/>
        <w:right w:val="none" w:sz="0" w:space="0" w:color="auto"/>
      </w:divBdr>
    </w:div>
    <w:div w:id="3096502">
      <w:bodyDiv w:val="1"/>
      <w:marLeft w:val="0"/>
      <w:marRight w:val="0"/>
      <w:marTop w:val="0"/>
      <w:marBottom w:val="0"/>
      <w:divBdr>
        <w:top w:val="none" w:sz="0" w:space="0" w:color="auto"/>
        <w:left w:val="none" w:sz="0" w:space="0" w:color="auto"/>
        <w:bottom w:val="none" w:sz="0" w:space="0" w:color="auto"/>
        <w:right w:val="none" w:sz="0" w:space="0" w:color="auto"/>
      </w:divBdr>
    </w:div>
    <w:div w:id="17895697">
      <w:bodyDiv w:val="1"/>
      <w:marLeft w:val="0"/>
      <w:marRight w:val="0"/>
      <w:marTop w:val="0"/>
      <w:marBottom w:val="0"/>
      <w:divBdr>
        <w:top w:val="none" w:sz="0" w:space="0" w:color="auto"/>
        <w:left w:val="none" w:sz="0" w:space="0" w:color="auto"/>
        <w:bottom w:val="none" w:sz="0" w:space="0" w:color="auto"/>
        <w:right w:val="none" w:sz="0" w:space="0" w:color="auto"/>
      </w:divBdr>
    </w:div>
    <w:div w:id="27030012">
      <w:bodyDiv w:val="1"/>
      <w:marLeft w:val="0"/>
      <w:marRight w:val="0"/>
      <w:marTop w:val="0"/>
      <w:marBottom w:val="0"/>
      <w:divBdr>
        <w:top w:val="none" w:sz="0" w:space="0" w:color="auto"/>
        <w:left w:val="none" w:sz="0" w:space="0" w:color="auto"/>
        <w:bottom w:val="none" w:sz="0" w:space="0" w:color="auto"/>
        <w:right w:val="none" w:sz="0" w:space="0" w:color="auto"/>
      </w:divBdr>
    </w:div>
    <w:div w:id="30154920">
      <w:bodyDiv w:val="1"/>
      <w:marLeft w:val="0"/>
      <w:marRight w:val="0"/>
      <w:marTop w:val="0"/>
      <w:marBottom w:val="0"/>
      <w:divBdr>
        <w:top w:val="none" w:sz="0" w:space="0" w:color="auto"/>
        <w:left w:val="none" w:sz="0" w:space="0" w:color="auto"/>
        <w:bottom w:val="none" w:sz="0" w:space="0" w:color="auto"/>
        <w:right w:val="none" w:sz="0" w:space="0" w:color="auto"/>
      </w:divBdr>
    </w:div>
    <w:div w:id="40635549">
      <w:bodyDiv w:val="1"/>
      <w:marLeft w:val="0"/>
      <w:marRight w:val="0"/>
      <w:marTop w:val="0"/>
      <w:marBottom w:val="0"/>
      <w:divBdr>
        <w:top w:val="none" w:sz="0" w:space="0" w:color="auto"/>
        <w:left w:val="none" w:sz="0" w:space="0" w:color="auto"/>
        <w:bottom w:val="none" w:sz="0" w:space="0" w:color="auto"/>
        <w:right w:val="none" w:sz="0" w:space="0" w:color="auto"/>
      </w:divBdr>
    </w:div>
    <w:div w:id="57411037">
      <w:bodyDiv w:val="1"/>
      <w:marLeft w:val="0"/>
      <w:marRight w:val="0"/>
      <w:marTop w:val="0"/>
      <w:marBottom w:val="0"/>
      <w:divBdr>
        <w:top w:val="none" w:sz="0" w:space="0" w:color="auto"/>
        <w:left w:val="none" w:sz="0" w:space="0" w:color="auto"/>
        <w:bottom w:val="none" w:sz="0" w:space="0" w:color="auto"/>
        <w:right w:val="none" w:sz="0" w:space="0" w:color="auto"/>
      </w:divBdr>
    </w:div>
    <w:div w:id="59792206">
      <w:bodyDiv w:val="1"/>
      <w:marLeft w:val="0"/>
      <w:marRight w:val="0"/>
      <w:marTop w:val="0"/>
      <w:marBottom w:val="0"/>
      <w:divBdr>
        <w:top w:val="none" w:sz="0" w:space="0" w:color="auto"/>
        <w:left w:val="none" w:sz="0" w:space="0" w:color="auto"/>
        <w:bottom w:val="none" w:sz="0" w:space="0" w:color="auto"/>
        <w:right w:val="none" w:sz="0" w:space="0" w:color="auto"/>
      </w:divBdr>
    </w:div>
    <w:div w:id="69355409">
      <w:bodyDiv w:val="1"/>
      <w:marLeft w:val="0"/>
      <w:marRight w:val="0"/>
      <w:marTop w:val="0"/>
      <w:marBottom w:val="0"/>
      <w:divBdr>
        <w:top w:val="none" w:sz="0" w:space="0" w:color="auto"/>
        <w:left w:val="none" w:sz="0" w:space="0" w:color="auto"/>
        <w:bottom w:val="none" w:sz="0" w:space="0" w:color="auto"/>
        <w:right w:val="none" w:sz="0" w:space="0" w:color="auto"/>
      </w:divBdr>
    </w:div>
    <w:div w:id="88354112">
      <w:bodyDiv w:val="1"/>
      <w:marLeft w:val="0"/>
      <w:marRight w:val="0"/>
      <w:marTop w:val="0"/>
      <w:marBottom w:val="0"/>
      <w:divBdr>
        <w:top w:val="none" w:sz="0" w:space="0" w:color="auto"/>
        <w:left w:val="none" w:sz="0" w:space="0" w:color="auto"/>
        <w:bottom w:val="none" w:sz="0" w:space="0" w:color="auto"/>
        <w:right w:val="none" w:sz="0" w:space="0" w:color="auto"/>
      </w:divBdr>
    </w:div>
    <w:div w:id="100953378">
      <w:bodyDiv w:val="1"/>
      <w:marLeft w:val="0"/>
      <w:marRight w:val="0"/>
      <w:marTop w:val="0"/>
      <w:marBottom w:val="0"/>
      <w:divBdr>
        <w:top w:val="none" w:sz="0" w:space="0" w:color="auto"/>
        <w:left w:val="none" w:sz="0" w:space="0" w:color="auto"/>
        <w:bottom w:val="none" w:sz="0" w:space="0" w:color="auto"/>
        <w:right w:val="none" w:sz="0" w:space="0" w:color="auto"/>
      </w:divBdr>
    </w:div>
    <w:div w:id="112359769">
      <w:bodyDiv w:val="1"/>
      <w:marLeft w:val="0"/>
      <w:marRight w:val="0"/>
      <w:marTop w:val="0"/>
      <w:marBottom w:val="0"/>
      <w:divBdr>
        <w:top w:val="none" w:sz="0" w:space="0" w:color="auto"/>
        <w:left w:val="none" w:sz="0" w:space="0" w:color="auto"/>
        <w:bottom w:val="none" w:sz="0" w:space="0" w:color="auto"/>
        <w:right w:val="none" w:sz="0" w:space="0" w:color="auto"/>
      </w:divBdr>
    </w:div>
    <w:div w:id="115682498">
      <w:bodyDiv w:val="1"/>
      <w:marLeft w:val="0"/>
      <w:marRight w:val="0"/>
      <w:marTop w:val="0"/>
      <w:marBottom w:val="0"/>
      <w:divBdr>
        <w:top w:val="none" w:sz="0" w:space="0" w:color="auto"/>
        <w:left w:val="none" w:sz="0" w:space="0" w:color="auto"/>
        <w:bottom w:val="none" w:sz="0" w:space="0" w:color="auto"/>
        <w:right w:val="none" w:sz="0" w:space="0" w:color="auto"/>
      </w:divBdr>
    </w:div>
    <w:div w:id="121462038">
      <w:bodyDiv w:val="1"/>
      <w:marLeft w:val="0"/>
      <w:marRight w:val="0"/>
      <w:marTop w:val="0"/>
      <w:marBottom w:val="0"/>
      <w:divBdr>
        <w:top w:val="none" w:sz="0" w:space="0" w:color="auto"/>
        <w:left w:val="none" w:sz="0" w:space="0" w:color="auto"/>
        <w:bottom w:val="none" w:sz="0" w:space="0" w:color="auto"/>
        <w:right w:val="none" w:sz="0" w:space="0" w:color="auto"/>
      </w:divBdr>
      <w:divsChild>
        <w:div w:id="1987466082">
          <w:marLeft w:val="0"/>
          <w:marRight w:val="0"/>
          <w:marTop w:val="0"/>
          <w:marBottom w:val="0"/>
          <w:divBdr>
            <w:top w:val="none" w:sz="0" w:space="0" w:color="auto"/>
            <w:left w:val="none" w:sz="0" w:space="0" w:color="auto"/>
            <w:bottom w:val="none" w:sz="0" w:space="0" w:color="auto"/>
            <w:right w:val="none" w:sz="0" w:space="0" w:color="auto"/>
          </w:divBdr>
        </w:div>
      </w:divsChild>
    </w:div>
    <w:div w:id="122622683">
      <w:bodyDiv w:val="1"/>
      <w:marLeft w:val="0"/>
      <w:marRight w:val="0"/>
      <w:marTop w:val="0"/>
      <w:marBottom w:val="0"/>
      <w:divBdr>
        <w:top w:val="none" w:sz="0" w:space="0" w:color="auto"/>
        <w:left w:val="none" w:sz="0" w:space="0" w:color="auto"/>
        <w:bottom w:val="none" w:sz="0" w:space="0" w:color="auto"/>
        <w:right w:val="none" w:sz="0" w:space="0" w:color="auto"/>
      </w:divBdr>
      <w:divsChild>
        <w:div w:id="1628316488">
          <w:marLeft w:val="0"/>
          <w:marRight w:val="0"/>
          <w:marTop w:val="0"/>
          <w:marBottom w:val="0"/>
          <w:divBdr>
            <w:top w:val="none" w:sz="0" w:space="0" w:color="auto"/>
            <w:left w:val="none" w:sz="0" w:space="0" w:color="auto"/>
            <w:bottom w:val="none" w:sz="0" w:space="0" w:color="auto"/>
            <w:right w:val="none" w:sz="0" w:space="0" w:color="auto"/>
          </w:divBdr>
        </w:div>
      </w:divsChild>
    </w:div>
    <w:div w:id="126970216">
      <w:bodyDiv w:val="1"/>
      <w:marLeft w:val="0"/>
      <w:marRight w:val="0"/>
      <w:marTop w:val="0"/>
      <w:marBottom w:val="0"/>
      <w:divBdr>
        <w:top w:val="none" w:sz="0" w:space="0" w:color="auto"/>
        <w:left w:val="none" w:sz="0" w:space="0" w:color="auto"/>
        <w:bottom w:val="none" w:sz="0" w:space="0" w:color="auto"/>
        <w:right w:val="none" w:sz="0" w:space="0" w:color="auto"/>
      </w:divBdr>
    </w:div>
    <w:div w:id="172110944">
      <w:bodyDiv w:val="1"/>
      <w:marLeft w:val="0"/>
      <w:marRight w:val="0"/>
      <w:marTop w:val="0"/>
      <w:marBottom w:val="0"/>
      <w:divBdr>
        <w:top w:val="none" w:sz="0" w:space="0" w:color="auto"/>
        <w:left w:val="none" w:sz="0" w:space="0" w:color="auto"/>
        <w:bottom w:val="none" w:sz="0" w:space="0" w:color="auto"/>
        <w:right w:val="none" w:sz="0" w:space="0" w:color="auto"/>
      </w:divBdr>
    </w:div>
    <w:div w:id="172493840">
      <w:bodyDiv w:val="1"/>
      <w:marLeft w:val="0"/>
      <w:marRight w:val="0"/>
      <w:marTop w:val="0"/>
      <w:marBottom w:val="0"/>
      <w:divBdr>
        <w:top w:val="none" w:sz="0" w:space="0" w:color="auto"/>
        <w:left w:val="none" w:sz="0" w:space="0" w:color="auto"/>
        <w:bottom w:val="none" w:sz="0" w:space="0" w:color="auto"/>
        <w:right w:val="none" w:sz="0" w:space="0" w:color="auto"/>
      </w:divBdr>
    </w:div>
    <w:div w:id="175661415">
      <w:bodyDiv w:val="1"/>
      <w:marLeft w:val="0"/>
      <w:marRight w:val="0"/>
      <w:marTop w:val="0"/>
      <w:marBottom w:val="0"/>
      <w:divBdr>
        <w:top w:val="none" w:sz="0" w:space="0" w:color="auto"/>
        <w:left w:val="none" w:sz="0" w:space="0" w:color="auto"/>
        <w:bottom w:val="none" w:sz="0" w:space="0" w:color="auto"/>
        <w:right w:val="none" w:sz="0" w:space="0" w:color="auto"/>
      </w:divBdr>
    </w:div>
    <w:div w:id="187566699">
      <w:bodyDiv w:val="1"/>
      <w:marLeft w:val="0"/>
      <w:marRight w:val="0"/>
      <w:marTop w:val="0"/>
      <w:marBottom w:val="0"/>
      <w:divBdr>
        <w:top w:val="none" w:sz="0" w:space="0" w:color="auto"/>
        <w:left w:val="none" w:sz="0" w:space="0" w:color="auto"/>
        <w:bottom w:val="none" w:sz="0" w:space="0" w:color="auto"/>
        <w:right w:val="none" w:sz="0" w:space="0" w:color="auto"/>
      </w:divBdr>
    </w:div>
    <w:div w:id="190190712">
      <w:bodyDiv w:val="1"/>
      <w:marLeft w:val="0"/>
      <w:marRight w:val="0"/>
      <w:marTop w:val="0"/>
      <w:marBottom w:val="0"/>
      <w:divBdr>
        <w:top w:val="none" w:sz="0" w:space="0" w:color="auto"/>
        <w:left w:val="none" w:sz="0" w:space="0" w:color="auto"/>
        <w:bottom w:val="none" w:sz="0" w:space="0" w:color="auto"/>
        <w:right w:val="none" w:sz="0" w:space="0" w:color="auto"/>
      </w:divBdr>
    </w:div>
    <w:div w:id="202333355">
      <w:bodyDiv w:val="1"/>
      <w:marLeft w:val="0"/>
      <w:marRight w:val="0"/>
      <w:marTop w:val="0"/>
      <w:marBottom w:val="0"/>
      <w:divBdr>
        <w:top w:val="none" w:sz="0" w:space="0" w:color="auto"/>
        <w:left w:val="none" w:sz="0" w:space="0" w:color="auto"/>
        <w:bottom w:val="none" w:sz="0" w:space="0" w:color="auto"/>
        <w:right w:val="none" w:sz="0" w:space="0" w:color="auto"/>
      </w:divBdr>
    </w:div>
    <w:div w:id="207955358">
      <w:bodyDiv w:val="1"/>
      <w:marLeft w:val="0"/>
      <w:marRight w:val="0"/>
      <w:marTop w:val="0"/>
      <w:marBottom w:val="0"/>
      <w:divBdr>
        <w:top w:val="none" w:sz="0" w:space="0" w:color="auto"/>
        <w:left w:val="none" w:sz="0" w:space="0" w:color="auto"/>
        <w:bottom w:val="none" w:sz="0" w:space="0" w:color="auto"/>
        <w:right w:val="none" w:sz="0" w:space="0" w:color="auto"/>
      </w:divBdr>
    </w:div>
    <w:div w:id="219831808">
      <w:bodyDiv w:val="1"/>
      <w:marLeft w:val="0"/>
      <w:marRight w:val="0"/>
      <w:marTop w:val="0"/>
      <w:marBottom w:val="0"/>
      <w:divBdr>
        <w:top w:val="none" w:sz="0" w:space="0" w:color="auto"/>
        <w:left w:val="none" w:sz="0" w:space="0" w:color="auto"/>
        <w:bottom w:val="none" w:sz="0" w:space="0" w:color="auto"/>
        <w:right w:val="none" w:sz="0" w:space="0" w:color="auto"/>
      </w:divBdr>
    </w:div>
    <w:div w:id="221143175">
      <w:bodyDiv w:val="1"/>
      <w:marLeft w:val="0"/>
      <w:marRight w:val="0"/>
      <w:marTop w:val="0"/>
      <w:marBottom w:val="0"/>
      <w:divBdr>
        <w:top w:val="none" w:sz="0" w:space="0" w:color="auto"/>
        <w:left w:val="none" w:sz="0" w:space="0" w:color="auto"/>
        <w:bottom w:val="none" w:sz="0" w:space="0" w:color="auto"/>
        <w:right w:val="none" w:sz="0" w:space="0" w:color="auto"/>
      </w:divBdr>
      <w:divsChild>
        <w:div w:id="708065171">
          <w:marLeft w:val="0"/>
          <w:marRight w:val="0"/>
          <w:marTop w:val="0"/>
          <w:marBottom w:val="0"/>
          <w:divBdr>
            <w:top w:val="none" w:sz="0" w:space="0" w:color="auto"/>
            <w:left w:val="none" w:sz="0" w:space="0" w:color="auto"/>
            <w:bottom w:val="none" w:sz="0" w:space="0" w:color="auto"/>
            <w:right w:val="none" w:sz="0" w:space="0" w:color="auto"/>
          </w:divBdr>
        </w:div>
      </w:divsChild>
    </w:div>
    <w:div w:id="222328825">
      <w:bodyDiv w:val="1"/>
      <w:marLeft w:val="0"/>
      <w:marRight w:val="0"/>
      <w:marTop w:val="0"/>
      <w:marBottom w:val="0"/>
      <w:divBdr>
        <w:top w:val="none" w:sz="0" w:space="0" w:color="auto"/>
        <w:left w:val="none" w:sz="0" w:space="0" w:color="auto"/>
        <w:bottom w:val="none" w:sz="0" w:space="0" w:color="auto"/>
        <w:right w:val="none" w:sz="0" w:space="0" w:color="auto"/>
      </w:divBdr>
    </w:div>
    <w:div w:id="225724692">
      <w:bodyDiv w:val="1"/>
      <w:marLeft w:val="0"/>
      <w:marRight w:val="0"/>
      <w:marTop w:val="0"/>
      <w:marBottom w:val="0"/>
      <w:divBdr>
        <w:top w:val="none" w:sz="0" w:space="0" w:color="auto"/>
        <w:left w:val="none" w:sz="0" w:space="0" w:color="auto"/>
        <w:bottom w:val="none" w:sz="0" w:space="0" w:color="auto"/>
        <w:right w:val="none" w:sz="0" w:space="0" w:color="auto"/>
      </w:divBdr>
    </w:div>
    <w:div w:id="227110372">
      <w:bodyDiv w:val="1"/>
      <w:marLeft w:val="0"/>
      <w:marRight w:val="0"/>
      <w:marTop w:val="0"/>
      <w:marBottom w:val="0"/>
      <w:divBdr>
        <w:top w:val="none" w:sz="0" w:space="0" w:color="auto"/>
        <w:left w:val="none" w:sz="0" w:space="0" w:color="auto"/>
        <w:bottom w:val="none" w:sz="0" w:space="0" w:color="auto"/>
        <w:right w:val="none" w:sz="0" w:space="0" w:color="auto"/>
      </w:divBdr>
      <w:divsChild>
        <w:div w:id="408234561">
          <w:marLeft w:val="0"/>
          <w:marRight w:val="0"/>
          <w:marTop w:val="0"/>
          <w:marBottom w:val="0"/>
          <w:divBdr>
            <w:top w:val="none" w:sz="0" w:space="0" w:color="auto"/>
            <w:left w:val="none" w:sz="0" w:space="0" w:color="auto"/>
            <w:bottom w:val="none" w:sz="0" w:space="0" w:color="auto"/>
            <w:right w:val="none" w:sz="0" w:space="0" w:color="auto"/>
          </w:divBdr>
        </w:div>
      </w:divsChild>
    </w:div>
    <w:div w:id="227888302">
      <w:bodyDiv w:val="1"/>
      <w:marLeft w:val="0"/>
      <w:marRight w:val="0"/>
      <w:marTop w:val="0"/>
      <w:marBottom w:val="0"/>
      <w:divBdr>
        <w:top w:val="none" w:sz="0" w:space="0" w:color="auto"/>
        <w:left w:val="none" w:sz="0" w:space="0" w:color="auto"/>
        <w:bottom w:val="none" w:sz="0" w:space="0" w:color="auto"/>
        <w:right w:val="none" w:sz="0" w:space="0" w:color="auto"/>
      </w:divBdr>
    </w:div>
    <w:div w:id="234363801">
      <w:bodyDiv w:val="1"/>
      <w:marLeft w:val="0"/>
      <w:marRight w:val="0"/>
      <w:marTop w:val="0"/>
      <w:marBottom w:val="0"/>
      <w:divBdr>
        <w:top w:val="none" w:sz="0" w:space="0" w:color="auto"/>
        <w:left w:val="none" w:sz="0" w:space="0" w:color="auto"/>
        <w:bottom w:val="none" w:sz="0" w:space="0" w:color="auto"/>
        <w:right w:val="none" w:sz="0" w:space="0" w:color="auto"/>
      </w:divBdr>
    </w:div>
    <w:div w:id="234708472">
      <w:bodyDiv w:val="1"/>
      <w:marLeft w:val="0"/>
      <w:marRight w:val="0"/>
      <w:marTop w:val="0"/>
      <w:marBottom w:val="0"/>
      <w:divBdr>
        <w:top w:val="none" w:sz="0" w:space="0" w:color="auto"/>
        <w:left w:val="none" w:sz="0" w:space="0" w:color="auto"/>
        <w:bottom w:val="none" w:sz="0" w:space="0" w:color="auto"/>
        <w:right w:val="none" w:sz="0" w:space="0" w:color="auto"/>
      </w:divBdr>
    </w:div>
    <w:div w:id="244415714">
      <w:bodyDiv w:val="1"/>
      <w:marLeft w:val="0"/>
      <w:marRight w:val="0"/>
      <w:marTop w:val="0"/>
      <w:marBottom w:val="0"/>
      <w:divBdr>
        <w:top w:val="none" w:sz="0" w:space="0" w:color="auto"/>
        <w:left w:val="none" w:sz="0" w:space="0" w:color="auto"/>
        <w:bottom w:val="none" w:sz="0" w:space="0" w:color="auto"/>
        <w:right w:val="none" w:sz="0" w:space="0" w:color="auto"/>
      </w:divBdr>
    </w:div>
    <w:div w:id="246425640">
      <w:bodyDiv w:val="1"/>
      <w:marLeft w:val="0"/>
      <w:marRight w:val="0"/>
      <w:marTop w:val="0"/>
      <w:marBottom w:val="0"/>
      <w:divBdr>
        <w:top w:val="none" w:sz="0" w:space="0" w:color="auto"/>
        <w:left w:val="none" w:sz="0" w:space="0" w:color="auto"/>
        <w:bottom w:val="none" w:sz="0" w:space="0" w:color="auto"/>
        <w:right w:val="none" w:sz="0" w:space="0" w:color="auto"/>
      </w:divBdr>
    </w:div>
    <w:div w:id="253128940">
      <w:bodyDiv w:val="1"/>
      <w:marLeft w:val="0"/>
      <w:marRight w:val="0"/>
      <w:marTop w:val="0"/>
      <w:marBottom w:val="0"/>
      <w:divBdr>
        <w:top w:val="none" w:sz="0" w:space="0" w:color="auto"/>
        <w:left w:val="none" w:sz="0" w:space="0" w:color="auto"/>
        <w:bottom w:val="none" w:sz="0" w:space="0" w:color="auto"/>
        <w:right w:val="none" w:sz="0" w:space="0" w:color="auto"/>
      </w:divBdr>
    </w:div>
    <w:div w:id="256136152">
      <w:bodyDiv w:val="1"/>
      <w:marLeft w:val="0"/>
      <w:marRight w:val="0"/>
      <w:marTop w:val="0"/>
      <w:marBottom w:val="0"/>
      <w:divBdr>
        <w:top w:val="none" w:sz="0" w:space="0" w:color="auto"/>
        <w:left w:val="none" w:sz="0" w:space="0" w:color="auto"/>
        <w:bottom w:val="none" w:sz="0" w:space="0" w:color="auto"/>
        <w:right w:val="none" w:sz="0" w:space="0" w:color="auto"/>
      </w:divBdr>
    </w:div>
    <w:div w:id="278417298">
      <w:bodyDiv w:val="1"/>
      <w:marLeft w:val="0"/>
      <w:marRight w:val="0"/>
      <w:marTop w:val="0"/>
      <w:marBottom w:val="0"/>
      <w:divBdr>
        <w:top w:val="none" w:sz="0" w:space="0" w:color="auto"/>
        <w:left w:val="none" w:sz="0" w:space="0" w:color="auto"/>
        <w:bottom w:val="none" w:sz="0" w:space="0" w:color="auto"/>
        <w:right w:val="none" w:sz="0" w:space="0" w:color="auto"/>
      </w:divBdr>
    </w:div>
    <w:div w:id="282082547">
      <w:bodyDiv w:val="1"/>
      <w:marLeft w:val="0"/>
      <w:marRight w:val="0"/>
      <w:marTop w:val="0"/>
      <w:marBottom w:val="0"/>
      <w:divBdr>
        <w:top w:val="none" w:sz="0" w:space="0" w:color="auto"/>
        <w:left w:val="none" w:sz="0" w:space="0" w:color="auto"/>
        <w:bottom w:val="none" w:sz="0" w:space="0" w:color="auto"/>
        <w:right w:val="none" w:sz="0" w:space="0" w:color="auto"/>
      </w:divBdr>
    </w:div>
    <w:div w:id="289165493">
      <w:bodyDiv w:val="1"/>
      <w:marLeft w:val="0"/>
      <w:marRight w:val="0"/>
      <w:marTop w:val="0"/>
      <w:marBottom w:val="0"/>
      <w:divBdr>
        <w:top w:val="none" w:sz="0" w:space="0" w:color="auto"/>
        <w:left w:val="none" w:sz="0" w:space="0" w:color="auto"/>
        <w:bottom w:val="none" w:sz="0" w:space="0" w:color="auto"/>
        <w:right w:val="none" w:sz="0" w:space="0" w:color="auto"/>
      </w:divBdr>
      <w:divsChild>
        <w:div w:id="107236197">
          <w:marLeft w:val="0"/>
          <w:marRight w:val="0"/>
          <w:marTop w:val="0"/>
          <w:marBottom w:val="0"/>
          <w:divBdr>
            <w:top w:val="none" w:sz="0" w:space="0" w:color="auto"/>
            <w:left w:val="none" w:sz="0" w:space="0" w:color="auto"/>
            <w:bottom w:val="none" w:sz="0" w:space="0" w:color="auto"/>
            <w:right w:val="none" w:sz="0" w:space="0" w:color="auto"/>
          </w:divBdr>
        </w:div>
      </w:divsChild>
    </w:div>
    <w:div w:id="289358870">
      <w:bodyDiv w:val="1"/>
      <w:marLeft w:val="0"/>
      <w:marRight w:val="0"/>
      <w:marTop w:val="0"/>
      <w:marBottom w:val="0"/>
      <w:divBdr>
        <w:top w:val="none" w:sz="0" w:space="0" w:color="auto"/>
        <w:left w:val="none" w:sz="0" w:space="0" w:color="auto"/>
        <w:bottom w:val="none" w:sz="0" w:space="0" w:color="auto"/>
        <w:right w:val="none" w:sz="0" w:space="0" w:color="auto"/>
      </w:divBdr>
    </w:div>
    <w:div w:id="298536976">
      <w:bodyDiv w:val="1"/>
      <w:marLeft w:val="0"/>
      <w:marRight w:val="0"/>
      <w:marTop w:val="0"/>
      <w:marBottom w:val="0"/>
      <w:divBdr>
        <w:top w:val="none" w:sz="0" w:space="0" w:color="auto"/>
        <w:left w:val="none" w:sz="0" w:space="0" w:color="auto"/>
        <w:bottom w:val="none" w:sz="0" w:space="0" w:color="auto"/>
        <w:right w:val="none" w:sz="0" w:space="0" w:color="auto"/>
      </w:divBdr>
    </w:div>
    <w:div w:id="327681922">
      <w:bodyDiv w:val="1"/>
      <w:marLeft w:val="0"/>
      <w:marRight w:val="0"/>
      <w:marTop w:val="0"/>
      <w:marBottom w:val="0"/>
      <w:divBdr>
        <w:top w:val="none" w:sz="0" w:space="0" w:color="auto"/>
        <w:left w:val="none" w:sz="0" w:space="0" w:color="auto"/>
        <w:bottom w:val="none" w:sz="0" w:space="0" w:color="auto"/>
        <w:right w:val="none" w:sz="0" w:space="0" w:color="auto"/>
      </w:divBdr>
      <w:divsChild>
        <w:div w:id="1727950152">
          <w:marLeft w:val="0"/>
          <w:marRight w:val="0"/>
          <w:marTop w:val="0"/>
          <w:marBottom w:val="0"/>
          <w:divBdr>
            <w:top w:val="none" w:sz="0" w:space="0" w:color="auto"/>
            <w:left w:val="none" w:sz="0" w:space="0" w:color="auto"/>
            <w:bottom w:val="none" w:sz="0" w:space="0" w:color="auto"/>
            <w:right w:val="none" w:sz="0" w:space="0" w:color="auto"/>
          </w:divBdr>
        </w:div>
      </w:divsChild>
    </w:div>
    <w:div w:id="331418475">
      <w:bodyDiv w:val="1"/>
      <w:marLeft w:val="0"/>
      <w:marRight w:val="0"/>
      <w:marTop w:val="0"/>
      <w:marBottom w:val="0"/>
      <w:divBdr>
        <w:top w:val="none" w:sz="0" w:space="0" w:color="auto"/>
        <w:left w:val="none" w:sz="0" w:space="0" w:color="auto"/>
        <w:bottom w:val="none" w:sz="0" w:space="0" w:color="auto"/>
        <w:right w:val="none" w:sz="0" w:space="0" w:color="auto"/>
      </w:divBdr>
      <w:divsChild>
        <w:div w:id="2024551972">
          <w:marLeft w:val="0"/>
          <w:marRight w:val="0"/>
          <w:marTop w:val="0"/>
          <w:marBottom w:val="0"/>
          <w:divBdr>
            <w:top w:val="none" w:sz="0" w:space="0" w:color="auto"/>
            <w:left w:val="none" w:sz="0" w:space="0" w:color="auto"/>
            <w:bottom w:val="none" w:sz="0" w:space="0" w:color="auto"/>
            <w:right w:val="none" w:sz="0" w:space="0" w:color="auto"/>
          </w:divBdr>
        </w:div>
      </w:divsChild>
    </w:div>
    <w:div w:id="332227318">
      <w:bodyDiv w:val="1"/>
      <w:marLeft w:val="0"/>
      <w:marRight w:val="0"/>
      <w:marTop w:val="0"/>
      <w:marBottom w:val="0"/>
      <w:divBdr>
        <w:top w:val="none" w:sz="0" w:space="0" w:color="auto"/>
        <w:left w:val="none" w:sz="0" w:space="0" w:color="auto"/>
        <w:bottom w:val="none" w:sz="0" w:space="0" w:color="auto"/>
        <w:right w:val="none" w:sz="0" w:space="0" w:color="auto"/>
      </w:divBdr>
    </w:div>
    <w:div w:id="344863048">
      <w:bodyDiv w:val="1"/>
      <w:marLeft w:val="0"/>
      <w:marRight w:val="0"/>
      <w:marTop w:val="0"/>
      <w:marBottom w:val="0"/>
      <w:divBdr>
        <w:top w:val="none" w:sz="0" w:space="0" w:color="auto"/>
        <w:left w:val="none" w:sz="0" w:space="0" w:color="auto"/>
        <w:bottom w:val="none" w:sz="0" w:space="0" w:color="auto"/>
        <w:right w:val="none" w:sz="0" w:space="0" w:color="auto"/>
      </w:divBdr>
    </w:div>
    <w:div w:id="348534251">
      <w:bodyDiv w:val="1"/>
      <w:marLeft w:val="0"/>
      <w:marRight w:val="0"/>
      <w:marTop w:val="0"/>
      <w:marBottom w:val="0"/>
      <w:divBdr>
        <w:top w:val="none" w:sz="0" w:space="0" w:color="auto"/>
        <w:left w:val="none" w:sz="0" w:space="0" w:color="auto"/>
        <w:bottom w:val="none" w:sz="0" w:space="0" w:color="auto"/>
        <w:right w:val="none" w:sz="0" w:space="0" w:color="auto"/>
      </w:divBdr>
    </w:div>
    <w:div w:id="357435059">
      <w:bodyDiv w:val="1"/>
      <w:marLeft w:val="0"/>
      <w:marRight w:val="0"/>
      <w:marTop w:val="0"/>
      <w:marBottom w:val="0"/>
      <w:divBdr>
        <w:top w:val="none" w:sz="0" w:space="0" w:color="auto"/>
        <w:left w:val="none" w:sz="0" w:space="0" w:color="auto"/>
        <w:bottom w:val="none" w:sz="0" w:space="0" w:color="auto"/>
        <w:right w:val="none" w:sz="0" w:space="0" w:color="auto"/>
      </w:divBdr>
    </w:div>
    <w:div w:id="361201083">
      <w:bodyDiv w:val="1"/>
      <w:marLeft w:val="0"/>
      <w:marRight w:val="0"/>
      <w:marTop w:val="0"/>
      <w:marBottom w:val="0"/>
      <w:divBdr>
        <w:top w:val="none" w:sz="0" w:space="0" w:color="auto"/>
        <w:left w:val="none" w:sz="0" w:space="0" w:color="auto"/>
        <w:bottom w:val="none" w:sz="0" w:space="0" w:color="auto"/>
        <w:right w:val="none" w:sz="0" w:space="0" w:color="auto"/>
      </w:divBdr>
    </w:div>
    <w:div w:id="365759163">
      <w:bodyDiv w:val="1"/>
      <w:marLeft w:val="0"/>
      <w:marRight w:val="0"/>
      <w:marTop w:val="0"/>
      <w:marBottom w:val="0"/>
      <w:divBdr>
        <w:top w:val="none" w:sz="0" w:space="0" w:color="auto"/>
        <w:left w:val="none" w:sz="0" w:space="0" w:color="auto"/>
        <w:bottom w:val="none" w:sz="0" w:space="0" w:color="auto"/>
        <w:right w:val="none" w:sz="0" w:space="0" w:color="auto"/>
      </w:divBdr>
    </w:div>
    <w:div w:id="369384479">
      <w:bodyDiv w:val="1"/>
      <w:marLeft w:val="0"/>
      <w:marRight w:val="0"/>
      <w:marTop w:val="0"/>
      <w:marBottom w:val="0"/>
      <w:divBdr>
        <w:top w:val="none" w:sz="0" w:space="0" w:color="auto"/>
        <w:left w:val="none" w:sz="0" w:space="0" w:color="auto"/>
        <w:bottom w:val="none" w:sz="0" w:space="0" w:color="auto"/>
        <w:right w:val="none" w:sz="0" w:space="0" w:color="auto"/>
      </w:divBdr>
    </w:div>
    <w:div w:id="386413221">
      <w:bodyDiv w:val="1"/>
      <w:marLeft w:val="0"/>
      <w:marRight w:val="0"/>
      <w:marTop w:val="0"/>
      <w:marBottom w:val="0"/>
      <w:divBdr>
        <w:top w:val="none" w:sz="0" w:space="0" w:color="auto"/>
        <w:left w:val="none" w:sz="0" w:space="0" w:color="auto"/>
        <w:bottom w:val="none" w:sz="0" w:space="0" w:color="auto"/>
        <w:right w:val="none" w:sz="0" w:space="0" w:color="auto"/>
      </w:divBdr>
    </w:div>
    <w:div w:id="406919826">
      <w:bodyDiv w:val="1"/>
      <w:marLeft w:val="0"/>
      <w:marRight w:val="0"/>
      <w:marTop w:val="0"/>
      <w:marBottom w:val="0"/>
      <w:divBdr>
        <w:top w:val="none" w:sz="0" w:space="0" w:color="auto"/>
        <w:left w:val="none" w:sz="0" w:space="0" w:color="auto"/>
        <w:bottom w:val="none" w:sz="0" w:space="0" w:color="auto"/>
        <w:right w:val="none" w:sz="0" w:space="0" w:color="auto"/>
      </w:divBdr>
    </w:div>
    <w:div w:id="407852249">
      <w:bodyDiv w:val="1"/>
      <w:marLeft w:val="0"/>
      <w:marRight w:val="0"/>
      <w:marTop w:val="0"/>
      <w:marBottom w:val="0"/>
      <w:divBdr>
        <w:top w:val="none" w:sz="0" w:space="0" w:color="auto"/>
        <w:left w:val="none" w:sz="0" w:space="0" w:color="auto"/>
        <w:bottom w:val="none" w:sz="0" w:space="0" w:color="auto"/>
        <w:right w:val="none" w:sz="0" w:space="0" w:color="auto"/>
      </w:divBdr>
    </w:div>
    <w:div w:id="416251118">
      <w:bodyDiv w:val="1"/>
      <w:marLeft w:val="0"/>
      <w:marRight w:val="0"/>
      <w:marTop w:val="0"/>
      <w:marBottom w:val="0"/>
      <w:divBdr>
        <w:top w:val="none" w:sz="0" w:space="0" w:color="auto"/>
        <w:left w:val="none" w:sz="0" w:space="0" w:color="auto"/>
        <w:bottom w:val="none" w:sz="0" w:space="0" w:color="auto"/>
        <w:right w:val="none" w:sz="0" w:space="0" w:color="auto"/>
      </w:divBdr>
    </w:div>
    <w:div w:id="440027210">
      <w:bodyDiv w:val="1"/>
      <w:marLeft w:val="0"/>
      <w:marRight w:val="0"/>
      <w:marTop w:val="0"/>
      <w:marBottom w:val="0"/>
      <w:divBdr>
        <w:top w:val="none" w:sz="0" w:space="0" w:color="auto"/>
        <w:left w:val="none" w:sz="0" w:space="0" w:color="auto"/>
        <w:bottom w:val="none" w:sz="0" w:space="0" w:color="auto"/>
        <w:right w:val="none" w:sz="0" w:space="0" w:color="auto"/>
      </w:divBdr>
    </w:div>
    <w:div w:id="442313221">
      <w:bodyDiv w:val="1"/>
      <w:marLeft w:val="0"/>
      <w:marRight w:val="0"/>
      <w:marTop w:val="0"/>
      <w:marBottom w:val="0"/>
      <w:divBdr>
        <w:top w:val="none" w:sz="0" w:space="0" w:color="auto"/>
        <w:left w:val="none" w:sz="0" w:space="0" w:color="auto"/>
        <w:bottom w:val="none" w:sz="0" w:space="0" w:color="auto"/>
        <w:right w:val="none" w:sz="0" w:space="0" w:color="auto"/>
      </w:divBdr>
    </w:div>
    <w:div w:id="447310484">
      <w:bodyDiv w:val="1"/>
      <w:marLeft w:val="0"/>
      <w:marRight w:val="0"/>
      <w:marTop w:val="0"/>
      <w:marBottom w:val="0"/>
      <w:divBdr>
        <w:top w:val="none" w:sz="0" w:space="0" w:color="auto"/>
        <w:left w:val="none" w:sz="0" w:space="0" w:color="auto"/>
        <w:bottom w:val="none" w:sz="0" w:space="0" w:color="auto"/>
        <w:right w:val="none" w:sz="0" w:space="0" w:color="auto"/>
      </w:divBdr>
    </w:div>
    <w:div w:id="463931118">
      <w:bodyDiv w:val="1"/>
      <w:marLeft w:val="0"/>
      <w:marRight w:val="0"/>
      <w:marTop w:val="0"/>
      <w:marBottom w:val="0"/>
      <w:divBdr>
        <w:top w:val="none" w:sz="0" w:space="0" w:color="auto"/>
        <w:left w:val="none" w:sz="0" w:space="0" w:color="auto"/>
        <w:bottom w:val="none" w:sz="0" w:space="0" w:color="auto"/>
        <w:right w:val="none" w:sz="0" w:space="0" w:color="auto"/>
      </w:divBdr>
      <w:divsChild>
        <w:div w:id="879248176">
          <w:marLeft w:val="0"/>
          <w:marRight w:val="0"/>
          <w:marTop w:val="0"/>
          <w:marBottom w:val="0"/>
          <w:divBdr>
            <w:top w:val="none" w:sz="0" w:space="0" w:color="auto"/>
            <w:left w:val="none" w:sz="0" w:space="0" w:color="auto"/>
            <w:bottom w:val="none" w:sz="0" w:space="0" w:color="auto"/>
            <w:right w:val="none" w:sz="0" w:space="0" w:color="auto"/>
          </w:divBdr>
        </w:div>
      </w:divsChild>
    </w:div>
    <w:div w:id="466631992">
      <w:bodyDiv w:val="1"/>
      <w:marLeft w:val="0"/>
      <w:marRight w:val="0"/>
      <w:marTop w:val="0"/>
      <w:marBottom w:val="0"/>
      <w:divBdr>
        <w:top w:val="none" w:sz="0" w:space="0" w:color="auto"/>
        <w:left w:val="none" w:sz="0" w:space="0" w:color="auto"/>
        <w:bottom w:val="none" w:sz="0" w:space="0" w:color="auto"/>
        <w:right w:val="none" w:sz="0" w:space="0" w:color="auto"/>
      </w:divBdr>
    </w:div>
    <w:div w:id="493229461">
      <w:bodyDiv w:val="1"/>
      <w:marLeft w:val="0"/>
      <w:marRight w:val="0"/>
      <w:marTop w:val="0"/>
      <w:marBottom w:val="0"/>
      <w:divBdr>
        <w:top w:val="none" w:sz="0" w:space="0" w:color="auto"/>
        <w:left w:val="none" w:sz="0" w:space="0" w:color="auto"/>
        <w:bottom w:val="none" w:sz="0" w:space="0" w:color="auto"/>
        <w:right w:val="none" w:sz="0" w:space="0" w:color="auto"/>
      </w:divBdr>
    </w:div>
    <w:div w:id="515578561">
      <w:bodyDiv w:val="1"/>
      <w:marLeft w:val="0"/>
      <w:marRight w:val="0"/>
      <w:marTop w:val="0"/>
      <w:marBottom w:val="0"/>
      <w:divBdr>
        <w:top w:val="none" w:sz="0" w:space="0" w:color="auto"/>
        <w:left w:val="none" w:sz="0" w:space="0" w:color="auto"/>
        <w:bottom w:val="none" w:sz="0" w:space="0" w:color="auto"/>
        <w:right w:val="none" w:sz="0" w:space="0" w:color="auto"/>
      </w:divBdr>
    </w:div>
    <w:div w:id="524101729">
      <w:bodyDiv w:val="1"/>
      <w:marLeft w:val="0"/>
      <w:marRight w:val="0"/>
      <w:marTop w:val="0"/>
      <w:marBottom w:val="0"/>
      <w:divBdr>
        <w:top w:val="none" w:sz="0" w:space="0" w:color="auto"/>
        <w:left w:val="none" w:sz="0" w:space="0" w:color="auto"/>
        <w:bottom w:val="none" w:sz="0" w:space="0" w:color="auto"/>
        <w:right w:val="none" w:sz="0" w:space="0" w:color="auto"/>
      </w:divBdr>
    </w:div>
    <w:div w:id="525488823">
      <w:bodyDiv w:val="1"/>
      <w:marLeft w:val="0"/>
      <w:marRight w:val="0"/>
      <w:marTop w:val="0"/>
      <w:marBottom w:val="0"/>
      <w:divBdr>
        <w:top w:val="none" w:sz="0" w:space="0" w:color="auto"/>
        <w:left w:val="none" w:sz="0" w:space="0" w:color="auto"/>
        <w:bottom w:val="none" w:sz="0" w:space="0" w:color="auto"/>
        <w:right w:val="none" w:sz="0" w:space="0" w:color="auto"/>
      </w:divBdr>
    </w:div>
    <w:div w:id="526217777">
      <w:bodyDiv w:val="1"/>
      <w:marLeft w:val="0"/>
      <w:marRight w:val="0"/>
      <w:marTop w:val="0"/>
      <w:marBottom w:val="0"/>
      <w:divBdr>
        <w:top w:val="none" w:sz="0" w:space="0" w:color="auto"/>
        <w:left w:val="none" w:sz="0" w:space="0" w:color="auto"/>
        <w:bottom w:val="none" w:sz="0" w:space="0" w:color="auto"/>
        <w:right w:val="none" w:sz="0" w:space="0" w:color="auto"/>
      </w:divBdr>
    </w:div>
    <w:div w:id="528297721">
      <w:bodyDiv w:val="1"/>
      <w:marLeft w:val="0"/>
      <w:marRight w:val="0"/>
      <w:marTop w:val="0"/>
      <w:marBottom w:val="0"/>
      <w:divBdr>
        <w:top w:val="none" w:sz="0" w:space="0" w:color="auto"/>
        <w:left w:val="none" w:sz="0" w:space="0" w:color="auto"/>
        <w:bottom w:val="none" w:sz="0" w:space="0" w:color="auto"/>
        <w:right w:val="none" w:sz="0" w:space="0" w:color="auto"/>
      </w:divBdr>
    </w:div>
    <w:div w:id="533739663">
      <w:bodyDiv w:val="1"/>
      <w:marLeft w:val="0"/>
      <w:marRight w:val="0"/>
      <w:marTop w:val="0"/>
      <w:marBottom w:val="0"/>
      <w:divBdr>
        <w:top w:val="none" w:sz="0" w:space="0" w:color="auto"/>
        <w:left w:val="none" w:sz="0" w:space="0" w:color="auto"/>
        <w:bottom w:val="none" w:sz="0" w:space="0" w:color="auto"/>
        <w:right w:val="none" w:sz="0" w:space="0" w:color="auto"/>
      </w:divBdr>
    </w:div>
    <w:div w:id="544147201">
      <w:bodyDiv w:val="1"/>
      <w:marLeft w:val="0"/>
      <w:marRight w:val="0"/>
      <w:marTop w:val="0"/>
      <w:marBottom w:val="0"/>
      <w:divBdr>
        <w:top w:val="none" w:sz="0" w:space="0" w:color="auto"/>
        <w:left w:val="none" w:sz="0" w:space="0" w:color="auto"/>
        <w:bottom w:val="none" w:sz="0" w:space="0" w:color="auto"/>
        <w:right w:val="none" w:sz="0" w:space="0" w:color="auto"/>
      </w:divBdr>
    </w:div>
    <w:div w:id="557057410">
      <w:bodyDiv w:val="1"/>
      <w:marLeft w:val="0"/>
      <w:marRight w:val="0"/>
      <w:marTop w:val="0"/>
      <w:marBottom w:val="0"/>
      <w:divBdr>
        <w:top w:val="none" w:sz="0" w:space="0" w:color="auto"/>
        <w:left w:val="none" w:sz="0" w:space="0" w:color="auto"/>
        <w:bottom w:val="none" w:sz="0" w:space="0" w:color="auto"/>
        <w:right w:val="none" w:sz="0" w:space="0" w:color="auto"/>
      </w:divBdr>
    </w:div>
    <w:div w:id="561261042">
      <w:bodyDiv w:val="1"/>
      <w:marLeft w:val="0"/>
      <w:marRight w:val="0"/>
      <w:marTop w:val="0"/>
      <w:marBottom w:val="0"/>
      <w:divBdr>
        <w:top w:val="none" w:sz="0" w:space="0" w:color="auto"/>
        <w:left w:val="none" w:sz="0" w:space="0" w:color="auto"/>
        <w:bottom w:val="none" w:sz="0" w:space="0" w:color="auto"/>
        <w:right w:val="none" w:sz="0" w:space="0" w:color="auto"/>
      </w:divBdr>
    </w:div>
    <w:div w:id="565577843">
      <w:bodyDiv w:val="1"/>
      <w:marLeft w:val="0"/>
      <w:marRight w:val="0"/>
      <w:marTop w:val="0"/>
      <w:marBottom w:val="0"/>
      <w:divBdr>
        <w:top w:val="none" w:sz="0" w:space="0" w:color="auto"/>
        <w:left w:val="none" w:sz="0" w:space="0" w:color="auto"/>
        <w:bottom w:val="none" w:sz="0" w:space="0" w:color="auto"/>
        <w:right w:val="none" w:sz="0" w:space="0" w:color="auto"/>
      </w:divBdr>
      <w:divsChild>
        <w:div w:id="62223252">
          <w:marLeft w:val="0"/>
          <w:marRight w:val="0"/>
          <w:marTop w:val="0"/>
          <w:marBottom w:val="0"/>
          <w:divBdr>
            <w:top w:val="none" w:sz="0" w:space="0" w:color="auto"/>
            <w:left w:val="none" w:sz="0" w:space="0" w:color="auto"/>
            <w:bottom w:val="none" w:sz="0" w:space="0" w:color="auto"/>
            <w:right w:val="none" w:sz="0" w:space="0" w:color="auto"/>
          </w:divBdr>
        </w:div>
      </w:divsChild>
    </w:div>
    <w:div w:id="575015896">
      <w:bodyDiv w:val="1"/>
      <w:marLeft w:val="0"/>
      <w:marRight w:val="0"/>
      <w:marTop w:val="0"/>
      <w:marBottom w:val="0"/>
      <w:divBdr>
        <w:top w:val="none" w:sz="0" w:space="0" w:color="auto"/>
        <w:left w:val="none" w:sz="0" w:space="0" w:color="auto"/>
        <w:bottom w:val="none" w:sz="0" w:space="0" w:color="auto"/>
        <w:right w:val="none" w:sz="0" w:space="0" w:color="auto"/>
      </w:divBdr>
    </w:div>
    <w:div w:id="578367180">
      <w:bodyDiv w:val="1"/>
      <w:marLeft w:val="0"/>
      <w:marRight w:val="0"/>
      <w:marTop w:val="0"/>
      <w:marBottom w:val="0"/>
      <w:divBdr>
        <w:top w:val="none" w:sz="0" w:space="0" w:color="auto"/>
        <w:left w:val="none" w:sz="0" w:space="0" w:color="auto"/>
        <w:bottom w:val="none" w:sz="0" w:space="0" w:color="auto"/>
        <w:right w:val="none" w:sz="0" w:space="0" w:color="auto"/>
      </w:divBdr>
    </w:div>
    <w:div w:id="620914279">
      <w:bodyDiv w:val="1"/>
      <w:marLeft w:val="0"/>
      <w:marRight w:val="0"/>
      <w:marTop w:val="0"/>
      <w:marBottom w:val="0"/>
      <w:divBdr>
        <w:top w:val="none" w:sz="0" w:space="0" w:color="auto"/>
        <w:left w:val="none" w:sz="0" w:space="0" w:color="auto"/>
        <w:bottom w:val="none" w:sz="0" w:space="0" w:color="auto"/>
        <w:right w:val="none" w:sz="0" w:space="0" w:color="auto"/>
      </w:divBdr>
    </w:div>
    <w:div w:id="628630982">
      <w:bodyDiv w:val="1"/>
      <w:marLeft w:val="0"/>
      <w:marRight w:val="0"/>
      <w:marTop w:val="0"/>
      <w:marBottom w:val="0"/>
      <w:divBdr>
        <w:top w:val="none" w:sz="0" w:space="0" w:color="auto"/>
        <w:left w:val="none" w:sz="0" w:space="0" w:color="auto"/>
        <w:bottom w:val="none" w:sz="0" w:space="0" w:color="auto"/>
        <w:right w:val="none" w:sz="0" w:space="0" w:color="auto"/>
      </w:divBdr>
    </w:div>
    <w:div w:id="632177310">
      <w:bodyDiv w:val="1"/>
      <w:marLeft w:val="0"/>
      <w:marRight w:val="0"/>
      <w:marTop w:val="0"/>
      <w:marBottom w:val="0"/>
      <w:divBdr>
        <w:top w:val="none" w:sz="0" w:space="0" w:color="auto"/>
        <w:left w:val="none" w:sz="0" w:space="0" w:color="auto"/>
        <w:bottom w:val="none" w:sz="0" w:space="0" w:color="auto"/>
        <w:right w:val="none" w:sz="0" w:space="0" w:color="auto"/>
      </w:divBdr>
    </w:div>
    <w:div w:id="640426058">
      <w:bodyDiv w:val="1"/>
      <w:marLeft w:val="0"/>
      <w:marRight w:val="0"/>
      <w:marTop w:val="0"/>
      <w:marBottom w:val="0"/>
      <w:divBdr>
        <w:top w:val="none" w:sz="0" w:space="0" w:color="auto"/>
        <w:left w:val="none" w:sz="0" w:space="0" w:color="auto"/>
        <w:bottom w:val="none" w:sz="0" w:space="0" w:color="auto"/>
        <w:right w:val="none" w:sz="0" w:space="0" w:color="auto"/>
      </w:divBdr>
    </w:div>
    <w:div w:id="640619424">
      <w:bodyDiv w:val="1"/>
      <w:marLeft w:val="0"/>
      <w:marRight w:val="0"/>
      <w:marTop w:val="0"/>
      <w:marBottom w:val="0"/>
      <w:divBdr>
        <w:top w:val="none" w:sz="0" w:space="0" w:color="auto"/>
        <w:left w:val="none" w:sz="0" w:space="0" w:color="auto"/>
        <w:bottom w:val="none" w:sz="0" w:space="0" w:color="auto"/>
        <w:right w:val="none" w:sz="0" w:space="0" w:color="auto"/>
      </w:divBdr>
    </w:div>
    <w:div w:id="647129332">
      <w:bodyDiv w:val="1"/>
      <w:marLeft w:val="0"/>
      <w:marRight w:val="0"/>
      <w:marTop w:val="0"/>
      <w:marBottom w:val="0"/>
      <w:divBdr>
        <w:top w:val="none" w:sz="0" w:space="0" w:color="auto"/>
        <w:left w:val="none" w:sz="0" w:space="0" w:color="auto"/>
        <w:bottom w:val="none" w:sz="0" w:space="0" w:color="auto"/>
        <w:right w:val="none" w:sz="0" w:space="0" w:color="auto"/>
      </w:divBdr>
      <w:divsChild>
        <w:div w:id="355887659">
          <w:marLeft w:val="0"/>
          <w:marRight w:val="0"/>
          <w:marTop w:val="0"/>
          <w:marBottom w:val="0"/>
          <w:divBdr>
            <w:top w:val="none" w:sz="0" w:space="0" w:color="auto"/>
            <w:left w:val="none" w:sz="0" w:space="0" w:color="auto"/>
            <w:bottom w:val="none" w:sz="0" w:space="0" w:color="auto"/>
            <w:right w:val="none" w:sz="0" w:space="0" w:color="auto"/>
          </w:divBdr>
        </w:div>
      </w:divsChild>
    </w:div>
    <w:div w:id="654577639">
      <w:bodyDiv w:val="1"/>
      <w:marLeft w:val="0"/>
      <w:marRight w:val="0"/>
      <w:marTop w:val="0"/>
      <w:marBottom w:val="0"/>
      <w:divBdr>
        <w:top w:val="none" w:sz="0" w:space="0" w:color="auto"/>
        <w:left w:val="none" w:sz="0" w:space="0" w:color="auto"/>
        <w:bottom w:val="none" w:sz="0" w:space="0" w:color="auto"/>
        <w:right w:val="none" w:sz="0" w:space="0" w:color="auto"/>
      </w:divBdr>
    </w:div>
    <w:div w:id="658969142">
      <w:bodyDiv w:val="1"/>
      <w:marLeft w:val="0"/>
      <w:marRight w:val="0"/>
      <w:marTop w:val="0"/>
      <w:marBottom w:val="0"/>
      <w:divBdr>
        <w:top w:val="none" w:sz="0" w:space="0" w:color="auto"/>
        <w:left w:val="none" w:sz="0" w:space="0" w:color="auto"/>
        <w:bottom w:val="none" w:sz="0" w:space="0" w:color="auto"/>
        <w:right w:val="none" w:sz="0" w:space="0" w:color="auto"/>
      </w:divBdr>
    </w:div>
    <w:div w:id="660621562">
      <w:bodyDiv w:val="1"/>
      <w:marLeft w:val="0"/>
      <w:marRight w:val="0"/>
      <w:marTop w:val="0"/>
      <w:marBottom w:val="0"/>
      <w:divBdr>
        <w:top w:val="none" w:sz="0" w:space="0" w:color="auto"/>
        <w:left w:val="none" w:sz="0" w:space="0" w:color="auto"/>
        <w:bottom w:val="none" w:sz="0" w:space="0" w:color="auto"/>
        <w:right w:val="none" w:sz="0" w:space="0" w:color="auto"/>
      </w:divBdr>
    </w:div>
    <w:div w:id="666253021">
      <w:bodyDiv w:val="1"/>
      <w:marLeft w:val="0"/>
      <w:marRight w:val="0"/>
      <w:marTop w:val="0"/>
      <w:marBottom w:val="0"/>
      <w:divBdr>
        <w:top w:val="none" w:sz="0" w:space="0" w:color="auto"/>
        <w:left w:val="none" w:sz="0" w:space="0" w:color="auto"/>
        <w:bottom w:val="none" w:sz="0" w:space="0" w:color="auto"/>
        <w:right w:val="none" w:sz="0" w:space="0" w:color="auto"/>
      </w:divBdr>
    </w:div>
    <w:div w:id="669022861">
      <w:bodyDiv w:val="1"/>
      <w:marLeft w:val="0"/>
      <w:marRight w:val="0"/>
      <w:marTop w:val="0"/>
      <w:marBottom w:val="0"/>
      <w:divBdr>
        <w:top w:val="none" w:sz="0" w:space="0" w:color="auto"/>
        <w:left w:val="none" w:sz="0" w:space="0" w:color="auto"/>
        <w:bottom w:val="none" w:sz="0" w:space="0" w:color="auto"/>
        <w:right w:val="none" w:sz="0" w:space="0" w:color="auto"/>
      </w:divBdr>
    </w:div>
    <w:div w:id="687754306">
      <w:bodyDiv w:val="1"/>
      <w:marLeft w:val="0"/>
      <w:marRight w:val="0"/>
      <w:marTop w:val="0"/>
      <w:marBottom w:val="0"/>
      <w:divBdr>
        <w:top w:val="none" w:sz="0" w:space="0" w:color="auto"/>
        <w:left w:val="none" w:sz="0" w:space="0" w:color="auto"/>
        <w:bottom w:val="none" w:sz="0" w:space="0" w:color="auto"/>
        <w:right w:val="none" w:sz="0" w:space="0" w:color="auto"/>
      </w:divBdr>
    </w:div>
    <w:div w:id="709768658">
      <w:bodyDiv w:val="1"/>
      <w:marLeft w:val="0"/>
      <w:marRight w:val="0"/>
      <w:marTop w:val="0"/>
      <w:marBottom w:val="0"/>
      <w:divBdr>
        <w:top w:val="none" w:sz="0" w:space="0" w:color="auto"/>
        <w:left w:val="none" w:sz="0" w:space="0" w:color="auto"/>
        <w:bottom w:val="none" w:sz="0" w:space="0" w:color="auto"/>
        <w:right w:val="none" w:sz="0" w:space="0" w:color="auto"/>
      </w:divBdr>
    </w:div>
    <w:div w:id="722825752">
      <w:bodyDiv w:val="1"/>
      <w:marLeft w:val="0"/>
      <w:marRight w:val="0"/>
      <w:marTop w:val="0"/>
      <w:marBottom w:val="0"/>
      <w:divBdr>
        <w:top w:val="none" w:sz="0" w:space="0" w:color="auto"/>
        <w:left w:val="none" w:sz="0" w:space="0" w:color="auto"/>
        <w:bottom w:val="none" w:sz="0" w:space="0" w:color="auto"/>
        <w:right w:val="none" w:sz="0" w:space="0" w:color="auto"/>
      </w:divBdr>
    </w:div>
    <w:div w:id="725420659">
      <w:bodyDiv w:val="1"/>
      <w:marLeft w:val="0"/>
      <w:marRight w:val="0"/>
      <w:marTop w:val="0"/>
      <w:marBottom w:val="0"/>
      <w:divBdr>
        <w:top w:val="none" w:sz="0" w:space="0" w:color="auto"/>
        <w:left w:val="none" w:sz="0" w:space="0" w:color="auto"/>
        <w:bottom w:val="none" w:sz="0" w:space="0" w:color="auto"/>
        <w:right w:val="none" w:sz="0" w:space="0" w:color="auto"/>
      </w:divBdr>
    </w:div>
    <w:div w:id="727069966">
      <w:bodyDiv w:val="1"/>
      <w:marLeft w:val="0"/>
      <w:marRight w:val="0"/>
      <w:marTop w:val="0"/>
      <w:marBottom w:val="0"/>
      <w:divBdr>
        <w:top w:val="none" w:sz="0" w:space="0" w:color="auto"/>
        <w:left w:val="none" w:sz="0" w:space="0" w:color="auto"/>
        <w:bottom w:val="none" w:sz="0" w:space="0" w:color="auto"/>
        <w:right w:val="none" w:sz="0" w:space="0" w:color="auto"/>
      </w:divBdr>
    </w:div>
    <w:div w:id="737870529">
      <w:bodyDiv w:val="1"/>
      <w:marLeft w:val="0"/>
      <w:marRight w:val="0"/>
      <w:marTop w:val="0"/>
      <w:marBottom w:val="0"/>
      <w:divBdr>
        <w:top w:val="none" w:sz="0" w:space="0" w:color="auto"/>
        <w:left w:val="none" w:sz="0" w:space="0" w:color="auto"/>
        <w:bottom w:val="none" w:sz="0" w:space="0" w:color="auto"/>
        <w:right w:val="none" w:sz="0" w:space="0" w:color="auto"/>
      </w:divBdr>
    </w:div>
    <w:div w:id="742527724">
      <w:bodyDiv w:val="1"/>
      <w:marLeft w:val="0"/>
      <w:marRight w:val="0"/>
      <w:marTop w:val="0"/>
      <w:marBottom w:val="0"/>
      <w:divBdr>
        <w:top w:val="none" w:sz="0" w:space="0" w:color="auto"/>
        <w:left w:val="none" w:sz="0" w:space="0" w:color="auto"/>
        <w:bottom w:val="none" w:sz="0" w:space="0" w:color="auto"/>
        <w:right w:val="none" w:sz="0" w:space="0" w:color="auto"/>
      </w:divBdr>
    </w:div>
    <w:div w:id="743724093">
      <w:bodyDiv w:val="1"/>
      <w:marLeft w:val="0"/>
      <w:marRight w:val="0"/>
      <w:marTop w:val="0"/>
      <w:marBottom w:val="0"/>
      <w:divBdr>
        <w:top w:val="none" w:sz="0" w:space="0" w:color="auto"/>
        <w:left w:val="none" w:sz="0" w:space="0" w:color="auto"/>
        <w:bottom w:val="none" w:sz="0" w:space="0" w:color="auto"/>
        <w:right w:val="none" w:sz="0" w:space="0" w:color="auto"/>
      </w:divBdr>
    </w:div>
    <w:div w:id="744841612">
      <w:bodyDiv w:val="1"/>
      <w:marLeft w:val="0"/>
      <w:marRight w:val="0"/>
      <w:marTop w:val="0"/>
      <w:marBottom w:val="0"/>
      <w:divBdr>
        <w:top w:val="none" w:sz="0" w:space="0" w:color="auto"/>
        <w:left w:val="none" w:sz="0" w:space="0" w:color="auto"/>
        <w:bottom w:val="none" w:sz="0" w:space="0" w:color="auto"/>
        <w:right w:val="none" w:sz="0" w:space="0" w:color="auto"/>
      </w:divBdr>
    </w:div>
    <w:div w:id="759446760">
      <w:bodyDiv w:val="1"/>
      <w:marLeft w:val="0"/>
      <w:marRight w:val="0"/>
      <w:marTop w:val="0"/>
      <w:marBottom w:val="0"/>
      <w:divBdr>
        <w:top w:val="none" w:sz="0" w:space="0" w:color="auto"/>
        <w:left w:val="none" w:sz="0" w:space="0" w:color="auto"/>
        <w:bottom w:val="none" w:sz="0" w:space="0" w:color="auto"/>
        <w:right w:val="none" w:sz="0" w:space="0" w:color="auto"/>
      </w:divBdr>
    </w:div>
    <w:div w:id="772938595">
      <w:bodyDiv w:val="1"/>
      <w:marLeft w:val="0"/>
      <w:marRight w:val="0"/>
      <w:marTop w:val="0"/>
      <w:marBottom w:val="0"/>
      <w:divBdr>
        <w:top w:val="none" w:sz="0" w:space="0" w:color="auto"/>
        <w:left w:val="none" w:sz="0" w:space="0" w:color="auto"/>
        <w:bottom w:val="none" w:sz="0" w:space="0" w:color="auto"/>
        <w:right w:val="none" w:sz="0" w:space="0" w:color="auto"/>
      </w:divBdr>
    </w:div>
    <w:div w:id="779683156">
      <w:bodyDiv w:val="1"/>
      <w:marLeft w:val="0"/>
      <w:marRight w:val="0"/>
      <w:marTop w:val="0"/>
      <w:marBottom w:val="0"/>
      <w:divBdr>
        <w:top w:val="none" w:sz="0" w:space="0" w:color="auto"/>
        <w:left w:val="none" w:sz="0" w:space="0" w:color="auto"/>
        <w:bottom w:val="none" w:sz="0" w:space="0" w:color="auto"/>
        <w:right w:val="none" w:sz="0" w:space="0" w:color="auto"/>
      </w:divBdr>
    </w:div>
    <w:div w:id="783769150">
      <w:bodyDiv w:val="1"/>
      <w:marLeft w:val="0"/>
      <w:marRight w:val="0"/>
      <w:marTop w:val="0"/>
      <w:marBottom w:val="0"/>
      <w:divBdr>
        <w:top w:val="none" w:sz="0" w:space="0" w:color="auto"/>
        <w:left w:val="none" w:sz="0" w:space="0" w:color="auto"/>
        <w:bottom w:val="none" w:sz="0" w:space="0" w:color="auto"/>
        <w:right w:val="none" w:sz="0" w:space="0" w:color="auto"/>
      </w:divBdr>
    </w:div>
    <w:div w:id="788276520">
      <w:bodyDiv w:val="1"/>
      <w:marLeft w:val="0"/>
      <w:marRight w:val="0"/>
      <w:marTop w:val="0"/>
      <w:marBottom w:val="0"/>
      <w:divBdr>
        <w:top w:val="none" w:sz="0" w:space="0" w:color="auto"/>
        <w:left w:val="none" w:sz="0" w:space="0" w:color="auto"/>
        <w:bottom w:val="none" w:sz="0" w:space="0" w:color="auto"/>
        <w:right w:val="none" w:sz="0" w:space="0" w:color="auto"/>
      </w:divBdr>
    </w:div>
    <w:div w:id="794913434">
      <w:bodyDiv w:val="1"/>
      <w:marLeft w:val="0"/>
      <w:marRight w:val="0"/>
      <w:marTop w:val="0"/>
      <w:marBottom w:val="0"/>
      <w:divBdr>
        <w:top w:val="none" w:sz="0" w:space="0" w:color="auto"/>
        <w:left w:val="none" w:sz="0" w:space="0" w:color="auto"/>
        <w:bottom w:val="none" w:sz="0" w:space="0" w:color="auto"/>
        <w:right w:val="none" w:sz="0" w:space="0" w:color="auto"/>
      </w:divBdr>
    </w:div>
    <w:div w:id="794979880">
      <w:bodyDiv w:val="1"/>
      <w:marLeft w:val="0"/>
      <w:marRight w:val="0"/>
      <w:marTop w:val="0"/>
      <w:marBottom w:val="0"/>
      <w:divBdr>
        <w:top w:val="none" w:sz="0" w:space="0" w:color="auto"/>
        <w:left w:val="none" w:sz="0" w:space="0" w:color="auto"/>
        <w:bottom w:val="none" w:sz="0" w:space="0" w:color="auto"/>
        <w:right w:val="none" w:sz="0" w:space="0" w:color="auto"/>
      </w:divBdr>
    </w:div>
    <w:div w:id="799878670">
      <w:bodyDiv w:val="1"/>
      <w:marLeft w:val="0"/>
      <w:marRight w:val="0"/>
      <w:marTop w:val="0"/>
      <w:marBottom w:val="0"/>
      <w:divBdr>
        <w:top w:val="none" w:sz="0" w:space="0" w:color="auto"/>
        <w:left w:val="none" w:sz="0" w:space="0" w:color="auto"/>
        <w:bottom w:val="none" w:sz="0" w:space="0" w:color="auto"/>
        <w:right w:val="none" w:sz="0" w:space="0" w:color="auto"/>
      </w:divBdr>
    </w:div>
    <w:div w:id="827667945">
      <w:bodyDiv w:val="1"/>
      <w:marLeft w:val="0"/>
      <w:marRight w:val="0"/>
      <w:marTop w:val="0"/>
      <w:marBottom w:val="0"/>
      <w:divBdr>
        <w:top w:val="none" w:sz="0" w:space="0" w:color="auto"/>
        <w:left w:val="none" w:sz="0" w:space="0" w:color="auto"/>
        <w:bottom w:val="none" w:sz="0" w:space="0" w:color="auto"/>
        <w:right w:val="none" w:sz="0" w:space="0" w:color="auto"/>
      </w:divBdr>
      <w:divsChild>
        <w:div w:id="442193831">
          <w:marLeft w:val="0"/>
          <w:marRight w:val="0"/>
          <w:marTop w:val="0"/>
          <w:marBottom w:val="0"/>
          <w:divBdr>
            <w:top w:val="none" w:sz="0" w:space="0" w:color="auto"/>
            <w:left w:val="none" w:sz="0" w:space="0" w:color="auto"/>
            <w:bottom w:val="none" w:sz="0" w:space="0" w:color="auto"/>
            <w:right w:val="none" w:sz="0" w:space="0" w:color="auto"/>
          </w:divBdr>
          <w:divsChild>
            <w:div w:id="479813793">
              <w:marLeft w:val="0"/>
              <w:marRight w:val="0"/>
              <w:marTop w:val="0"/>
              <w:marBottom w:val="0"/>
              <w:divBdr>
                <w:top w:val="none" w:sz="0" w:space="0" w:color="auto"/>
                <w:left w:val="none" w:sz="0" w:space="0" w:color="auto"/>
                <w:bottom w:val="none" w:sz="0" w:space="0" w:color="auto"/>
                <w:right w:val="none" w:sz="0" w:space="0" w:color="auto"/>
              </w:divBdr>
              <w:divsChild>
                <w:div w:id="1546874178">
                  <w:marLeft w:val="0"/>
                  <w:marRight w:val="0"/>
                  <w:marTop w:val="0"/>
                  <w:marBottom w:val="0"/>
                  <w:divBdr>
                    <w:top w:val="none" w:sz="0" w:space="0" w:color="auto"/>
                    <w:left w:val="none" w:sz="0" w:space="0" w:color="auto"/>
                    <w:bottom w:val="none" w:sz="0" w:space="0" w:color="auto"/>
                    <w:right w:val="none" w:sz="0" w:space="0" w:color="auto"/>
                  </w:divBdr>
                  <w:divsChild>
                    <w:div w:id="2140029685">
                      <w:marLeft w:val="0"/>
                      <w:marRight w:val="0"/>
                      <w:marTop w:val="0"/>
                      <w:marBottom w:val="0"/>
                      <w:divBdr>
                        <w:top w:val="none" w:sz="0" w:space="0" w:color="auto"/>
                        <w:left w:val="none" w:sz="0" w:space="0" w:color="auto"/>
                        <w:bottom w:val="none" w:sz="0" w:space="0" w:color="auto"/>
                        <w:right w:val="none" w:sz="0" w:space="0" w:color="auto"/>
                      </w:divBdr>
                      <w:divsChild>
                        <w:div w:id="492380766">
                          <w:marLeft w:val="0"/>
                          <w:marRight w:val="0"/>
                          <w:marTop w:val="0"/>
                          <w:marBottom w:val="0"/>
                          <w:divBdr>
                            <w:top w:val="none" w:sz="0" w:space="0" w:color="auto"/>
                            <w:left w:val="none" w:sz="0" w:space="0" w:color="auto"/>
                            <w:bottom w:val="none" w:sz="0" w:space="0" w:color="auto"/>
                            <w:right w:val="none" w:sz="0" w:space="0" w:color="auto"/>
                          </w:divBdr>
                          <w:divsChild>
                            <w:div w:id="1704862663">
                              <w:marLeft w:val="0"/>
                              <w:marRight w:val="0"/>
                              <w:marTop w:val="0"/>
                              <w:marBottom w:val="0"/>
                              <w:divBdr>
                                <w:top w:val="none" w:sz="0" w:space="0" w:color="auto"/>
                                <w:left w:val="none" w:sz="0" w:space="0" w:color="auto"/>
                                <w:bottom w:val="none" w:sz="0" w:space="0" w:color="auto"/>
                                <w:right w:val="none" w:sz="0" w:space="0" w:color="auto"/>
                              </w:divBdr>
                              <w:divsChild>
                                <w:div w:id="1102609346">
                                  <w:marLeft w:val="0"/>
                                  <w:marRight w:val="0"/>
                                  <w:marTop w:val="0"/>
                                  <w:marBottom w:val="0"/>
                                  <w:divBdr>
                                    <w:top w:val="none" w:sz="0" w:space="0" w:color="auto"/>
                                    <w:left w:val="none" w:sz="0" w:space="0" w:color="auto"/>
                                    <w:bottom w:val="none" w:sz="0" w:space="0" w:color="auto"/>
                                    <w:right w:val="none" w:sz="0" w:space="0" w:color="auto"/>
                                  </w:divBdr>
                                  <w:divsChild>
                                    <w:div w:id="2016224807">
                                      <w:marLeft w:val="0"/>
                                      <w:marRight w:val="0"/>
                                      <w:marTop w:val="0"/>
                                      <w:marBottom w:val="0"/>
                                      <w:divBdr>
                                        <w:top w:val="none" w:sz="0" w:space="0" w:color="auto"/>
                                        <w:left w:val="none" w:sz="0" w:space="0" w:color="auto"/>
                                        <w:bottom w:val="none" w:sz="0" w:space="0" w:color="auto"/>
                                        <w:right w:val="none" w:sz="0" w:space="0" w:color="auto"/>
                                      </w:divBdr>
                                      <w:divsChild>
                                        <w:div w:id="518281812">
                                          <w:marLeft w:val="0"/>
                                          <w:marRight w:val="0"/>
                                          <w:marTop w:val="0"/>
                                          <w:marBottom w:val="0"/>
                                          <w:divBdr>
                                            <w:top w:val="none" w:sz="0" w:space="0" w:color="auto"/>
                                            <w:left w:val="none" w:sz="0" w:space="0" w:color="auto"/>
                                            <w:bottom w:val="none" w:sz="0" w:space="0" w:color="auto"/>
                                            <w:right w:val="none" w:sz="0" w:space="0" w:color="auto"/>
                                          </w:divBdr>
                                          <w:divsChild>
                                            <w:div w:id="1101950087">
                                              <w:marLeft w:val="0"/>
                                              <w:marRight w:val="0"/>
                                              <w:marTop w:val="0"/>
                                              <w:marBottom w:val="0"/>
                                              <w:divBdr>
                                                <w:top w:val="none" w:sz="0" w:space="0" w:color="auto"/>
                                                <w:left w:val="none" w:sz="0" w:space="0" w:color="auto"/>
                                                <w:bottom w:val="none" w:sz="0" w:space="0" w:color="auto"/>
                                                <w:right w:val="none" w:sz="0" w:space="0" w:color="auto"/>
                                              </w:divBdr>
                                              <w:divsChild>
                                                <w:div w:id="261257025">
                                                  <w:marLeft w:val="0"/>
                                                  <w:marRight w:val="0"/>
                                                  <w:marTop w:val="0"/>
                                                  <w:marBottom w:val="0"/>
                                                  <w:divBdr>
                                                    <w:top w:val="none" w:sz="0" w:space="0" w:color="auto"/>
                                                    <w:left w:val="none" w:sz="0" w:space="0" w:color="auto"/>
                                                    <w:bottom w:val="none" w:sz="0" w:space="0" w:color="auto"/>
                                                    <w:right w:val="none" w:sz="0" w:space="0" w:color="auto"/>
                                                  </w:divBdr>
                                                  <w:divsChild>
                                                    <w:div w:id="903949035">
                                                      <w:marLeft w:val="0"/>
                                                      <w:marRight w:val="0"/>
                                                      <w:marTop w:val="0"/>
                                                      <w:marBottom w:val="0"/>
                                                      <w:divBdr>
                                                        <w:top w:val="none" w:sz="0" w:space="0" w:color="auto"/>
                                                        <w:left w:val="none" w:sz="0" w:space="0" w:color="auto"/>
                                                        <w:bottom w:val="none" w:sz="0" w:space="0" w:color="auto"/>
                                                        <w:right w:val="none" w:sz="0" w:space="0" w:color="auto"/>
                                                      </w:divBdr>
                                                      <w:divsChild>
                                                        <w:div w:id="114569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5480912">
                                                  <w:marLeft w:val="0"/>
                                                  <w:marRight w:val="0"/>
                                                  <w:marTop w:val="0"/>
                                                  <w:marBottom w:val="0"/>
                                                  <w:divBdr>
                                                    <w:top w:val="none" w:sz="0" w:space="0" w:color="auto"/>
                                                    <w:left w:val="none" w:sz="0" w:space="0" w:color="auto"/>
                                                    <w:bottom w:val="none" w:sz="0" w:space="0" w:color="auto"/>
                                                    <w:right w:val="none" w:sz="0" w:space="0" w:color="auto"/>
                                                  </w:divBdr>
                                                  <w:divsChild>
                                                    <w:div w:id="156387695">
                                                      <w:marLeft w:val="0"/>
                                                      <w:marRight w:val="0"/>
                                                      <w:marTop w:val="0"/>
                                                      <w:marBottom w:val="0"/>
                                                      <w:divBdr>
                                                        <w:top w:val="none" w:sz="0" w:space="0" w:color="auto"/>
                                                        <w:left w:val="none" w:sz="0" w:space="0" w:color="auto"/>
                                                        <w:bottom w:val="none" w:sz="0" w:space="0" w:color="auto"/>
                                                        <w:right w:val="none" w:sz="0" w:space="0" w:color="auto"/>
                                                      </w:divBdr>
                                                      <w:divsChild>
                                                        <w:div w:id="688145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97030716">
          <w:marLeft w:val="0"/>
          <w:marRight w:val="0"/>
          <w:marTop w:val="0"/>
          <w:marBottom w:val="0"/>
          <w:divBdr>
            <w:top w:val="none" w:sz="0" w:space="0" w:color="auto"/>
            <w:left w:val="none" w:sz="0" w:space="0" w:color="auto"/>
            <w:bottom w:val="none" w:sz="0" w:space="0" w:color="auto"/>
            <w:right w:val="none" w:sz="0" w:space="0" w:color="auto"/>
          </w:divBdr>
          <w:divsChild>
            <w:div w:id="1454863865">
              <w:marLeft w:val="0"/>
              <w:marRight w:val="0"/>
              <w:marTop w:val="0"/>
              <w:marBottom w:val="0"/>
              <w:divBdr>
                <w:top w:val="none" w:sz="0" w:space="0" w:color="auto"/>
                <w:left w:val="none" w:sz="0" w:space="0" w:color="auto"/>
                <w:bottom w:val="none" w:sz="0" w:space="0" w:color="auto"/>
                <w:right w:val="none" w:sz="0" w:space="0" w:color="auto"/>
              </w:divBdr>
              <w:divsChild>
                <w:div w:id="81618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908695">
      <w:bodyDiv w:val="1"/>
      <w:marLeft w:val="0"/>
      <w:marRight w:val="0"/>
      <w:marTop w:val="0"/>
      <w:marBottom w:val="0"/>
      <w:divBdr>
        <w:top w:val="none" w:sz="0" w:space="0" w:color="auto"/>
        <w:left w:val="none" w:sz="0" w:space="0" w:color="auto"/>
        <w:bottom w:val="none" w:sz="0" w:space="0" w:color="auto"/>
        <w:right w:val="none" w:sz="0" w:space="0" w:color="auto"/>
      </w:divBdr>
    </w:div>
    <w:div w:id="830409253">
      <w:bodyDiv w:val="1"/>
      <w:marLeft w:val="0"/>
      <w:marRight w:val="0"/>
      <w:marTop w:val="0"/>
      <w:marBottom w:val="0"/>
      <w:divBdr>
        <w:top w:val="none" w:sz="0" w:space="0" w:color="auto"/>
        <w:left w:val="none" w:sz="0" w:space="0" w:color="auto"/>
        <w:bottom w:val="none" w:sz="0" w:space="0" w:color="auto"/>
        <w:right w:val="none" w:sz="0" w:space="0" w:color="auto"/>
      </w:divBdr>
    </w:div>
    <w:div w:id="841315489">
      <w:bodyDiv w:val="1"/>
      <w:marLeft w:val="0"/>
      <w:marRight w:val="0"/>
      <w:marTop w:val="0"/>
      <w:marBottom w:val="0"/>
      <w:divBdr>
        <w:top w:val="none" w:sz="0" w:space="0" w:color="auto"/>
        <w:left w:val="none" w:sz="0" w:space="0" w:color="auto"/>
        <w:bottom w:val="none" w:sz="0" w:space="0" w:color="auto"/>
        <w:right w:val="none" w:sz="0" w:space="0" w:color="auto"/>
      </w:divBdr>
    </w:div>
    <w:div w:id="843007891">
      <w:bodyDiv w:val="1"/>
      <w:marLeft w:val="0"/>
      <w:marRight w:val="0"/>
      <w:marTop w:val="0"/>
      <w:marBottom w:val="0"/>
      <w:divBdr>
        <w:top w:val="none" w:sz="0" w:space="0" w:color="auto"/>
        <w:left w:val="none" w:sz="0" w:space="0" w:color="auto"/>
        <w:bottom w:val="none" w:sz="0" w:space="0" w:color="auto"/>
        <w:right w:val="none" w:sz="0" w:space="0" w:color="auto"/>
      </w:divBdr>
    </w:div>
    <w:div w:id="846486531">
      <w:bodyDiv w:val="1"/>
      <w:marLeft w:val="0"/>
      <w:marRight w:val="0"/>
      <w:marTop w:val="0"/>
      <w:marBottom w:val="0"/>
      <w:divBdr>
        <w:top w:val="none" w:sz="0" w:space="0" w:color="auto"/>
        <w:left w:val="none" w:sz="0" w:space="0" w:color="auto"/>
        <w:bottom w:val="none" w:sz="0" w:space="0" w:color="auto"/>
        <w:right w:val="none" w:sz="0" w:space="0" w:color="auto"/>
      </w:divBdr>
    </w:div>
    <w:div w:id="847258411">
      <w:bodyDiv w:val="1"/>
      <w:marLeft w:val="0"/>
      <w:marRight w:val="0"/>
      <w:marTop w:val="0"/>
      <w:marBottom w:val="0"/>
      <w:divBdr>
        <w:top w:val="none" w:sz="0" w:space="0" w:color="auto"/>
        <w:left w:val="none" w:sz="0" w:space="0" w:color="auto"/>
        <w:bottom w:val="none" w:sz="0" w:space="0" w:color="auto"/>
        <w:right w:val="none" w:sz="0" w:space="0" w:color="auto"/>
      </w:divBdr>
    </w:div>
    <w:div w:id="854151820">
      <w:bodyDiv w:val="1"/>
      <w:marLeft w:val="0"/>
      <w:marRight w:val="0"/>
      <w:marTop w:val="0"/>
      <w:marBottom w:val="0"/>
      <w:divBdr>
        <w:top w:val="none" w:sz="0" w:space="0" w:color="auto"/>
        <w:left w:val="none" w:sz="0" w:space="0" w:color="auto"/>
        <w:bottom w:val="none" w:sz="0" w:space="0" w:color="auto"/>
        <w:right w:val="none" w:sz="0" w:space="0" w:color="auto"/>
      </w:divBdr>
    </w:div>
    <w:div w:id="868689872">
      <w:bodyDiv w:val="1"/>
      <w:marLeft w:val="0"/>
      <w:marRight w:val="0"/>
      <w:marTop w:val="0"/>
      <w:marBottom w:val="0"/>
      <w:divBdr>
        <w:top w:val="none" w:sz="0" w:space="0" w:color="auto"/>
        <w:left w:val="none" w:sz="0" w:space="0" w:color="auto"/>
        <w:bottom w:val="none" w:sz="0" w:space="0" w:color="auto"/>
        <w:right w:val="none" w:sz="0" w:space="0" w:color="auto"/>
      </w:divBdr>
    </w:div>
    <w:div w:id="872620876">
      <w:bodyDiv w:val="1"/>
      <w:marLeft w:val="0"/>
      <w:marRight w:val="0"/>
      <w:marTop w:val="0"/>
      <w:marBottom w:val="0"/>
      <w:divBdr>
        <w:top w:val="none" w:sz="0" w:space="0" w:color="auto"/>
        <w:left w:val="none" w:sz="0" w:space="0" w:color="auto"/>
        <w:bottom w:val="none" w:sz="0" w:space="0" w:color="auto"/>
        <w:right w:val="none" w:sz="0" w:space="0" w:color="auto"/>
      </w:divBdr>
    </w:div>
    <w:div w:id="877931843">
      <w:bodyDiv w:val="1"/>
      <w:marLeft w:val="0"/>
      <w:marRight w:val="0"/>
      <w:marTop w:val="0"/>
      <w:marBottom w:val="0"/>
      <w:divBdr>
        <w:top w:val="none" w:sz="0" w:space="0" w:color="auto"/>
        <w:left w:val="none" w:sz="0" w:space="0" w:color="auto"/>
        <w:bottom w:val="none" w:sz="0" w:space="0" w:color="auto"/>
        <w:right w:val="none" w:sz="0" w:space="0" w:color="auto"/>
      </w:divBdr>
    </w:div>
    <w:div w:id="882257100">
      <w:bodyDiv w:val="1"/>
      <w:marLeft w:val="0"/>
      <w:marRight w:val="0"/>
      <w:marTop w:val="0"/>
      <w:marBottom w:val="0"/>
      <w:divBdr>
        <w:top w:val="none" w:sz="0" w:space="0" w:color="auto"/>
        <w:left w:val="none" w:sz="0" w:space="0" w:color="auto"/>
        <w:bottom w:val="none" w:sz="0" w:space="0" w:color="auto"/>
        <w:right w:val="none" w:sz="0" w:space="0" w:color="auto"/>
      </w:divBdr>
    </w:div>
    <w:div w:id="890918972">
      <w:bodyDiv w:val="1"/>
      <w:marLeft w:val="0"/>
      <w:marRight w:val="0"/>
      <w:marTop w:val="0"/>
      <w:marBottom w:val="0"/>
      <w:divBdr>
        <w:top w:val="none" w:sz="0" w:space="0" w:color="auto"/>
        <w:left w:val="none" w:sz="0" w:space="0" w:color="auto"/>
        <w:bottom w:val="none" w:sz="0" w:space="0" w:color="auto"/>
        <w:right w:val="none" w:sz="0" w:space="0" w:color="auto"/>
      </w:divBdr>
    </w:div>
    <w:div w:id="898202480">
      <w:bodyDiv w:val="1"/>
      <w:marLeft w:val="0"/>
      <w:marRight w:val="0"/>
      <w:marTop w:val="0"/>
      <w:marBottom w:val="0"/>
      <w:divBdr>
        <w:top w:val="none" w:sz="0" w:space="0" w:color="auto"/>
        <w:left w:val="none" w:sz="0" w:space="0" w:color="auto"/>
        <w:bottom w:val="none" w:sz="0" w:space="0" w:color="auto"/>
        <w:right w:val="none" w:sz="0" w:space="0" w:color="auto"/>
      </w:divBdr>
    </w:div>
    <w:div w:id="904148119">
      <w:bodyDiv w:val="1"/>
      <w:marLeft w:val="0"/>
      <w:marRight w:val="0"/>
      <w:marTop w:val="0"/>
      <w:marBottom w:val="0"/>
      <w:divBdr>
        <w:top w:val="none" w:sz="0" w:space="0" w:color="auto"/>
        <w:left w:val="none" w:sz="0" w:space="0" w:color="auto"/>
        <w:bottom w:val="none" w:sz="0" w:space="0" w:color="auto"/>
        <w:right w:val="none" w:sz="0" w:space="0" w:color="auto"/>
      </w:divBdr>
    </w:div>
    <w:div w:id="906963698">
      <w:bodyDiv w:val="1"/>
      <w:marLeft w:val="0"/>
      <w:marRight w:val="0"/>
      <w:marTop w:val="0"/>
      <w:marBottom w:val="0"/>
      <w:divBdr>
        <w:top w:val="none" w:sz="0" w:space="0" w:color="auto"/>
        <w:left w:val="none" w:sz="0" w:space="0" w:color="auto"/>
        <w:bottom w:val="none" w:sz="0" w:space="0" w:color="auto"/>
        <w:right w:val="none" w:sz="0" w:space="0" w:color="auto"/>
      </w:divBdr>
    </w:div>
    <w:div w:id="908347972">
      <w:bodyDiv w:val="1"/>
      <w:marLeft w:val="0"/>
      <w:marRight w:val="0"/>
      <w:marTop w:val="0"/>
      <w:marBottom w:val="0"/>
      <w:divBdr>
        <w:top w:val="none" w:sz="0" w:space="0" w:color="auto"/>
        <w:left w:val="none" w:sz="0" w:space="0" w:color="auto"/>
        <w:bottom w:val="none" w:sz="0" w:space="0" w:color="auto"/>
        <w:right w:val="none" w:sz="0" w:space="0" w:color="auto"/>
      </w:divBdr>
    </w:div>
    <w:div w:id="910895622">
      <w:bodyDiv w:val="1"/>
      <w:marLeft w:val="0"/>
      <w:marRight w:val="0"/>
      <w:marTop w:val="0"/>
      <w:marBottom w:val="0"/>
      <w:divBdr>
        <w:top w:val="none" w:sz="0" w:space="0" w:color="auto"/>
        <w:left w:val="none" w:sz="0" w:space="0" w:color="auto"/>
        <w:bottom w:val="none" w:sz="0" w:space="0" w:color="auto"/>
        <w:right w:val="none" w:sz="0" w:space="0" w:color="auto"/>
      </w:divBdr>
    </w:div>
    <w:div w:id="919094223">
      <w:bodyDiv w:val="1"/>
      <w:marLeft w:val="0"/>
      <w:marRight w:val="0"/>
      <w:marTop w:val="0"/>
      <w:marBottom w:val="0"/>
      <w:divBdr>
        <w:top w:val="none" w:sz="0" w:space="0" w:color="auto"/>
        <w:left w:val="none" w:sz="0" w:space="0" w:color="auto"/>
        <w:bottom w:val="none" w:sz="0" w:space="0" w:color="auto"/>
        <w:right w:val="none" w:sz="0" w:space="0" w:color="auto"/>
      </w:divBdr>
    </w:div>
    <w:div w:id="919673839">
      <w:bodyDiv w:val="1"/>
      <w:marLeft w:val="0"/>
      <w:marRight w:val="0"/>
      <w:marTop w:val="0"/>
      <w:marBottom w:val="0"/>
      <w:divBdr>
        <w:top w:val="none" w:sz="0" w:space="0" w:color="auto"/>
        <w:left w:val="none" w:sz="0" w:space="0" w:color="auto"/>
        <w:bottom w:val="none" w:sz="0" w:space="0" w:color="auto"/>
        <w:right w:val="none" w:sz="0" w:space="0" w:color="auto"/>
      </w:divBdr>
    </w:div>
    <w:div w:id="941764939">
      <w:bodyDiv w:val="1"/>
      <w:marLeft w:val="0"/>
      <w:marRight w:val="0"/>
      <w:marTop w:val="0"/>
      <w:marBottom w:val="0"/>
      <w:divBdr>
        <w:top w:val="none" w:sz="0" w:space="0" w:color="auto"/>
        <w:left w:val="none" w:sz="0" w:space="0" w:color="auto"/>
        <w:bottom w:val="none" w:sz="0" w:space="0" w:color="auto"/>
        <w:right w:val="none" w:sz="0" w:space="0" w:color="auto"/>
      </w:divBdr>
    </w:div>
    <w:div w:id="952514142">
      <w:bodyDiv w:val="1"/>
      <w:marLeft w:val="0"/>
      <w:marRight w:val="0"/>
      <w:marTop w:val="0"/>
      <w:marBottom w:val="0"/>
      <w:divBdr>
        <w:top w:val="none" w:sz="0" w:space="0" w:color="auto"/>
        <w:left w:val="none" w:sz="0" w:space="0" w:color="auto"/>
        <w:bottom w:val="none" w:sz="0" w:space="0" w:color="auto"/>
        <w:right w:val="none" w:sz="0" w:space="0" w:color="auto"/>
      </w:divBdr>
    </w:div>
    <w:div w:id="962886031">
      <w:bodyDiv w:val="1"/>
      <w:marLeft w:val="0"/>
      <w:marRight w:val="0"/>
      <w:marTop w:val="0"/>
      <w:marBottom w:val="0"/>
      <w:divBdr>
        <w:top w:val="none" w:sz="0" w:space="0" w:color="auto"/>
        <w:left w:val="none" w:sz="0" w:space="0" w:color="auto"/>
        <w:bottom w:val="none" w:sz="0" w:space="0" w:color="auto"/>
        <w:right w:val="none" w:sz="0" w:space="0" w:color="auto"/>
      </w:divBdr>
    </w:div>
    <w:div w:id="1043484970">
      <w:bodyDiv w:val="1"/>
      <w:marLeft w:val="0"/>
      <w:marRight w:val="0"/>
      <w:marTop w:val="0"/>
      <w:marBottom w:val="0"/>
      <w:divBdr>
        <w:top w:val="none" w:sz="0" w:space="0" w:color="auto"/>
        <w:left w:val="none" w:sz="0" w:space="0" w:color="auto"/>
        <w:bottom w:val="none" w:sz="0" w:space="0" w:color="auto"/>
        <w:right w:val="none" w:sz="0" w:space="0" w:color="auto"/>
      </w:divBdr>
    </w:div>
    <w:div w:id="1048839817">
      <w:bodyDiv w:val="1"/>
      <w:marLeft w:val="0"/>
      <w:marRight w:val="0"/>
      <w:marTop w:val="0"/>
      <w:marBottom w:val="0"/>
      <w:divBdr>
        <w:top w:val="none" w:sz="0" w:space="0" w:color="auto"/>
        <w:left w:val="none" w:sz="0" w:space="0" w:color="auto"/>
        <w:bottom w:val="none" w:sz="0" w:space="0" w:color="auto"/>
        <w:right w:val="none" w:sz="0" w:space="0" w:color="auto"/>
      </w:divBdr>
    </w:div>
    <w:div w:id="1050690772">
      <w:bodyDiv w:val="1"/>
      <w:marLeft w:val="0"/>
      <w:marRight w:val="0"/>
      <w:marTop w:val="0"/>
      <w:marBottom w:val="0"/>
      <w:divBdr>
        <w:top w:val="none" w:sz="0" w:space="0" w:color="auto"/>
        <w:left w:val="none" w:sz="0" w:space="0" w:color="auto"/>
        <w:bottom w:val="none" w:sz="0" w:space="0" w:color="auto"/>
        <w:right w:val="none" w:sz="0" w:space="0" w:color="auto"/>
      </w:divBdr>
    </w:div>
    <w:div w:id="1051853002">
      <w:bodyDiv w:val="1"/>
      <w:marLeft w:val="0"/>
      <w:marRight w:val="0"/>
      <w:marTop w:val="0"/>
      <w:marBottom w:val="0"/>
      <w:divBdr>
        <w:top w:val="none" w:sz="0" w:space="0" w:color="auto"/>
        <w:left w:val="none" w:sz="0" w:space="0" w:color="auto"/>
        <w:bottom w:val="none" w:sz="0" w:space="0" w:color="auto"/>
        <w:right w:val="none" w:sz="0" w:space="0" w:color="auto"/>
      </w:divBdr>
    </w:div>
    <w:div w:id="1054087249">
      <w:bodyDiv w:val="1"/>
      <w:marLeft w:val="0"/>
      <w:marRight w:val="0"/>
      <w:marTop w:val="0"/>
      <w:marBottom w:val="0"/>
      <w:divBdr>
        <w:top w:val="none" w:sz="0" w:space="0" w:color="auto"/>
        <w:left w:val="none" w:sz="0" w:space="0" w:color="auto"/>
        <w:bottom w:val="none" w:sz="0" w:space="0" w:color="auto"/>
        <w:right w:val="none" w:sz="0" w:space="0" w:color="auto"/>
      </w:divBdr>
    </w:div>
    <w:div w:id="1055083933">
      <w:bodyDiv w:val="1"/>
      <w:marLeft w:val="0"/>
      <w:marRight w:val="0"/>
      <w:marTop w:val="0"/>
      <w:marBottom w:val="0"/>
      <w:divBdr>
        <w:top w:val="none" w:sz="0" w:space="0" w:color="auto"/>
        <w:left w:val="none" w:sz="0" w:space="0" w:color="auto"/>
        <w:bottom w:val="none" w:sz="0" w:space="0" w:color="auto"/>
        <w:right w:val="none" w:sz="0" w:space="0" w:color="auto"/>
      </w:divBdr>
    </w:div>
    <w:div w:id="1101488928">
      <w:bodyDiv w:val="1"/>
      <w:marLeft w:val="0"/>
      <w:marRight w:val="0"/>
      <w:marTop w:val="0"/>
      <w:marBottom w:val="0"/>
      <w:divBdr>
        <w:top w:val="none" w:sz="0" w:space="0" w:color="auto"/>
        <w:left w:val="none" w:sz="0" w:space="0" w:color="auto"/>
        <w:bottom w:val="none" w:sz="0" w:space="0" w:color="auto"/>
        <w:right w:val="none" w:sz="0" w:space="0" w:color="auto"/>
      </w:divBdr>
    </w:div>
    <w:div w:id="1101877361">
      <w:bodyDiv w:val="1"/>
      <w:marLeft w:val="0"/>
      <w:marRight w:val="0"/>
      <w:marTop w:val="0"/>
      <w:marBottom w:val="0"/>
      <w:divBdr>
        <w:top w:val="none" w:sz="0" w:space="0" w:color="auto"/>
        <w:left w:val="none" w:sz="0" w:space="0" w:color="auto"/>
        <w:bottom w:val="none" w:sz="0" w:space="0" w:color="auto"/>
        <w:right w:val="none" w:sz="0" w:space="0" w:color="auto"/>
      </w:divBdr>
    </w:div>
    <w:div w:id="1115293606">
      <w:bodyDiv w:val="1"/>
      <w:marLeft w:val="0"/>
      <w:marRight w:val="0"/>
      <w:marTop w:val="0"/>
      <w:marBottom w:val="0"/>
      <w:divBdr>
        <w:top w:val="none" w:sz="0" w:space="0" w:color="auto"/>
        <w:left w:val="none" w:sz="0" w:space="0" w:color="auto"/>
        <w:bottom w:val="none" w:sz="0" w:space="0" w:color="auto"/>
        <w:right w:val="none" w:sz="0" w:space="0" w:color="auto"/>
      </w:divBdr>
    </w:div>
    <w:div w:id="1117262928">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41574466">
      <w:bodyDiv w:val="1"/>
      <w:marLeft w:val="0"/>
      <w:marRight w:val="0"/>
      <w:marTop w:val="0"/>
      <w:marBottom w:val="0"/>
      <w:divBdr>
        <w:top w:val="none" w:sz="0" w:space="0" w:color="auto"/>
        <w:left w:val="none" w:sz="0" w:space="0" w:color="auto"/>
        <w:bottom w:val="none" w:sz="0" w:space="0" w:color="auto"/>
        <w:right w:val="none" w:sz="0" w:space="0" w:color="auto"/>
      </w:divBdr>
    </w:div>
    <w:div w:id="1149981875">
      <w:bodyDiv w:val="1"/>
      <w:marLeft w:val="0"/>
      <w:marRight w:val="0"/>
      <w:marTop w:val="0"/>
      <w:marBottom w:val="0"/>
      <w:divBdr>
        <w:top w:val="none" w:sz="0" w:space="0" w:color="auto"/>
        <w:left w:val="none" w:sz="0" w:space="0" w:color="auto"/>
        <w:bottom w:val="none" w:sz="0" w:space="0" w:color="auto"/>
        <w:right w:val="none" w:sz="0" w:space="0" w:color="auto"/>
      </w:divBdr>
      <w:divsChild>
        <w:div w:id="696153902">
          <w:marLeft w:val="0"/>
          <w:marRight w:val="0"/>
          <w:marTop w:val="0"/>
          <w:marBottom w:val="0"/>
          <w:divBdr>
            <w:top w:val="none" w:sz="0" w:space="0" w:color="auto"/>
            <w:left w:val="none" w:sz="0" w:space="0" w:color="auto"/>
            <w:bottom w:val="none" w:sz="0" w:space="0" w:color="auto"/>
            <w:right w:val="none" w:sz="0" w:space="0" w:color="auto"/>
          </w:divBdr>
          <w:divsChild>
            <w:div w:id="1159612802">
              <w:marLeft w:val="0"/>
              <w:marRight w:val="0"/>
              <w:marTop w:val="0"/>
              <w:marBottom w:val="0"/>
              <w:divBdr>
                <w:top w:val="none" w:sz="0" w:space="0" w:color="auto"/>
                <w:left w:val="none" w:sz="0" w:space="0" w:color="auto"/>
                <w:bottom w:val="none" w:sz="0" w:space="0" w:color="auto"/>
                <w:right w:val="none" w:sz="0" w:space="0" w:color="auto"/>
              </w:divBdr>
              <w:divsChild>
                <w:div w:id="688259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455797">
          <w:marLeft w:val="0"/>
          <w:marRight w:val="0"/>
          <w:marTop w:val="0"/>
          <w:marBottom w:val="0"/>
          <w:divBdr>
            <w:top w:val="none" w:sz="0" w:space="0" w:color="auto"/>
            <w:left w:val="none" w:sz="0" w:space="0" w:color="auto"/>
            <w:bottom w:val="none" w:sz="0" w:space="0" w:color="auto"/>
            <w:right w:val="none" w:sz="0" w:space="0" w:color="auto"/>
          </w:divBdr>
          <w:divsChild>
            <w:div w:id="529298908">
              <w:marLeft w:val="0"/>
              <w:marRight w:val="0"/>
              <w:marTop w:val="0"/>
              <w:marBottom w:val="0"/>
              <w:divBdr>
                <w:top w:val="none" w:sz="0" w:space="0" w:color="auto"/>
                <w:left w:val="none" w:sz="0" w:space="0" w:color="auto"/>
                <w:bottom w:val="none" w:sz="0" w:space="0" w:color="auto"/>
                <w:right w:val="none" w:sz="0" w:space="0" w:color="auto"/>
              </w:divBdr>
              <w:divsChild>
                <w:div w:id="1910730664">
                  <w:marLeft w:val="0"/>
                  <w:marRight w:val="0"/>
                  <w:marTop w:val="0"/>
                  <w:marBottom w:val="0"/>
                  <w:divBdr>
                    <w:top w:val="none" w:sz="0" w:space="0" w:color="auto"/>
                    <w:left w:val="none" w:sz="0" w:space="0" w:color="auto"/>
                    <w:bottom w:val="none" w:sz="0" w:space="0" w:color="auto"/>
                    <w:right w:val="none" w:sz="0" w:space="0" w:color="auto"/>
                  </w:divBdr>
                  <w:divsChild>
                    <w:div w:id="1441417864">
                      <w:marLeft w:val="0"/>
                      <w:marRight w:val="0"/>
                      <w:marTop w:val="0"/>
                      <w:marBottom w:val="0"/>
                      <w:divBdr>
                        <w:top w:val="none" w:sz="0" w:space="0" w:color="auto"/>
                        <w:left w:val="none" w:sz="0" w:space="0" w:color="auto"/>
                        <w:bottom w:val="none" w:sz="0" w:space="0" w:color="auto"/>
                        <w:right w:val="none" w:sz="0" w:space="0" w:color="auto"/>
                      </w:divBdr>
                      <w:divsChild>
                        <w:div w:id="1629320052">
                          <w:marLeft w:val="0"/>
                          <w:marRight w:val="0"/>
                          <w:marTop w:val="0"/>
                          <w:marBottom w:val="0"/>
                          <w:divBdr>
                            <w:top w:val="none" w:sz="0" w:space="0" w:color="auto"/>
                            <w:left w:val="none" w:sz="0" w:space="0" w:color="auto"/>
                            <w:bottom w:val="none" w:sz="0" w:space="0" w:color="auto"/>
                            <w:right w:val="none" w:sz="0" w:space="0" w:color="auto"/>
                          </w:divBdr>
                          <w:divsChild>
                            <w:div w:id="653069055">
                              <w:marLeft w:val="0"/>
                              <w:marRight w:val="0"/>
                              <w:marTop w:val="0"/>
                              <w:marBottom w:val="0"/>
                              <w:divBdr>
                                <w:top w:val="none" w:sz="0" w:space="0" w:color="auto"/>
                                <w:left w:val="none" w:sz="0" w:space="0" w:color="auto"/>
                                <w:bottom w:val="none" w:sz="0" w:space="0" w:color="auto"/>
                                <w:right w:val="none" w:sz="0" w:space="0" w:color="auto"/>
                              </w:divBdr>
                              <w:divsChild>
                                <w:div w:id="1978871729">
                                  <w:marLeft w:val="0"/>
                                  <w:marRight w:val="0"/>
                                  <w:marTop w:val="0"/>
                                  <w:marBottom w:val="0"/>
                                  <w:divBdr>
                                    <w:top w:val="none" w:sz="0" w:space="0" w:color="auto"/>
                                    <w:left w:val="none" w:sz="0" w:space="0" w:color="auto"/>
                                    <w:bottom w:val="none" w:sz="0" w:space="0" w:color="auto"/>
                                    <w:right w:val="none" w:sz="0" w:space="0" w:color="auto"/>
                                  </w:divBdr>
                                  <w:divsChild>
                                    <w:div w:id="1240098319">
                                      <w:marLeft w:val="0"/>
                                      <w:marRight w:val="0"/>
                                      <w:marTop w:val="0"/>
                                      <w:marBottom w:val="0"/>
                                      <w:divBdr>
                                        <w:top w:val="none" w:sz="0" w:space="0" w:color="auto"/>
                                        <w:left w:val="none" w:sz="0" w:space="0" w:color="auto"/>
                                        <w:bottom w:val="none" w:sz="0" w:space="0" w:color="auto"/>
                                        <w:right w:val="none" w:sz="0" w:space="0" w:color="auto"/>
                                      </w:divBdr>
                                      <w:divsChild>
                                        <w:div w:id="2058815340">
                                          <w:marLeft w:val="0"/>
                                          <w:marRight w:val="0"/>
                                          <w:marTop w:val="0"/>
                                          <w:marBottom w:val="0"/>
                                          <w:divBdr>
                                            <w:top w:val="none" w:sz="0" w:space="0" w:color="auto"/>
                                            <w:left w:val="none" w:sz="0" w:space="0" w:color="auto"/>
                                            <w:bottom w:val="none" w:sz="0" w:space="0" w:color="auto"/>
                                            <w:right w:val="none" w:sz="0" w:space="0" w:color="auto"/>
                                          </w:divBdr>
                                          <w:divsChild>
                                            <w:div w:id="1569610628">
                                              <w:marLeft w:val="0"/>
                                              <w:marRight w:val="0"/>
                                              <w:marTop w:val="0"/>
                                              <w:marBottom w:val="0"/>
                                              <w:divBdr>
                                                <w:top w:val="none" w:sz="0" w:space="0" w:color="auto"/>
                                                <w:left w:val="none" w:sz="0" w:space="0" w:color="auto"/>
                                                <w:bottom w:val="none" w:sz="0" w:space="0" w:color="auto"/>
                                                <w:right w:val="none" w:sz="0" w:space="0" w:color="auto"/>
                                              </w:divBdr>
                                              <w:divsChild>
                                                <w:div w:id="743451746">
                                                  <w:marLeft w:val="0"/>
                                                  <w:marRight w:val="0"/>
                                                  <w:marTop w:val="0"/>
                                                  <w:marBottom w:val="0"/>
                                                  <w:divBdr>
                                                    <w:top w:val="none" w:sz="0" w:space="0" w:color="auto"/>
                                                    <w:left w:val="none" w:sz="0" w:space="0" w:color="auto"/>
                                                    <w:bottom w:val="none" w:sz="0" w:space="0" w:color="auto"/>
                                                    <w:right w:val="none" w:sz="0" w:space="0" w:color="auto"/>
                                                  </w:divBdr>
                                                  <w:divsChild>
                                                    <w:div w:id="905801850">
                                                      <w:marLeft w:val="0"/>
                                                      <w:marRight w:val="0"/>
                                                      <w:marTop w:val="0"/>
                                                      <w:marBottom w:val="0"/>
                                                      <w:divBdr>
                                                        <w:top w:val="none" w:sz="0" w:space="0" w:color="auto"/>
                                                        <w:left w:val="none" w:sz="0" w:space="0" w:color="auto"/>
                                                        <w:bottom w:val="none" w:sz="0" w:space="0" w:color="auto"/>
                                                        <w:right w:val="none" w:sz="0" w:space="0" w:color="auto"/>
                                                      </w:divBdr>
                                                      <w:divsChild>
                                                        <w:div w:id="1413160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628429">
                                                  <w:marLeft w:val="0"/>
                                                  <w:marRight w:val="0"/>
                                                  <w:marTop w:val="0"/>
                                                  <w:marBottom w:val="0"/>
                                                  <w:divBdr>
                                                    <w:top w:val="none" w:sz="0" w:space="0" w:color="auto"/>
                                                    <w:left w:val="none" w:sz="0" w:space="0" w:color="auto"/>
                                                    <w:bottom w:val="none" w:sz="0" w:space="0" w:color="auto"/>
                                                    <w:right w:val="none" w:sz="0" w:space="0" w:color="auto"/>
                                                  </w:divBdr>
                                                  <w:divsChild>
                                                    <w:div w:id="1188107087">
                                                      <w:marLeft w:val="0"/>
                                                      <w:marRight w:val="0"/>
                                                      <w:marTop w:val="0"/>
                                                      <w:marBottom w:val="0"/>
                                                      <w:divBdr>
                                                        <w:top w:val="none" w:sz="0" w:space="0" w:color="auto"/>
                                                        <w:left w:val="none" w:sz="0" w:space="0" w:color="auto"/>
                                                        <w:bottom w:val="none" w:sz="0" w:space="0" w:color="auto"/>
                                                        <w:right w:val="none" w:sz="0" w:space="0" w:color="auto"/>
                                                      </w:divBdr>
                                                      <w:divsChild>
                                                        <w:div w:id="1211771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153444769">
      <w:bodyDiv w:val="1"/>
      <w:marLeft w:val="0"/>
      <w:marRight w:val="0"/>
      <w:marTop w:val="0"/>
      <w:marBottom w:val="0"/>
      <w:divBdr>
        <w:top w:val="none" w:sz="0" w:space="0" w:color="auto"/>
        <w:left w:val="none" w:sz="0" w:space="0" w:color="auto"/>
        <w:bottom w:val="none" w:sz="0" w:space="0" w:color="auto"/>
        <w:right w:val="none" w:sz="0" w:space="0" w:color="auto"/>
      </w:divBdr>
    </w:div>
    <w:div w:id="1155729439">
      <w:bodyDiv w:val="1"/>
      <w:marLeft w:val="0"/>
      <w:marRight w:val="0"/>
      <w:marTop w:val="0"/>
      <w:marBottom w:val="0"/>
      <w:divBdr>
        <w:top w:val="none" w:sz="0" w:space="0" w:color="auto"/>
        <w:left w:val="none" w:sz="0" w:space="0" w:color="auto"/>
        <w:bottom w:val="none" w:sz="0" w:space="0" w:color="auto"/>
        <w:right w:val="none" w:sz="0" w:space="0" w:color="auto"/>
      </w:divBdr>
      <w:divsChild>
        <w:div w:id="474226875">
          <w:marLeft w:val="0"/>
          <w:marRight w:val="0"/>
          <w:marTop w:val="0"/>
          <w:marBottom w:val="0"/>
          <w:divBdr>
            <w:top w:val="none" w:sz="0" w:space="0" w:color="auto"/>
            <w:left w:val="none" w:sz="0" w:space="0" w:color="auto"/>
            <w:bottom w:val="none" w:sz="0" w:space="0" w:color="auto"/>
            <w:right w:val="none" w:sz="0" w:space="0" w:color="auto"/>
          </w:divBdr>
          <w:divsChild>
            <w:div w:id="2067222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240257">
      <w:bodyDiv w:val="1"/>
      <w:marLeft w:val="0"/>
      <w:marRight w:val="0"/>
      <w:marTop w:val="0"/>
      <w:marBottom w:val="0"/>
      <w:divBdr>
        <w:top w:val="none" w:sz="0" w:space="0" w:color="auto"/>
        <w:left w:val="none" w:sz="0" w:space="0" w:color="auto"/>
        <w:bottom w:val="none" w:sz="0" w:space="0" w:color="auto"/>
        <w:right w:val="none" w:sz="0" w:space="0" w:color="auto"/>
      </w:divBdr>
    </w:div>
    <w:div w:id="1171870012">
      <w:bodyDiv w:val="1"/>
      <w:marLeft w:val="0"/>
      <w:marRight w:val="0"/>
      <w:marTop w:val="0"/>
      <w:marBottom w:val="0"/>
      <w:divBdr>
        <w:top w:val="none" w:sz="0" w:space="0" w:color="auto"/>
        <w:left w:val="none" w:sz="0" w:space="0" w:color="auto"/>
        <w:bottom w:val="none" w:sz="0" w:space="0" w:color="auto"/>
        <w:right w:val="none" w:sz="0" w:space="0" w:color="auto"/>
      </w:divBdr>
    </w:div>
    <w:div w:id="1176850232">
      <w:bodyDiv w:val="1"/>
      <w:marLeft w:val="0"/>
      <w:marRight w:val="0"/>
      <w:marTop w:val="0"/>
      <w:marBottom w:val="0"/>
      <w:divBdr>
        <w:top w:val="none" w:sz="0" w:space="0" w:color="auto"/>
        <w:left w:val="none" w:sz="0" w:space="0" w:color="auto"/>
        <w:bottom w:val="none" w:sz="0" w:space="0" w:color="auto"/>
        <w:right w:val="none" w:sz="0" w:space="0" w:color="auto"/>
      </w:divBdr>
    </w:div>
    <w:div w:id="1180269921">
      <w:bodyDiv w:val="1"/>
      <w:marLeft w:val="0"/>
      <w:marRight w:val="0"/>
      <w:marTop w:val="0"/>
      <w:marBottom w:val="0"/>
      <w:divBdr>
        <w:top w:val="none" w:sz="0" w:space="0" w:color="auto"/>
        <w:left w:val="none" w:sz="0" w:space="0" w:color="auto"/>
        <w:bottom w:val="none" w:sz="0" w:space="0" w:color="auto"/>
        <w:right w:val="none" w:sz="0" w:space="0" w:color="auto"/>
      </w:divBdr>
    </w:div>
    <w:div w:id="1198009971">
      <w:bodyDiv w:val="1"/>
      <w:marLeft w:val="0"/>
      <w:marRight w:val="0"/>
      <w:marTop w:val="0"/>
      <w:marBottom w:val="0"/>
      <w:divBdr>
        <w:top w:val="none" w:sz="0" w:space="0" w:color="auto"/>
        <w:left w:val="none" w:sz="0" w:space="0" w:color="auto"/>
        <w:bottom w:val="none" w:sz="0" w:space="0" w:color="auto"/>
        <w:right w:val="none" w:sz="0" w:space="0" w:color="auto"/>
      </w:divBdr>
    </w:div>
    <w:div w:id="1228878081">
      <w:bodyDiv w:val="1"/>
      <w:marLeft w:val="0"/>
      <w:marRight w:val="0"/>
      <w:marTop w:val="0"/>
      <w:marBottom w:val="0"/>
      <w:divBdr>
        <w:top w:val="none" w:sz="0" w:space="0" w:color="auto"/>
        <w:left w:val="none" w:sz="0" w:space="0" w:color="auto"/>
        <w:bottom w:val="none" w:sz="0" w:space="0" w:color="auto"/>
        <w:right w:val="none" w:sz="0" w:space="0" w:color="auto"/>
      </w:divBdr>
    </w:div>
    <w:div w:id="1232276573">
      <w:bodyDiv w:val="1"/>
      <w:marLeft w:val="0"/>
      <w:marRight w:val="0"/>
      <w:marTop w:val="0"/>
      <w:marBottom w:val="0"/>
      <w:divBdr>
        <w:top w:val="none" w:sz="0" w:space="0" w:color="auto"/>
        <w:left w:val="none" w:sz="0" w:space="0" w:color="auto"/>
        <w:bottom w:val="none" w:sz="0" w:space="0" w:color="auto"/>
        <w:right w:val="none" w:sz="0" w:space="0" w:color="auto"/>
      </w:divBdr>
    </w:div>
    <w:div w:id="1234849176">
      <w:bodyDiv w:val="1"/>
      <w:marLeft w:val="0"/>
      <w:marRight w:val="0"/>
      <w:marTop w:val="0"/>
      <w:marBottom w:val="0"/>
      <w:divBdr>
        <w:top w:val="none" w:sz="0" w:space="0" w:color="auto"/>
        <w:left w:val="none" w:sz="0" w:space="0" w:color="auto"/>
        <w:bottom w:val="none" w:sz="0" w:space="0" w:color="auto"/>
        <w:right w:val="none" w:sz="0" w:space="0" w:color="auto"/>
      </w:divBdr>
    </w:div>
    <w:div w:id="1245799398">
      <w:bodyDiv w:val="1"/>
      <w:marLeft w:val="0"/>
      <w:marRight w:val="0"/>
      <w:marTop w:val="0"/>
      <w:marBottom w:val="0"/>
      <w:divBdr>
        <w:top w:val="none" w:sz="0" w:space="0" w:color="auto"/>
        <w:left w:val="none" w:sz="0" w:space="0" w:color="auto"/>
        <w:bottom w:val="none" w:sz="0" w:space="0" w:color="auto"/>
        <w:right w:val="none" w:sz="0" w:space="0" w:color="auto"/>
      </w:divBdr>
    </w:div>
    <w:div w:id="1246190009">
      <w:bodyDiv w:val="1"/>
      <w:marLeft w:val="0"/>
      <w:marRight w:val="0"/>
      <w:marTop w:val="0"/>
      <w:marBottom w:val="0"/>
      <w:divBdr>
        <w:top w:val="none" w:sz="0" w:space="0" w:color="auto"/>
        <w:left w:val="none" w:sz="0" w:space="0" w:color="auto"/>
        <w:bottom w:val="none" w:sz="0" w:space="0" w:color="auto"/>
        <w:right w:val="none" w:sz="0" w:space="0" w:color="auto"/>
      </w:divBdr>
    </w:div>
    <w:div w:id="1246722324">
      <w:bodyDiv w:val="1"/>
      <w:marLeft w:val="0"/>
      <w:marRight w:val="0"/>
      <w:marTop w:val="0"/>
      <w:marBottom w:val="0"/>
      <w:divBdr>
        <w:top w:val="none" w:sz="0" w:space="0" w:color="auto"/>
        <w:left w:val="none" w:sz="0" w:space="0" w:color="auto"/>
        <w:bottom w:val="none" w:sz="0" w:space="0" w:color="auto"/>
        <w:right w:val="none" w:sz="0" w:space="0" w:color="auto"/>
      </w:divBdr>
    </w:div>
    <w:div w:id="1246845433">
      <w:bodyDiv w:val="1"/>
      <w:marLeft w:val="0"/>
      <w:marRight w:val="0"/>
      <w:marTop w:val="0"/>
      <w:marBottom w:val="0"/>
      <w:divBdr>
        <w:top w:val="none" w:sz="0" w:space="0" w:color="auto"/>
        <w:left w:val="none" w:sz="0" w:space="0" w:color="auto"/>
        <w:bottom w:val="none" w:sz="0" w:space="0" w:color="auto"/>
        <w:right w:val="none" w:sz="0" w:space="0" w:color="auto"/>
      </w:divBdr>
    </w:div>
    <w:div w:id="1247156400">
      <w:bodyDiv w:val="1"/>
      <w:marLeft w:val="0"/>
      <w:marRight w:val="0"/>
      <w:marTop w:val="0"/>
      <w:marBottom w:val="0"/>
      <w:divBdr>
        <w:top w:val="none" w:sz="0" w:space="0" w:color="auto"/>
        <w:left w:val="none" w:sz="0" w:space="0" w:color="auto"/>
        <w:bottom w:val="none" w:sz="0" w:space="0" w:color="auto"/>
        <w:right w:val="none" w:sz="0" w:space="0" w:color="auto"/>
      </w:divBdr>
    </w:div>
    <w:div w:id="1262764558">
      <w:bodyDiv w:val="1"/>
      <w:marLeft w:val="0"/>
      <w:marRight w:val="0"/>
      <w:marTop w:val="0"/>
      <w:marBottom w:val="0"/>
      <w:divBdr>
        <w:top w:val="none" w:sz="0" w:space="0" w:color="auto"/>
        <w:left w:val="none" w:sz="0" w:space="0" w:color="auto"/>
        <w:bottom w:val="none" w:sz="0" w:space="0" w:color="auto"/>
        <w:right w:val="none" w:sz="0" w:space="0" w:color="auto"/>
      </w:divBdr>
    </w:div>
    <w:div w:id="1263686295">
      <w:bodyDiv w:val="1"/>
      <w:marLeft w:val="0"/>
      <w:marRight w:val="0"/>
      <w:marTop w:val="0"/>
      <w:marBottom w:val="0"/>
      <w:divBdr>
        <w:top w:val="none" w:sz="0" w:space="0" w:color="auto"/>
        <w:left w:val="none" w:sz="0" w:space="0" w:color="auto"/>
        <w:bottom w:val="none" w:sz="0" w:space="0" w:color="auto"/>
        <w:right w:val="none" w:sz="0" w:space="0" w:color="auto"/>
      </w:divBdr>
    </w:div>
    <w:div w:id="1280726172">
      <w:bodyDiv w:val="1"/>
      <w:marLeft w:val="0"/>
      <w:marRight w:val="0"/>
      <w:marTop w:val="0"/>
      <w:marBottom w:val="0"/>
      <w:divBdr>
        <w:top w:val="none" w:sz="0" w:space="0" w:color="auto"/>
        <w:left w:val="none" w:sz="0" w:space="0" w:color="auto"/>
        <w:bottom w:val="none" w:sz="0" w:space="0" w:color="auto"/>
        <w:right w:val="none" w:sz="0" w:space="0" w:color="auto"/>
      </w:divBdr>
      <w:divsChild>
        <w:div w:id="1996374630">
          <w:marLeft w:val="0"/>
          <w:marRight w:val="0"/>
          <w:marTop w:val="0"/>
          <w:marBottom w:val="0"/>
          <w:divBdr>
            <w:top w:val="none" w:sz="0" w:space="0" w:color="auto"/>
            <w:left w:val="none" w:sz="0" w:space="0" w:color="auto"/>
            <w:bottom w:val="none" w:sz="0" w:space="0" w:color="auto"/>
            <w:right w:val="none" w:sz="0" w:space="0" w:color="auto"/>
          </w:divBdr>
        </w:div>
      </w:divsChild>
    </w:div>
    <w:div w:id="1295795268">
      <w:bodyDiv w:val="1"/>
      <w:marLeft w:val="0"/>
      <w:marRight w:val="0"/>
      <w:marTop w:val="0"/>
      <w:marBottom w:val="0"/>
      <w:divBdr>
        <w:top w:val="none" w:sz="0" w:space="0" w:color="auto"/>
        <w:left w:val="none" w:sz="0" w:space="0" w:color="auto"/>
        <w:bottom w:val="none" w:sz="0" w:space="0" w:color="auto"/>
        <w:right w:val="none" w:sz="0" w:space="0" w:color="auto"/>
      </w:divBdr>
    </w:div>
    <w:div w:id="1302075400">
      <w:bodyDiv w:val="1"/>
      <w:marLeft w:val="0"/>
      <w:marRight w:val="0"/>
      <w:marTop w:val="0"/>
      <w:marBottom w:val="0"/>
      <w:divBdr>
        <w:top w:val="none" w:sz="0" w:space="0" w:color="auto"/>
        <w:left w:val="none" w:sz="0" w:space="0" w:color="auto"/>
        <w:bottom w:val="none" w:sz="0" w:space="0" w:color="auto"/>
        <w:right w:val="none" w:sz="0" w:space="0" w:color="auto"/>
      </w:divBdr>
    </w:div>
    <w:div w:id="1304198257">
      <w:bodyDiv w:val="1"/>
      <w:marLeft w:val="0"/>
      <w:marRight w:val="0"/>
      <w:marTop w:val="0"/>
      <w:marBottom w:val="0"/>
      <w:divBdr>
        <w:top w:val="none" w:sz="0" w:space="0" w:color="auto"/>
        <w:left w:val="none" w:sz="0" w:space="0" w:color="auto"/>
        <w:bottom w:val="none" w:sz="0" w:space="0" w:color="auto"/>
        <w:right w:val="none" w:sz="0" w:space="0" w:color="auto"/>
      </w:divBdr>
    </w:div>
    <w:div w:id="1306936973">
      <w:bodyDiv w:val="1"/>
      <w:marLeft w:val="0"/>
      <w:marRight w:val="0"/>
      <w:marTop w:val="0"/>
      <w:marBottom w:val="0"/>
      <w:divBdr>
        <w:top w:val="none" w:sz="0" w:space="0" w:color="auto"/>
        <w:left w:val="none" w:sz="0" w:space="0" w:color="auto"/>
        <w:bottom w:val="none" w:sz="0" w:space="0" w:color="auto"/>
        <w:right w:val="none" w:sz="0" w:space="0" w:color="auto"/>
      </w:divBdr>
    </w:div>
    <w:div w:id="1316836816">
      <w:bodyDiv w:val="1"/>
      <w:marLeft w:val="0"/>
      <w:marRight w:val="0"/>
      <w:marTop w:val="0"/>
      <w:marBottom w:val="0"/>
      <w:divBdr>
        <w:top w:val="none" w:sz="0" w:space="0" w:color="auto"/>
        <w:left w:val="none" w:sz="0" w:space="0" w:color="auto"/>
        <w:bottom w:val="none" w:sz="0" w:space="0" w:color="auto"/>
        <w:right w:val="none" w:sz="0" w:space="0" w:color="auto"/>
      </w:divBdr>
    </w:div>
    <w:div w:id="1321932158">
      <w:bodyDiv w:val="1"/>
      <w:marLeft w:val="0"/>
      <w:marRight w:val="0"/>
      <w:marTop w:val="0"/>
      <w:marBottom w:val="0"/>
      <w:divBdr>
        <w:top w:val="none" w:sz="0" w:space="0" w:color="auto"/>
        <w:left w:val="none" w:sz="0" w:space="0" w:color="auto"/>
        <w:bottom w:val="none" w:sz="0" w:space="0" w:color="auto"/>
        <w:right w:val="none" w:sz="0" w:space="0" w:color="auto"/>
      </w:divBdr>
    </w:div>
    <w:div w:id="1327779675">
      <w:bodyDiv w:val="1"/>
      <w:marLeft w:val="0"/>
      <w:marRight w:val="0"/>
      <w:marTop w:val="0"/>
      <w:marBottom w:val="0"/>
      <w:divBdr>
        <w:top w:val="none" w:sz="0" w:space="0" w:color="auto"/>
        <w:left w:val="none" w:sz="0" w:space="0" w:color="auto"/>
        <w:bottom w:val="none" w:sz="0" w:space="0" w:color="auto"/>
        <w:right w:val="none" w:sz="0" w:space="0" w:color="auto"/>
      </w:divBdr>
    </w:div>
    <w:div w:id="1335448861">
      <w:bodyDiv w:val="1"/>
      <w:marLeft w:val="0"/>
      <w:marRight w:val="0"/>
      <w:marTop w:val="0"/>
      <w:marBottom w:val="0"/>
      <w:divBdr>
        <w:top w:val="none" w:sz="0" w:space="0" w:color="auto"/>
        <w:left w:val="none" w:sz="0" w:space="0" w:color="auto"/>
        <w:bottom w:val="none" w:sz="0" w:space="0" w:color="auto"/>
        <w:right w:val="none" w:sz="0" w:space="0" w:color="auto"/>
      </w:divBdr>
    </w:div>
    <w:div w:id="1343816968">
      <w:bodyDiv w:val="1"/>
      <w:marLeft w:val="0"/>
      <w:marRight w:val="0"/>
      <w:marTop w:val="0"/>
      <w:marBottom w:val="0"/>
      <w:divBdr>
        <w:top w:val="none" w:sz="0" w:space="0" w:color="auto"/>
        <w:left w:val="none" w:sz="0" w:space="0" w:color="auto"/>
        <w:bottom w:val="none" w:sz="0" w:space="0" w:color="auto"/>
        <w:right w:val="none" w:sz="0" w:space="0" w:color="auto"/>
      </w:divBdr>
    </w:div>
    <w:div w:id="1345324776">
      <w:bodyDiv w:val="1"/>
      <w:marLeft w:val="0"/>
      <w:marRight w:val="0"/>
      <w:marTop w:val="0"/>
      <w:marBottom w:val="0"/>
      <w:divBdr>
        <w:top w:val="none" w:sz="0" w:space="0" w:color="auto"/>
        <w:left w:val="none" w:sz="0" w:space="0" w:color="auto"/>
        <w:bottom w:val="none" w:sz="0" w:space="0" w:color="auto"/>
        <w:right w:val="none" w:sz="0" w:space="0" w:color="auto"/>
      </w:divBdr>
    </w:div>
    <w:div w:id="1350377129">
      <w:bodyDiv w:val="1"/>
      <w:marLeft w:val="0"/>
      <w:marRight w:val="0"/>
      <w:marTop w:val="0"/>
      <w:marBottom w:val="0"/>
      <w:divBdr>
        <w:top w:val="none" w:sz="0" w:space="0" w:color="auto"/>
        <w:left w:val="none" w:sz="0" w:space="0" w:color="auto"/>
        <w:bottom w:val="none" w:sz="0" w:space="0" w:color="auto"/>
        <w:right w:val="none" w:sz="0" w:space="0" w:color="auto"/>
      </w:divBdr>
    </w:div>
    <w:div w:id="1355306206">
      <w:bodyDiv w:val="1"/>
      <w:marLeft w:val="0"/>
      <w:marRight w:val="0"/>
      <w:marTop w:val="0"/>
      <w:marBottom w:val="0"/>
      <w:divBdr>
        <w:top w:val="none" w:sz="0" w:space="0" w:color="auto"/>
        <w:left w:val="none" w:sz="0" w:space="0" w:color="auto"/>
        <w:bottom w:val="none" w:sz="0" w:space="0" w:color="auto"/>
        <w:right w:val="none" w:sz="0" w:space="0" w:color="auto"/>
      </w:divBdr>
    </w:div>
    <w:div w:id="1359234877">
      <w:bodyDiv w:val="1"/>
      <w:marLeft w:val="0"/>
      <w:marRight w:val="0"/>
      <w:marTop w:val="0"/>
      <w:marBottom w:val="0"/>
      <w:divBdr>
        <w:top w:val="none" w:sz="0" w:space="0" w:color="auto"/>
        <w:left w:val="none" w:sz="0" w:space="0" w:color="auto"/>
        <w:bottom w:val="none" w:sz="0" w:space="0" w:color="auto"/>
        <w:right w:val="none" w:sz="0" w:space="0" w:color="auto"/>
      </w:divBdr>
      <w:divsChild>
        <w:div w:id="1962832736">
          <w:marLeft w:val="0"/>
          <w:marRight w:val="0"/>
          <w:marTop w:val="0"/>
          <w:marBottom w:val="0"/>
          <w:divBdr>
            <w:top w:val="none" w:sz="0" w:space="0" w:color="auto"/>
            <w:left w:val="none" w:sz="0" w:space="0" w:color="auto"/>
            <w:bottom w:val="none" w:sz="0" w:space="0" w:color="auto"/>
            <w:right w:val="none" w:sz="0" w:space="0" w:color="auto"/>
          </w:divBdr>
        </w:div>
      </w:divsChild>
    </w:div>
    <w:div w:id="1362122075">
      <w:bodyDiv w:val="1"/>
      <w:marLeft w:val="0"/>
      <w:marRight w:val="0"/>
      <w:marTop w:val="0"/>
      <w:marBottom w:val="0"/>
      <w:divBdr>
        <w:top w:val="none" w:sz="0" w:space="0" w:color="auto"/>
        <w:left w:val="none" w:sz="0" w:space="0" w:color="auto"/>
        <w:bottom w:val="none" w:sz="0" w:space="0" w:color="auto"/>
        <w:right w:val="none" w:sz="0" w:space="0" w:color="auto"/>
      </w:divBdr>
    </w:div>
    <w:div w:id="1365210911">
      <w:bodyDiv w:val="1"/>
      <w:marLeft w:val="0"/>
      <w:marRight w:val="0"/>
      <w:marTop w:val="0"/>
      <w:marBottom w:val="0"/>
      <w:divBdr>
        <w:top w:val="none" w:sz="0" w:space="0" w:color="auto"/>
        <w:left w:val="none" w:sz="0" w:space="0" w:color="auto"/>
        <w:bottom w:val="none" w:sz="0" w:space="0" w:color="auto"/>
        <w:right w:val="none" w:sz="0" w:space="0" w:color="auto"/>
      </w:divBdr>
      <w:divsChild>
        <w:div w:id="337848738">
          <w:marLeft w:val="0"/>
          <w:marRight w:val="0"/>
          <w:marTop w:val="0"/>
          <w:marBottom w:val="0"/>
          <w:divBdr>
            <w:top w:val="none" w:sz="0" w:space="0" w:color="auto"/>
            <w:left w:val="none" w:sz="0" w:space="0" w:color="auto"/>
            <w:bottom w:val="none" w:sz="0" w:space="0" w:color="auto"/>
            <w:right w:val="none" w:sz="0" w:space="0" w:color="auto"/>
          </w:divBdr>
        </w:div>
      </w:divsChild>
    </w:div>
    <w:div w:id="1380713756">
      <w:bodyDiv w:val="1"/>
      <w:marLeft w:val="0"/>
      <w:marRight w:val="0"/>
      <w:marTop w:val="0"/>
      <w:marBottom w:val="0"/>
      <w:divBdr>
        <w:top w:val="none" w:sz="0" w:space="0" w:color="auto"/>
        <w:left w:val="none" w:sz="0" w:space="0" w:color="auto"/>
        <w:bottom w:val="none" w:sz="0" w:space="0" w:color="auto"/>
        <w:right w:val="none" w:sz="0" w:space="0" w:color="auto"/>
      </w:divBdr>
    </w:div>
    <w:div w:id="1382097465">
      <w:bodyDiv w:val="1"/>
      <w:marLeft w:val="0"/>
      <w:marRight w:val="0"/>
      <w:marTop w:val="0"/>
      <w:marBottom w:val="0"/>
      <w:divBdr>
        <w:top w:val="none" w:sz="0" w:space="0" w:color="auto"/>
        <w:left w:val="none" w:sz="0" w:space="0" w:color="auto"/>
        <w:bottom w:val="none" w:sz="0" w:space="0" w:color="auto"/>
        <w:right w:val="none" w:sz="0" w:space="0" w:color="auto"/>
      </w:divBdr>
      <w:divsChild>
        <w:div w:id="1959750369">
          <w:marLeft w:val="0"/>
          <w:marRight w:val="0"/>
          <w:marTop w:val="0"/>
          <w:marBottom w:val="0"/>
          <w:divBdr>
            <w:top w:val="none" w:sz="0" w:space="0" w:color="auto"/>
            <w:left w:val="none" w:sz="0" w:space="0" w:color="auto"/>
            <w:bottom w:val="none" w:sz="0" w:space="0" w:color="auto"/>
            <w:right w:val="none" w:sz="0" w:space="0" w:color="auto"/>
          </w:divBdr>
        </w:div>
      </w:divsChild>
    </w:div>
    <w:div w:id="1392122593">
      <w:bodyDiv w:val="1"/>
      <w:marLeft w:val="0"/>
      <w:marRight w:val="0"/>
      <w:marTop w:val="0"/>
      <w:marBottom w:val="0"/>
      <w:divBdr>
        <w:top w:val="none" w:sz="0" w:space="0" w:color="auto"/>
        <w:left w:val="none" w:sz="0" w:space="0" w:color="auto"/>
        <w:bottom w:val="none" w:sz="0" w:space="0" w:color="auto"/>
        <w:right w:val="none" w:sz="0" w:space="0" w:color="auto"/>
      </w:divBdr>
    </w:div>
    <w:div w:id="1395737964">
      <w:bodyDiv w:val="1"/>
      <w:marLeft w:val="0"/>
      <w:marRight w:val="0"/>
      <w:marTop w:val="0"/>
      <w:marBottom w:val="0"/>
      <w:divBdr>
        <w:top w:val="none" w:sz="0" w:space="0" w:color="auto"/>
        <w:left w:val="none" w:sz="0" w:space="0" w:color="auto"/>
        <w:bottom w:val="none" w:sz="0" w:space="0" w:color="auto"/>
        <w:right w:val="none" w:sz="0" w:space="0" w:color="auto"/>
      </w:divBdr>
    </w:div>
    <w:div w:id="1405420763">
      <w:bodyDiv w:val="1"/>
      <w:marLeft w:val="0"/>
      <w:marRight w:val="0"/>
      <w:marTop w:val="0"/>
      <w:marBottom w:val="0"/>
      <w:divBdr>
        <w:top w:val="none" w:sz="0" w:space="0" w:color="auto"/>
        <w:left w:val="none" w:sz="0" w:space="0" w:color="auto"/>
        <w:bottom w:val="none" w:sz="0" w:space="0" w:color="auto"/>
        <w:right w:val="none" w:sz="0" w:space="0" w:color="auto"/>
      </w:divBdr>
    </w:div>
    <w:div w:id="1408503548">
      <w:bodyDiv w:val="1"/>
      <w:marLeft w:val="0"/>
      <w:marRight w:val="0"/>
      <w:marTop w:val="0"/>
      <w:marBottom w:val="0"/>
      <w:divBdr>
        <w:top w:val="none" w:sz="0" w:space="0" w:color="auto"/>
        <w:left w:val="none" w:sz="0" w:space="0" w:color="auto"/>
        <w:bottom w:val="none" w:sz="0" w:space="0" w:color="auto"/>
        <w:right w:val="none" w:sz="0" w:space="0" w:color="auto"/>
      </w:divBdr>
      <w:divsChild>
        <w:div w:id="279920199">
          <w:marLeft w:val="0"/>
          <w:marRight w:val="0"/>
          <w:marTop w:val="0"/>
          <w:marBottom w:val="0"/>
          <w:divBdr>
            <w:top w:val="none" w:sz="0" w:space="0" w:color="auto"/>
            <w:left w:val="none" w:sz="0" w:space="0" w:color="auto"/>
            <w:bottom w:val="none" w:sz="0" w:space="0" w:color="auto"/>
            <w:right w:val="none" w:sz="0" w:space="0" w:color="auto"/>
          </w:divBdr>
        </w:div>
      </w:divsChild>
    </w:div>
    <w:div w:id="1419524955">
      <w:bodyDiv w:val="1"/>
      <w:marLeft w:val="0"/>
      <w:marRight w:val="0"/>
      <w:marTop w:val="0"/>
      <w:marBottom w:val="0"/>
      <w:divBdr>
        <w:top w:val="none" w:sz="0" w:space="0" w:color="auto"/>
        <w:left w:val="none" w:sz="0" w:space="0" w:color="auto"/>
        <w:bottom w:val="none" w:sz="0" w:space="0" w:color="auto"/>
        <w:right w:val="none" w:sz="0" w:space="0" w:color="auto"/>
      </w:divBdr>
    </w:div>
    <w:div w:id="1447189542">
      <w:bodyDiv w:val="1"/>
      <w:marLeft w:val="0"/>
      <w:marRight w:val="0"/>
      <w:marTop w:val="0"/>
      <w:marBottom w:val="0"/>
      <w:divBdr>
        <w:top w:val="none" w:sz="0" w:space="0" w:color="auto"/>
        <w:left w:val="none" w:sz="0" w:space="0" w:color="auto"/>
        <w:bottom w:val="none" w:sz="0" w:space="0" w:color="auto"/>
        <w:right w:val="none" w:sz="0" w:space="0" w:color="auto"/>
      </w:divBdr>
    </w:div>
    <w:div w:id="1447887853">
      <w:bodyDiv w:val="1"/>
      <w:marLeft w:val="0"/>
      <w:marRight w:val="0"/>
      <w:marTop w:val="0"/>
      <w:marBottom w:val="0"/>
      <w:divBdr>
        <w:top w:val="none" w:sz="0" w:space="0" w:color="auto"/>
        <w:left w:val="none" w:sz="0" w:space="0" w:color="auto"/>
        <w:bottom w:val="none" w:sz="0" w:space="0" w:color="auto"/>
        <w:right w:val="none" w:sz="0" w:space="0" w:color="auto"/>
      </w:divBdr>
    </w:div>
    <w:div w:id="1451437947">
      <w:bodyDiv w:val="1"/>
      <w:marLeft w:val="0"/>
      <w:marRight w:val="0"/>
      <w:marTop w:val="0"/>
      <w:marBottom w:val="0"/>
      <w:divBdr>
        <w:top w:val="none" w:sz="0" w:space="0" w:color="auto"/>
        <w:left w:val="none" w:sz="0" w:space="0" w:color="auto"/>
        <w:bottom w:val="none" w:sz="0" w:space="0" w:color="auto"/>
        <w:right w:val="none" w:sz="0" w:space="0" w:color="auto"/>
      </w:divBdr>
    </w:div>
    <w:div w:id="1453939719">
      <w:bodyDiv w:val="1"/>
      <w:marLeft w:val="0"/>
      <w:marRight w:val="0"/>
      <w:marTop w:val="0"/>
      <w:marBottom w:val="0"/>
      <w:divBdr>
        <w:top w:val="none" w:sz="0" w:space="0" w:color="auto"/>
        <w:left w:val="none" w:sz="0" w:space="0" w:color="auto"/>
        <w:bottom w:val="none" w:sz="0" w:space="0" w:color="auto"/>
        <w:right w:val="none" w:sz="0" w:space="0" w:color="auto"/>
      </w:divBdr>
    </w:div>
    <w:div w:id="1472752100">
      <w:bodyDiv w:val="1"/>
      <w:marLeft w:val="0"/>
      <w:marRight w:val="0"/>
      <w:marTop w:val="0"/>
      <w:marBottom w:val="0"/>
      <w:divBdr>
        <w:top w:val="none" w:sz="0" w:space="0" w:color="auto"/>
        <w:left w:val="none" w:sz="0" w:space="0" w:color="auto"/>
        <w:bottom w:val="none" w:sz="0" w:space="0" w:color="auto"/>
        <w:right w:val="none" w:sz="0" w:space="0" w:color="auto"/>
      </w:divBdr>
      <w:divsChild>
        <w:div w:id="700857514">
          <w:marLeft w:val="0"/>
          <w:marRight w:val="0"/>
          <w:marTop w:val="0"/>
          <w:marBottom w:val="0"/>
          <w:divBdr>
            <w:top w:val="none" w:sz="0" w:space="0" w:color="auto"/>
            <w:left w:val="none" w:sz="0" w:space="0" w:color="auto"/>
            <w:bottom w:val="none" w:sz="0" w:space="0" w:color="auto"/>
            <w:right w:val="none" w:sz="0" w:space="0" w:color="auto"/>
          </w:divBdr>
          <w:divsChild>
            <w:div w:id="746193758">
              <w:marLeft w:val="0"/>
              <w:marRight w:val="0"/>
              <w:marTop w:val="0"/>
              <w:marBottom w:val="0"/>
              <w:divBdr>
                <w:top w:val="none" w:sz="0" w:space="0" w:color="auto"/>
                <w:left w:val="none" w:sz="0" w:space="0" w:color="auto"/>
                <w:bottom w:val="none" w:sz="0" w:space="0" w:color="auto"/>
                <w:right w:val="none" w:sz="0" w:space="0" w:color="auto"/>
              </w:divBdr>
            </w:div>
          </w:divsChild>
        </w:div>
        <w:div w:id="1642997240">
          <w:marLeft w:val="0"/>
          <w:marRight w:val="0"/>
          <w:marTop w:val="0"/>
          <w:marBottom w:val="0"/>
          <w:divBdr>
            <w:top w:val="none" w:sz="0" w:space="0" w:color="auto"/>
            <w:left w:val="none" w:sz="0" w:space="0" w:color="auto"/>
            <w:bottom w:val="none" w:sz="0" w:space="0" w:color="auto"/>
            <w:right w:val="none" w:sz="0" w:space="0" w:color="auto"/>
          </w:divBdr>
          <w:divsChild>
            <w:div w:id="1017578832">
              <w:marLeft w:val="0"/>
              <w:marRight w:val="0"/>
              <w:marTop w:val="0"/>
              <w:marBottom w:val="0"/>
              <w:divBdr>
                <w:top w:val="none" w:sz="0" w:space="0" w:color="auto"/>
                <w:left w:val="none" w:sz="0" w:space="0" w:color="auto"/>
                <w:bottom w:val="none" w:sz="0" w:space="0" w:color="auto"/>
                <w:right w:val="none" w:sz="0" w:space="0" w:color="auto"/>
              </w:divBdr>
              <w:divsChild>
                <w:div w:id="229853504">
                  <w:marLeft w:val="0"/>
                  <w:marRight w:val="0"/>
                  <w:marTop w:val="0"/>
                  <w:marBottom w:val="0"/>
                  <w:divBdr>
                    <w:top w:val="none" w:sz="0" w:space="0" w:color="auto"/>
                    <w:left w:val="none" w:sz="0" w:space="0" w:color="auto"/>
                    <w:bottom w:val="none" w:sz="0" w:space="0" w:color="auto"/>
                    <w:right w:val="none" w:sz="0" w:space="0" w:color="auto"/>
                  </w:divBdr>
                  <w:divsChild>
                    <w:div w:id="786893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4928919">
      <w:bodyDiv w:val="1"/>
      <w:marLeft w:val="0"/>
      <w:marRight w:val="0"/>
      <w:marTop w:val="0"/>
      <w:marBottom w:val="0"/>
      <w:divBdr>
        <w:top w:val="none" w:sz="0" w:space="0" w:color="auto"/>
        <w:left w:val="none" w:sz="0" w:space="0" w:color="auto"/>
        <w:bottom w:val="none" w:sz="0" w:space="0" w:color="auto"/>
        <w:right w:val="none" w:sz="0" w:space="0" w:color="auto"/>
      </w:divBdr>
    </w:div>
    <w:div w:id="1490370151">
      <w:bodyDiv w:val="1"/>
      <w:marLeft w:val="0"/>
      <w:marRight w:val="0"/>
      <w:marTop w:val="0"/>
      <w:marBottom w:val="0"/>
      <w:divBdr>
        <w:top w:val="none" w:sz="0" w:space="0" w:color="auto"/>
        <w:left w:val="none" w:sz="0" w:space="0" w:color="auto"/>
        <w:bottom w:val="none" w:sz="0" w:space="0" w:color="auto"/>
        <w:right w:val="none" w:sz="0" w:space="0" w:color="auto"/>
      </w:divBdr>
    </w:div>
    <w:div w:id="1497458562">
      <w:bodyDiv w:val="1"/>
      <w:marLeft w:val="0"/>
      <w:marRight w:val="0"/>
      <w:marTop w:val="0"/>
      <w:marBottom w:val="0"/>
      <w:divBdr>
        <w:top w:val="none" w:sz="0" w:space="0" w:color="auto"/>
        <w:left w:val="none" w:sz="0" w:space="0" w:color="auto"/>
        <w:bottom w:val="none" w:sz="0" w:space="0" w:color="auto"/>
        <w:right w:val="none" w:sz="0" w:space="0" w:color="auto"/>
      </w:divBdr>
    </w:div>
    <w:div w:id="1503623689">
      <w:bodyDiv w:val="1"/>
      <w:marLeft w:val="0"/>
      <w:marRight w:val="0"/>
      <w:marTop w:val="0"/>
      <w:marBottom w:val="0"/>
      <w:divBdr>
        <w:top w:val="none" w:sz="0" w:space="0" w:color="auto"/>
        <w:left w:val="none" w:sz="0" w:space="0" w:color="auto"/>
        <w:bottom w:val="none" w:sz="0" w:space="0" w:color="auto"/>
        <w:right w:val="none" w:sz="0" w:space="0" w:color="auto"/>
      </w:divBdr>
    </w:div>
    <w:div w:id="1509950979">
      <w:bodyDiv w:val="1"/>
      <w:marLeft w:val="0"/>
      <w:marRight w:val="0"/>
      <w:marTop w:val="0"/>
      <w:marBottom w:val="0"/>
      <w:divBdr>
        <w:top w:val="none" w:sz="0" w:space="0" w:color="auto"/>
        <w:left w:val="none" w:sz="0" w:space="0" w:color="auto"/>
        <w:bottom w:val="none" w:sz="0" w:space="0" w:color="auto"/>
        <w:right w:val="none" w:sz="0" w:space="0" w:color="auto"/>
      </w:divBdr>
      <w:divsChild>
        <w:div w:id="924805790">
          <w:marLeft w:val="0"/>
          <w:marRight w:val="0"/>
          <w:marTop w:val="0"/>
          <w:marBottom w:val="0"/>
          <w:divBdr>
            <w:top w:val="none" w:sz="0" w:space="0" w:color="auto"/>
            <w:left w:val="none" w:sz="0" w:space="0" w:color="auto"/>
            <w:bottom w:val="none" w:sz="0" w:space="0" w:color="auto"/>
            <w:right w:val="none" w:sz="0" w:space="0" w:color="auto"/>
          </w:divBdr>
        </w:div>
      </w:divsChild>
    </w:div>
    <w:div w:id="1519276211">
      <w:bodyDiv w:val="1"/>
      <w:marLeft w:val="0"/>
      <w:marRight w:val="0"/>
      <w:marTop w:val="0"/>
      <w:marBottom w:val="0"/>
      <w:divBdr>
        <w:top w:val="none" w:sz="0" w:space="0" w:color="auto"/>
        <w:left w:val="none" w:sz="0" w:space="0" w:color="auto"/>
        <w:bottom w:val="none" w:sz="0" w:space="0" w:color="auto"/>
        <w:right w:val="none" w:sz="0" w:space="0" w:color="auto"/>
      </w:divBdr>
    </w:div>
    <w:div w:id="1530753133">
      <w:bodyDiv w:val="1"/>
      <w:marLeft w:val="0"/>
      <w:marRight w:val="0"/>
      <w:marTop w:val="0"/>
      <w:marBottom w:val="0"/>
      <w:divBdr>
        <w:top w:val="none" w:sz="0" w:space="0" w:color="auto"/>
        <w:left w:val="none" w:sz="0" w:space="0" w:color="auto"/>
        <w:bottom w:val="none" w:sz="0" w:space="0" w:color="auto"/>
        <w:right w:val="none" w:sz="0" w:space="0" w:color="auto"/>
      </w:divBdr>
    </w:div>
    <w:div w:id="1532184699">
      <w:bodyDiv w:val="1"/>
      <w:marLeft w:val="0"/>
      <w:marRight w:val="0"/>
      <w:marTop w:val="0"/>
      <w:marBottom w:val="0"/>
      <w:divBdr>
        <w:top w:val="none" w:sz="0" w:space="0" w:color="auto"/>
        <w:left w:val="none" w:sz="0" w:space="0" w:color="auto"/>
        <w:bottom w:val="none" w:sz="0" w:space="0" w:color="auto"/>
        <w:right w:val="none" w:sz="0" w:space="0" w:color="auto"/>
      </w:divBdr>
    </w:div>
    <w:div w:id="1534029931">
      <w:bodyDiv w:val="1"/>
      <w:marLeft w:val="0"/>
      <w:marRight w:val="0"/>
      <w:marTop w:val="0"/>
      <w:marBottom w:val="0"/>
      <w:divBdr>
        <w:top w:val="none" w:sz="0" w:space="0" w:color="auto"/>
        <w:left w:val="none" w:sz="0" w:space="0" w:color="auto"/>
        <w:bottom w:val="none" w:sz="0" w:space="0" w:color="auto"/>
        <w:right w:val="none" w:sz="0" w:space="0" w:color="auto"/>
      </w:divBdr>
    </w:div>
    <w:div w:id="1538854841">
      <w:bodyDiv w:val="1"/>
      <w:marLeft w:val="0"/>
      <w:marRight w:val="0"/>
      <w:marTop w:val="0"/>
      <w:marBottom w:val="0"/>
      <w:divBdr>
        <w:top w:val="none" w:sz="0" w:space="0" w:color="auto"/>
        <w:left w:val="none" w:sz="0" w:space="0" w:color="auto"/>
        <w:bottom w:val="none" w:sz="0" w:space="0" w:color="auto"/>
        <w:right w:val="none" w:sz="0" w:space="0" w:color="auto"/>
      </w:divBdr>
    </w:div>
    <w:div w:id="1553007470">
      <w:bodyDiv w:val="1"/>
      <w:marLeft w:val="0"/>
      <w:marRight w:val="0"/>
      <w:marTop w:val="0"/>
      <w:marBottom w:val="0"/>
      <w:divBdr>
        <w:top w:val="none" w:sz="0" w:space="0" w:color="auto"/>
        <w:left w:val="none" w:sz="0" w:space="0" w:color="auto"/>
        <w:bottom w:val="none" w:sz="0" w:space="0" w:color="auto"/>
        <w:right w:val="none" w:sz="0" w:space="0" w:color="auto"/>
      </w:divBdr>
    </w:div>
    <w:div w:id="1555311257">
      <w:bodyDiv w:val="1"/>
      <w:marLeft w:val="0"/>
      <w:marRight w:val="0"/>
      <w:marTop w:val="0"/>
      <w:marBottom w:val="0"/>
      <w:divBdr>
        <w:top w:val="none" w:sz="0" w:space="0" w:color="auto"/>
        <w:left w:val="none" w:sz="0" w:space="0" w:color="auto"/>
        <w:bottom w:val="none" w:sz="0" w:space="0" w:color="auto"/>
        <w:right w:val="none" w:sz="0" w:space="0" w:color="auto"/>
      </w:divBdr>
    </w:div>
    <w:div w:id="1555583567">
      <w:bodyDiv w:val="1"/>
      <w:marLeft w:val="0"/>
      <w:marRight w:val="0"/>
      <w:marTop w:val="0"/>
      <w:marBottom w:val="0"/>
      <w:divBdr>
        <w:top w:val="none" w:sz="0" w:space="0" w:color="auto"/>
        <w:left w:val="none" w:sz="0" w:space="0" w:color="auto"/>
        <w:bottom w:val="none" w:sz="0" w:space="0" w:color="auto"/>
        <w:right w:val="none" w:sz="0" w:space="0" w:color="auto"/>
      </w:divBdr>
    </w:div>
    <w:div w:id="1556117059">
      <w:bodyDiv w:val="1"/>
      <w:marLeft w:val="0"/>
      <w:marRight w:val="0"/>
      <w:marTop w:val="0"/>
      <w:marBottom w:val="0"/>
      <w:divBdr>
        <w:top w:val="none" w:sz="0" w:space="0" w:color="auto"/>
        <w:left w:val="none" w:sz="0" w:space="0" w:color="auto"/>
        <w:bottom w:val="none" w:sz="0" w:space="0" w:color="auto"/>
        <w:right w:val="none" w:sz="0" w:space="0" w:color="auto"/>
      </w:divBdr>
    </w:div>
    <w:div w:id="1558201532">
      <w:bodyDiv w:val="1"/>
      <w:marLeft w:val="0"/>
      <w:marRight w:val="0"/>
      <w:marTop w:val="0"/>
      <w:marBottom w:val="0"/>
      <w:divBdr>
        <w:top w:val="none" w:sz="0" w:space="0" w:color="auto"/>
        <w:left w:val="none" w:sz="0" w:space="0" w:color="auto"/>
        <w:bottom w:val="none" w:sz="0" w:space="0" w:color="auto"/>
        <w:right w:val="none" w:sz="0" w:space="0" w:color="auto"/>
      </w:divBdr>
    </w:div>
    <w:div w:id="1566915172">
      <w:bodyDiv w:val="1"/>
      <w:marLeft w:val="0"/>
      <w:marRight w:val="0"/>
      <w:marTop w:val="0"/>
      <w:marBottom w:val="0"/>
      <w:divBdr>
        <w:top w:val="none" w:sz="0" w:space="0" w:color="auto"/>
        <w:left w:val="none" w:sz="0" w:space="0" w:color="auto"/>
        <w:bottom w:val="none" w:sz="0" w:space="0" w:color="auto"/>
        <w:right w:val="none" w:sz="0" w:space="0" w:color="auto"/>
      </w:divBdr>
    </w:div>
    <w:div w:id="1575779449">
      <w:bodyDiv w:val="1"/>
      <w:marLeft w:val="0"/>
      <w:marRight w:val="0"/>
      <w:marTop w:val="0"/>
      <w:marBottom w:val="0"/>
      <w:divBdr>
        <w:top w:val="none" w:sz="0" w:space="0" w:color="auto"/>
        <w:left w:val="none" w:sz="0" w:space="0" w:color="auto"/>
        <w:bottom w:val="none" w:sz="0" w:space="0" w:color="auto"/>
        <w:right w:val="none" w:sz="0" w:space="0" w:color="auto"/>
      </w:divBdr>
    </w:div>
    <w:div w:id="1583565705">
      <w:bodyDiv w:val="1"/>
      <w:marLeft w:val="0"/>
      <w:marRight w:val="0"/>
      <w:marTop w:val="0"/>
      <w:marBottom w:val="0"/>
      <w:divBdr>
        <w:top w:val="none" w:sz="0" w:space="0" w:color="auto"/>
        <w:left w:val="none" w:sz="0" w:space="0" w:color="auto"/>
        <w:bottom w:val="none" w:sz="0" w:space="0" w:color="auto"/>
        <w:right w:val="none" w:sz="0" w:space="0" w:color="auto"/>
      </w:divBdr>
    </w:div>
    <w:div w:id="1584102902">
      <w:bodyDiv w:val="1"/>
      <w:marLeft w:val="0"/>
      <w:marRight w:val="0"/>
      <w:marTop w:val="0"/>
      <w:marBottom w:val="0"/>
      <w:divBdr>
        <w:top w:val="none" w:sz="0" w:space="0" w:color="auto"/>
        <w:left w:val="none" w:sz="0" w:space="0" w:color="auto"/>
        <w:bottom w:val="none" w:sz="0" w:space="0" w:color="auto"/>
        <w:right w:val="none" w:sz="0" w:space="0" w:color="auto"/>
      </w:divBdr>
    </w:div>
    <w:div w:id="1593933081">
      <w:bodyDiv w:val="1"/>
      <w:marLeft w:val="0"/>
      <w:marRight w:val="0"/>
      <w:marTop w:val="0"/>
      <w:marBottom w:val="0"/>
      <w:divBdr>
        <w:top w:val="none" w:sz="0" w:space="0" w:color="auto"/>
        <w:left w:val="none" w:sz="0" w:space="0" w:color="auto"/>
        <w:bottom w:val="none" w:sz="0" w:space="0" w:color="auto"/>
        <w:right w:val="none" w:sz="0" w:space="0" w:color="auto"/>
      </w:divBdr>
      <w:divsChild>
        <w:div w:id="1472933">
          <w:marLeft w:val="0"/>
          <w:marRight w:val="0"/>
          <w:marTop w:val="0"/>
          <w:marBottom w:val="0"/>
          <w:divBdr>
            <w:top w:val="none" w:sz="0" w:space="0" w:color="auto"/>
            <w:left w:val="none" w:sz="0" w:space="0" w:color="auto"/>
            <w:bottom w:val="none" w:sz="0" w:space="0" w:color="auto"/>
            <w:right w:val="none" w:sz="0" w:space="0" w:color="auto"/>
          </w:divBdr>
        </w:div>
      </w:divsChild>
    </w:div>
    <w:div w:id="1600722305">
      <w:bodyDiv w:val="1"/>
      <w:marLeft w:val="0"/>
      <w:marRight w:val="0"/>
      <w:marTop w:val="0"/>
      <w:marBottom w:val="0"/>
      <w:divBdr>
        <w:top w:val="none" w:sz="0" w:space="0" w:color="auto"/>
        <w:left w:val="none" w:sz="0" w:space="0" w:color="auto"/>
        <w:bottom w:val="none" w:sz="0" w:space="0" w:color="auto"/>
        <w:right w:val="none" w:sz="0" w:space="0" w:color="auto"/>
      </w:divBdr>
    </w:div>
    <w:div w:id="1603218908">
      <w:bodyDiv w:val="1"/>
      <w:marLeft w:val="0"/>
      <w:marRight w:val="0"/>
      <w:marTop w:val="0"/>
      <w:marBottom w:val="0"/>
      <w:divBdr>
        <w:top w:val="none" w:sz="0" w:space="0" w:color="auto"/>
        <w:left w:val="none" w:sz="0" w:space="0" w:color="auto"/>
        <w:bottom w:val="none" w:sz="0" w:space="0" w:color="auto"/>
        <w:right w:val="none" w:sz="0" w:space="0" w:color="auto"/>
      </w:divBdr>
    </w:div>
    <w:div w:id="1608150672">
      <w:bodyDiv w:val="1"/>
      <w:marLeft w:val="0"/>
      <w:marRight w:val="0"/>
      <w:marTop w:val="0"/>
      <w:marBottom w:val="0"/>
      <w:divBdr>
        <w:top w:val="none" w:sz="0" w:space="0" w:color="auto"/>
        <w:left w:val="none" w:sz="0" w:space="0" w:color="auto"/>
        <w:bottom w:val="none" w:sz="0" w:space="0" w:color="auto"/>
        <w:right w:val="none" w:sz="0" w:space="0" w:color="auto"/>
      </w:divBdr>
    </w:div>
    <w:div w:id="1615600894">
      <w:bodyDiv w:val="1"/>
      <w:marLeft w:val="0"/>
      <w:marRight w:val="0"/>
      <w:marTop w:val="0"/>
      <w:marBottom w:val="0"/>
      <w:divBdr>
        <w:top w:val="none" w:sz="0" w:space="0" w:color="auto"/>
        <w:left w:val="none" w:sz="0" w:space="0" w:color="auto"/>
        <w:bottom w:val="none" w:sz="0" w:space="0" w:color="auto"/>
        <w:right w:val="none" w:sz="0" w:space="0" w:color="auto"/>
      </w:divBdr>
    </w:div>
    <w:div w:id="1622111423">
      <w:bodyDiv w:val="1"/>
      <w:marLeft w:val="0"/>
      <w:marRight w:val="0"/>
      <w:marTop w:val="0"/>
      <w:marBottom w:val="0"/>
      <w:divBdr>
        <w:top w:val="none" w:sz="0" w:space="0" w:color="auto"/>
        <w:left w:val="none" w:sz="0" w:space="0" w:color="auto"/>
        <w:bottom w:val="none" w:sz="0" w:space="0" w:color="auto"/>
        <w:right w:val="none" w:sz="0" w:space="0" w:color="auto"/>
      </w:divBdr>
    </w:div>
    <w:div w:id="1631210006">
      <w:bodyDiv w:val="1"/>
      <w:marLeft w:val="0"/>
      <w:marRight w:val="0"/>
      <w:marTop w:val="0"/>
      <w:marBottom w:val="0"/>
      <w:divBdr>
        <w:top w:val="none" w:sz="0" w:space="0" w:color="auto"/>
        <w:left w:val="none" w:sz="0" w:space="0" w:color="auto"/>
        <w:bottom w:val="none" w:sz="0" w:space="0" w:color="auto"/>
        <w:right w:val="none" w:sz="0" w:space="0" w:color="auto"/>
      </w:divBdr>
    </w:div>
    <w:div w:id="1637444491">
      <w:bodyDiv w:val="1"/>
      <w:marLeft w:val="0"/>
      <w:marRight w:val="0"/>
      <w:marTop w:val="0"/>
      <w:marBottom w:val="0"/>
      <w:divBdr>
        <w:top w:val="none" w:sz="0" w:space="0" w:color="auto"/>
        <w:left w:val="none" w:sz="0" w:space="0" w:color="auto"/>
        <w:bottom w:val="none" w:sz="0" w:space="0" w:color="auto"/>
        <w:right w:val="none" w:sz="0" w:space="0" w:color="auto"/>
      </w:divBdr>
    </w:div>
    <w:div w:id="1638026384">
      <w:bodyDiv w:val="1"/>
      <w:marLeft w:val="0"/>
      <w:marRight w:val="0"/>
      <w:marTop w:val="0"/>
      <w:marBottom w:val="0"/>
      <w:divBdr>
        <w:top w:val="none" w:sz="0" w:space="0" w:color="auto"/>
        <w:left w:val="none" w:sz="0" w:space="0" w:color="auto"/>
        <w:bottom w:val="none" w:sz="0" w:space="0" w:color="auto"/>
        <w:right w:val="none" w:sz="0" w:space="0" w:color="auto"/>
      </w:divBdr>
    </w:div>
    <w:div w:id="1638489808">
      <w:bodyDiv w:val="1"/>
      <w:marLeft w:val="0"/>
      <w:marRight w:val="0"/>
      <w:marTop w:val="0"/>
      <w:marBottom w:val="0"/>
      <w:divBdr>
        <w:top w:val="none" w:sz="0" w:space="0" w:color="auto"/>
        <w:left w:val="none" w:sz="0" w:space="0" w:color="auto"/>
        <w:bottom w:val="none" w:sz="0" w:space="0" w:color="auto"/>
        <w:right w:val="none" w:sz="0" w:space="0" w:color="auto"/>
      </w:divBdr>
    </w:div>
    <w:div w:id="1642734334">
      <w:bodyDiv w:val="1"/>
      <w:marLeft w:val="0"/>
      <w:marRight w:val="0"/>
      <w:marTop w:val="0"/>
      <w:marBottom w:val="0"/>
      <w:divBdr>
        <w:top w:val="none" w:sz="0" w:space="0" w:color="auto"/>
        <w:left w:val="none" w:sz="0" w:space="0" w:color="auto"/>
        <w:bottom w:val="none" w:sz="0" w:space="0" w:color="auto"/>
        <w:right w:val="none" w:sz="0" w:space="0" w:color="auto"/>
      </w:divBdr>
    </w:div>
    <w:div w:id="1657033010">
      <w:bodyDiv w:val="1"/>
      <w:marLeft w:val="0"/>
      <w:marRight w:val="0"/>
      <w:marTop w:val="0"/>
      <w:marBottom w:val="0"/>
      <w:divBdr>
        <w:top w:val="none" w:sz="0" w:space="0" w:color="auto"/>
        <w:left w:val="none" w:sz="0" w:space="0" w:color="auto"/>
        <w:bottom w:val="none" w:sz="0" w:space="0" w:color="auto"/>
        <w:right w:val="none" w:sz="0" w:space="0" w:color="auto"/>
      </w:divBdr>
    </w:div>
    <w:div w:id="1659730891">
      <w:bodyDiv w:val="1"/>
      <w:marLeft w:val="0"/>
      <w:marRight w:val="0"/>
      <w:marTop w:val="0"/>
      <w:marBottom w:val="0"/>
      <w:divBdr>
        <w:top w:val="none" w:sz="0" w:space="0" w:color="auto"/>
        <w:left w:val="none" w:sz="0" w:space="0" w:color="auto"/>
        <w:bottom w:val="none" w:sz="0" w:space="0" w:color="auto"/>
        <w:right w:val="none" w:sz="0" w:space="0" w:color="auto"/>
      </w:divBdr>
    </w:div>
    <w:div w:id="1662467583">
      <w:bodyDiv w:val="1"/>
      <w:marLeft w:val="0"/>
      <w:marRight w:val="0"/>
      <w:marTop w:val="0"/>
      <w:marBottom w:val="0"/>
      <w:divBdr>
        <w:top w:val="none" w:sz="0" w:space="0" w:color="auto"/>
        <w:left w:val="none" w:sz="0" w:space="0" w:color="auto"/>
        <w:bottom w:val="none" w:sz="0" w:space="0" w:color="auto"/>
        <w:right w:val="none" w:sz="0" w:space="0" w:color="auto"/>
      </w:divBdr>
    </w:div>
    <w:div w:id="1669601416">
      <w:bodyDiv w:val="1"/>
      <w:marLeft w:val="0"/>
      <w:marRight w:val="0"/>
      <w:marTop w:val="0"/>
      <w:marBottom w:val="0"/>
      <w:divBdr>
        <w:top w:val="none" w:sz="0" w:space="0" w:color="auto"/>
        <w:left w:val="none" w:sz="0" w:space="0" w:color="auto"/>
        <w:bottom w:val="none" w:sz="0" w:space="0" w:color="auto"/>
        <w:right w:val="none" w:sz="0" w:space="0" w:color="auto"/>
      </w:divBdr>
    </w:div>
    <w:div w:id="1682314883">
      <w:bodyDiv w:val="1"/>
      <w:marLeft w:val="0"/>
      <w:marRight w:val="0"/>
      <w:marTop w:val="0"/>
      <w:marBottom w:val="0"/>
      <w:divBdr>
        <w:top w:val="none" w:sz="0" w:space="0" w:color="auto"/>
        <w:left w:val="none" w:sz="0" w:space="0" w:color="auto"/>
        <w:bottom w:val="none" w:sz="0" w:space="0" w:color="auto"/>
        <w:right w:val="none" w:sz="0" w:space="0" w:color="auto"/>
      </w:divBdr>
    </w:div>
    <w:div w:id="1682927850">
      <w:bodyDiv w:val="1"/>
      <w:marLeft w:val="0"/>
      <w:marRight w:val="0"/>
      <w:marTop w:val="0"/>
      <w:marBottom w:val="0"/>
      <w:divBdr>
        <w:top w:val="none" w:sz="0" w:space="0" w:color="auto"/>
        <w:left w:val="none" w:sz="0" w:space="0" w:color="auto"/>
        <w:bottom w:val="none" w:sz="0" w:space="0" w:color="auto"/>
        <w:right w:val="none" w:sz="0" w:space="0" w:color="auto"/>
      </w:divBdr>
    </w:div>
    <w:div w:id="1710491023">
      <w:bodyDiv w:val="1"/>
      <w:marLeft w:val="0"/>
      <w:marRight w:val="0"/>
      <w:marTop w:val="0"/>
      <w:marBottom w:val="0"/>
      <w:divBdr>
        <w:top w:val="none" w:sz="0" w:space="0" w:color="auto"/>
        <w:left w:val="none" w:sz="0" w:space="0" w:color="auto"/>
        <w:bottom w:val="none" w:sz="0" w:space="0" w:color="auto"/>
        <w:right w:val="none" w:sz="0" w:space="0" w:color="auto"/>
      </w:divBdr>
    </w:div>
    <w:div w:id="1713193411">
      <w:bodyDiv w:val="1"/>
      <w:marLeft w:val="0"/>
      <w:marRight w:val="0"/>
      <w:marTop w:val="0"/>
      <w:marBottom w:val="0"/>
      <w:divBdr>
        <w:top w:val="none" w:sz="0" w:space="0" w:color="auto"/>
        <w:left w:val="none" w:sz="0" w:space="0" w:color="auto"/>
        <w:bottom w:val="none" w:sz="0" w:space="0" w:color="auto"/>
        <w:right w:val="none" w:sz="0" w:space="0" w:color="auto"/>
      </w:divBdr>
    </w:div>
    <w:div w:id="1734153832">
      <w:bodyDiv w:val="1"/>
      <w:marLeft w:val="0"/>
      <w:marRight w:val="0"/>
      <w:marTop w:val="0"/>
      <w:marBottom w:val="0"/>
      <w:divBdr>
        <w:top w:val="none" w:sz="0" w:space="0" w:color="auto"/>
        <w:left w:val="none" w:sz="0" w:space="0" w:color="auto"/>
        <w:bottom w:val="none" w:sz="0" w:space="0" w:color="auto"/>
        <w:right w:val="none" w:sz="0" w:space="0" w:color="auto"/>
      </w:divBdr>
      <w:divsChild>
        <w:div w:id="1805154915">
          <w:marLeft w:val="0"/>
          <w:marRight w:val="0"/>
          <w:marTop w:val="0"/>
          <w:marBottom w:val="0"/>
          <w:divBdr>
            <w:top w:val="none" w:sz="0" w:space="0" w:color="auto"/>
            <w:left w:val="none" w:sz="0" w:space="0" w:color="auto"/>
            <w:bottom w:val="none" w:sz="0" w:space="0" w:color="auto"/>
            <w:right w:val="none" w:sz="0" w:space="0" w:color="auto"/>
          </w:divBdr>
        </w:div>
      </w:divsChild>
    </w:div>
    <w:div w:id="1737581629">
      <w:bodyDiv w:val="1"/>
      <w:marLeft w:val="0"/>
      <w:marRight w:val="0"/>
      <w:marTop w:val="0"/>
      <w:marBottom w:val="0"/>
      <w:divBdr>
        <w:top w:val="none" w:sz="0" w:space="0" w:color="auto"/>
        <w:left w:val="none" w:sz="0" w:space="0" w:color="auto"/>
        <w:bottom w:val="none" w:sz="0" w:space="0" w:color="auto"/>
        <w:right w:val="none" w:sz="0" w:space="0" w:color="auto"/>
      </w:divBdr>
    </w:div>
    <w:div w:id="1738085948">
      <w:bodyDiv w:val="1"/>
      <w:marLeft w:val="0"/>
      <w:marRight w:val="0"/>
      <w:marTop w:val="0"/>
      <w:marBottom w:val="0"/>
      <w:divBdr>
        <w:top w:val="none" w:sz="0" w:space="0" w:color="auto"/>
        <w:left w:val="none" w:sz="0" w:space="0" w:color="auto"/>
        <w:bottom w:val="none" w:sz="0" w:space="0" w:color="auto"/>
        <w:right w:val="none" w:sz="0" w:space="0" w:color="auto"/>
      </w:divBdr>
      <w:divsChild>
        <w:div w:id="889339140">
          <w:marLeft w:val="0"/>
          <w:marRight w:val="0"/>
          <w:marTop w:val="0"/>
          <w:marBottom w:val="0"/>
          <w:divBdr>
            <w:top w:val="none" w:sz="0" w:space="0" w:color="auto"/>
            <w:left w:val="none" w:sz="0" w:space="0" w:color="auto"/>
            <w:bottom w:val="none" w:sz="0" w:space="0" w:color="auto"/>
            <w:right w:val="none" w:sz="0" w:space="0" w:color="auto"/>
          </w:divBdr>
        </w:div>
      </w:divsChild>
    </w:div>
    <w:div w:id="1740251595">
      <w:bodyDiv w:val="1"/>
      <w:marLeft w:val="0"/>
      <w:marRight w:val="0"/>
      <w:marTop w:val="0"/>
      <w:marBottom w:val="0"/>
      <w:divBdr>
        <w:top w:val="none" w:sz="0" w:space="0" w:color="auto"/>
        <w:left w:val="none" w:sz="0" w:space="0" w:color="auto"/>
        <w:bottom w:val="none" w:sz="0" w:space="0" w:color="auto"/>
        <w:right w:val="none" w:sz="0" w:space="0" w:color="auto"/>
      </w:divBdr>
    </w:div>
    <w:div w:id="1741555755">
      <w:bodyDiv w:val="1"/>
      <w:marLeft w:val="0"/>
      <w:marRight w:val="0"/>
      <w:marTop w:val="0"/>
      <w:marBottom w:val="0"/>
      <w:divBdr>
        <w:top w:val="none" w:sz="0" w:space="0" w:color="auto"/>
        <w:left w:val="none" w:sz="0" w:space="0" w:color="auto"/>
        <w:bottom w:val="none" w:sz="0" w:space="0" w:color="auto"/>
        <w:right w:val="none" w:sz="0" w:space="0" w:color="auto"/>
      </w:divBdr>
    </w:div>
    <w:div w:id="1755934418">
      <w:bodyDiv w:val="1"/>
      <w:marLeft w:val="0"/>
      <w:marRight w:val="0"/>
      <w:marTop w:val="0"/>
      <w:marBottom w:val="0"/>
      <w:divBdr>
        <w:top w:val="none" w:sz="0" w:space="0" w:color="auto"/>
        <w:left w:val="none" w:sz="0" w:space="0" w:color="auto"/>
        <w:bottom w:val="none" w:sz="0" w:space="0" w:color="auto"/>
        <w:right w:val="none" w:sz="0" w:space="0" w:color="auto"/>
      </w:divBdr>
    </w:div>
    <w:div w:id="1760321806">
      <w:bodyDiv w:val="1"/>
      <w:marLeft w:val="0"/>
      <w:marRight w:val="0"/>
      <w:marTop w:val="0"/>
      <w:marBottom w:val="0"/>
      <w:divBdr>
        <w:top w:val="none" w:sz="0" w:space="0" w:color="auto"/>
        <w:left w:val="none" w:sz="0" w:space="0" w:color="auto"/>
        <w:bottom w:val="none" w:sz="0" w:space="0" w:color="auto"/>
        <w:right w:val="none" w:sz="0" w:space="0" w:color="auto"/>
      </w:divBdr>
    </w:div>
    <w:div w:id="1769235489">
      <w:bodyDiv w:val="1"/>
      <w:marLeft w:val="0"/>
      <w:marRight w:val="0"/>
      <w:marTop w:val="0"/>
      <w:marBottom w:val="0"/>
      <w:divBdr>
        <w:top w:val="none" w:sz="0" w:space="0" w:color="auto"/>
        <w:left w:val="none" w:sz="0" w:space="0" w:color="auto"/>
        <w:bottom w:val="none" w:sz="0" w:space="0" w:color="auto"/>
        <w:right w:val="none" w:sz="0" w:space="0" w:color="auto"/>
      </w:divBdr>
    </w:div>
    <w:div w:id="1774205595">
      <w:bodyDiv w:val="1"/>
      <w:marLeft w:val="0"/>
      <w:marRight w:val="0"/>
      <w:marTop w:val="0"/>
      <w:marBottom w:val="0"/>
      <w:divBdr>
        <w:top w:val="none" w:sz="0" w:space="0" w:color="auto"/>
        <w:left w:val="none" w:sz="0" w:space="0" w:color="auto"/>
        <w:bottom w:val="none" w:sz="0" w:space="0" w:color="auto"/>
        <w:right w:val="none" w:sz="0" w:space="0" w:color="auto"/>
      </w:divBdr>
    </w:div>
    <w:div w:id="1791777554">
      <w:bodyDiv w:val="1"/>
      <w:marLeft w:val="0"/>
      <w:marRight w:val="0"/>
      <w:marTop w:val="0"/>
      <w:marBottom w:val="0"/>
      <w:divBdr>
        <w:top w:val="none" w:sz="0" w:space="0" w:color="auto"/>
        <w:left w:val="none" w:sz="0" w:space="0" w:color="auto"/>
        <w:bottom w:val="none" w:sz="0" w:space="0" w:color="auto"/>
        <w:right w:val="none" w:sz="0" w:space="0" w:color="auto"/>
      </w:divBdr>
    </w:div>
    <w:div w:id="1801613136">
      <w:bodyDiv w:val="1"/>
      <w:marLeft w:val="0"/>
      <w:marRight w:val="0"/>
      <w:marTop w:val="0"/>
      <w:marBottom w:val="0"/>
      <w:divBdr>
        <w:top w:val="none" w:sz="0" w:space="0" w:color="auto"/>
        <w:left w:val="none" w:sz="0" w:space="0" w:color="auto"/>
        <w:bottom w:val="none" w:sz="0" w:space="0" w:color="auto"/>
        <w:right w:val="none" w:sz="0" w:space="0" w:color="auto"/>
      </w:divBdr>
    </w:div>
    <w:div w:id="1813598604">
      <w:bodyDiv w:val="1"/>
      <w:marLeft w:val="0"/>
      <w:marRight w:val="0"/>
      <w:marTop w:val="0"/>
      <w:marBottom w:val="0"/>
      <w:divBdr>
        <w:top w:val="none" w:sz="0" w:space="0" w:color="auto"/>
        <w:left w:val="none" w:sz="0" w:space="0" w:color="auto"/>
        <w:bottom w:val="none" w:sz="0" w:space="0" w:color="auto"/>
        <w:right w:val="none" w:sz="0" w:space="0" w:color="auto"/>
      </w:divBdr>
    </w:div>
    <w:div w:id="1827280343">
      <w:bodyDiv w:val="1"/>
      <w:marLeft w:val="0"/>
      <w:marRight w:val="0"/>
      <w:marTop w:val="0"/>
      <w:marBottom w:val="0"/>
      <w:divBdr>
        <w:top w:val="none" w:sz="0" w:space="0" w:color="auto"/>
        <w:left w:val="none" w:sz="0" w:space="0" w:color="auto"/>
        <w:bottom w:val="none" w:sz="0" w:space="0" w:color="auto"/>
        <w:right w:val="none" w:sz="0" w:space="0" w:color="auto"/>
      </w:divBdr>
    </w:div>
    <w:div w:id="1833372538">
      <w:bodyDiv w:val="1"/>
      <w:marLeft w:val="0"/>
      <w:marRight w:val="0"/>
      <w:marTop w:val="0"/>
      <w:marBottom w:val="0"/>
      <w:divBdr>
        <w:top w:val="none" w:sz="0" w:space="0" w:color="auto"/>
        <w:left w:val="none" w:sz="0" w:space="0" w:color="auto"/>
        <w:bottom w:val="none" w:sz="0" w:space="0" w:color="auto"/>
        <w:right w:val="none" w:sz="0" w:space="0" w:color="auto"/>
      </w:divBdr>
      <w:divsChild>
        <w:div w:id="1271546924">
          <w:marLeft w:val="0"/>
          <w:marRight w:val="0"/>
          <w:marTop w:val="0"/>
          <w:marBottom w:val="0"/>
          <w:divBdr>
            <w:top w:val="none" w:sz="0" w:space="0" w:color="auto"/>
            <w:left w:val="none" w:sz="0" w:space="0" w:color="auto"/>
            <w:bottom w:val="none" w:sz="0" w:space="0" w:color="auto"/>
            <w:right w:val="none" w:sz="0" w:space="0" w:color="auto"/>
          </w:divBdr>
          <w:divsChild>
            <w:div w:id="1578058035">
              <w:marLeft w:val="0"/>
              <w:marRight w:val="0"/>
              <w:marTop w:val="0"/>
              <w:marBottom w:val="0"/>
              <w:divBdr>
                <w:top w:val="none" w:sz="0" w:space="0" w:color="auto"/>
                <w:left w:val="none" w:sz="0" w:space="0" w:color="auto"/>
                <w:bottom w:val="none" w:sz="0" w:space="0" w:color="auto"/>
                <w:right w:val="none" w:sz="0" w:space="0" w:color="auto"/>
              </w:divBdr>
              <w:divsChild>
                <w:div w:id="129787510">
                  <w:marLeft w:val="0"/>
                  <w:marRight w:val="0"/>
                  <w:marTop w:val="0"/>
                  <w:marBottom w:val="0"/>
                  <w:divBdr>
                    <w:top w:val="none" w:sz="0" w:space="0" w:color="auto"/>
                    <w:left w:val="none" w:sz="0" w:space="0" w:color="auto"/>
                    <w:bottom w:val="none" w:sz="0" w:space="0" w:color="auto"/>
                    <w:right w:val="none" w:sz="0" w:space="0" w:color="auto"/>
                  </w:divBdr>
                  <w:divsChild>
                    <w:div w:id="857308906">
                      <w:marLeft w:val="0"/>
                      <w:marRight w:val="0"/>
                      <w:marTop w:val="0"/>
                      <w:marBottom w:val="0"/>
                      <w:divBdr>
                        <w:top w:val="none" w:sz="0" w:space="0" w:color="auto"/>
                        <w:left w:val="none" w:sz="0" w:space="0" w:color="auto"/>
                        <w:bottom w:val="none" w:sz="0" w:space="0" w:color="auto"/>
                        <w:right w:val="none" w:sz="0" w:space="0" w:color="auto"/>
                      </w:divBdr>
                      <w:divsChild>
                        <w:div w:id="1893731136">
                          <w:marLeft w:val="0"/>
                          <w:marRight w:val="0"/>
                          <w:marTop w:val="0"/>
                          <w:marBottom w:val="0"/>
                          <w:divBdr>
                            <w:top w:val="none" w:sz="0" w:space="0" w:color="auto"/>
                            <w:left w:val="none" w:sz="0" w:space="0" w:color="auto"/>
                            <w:bottom w:val="none" w:sz="0" w:space="0" w:color="auto"/>
                            <w:right w:val="none" w:sz="0" w:space="0" w:color="auto"/>
                          </w:divBdr>
                          <w:divsChild>
                            <w:div w:id="673648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54565668">
      <w:bodyDiv w:val="1"/>
      <w:marLeft w:val="0"/>
      <w:marRight w:val="0"/>
      <w:marTop w:val="0"/>
      <w:marBottom w:val="0"/>
      <w:divBdr>
        <w:top w:val="none" w:sz="0" w:space="0" w:color="auto"/>
        <w:left w:val="none" w:sz="0" w:space="0" w:color="auto"/>
        <w:bottom w:val="none" w:sz="0" w:space="0" w:color="auto"/>
        <w:right w:val="none" w:sz="0" w:space="0" w:color="auto"/>
      </w:divBdr>
    </w:div>
    <w:div w:id="1865632872">
      <w:bodyDiv w:val="1"/>
      <w:marLeft w:val="0"/>
      <w:marRight w:val="0"/>
      <w:marTop w:val="0"/>
      <w:marBottom w:val="0"/>
      <w:divBdr>
        <w:top w:val="none" w:sz="0" w:space="0" w:color="auto"/>
        <w:left w:val="none" w:sz="0" w:space="0" w:color="auto"/>
        <w:bottom w:val="none" w:sz="0" w:space="0" w:color="auto"/>
        <w:right w:val="none" w:sz="0" w:space="0" w:color="auto"/>
      </w:divBdr>
      <w:divsChild>
        <w:div w:id="168178544">
          <w:marLeft w:val="0"/>
          <w:marRight w:val="0"/>
          <w:marTop w:val="0"/>
          <w:marBottom w:val="0"/>
          <w:divBdr>
            <w:top w:val="none" w:sz="0" w:space="0" w:color="auto"/>
            <w:left w:val="none" w:sz="0" w:space="0" w:color="auto"/>
            <w:bottom w:val="none" w:sz="0" w:space="0" w:color="auto"/>
            <w:right w:val="none" w:sz="0" w:space="0" w:color="auto"/>
          </w:divBdr>
        </w:div>
      </w:divsChild>
    </w:div>
    <w:div w:id="1879968456">
      <w:bodyDiv w:val="1"/>
      <w:marLeft w:val="0"/>
      <w:marRight w:val="0"/>
      <w:marTop w:val="0"/>
      <w:marBottom w:val="0"/>
      <w:divBdr>
        <w:top w:val="none" w:sz="0" w:space="0" w:color="auto"/>
        <w:left w:val="none" w:sz="0" w:space="0" w:color="auto"/>
        <w:bottom w:val="none" w:sz="0" w:space="0" w:color="auto"/>
        <w:right w:val="none" w:sz="0" w:space="0" w:color="auto"/>
      </w:divBdr>
    </w:div>
    <w:div w:id="1886209815">
      <w:bodyDiv w:val="1"/>
      <w:marLeft w:val="0"/>
      <w:marRight w:val="0"/>
      <w:marTop w:val="0"/>
      <w:marBottom w:val="0"/>
      <w:divBdr>
        <w:top w:val="none" w:sz="0" w:space="0" w:color="auto"/>
        <w:left w:val="none" w:sz="0" w:space="0" w:color="auto"/>
        <w:bottom w:val="none" w:sz="0" w:space="0" w:color="auto"/>
        <w:right w:val="none" w:sz="0" w:space="0" w:color="auto"/>
      </w:divBdr>
    </w:div>
    <w:div w:id="1890918302">
      <w:bodyDiv w:val="1"/>
      <w:marLeft w:val="0"/>
      <w:marRight w:val="0"/>
      <w:marTop w:val="0"/>
      <w:marBottom w:val="0"/>
      <w:divBdr>
        <w:top w:val="none" w:sz="0" w:space="0" w:color="auto"/>
        <w:left w:val="none" w:sz="0" w:space="0" w:color="auto"/>
        <w:bottom w:val="none" w:sz="0" w:space="0" w:color="auto"/>
        <w:right w:val="none" w:sz="0" w:space="0" w:color="auto"/>
      </w:divBdr>
    </w:div>
    <w:div w:id="1913538217">
      <w:bodyDiv w:val="1"/>
      <w:marLeft w:val="0"/>
      <w:marRight w:val="0"/>
      <w:marTop w:val="0"/>
      <w:marBottom w:val="0"/>
      <w:divBdr>
        <w:top w:val="none" w:sz="0" w:space="0" w:color="auto"/>
        <w:left w:val="none" w:sz="0" w:space="0" w:color="auto"/>
        <w:bottom w:val="none" w:sz="0" w:space="0" w:color="auto"/>
        <w:right w:val="none" w:sz="0" w:space="0" w:color="auto"/>
      </w:divBdr>
    </w:div>
    <w:div w:id="1915045258">
      <w:bodyDiv w:val="1"/>
      <w:marLeft w:val="0"/>
      <w:marRight w:val="0"/>
      <w:marTop w:val="0"/>
      <w:marBottom w:val="0"/>
      <w:divBdr>
        <w:top w:val="none" w:sz="0" w:space="0" w:color="auto"/>
        <w:left w:val="none" w:sz="0" w:space="0" w:color="auto"/>
        <w:bottom w:val="none" w:sz="0" w:space="0" w:color="auto"/>
        <w:right w:val="none" w:sz="0" w:space="0" w:color="auto"/>
      </w:divBdr>
    </w:div>
    <w:div w:id="1936667938">
      <w:bodyDiv w:val="1"/>
      <w:marLeft w:val="0"/>
      <w:marRight w:val="0"/>
      <w:marTop w:val="0"/>
      <w:marBottom w:val="0"/>
      <w:divBdr>
        <w:top w:val="none" w:sz="0" w:space="0" w:color="auto"/>
        <w:left w:val="none" w:sz="0" w:space="0" w:color="auto"/>
        <w:bottom w:val="none" w:sz="0" w:space="0" w:color="auto"/>
        <w:right w:val="none" w:sz="0" w:space="0" w:color="auto"/>
      </w:divBdr>
    </w:div>
    <w:div w:id="1937127583">
      <w:bodyDiv w:val="1"/>
      <w:marLeft w:val="0"/>
      <w:marRight w:val="0"/>
      <w:marTop w:val="0"/>
      <w:marBottom w:val="0"/>
      <w:divBdr>
        <w:top w:val="none" w:sz="0" w:space="0" w:color="auto"/>
        <w:left w:val="none" w:sz="0" w:space="0" w:color="auto"/>
        <w:bottom w:val="none" w:sz="0" w:space="0" w:color="auto"/>
        <w:right w:val="none" w:sz="0" w:space="0" w:color="auto"/>
      </w:divBdr>
    </w:div>
    <w:div w:id="1950119342">
      <w:bodyDiv w:val="1"/>
      <w:marLeft w:val="0"/>
      <w:marRight w:val="0"/>
      <w:marTop w:val="0"/>
      <w:marBottom w:val="0"/>
      <w:divBdr>
        <w:top w:val="none" w:sz="0" w:space="0" w:color="auto"/>
        <w:left w:val="none" w:sz="0" w:space="0" w:color="auto"/>
        <w:bottom w:val="none" w:sz="0" w:space="0" w:color="auto"/>
        <w:right w:val="none" w:sz="0" w:space="0" w:color="auto"/>
      </w:divBdr>
    </w:div>
    <w:div w:id="1954944282">
      <w:bodyDiv w:val="1"/>
      <w:marLeft w:val="0"/>
      <w:marRight w:val="0"/>
      <w:marTop w:val="0"/>
      <w:marBottom w:val="0"/>
      <w:divBdr>
        <w:top w:val="none" w:sz="0" w:space="0" w:color="auto"/>
        <w:left w:val="none" w:sz="0" w:space="0" w:color="auto"/>
        <w:bottom w:val="none" w:sz="0" w:space="0" w:color="auto"/>
        <w:right w:val="none" w:sz="0" w:space="0" w:color="auto"/>
      </w:divBdr>
    </w:div>
    <w:div w:id="1960795152">
      <w:bodyDiv w:val="1"/>
      <w:marLeft w:val="0"/>
      <w:marRight w:val="0"/>
      <w:marTop w:val="0"/>
      <w:marBottom w:val="0"/>
      <w:divBdr>
        <w:top w:val="none" w:sz="0" w:space="0" w:color="auto"/>
        <w:left w:val="none" w:sz="0" w:space="0" w:color="auto"/>
        <w:bottom w:val="none" w:sz="0" w:space="0" w:color="auto"/>
        <w:right w:val="none" w:sz="0" w:space="0" w:color="auto"/>
      </w:divBdr>
      <w:divsChild>
        <w:div w:id="1567111929">
          <w:marLeft w:val="0"/>
          <w:marRight w:val="0"/>
          <w:marTop w:val="0"/>
          <w:marBottom w:val="0"/>
          <w:divBdr>
            <w:top w:val="none" w:sz="0" w:space="0" w:color="auto"/>
            <w:left w:val="none" w:sz="0" w:space="0" w:color="auto"/>
            <w:bottom w:val="none" w:sz="0" w:space="0" w:color="auto"/>
            <w:right w:val="none" w:sz="0" w:space="0" w:color="auto"/>
          </w:divBdr>
        </w:div>
      </w:divsChild>
    </w:div>
    <w:div w:id="1976257806">
      <w:bodyDiv w:val="1"/>
      <w:marLeft w:val="0"/>
      <w:marRight w:val="0"/>
      <w:marTop w:val="0"/>
      <w:marBottom w:val="0"/>
      <w:divBdr>
        <w:top w:val="none" w:sz="0" w:space="0" w:color="auto"/>
        <w:left w:val="none" w:sz="0" w:space="0" w:color="auto"/>
        <w:bottom w:val="none" w:sz="0" w:space="0" w:color="auto"/>
        <w:right w:val="none" w:sz="0" w:space="0" w:color="auto"/>
      </w:divBdr>
    </w:div>
    <w:div w:id="1982273457">
      <w:bodyDiv w:val="1"/>
      <w:marLeft w:val="0"/>
      <w:marRight w:val="0"/>
      <w:marTop w:val="0"/>
      <w:marBottom w:val="0"/>
      <w:divBdr>
        <w:top w:val="none" w:sz="0" w:space="0" w:color="auto"/>
        <w:left w:val="none" w:sz="0" w:space="0" w:color="auto"/>
        <w:bottom w:val="none" w:sz="0" w:space="0" w:color="auto"/>
        <w:right w:val="none" w:sz="0" w:space="0" w:color="auto"/>
      </w:divBdr>
      <w:divsChild>
        <w:div w:id="1081172418">
          <w:marLeft w:val="0"/>
          <w:marRight w:val="0"/>
          <w:marTop w:val="0"/>
          <w:marBottom w:val="0"/>
          <w:divBdr>
            <w:top w:val="none" w:sz="0" w:space="0" w:color="auto"/>
            <w:left w:val="none" w:sz="0" w:space="0" w:color="auto"/>
            <w:bottom w:val="none" w:sz="0" w:space="0" w:color="auto"/>
            <w:right w:val="none" w:sz="0" w:space="0" w:color="auto"/>
          </w:divBdr>
        </w:div>
      </w:divsChild>
    </w:div>
    <w:div w:id="1990019034">
      <w:bodyDiv w:val="1"/>
      <w:marLeft w:val="0"/>
      <w:marRight w:val="0"/>
      <w:marTop w:val="0"/>
      <w:marBottom w:val="0"/>
      <w:divBdr>
        <w:top w:val="none" w:sz="0" w:space="0" w:color="auto"/>
        <w:left w:val="none" w:sz="0" w:space="0" w:color="auto"/>
        <w:bottom w:val="none" w:sz="0" w:space="0" w:color="auto"/>
        <w:right w:val="none" w:sz="0" w:space="0" w:color="auto"/>
      </w:divBdr>
    </w:div>
    <w:div w:id="1999070630">
      <w:bodyDiv w:val="1"/>
      <w:marLeft w:val="0"/>
      <w:marRight w:val="0"/>
      <w:marTop w:val="0"/>
      <w:marBottom w:val="0"/>
      <w:divBdr>
        <w:top w:val="none" w:sz="0" w:space="0" w:color="auto"/>
        <w:left w:val="none" w:sz="0" w:space="0" w:color="auto"/>
        <w:bottom w:val="none" w:sz="0" w:space="0" w:color="auto"/>
        <w:right w:val="none" w:sz="0" w:space="0" w:color="auto"/>
      </w:divBdr>
    </w:div>
    <w:div w:id="2003925883">
      <w:bodyDiv w:val="1"/>
      <w:marLeft w:val="0"/>
      <w:marRight w:val="0"/>
      <w:marTop w:val="0"/>
      <w:marBottom w:val="0"/>
      <w:divBdr>
        <w:top w:val="none" w:sz="0" w:space="0" w:color="auto"/>
        <w:left w:val="none" w:sz="0" w:space="0" w:color="auto"/>
        <w:bottom w:val="none" w:sz="0" w:space="0" w:color="auto"/>
        <w:right w:val="none" w:sz="0" w:space="0" w:color="auto"/>
      </w:divBdr>
    </w:div>
    <w:div w:id="2006350060">
      <w:bodyDiv w:val="1"/>
      <w:marLeft w:val="0"/>
      <w:marRight w:val="0"/>
      <w:marTop w:val="0"/>
      <w:marBottom w:val="0"/>
      <w:divBdr>
        <w:top w:val="none" w:sz="0" w:space="0" w:color="auto"/>
        <w:left w:val="none" w:sz="0" w:space="0" w:color="auto"/>
        <w:bottom w:val="none" w:sz="0" w:space="0" w:color="auto"/>
        <w:right w:val="none" w:sz="0" w:space="0" w:color="auto"/>
      </w:divBdr>
    </w:div>
    <w:div w:id="2007829359">
      <w:bodyDiv w:val="1"/>
      <w:marLeft w:val="0"/>
      <w:marRight w:val="0"/>
      <w:marTop w:val="0"/>
      <w:marBottom w:val="0"/>
      <w:divBdr>
        <w:top w:val="none" w:sz="0" w:space="0" w:color="auto"/>
        <w:left w:val="none" w:sz="0" w:space="0" w:color="auto"/>
        <w:bottom w:val="none" w:sz="0" w:space="0" w:color="auto"/>
        <w:right w:val="none" w:sz="0" w:space="0" w:color="auto"/>
      </w:divBdr>
    </w:div>
    <w:div w:id="2010869367">
      <w:bodyDiv w:val="1"/>
      <w:marLeft w:val="0"/>
      <w:marRight w:val="0"/>
      <w:marTop w:val="0"/>
      <w:marBottom w:val="0"/>
      <w:divBdr>
        <w:top w:val="none" w:sz="0" w:space="0" w:color="auto"/>
        <w:left w:val="none" w:sz="0" w:space="0" w:color="auto"/>
        <w:bottom w:val="none" w:sz="0" w:space="0" w:color="auto"/>
        <w:right w:val="none" w:sz="0" w:space="0" w:color="auto"/>
      </w:divBdr>
    </w:div>
    <w:div w:id="2013100172">
      <w:bodyDiv w:val="1"/>
      <w:marLeft w:val="0"/>
      <w:marRight w:val="0"/>
      <w:marTop w:val="0"/>
      <w:marBottom w:val="0"/>
      <w:divBdr>
        <w:top w:val="none" w:sz="0" w:space="0" w:color="auto"/>
        <w:left w:val="none" w:sz="0" w:space="0" w:color="auto"/>
        <w:bottom w:val="none" w:sz="0" w:space="0" w:color="auto"/>
        <w:right w:val="none" w:sz="0" w:space="0" w:color="auto"/>
      </w:divBdr>
    </w:div>
    <w:div w:id="2021394812">
      <w:bodyDiv w:val="1"/>
      <w:marLeft w:val="0"/>
      <w:marRight w:val="0"/>
      <w:marTop w:val="0"/>
      <w:marBottom w:val="0"/>
      <w:divBdr>
        <w:top w:val="none" w:sz="0" w:space="0" w:color="auto"/>
        <w:left w:val="none" w:sz="0" w:space="0" w:color="auto"/>
        <w:bottom w:val="none" w:sz="0" w:space="0" w:color="auto"/>
        <w:right w:val="none" w:sz="0" w:space="0" w:color="auto"/>
      </w:divBdr>
      <w:divsChild>
        <w:div w:id="1736120582">
          <w:marLeft w:val="0"/>
          <w:marRight w:val="0"/>
          <w:marTop w:val="0"/>
          <w:marBottom w:val="0"/>
          <w:divBdr>
            <w:top w:val="none" w:sz="0" w:space="0" w:color="auto"/>
            <w:left w:val="none" w:sz="0" w:space="0" w:color="auto"/>
            <w:bottom w:val="none" w:sz="0" w:space="0" w:color="auto"/>
            <w:right w:val="none" w:sz="0" w:space="0" w:color="auto"/>
          </w:divBdr>
        </w:div>
      </w:divsChild>
    </w:div>
    <w:div w:id="2031487956">
      <w:bodyDiv w:val="1"/>
      <w:marLeft w:val="0"/>
      <w:marRight w:val="0"/>
      <w:marTop w:val="0"/>
      <w:marBottom w:val="0"/>
      <w:divBdr>
        <w:top w:val="none" w:sz="0" w:space="0" w:color="auto"/>
        <w:left w:val="none" w:sz="0" w:space="0" w:color="auto"/>
        <w:bottom w:val="none" w:sz="0" w:space="0" w:color="auto"/>
        <w:right w:val="none" w:sz="0" w:space="0" w:color="auto"/>
      </w:divBdr>
    </w:div>
    <w:div w:id="2035881399">
      <w:bodyDiv w:val="1"/>
      <w:marLeft w:val="0"/>
      <w:marRight w:val="0"/>
      <w:marTop w:val="0"/>
      <w:marBottom w:val="0"/>
      <w:divBdr>
        <w:top w:val="none" w:sz="0" w:space="0" w:color="auto"/>
        <w:left w:val="none" w:sz="0" w:space="0" w:color="auto"/>
        <w:bottom w:val="none" w:sz="0" w:space="0" w:color="auto"/>
        <w:right w:val="none" w:sz="0" w:space="0" w:color="auto"/>
      </w:divBdr>
      <w:divsChild>
        <w:div w:id="1482775745">
          <w:marLeft w:val="0"/>
          <w:marRight w:val="0"/>
          <w:marTop w:val="0"/>
          <w:marBottom w:val="0"/>
          <w:divBdr>
            <w:top w:val="none" w:sz="0" w:space="0" w:color="auto"/>
            <w:left w:val="none" w:sz="0" w:space="0" w:color="auto"/>
            <w:bottom w:val="none" w:sz="0" w:space="0" w:color="auto"/>
            <w:right w:val="none" w:sz="0" w:space="0" w:color="auto"/>
          </w:divBdr>
        </w:div>
      </w:divsChild>
    </w:div>
    <w:div w:id="2050717456">
      <w:bodyDiv w:val="1"/>
      <w:marLeft w:val="0"/>
      <w:marRight w:val="0"/>
      <w:marTop w:val="0"/>
      <w:marBottom w:val="0"/>
      <w:divBdr>
        <w:top w:val="none" w:sz="0" w:space="0" w:color="auto"/>
        <w:left w:val="none" w:sz="0" w:space="0" w:color="auto"/>
        <w:bottom w:val="none" w:sz="0" w:space="0" w:color="auto"/>
        <w:right w:val="none" w:sz="0" w:space="0" w:color="auto"/>
      </w:divBdr>
    </w:div>
    <w:div w:id="2060008190">
      <w:bodyDiv w:val="1"/>
      <w:marLeft w:val="0"/>
      <w:marRight w:val="0"/>
      <w:marTop w:val="0"/>
      <w:marBottom w:val="0"/>
      <w:divBdr>
        <w:top w:val="none" w:sz="0" w:space="0" w:color="auto"/>
        <w:left w:val="none" w:sz="0" w:space="0" w:color="auto"/>
        <w:bottom w:val="none" w:sz="0" w:space="0" w:color="auto"/>
        <w:right w:val="none" w:sz="0" w:space="0" w:color="auto"/>
      </w:divBdr>
    </w:div>
    <w:div w:id="2060276291">
      <w:bodyDiv w:val="1"/>
      <w:marLeft w:val="0"/>
      <w:marRight w:val="0"/>
      <w:marTop w:val="0"/>
      <w:marBottom w:val="0"/>
      <w:divBdr>
        <w:top w:val="none" w:sz="0" w:space="0" w:color="auto"/>
        <w:left w:val="none" w:sz="0" w:space="0" w:color="auto"/>
        <w:bottom w:val="none" w:sz="0" w:space="0" w:color="auto"/>
        <w:right w:val="none" w:sz="0" w:space="0" w:color="auto"/>
      </w:divBdr>
    </w:div>
    <w:div w:id="2077391452">
      <w:bodyDiv w:val="1"/>
      <w:marLeft w:val="0"/>
      <w:marRight w:val="0"/>
      <w:marTop w:val="0"/>
      <w:marBottom w:val="0"/>
      <w:divBdr>
        <w:top w:val="none" w:sz="0" w:space="0" w:color="auto"/>
        <w:left w:val="none" w:sz="0" w:space="0" w:color="auto"/>
        <w:bottom w:val="none" w:sz="0" w:space="0" w:color="auto"/>
        <w:right w:val="none" w:sz="0" w:space="0" w:color="auto"/>
      </w:divBdr>
    </w:div>
    <w:div w:id="2086418341">
      <w:bodyDiv w:val="1"/>
      <w:marLeft w:val="0"/>
      <w:marRight w:val="0"/>
      <w:marTop w:val="0"/>
      <w:marBottom w:val="0"/>
      <w:divBdr>
        <w:top w:val="none" w:sz="0" w:space="0" w:color="auto"/>
        <w:left w:val="none" w:sz="0" w:space="0" w:color="auto"/>
        <w:bottom w:val="none" w:sz="0" w:space="0" w:color="auto"/>
        <w:right w:val="none" w:sz="0" w:space="0" w:color="auto"/>
      </w:divBdr>
    </w:div>
    <w:div w:id="2094740361">
      <w:bodyDiv w:val="1"/>
      <w:marLeft w:val="0"/>
      <w:marRight w:val="0"/>
      <w:marTop w:val="0"/>
      <w:marBottom w:val="0"/>
      <w:divBdr>
        <w:top w:val="none" w:sz="0" w:space="0" w:color="auto"/>
        <w:left w:val="none" w:sz="0" w:space="0" w:color="auto"/>
        <w:bottom w:val="none" w:sz="0" w:space="0" w:color="auto"/>
        <w:right w:val="none" w:sz="0" w:space="0" w:color="auto"/>
      </w:divBdr>
    </w:div>
    <w:div w:id="2112817760">
      <w:bodyDiv w:val="1"/>
      <w:marLeft w:val="0"/>
      <w:marRight w:val="0"/>
      <w:marTop w:val="0"/>
      <w:marBottom w:val="0"/>
      <w:divBdr>
        <w:top w:val="none" w:sz="0" w:space="0" w:color="auto"/>
        <w:left w:val="none" w:sz="0" w:space="0" w:color="auto"/>
        <w:bottom w:val="none" w:sz="0" w:space="0" w:color="auto"/>
        <w:right w:val="none" w:sz="0" w:space="0" w:color="auto"/>
      </w:divBdr>
    </w:div>
    <w:div w:id="2113355008">
      <w:bodyDiv w:val="1"/>
      <w:marLeft w:val="0"/>
      <w:marRight w:val="0"/>
      <w:marTop w:val="0"/>
      <w:marBottom w:val="0"/>
      <w:divBdr>
        <w:top w:val="none" w:sz="0" w:space="0" w:color="auto"/>
        <w:left w:val="none" w:sz="0" w:space="0" w:color="auto"/>
        <w:bottom w:val="none" w:sz="0" w:space="0" w:color="auto"/>
        <w:right w:val="none" w:sz="0" w:space="0" w:color="auto"/>
      </w:divBdr>
    </w:div>
    <w:div w:id="2118286140">
      <w:bodyDiv w:val="1"/>
      <w:marLeft w:val="0"/>
      <w:marRight w:val="0"/>
      <w:marTop w:val="0"/>
      <w:marBottom w:val="0"/>
      <w:divBdr>
        <w:top w:val="none" w:sz="0" w:space="0" w:color="auto"/>
        <w:left w:val="none" w:sz="0" w:space="0" w:color="auto"/>
        <w:bottom w:val="none" w:sz="0" w:space="0" w:color="auto"/>
        <w:right w:val="none" w:sz="0" w:space="0" w:color="auto"/>
      </w:divBdr>
    </w:div>
    <w:div w:id="2121760709">
      <w:bodyDiv w:val="1"/>
      <w:marLeft w:val="0"/>
      <w:marRight w:val="0"/>
      <w:marTop w:val="0"/>
      <w:marBottom w:val="0"/>
      <w:divBdr>
        <w:top w:val="none" w:sz="0" w:space="0" w:color="auto"/>
        <w:left w:val="none" w:sz="0" w:space="0" w:color="auto"/>
        <w:bottom w:val="none" w:sz="0" w:space="0" w:color="auto"/>
        <w:right w:val="none" w:sz="0" w:space="0" w:color="auto"/>
      </w:divBdr>
      <w:divsChild>
        <w:div w:id="2032955486">
          <w:marLeft w:val="0"/>
          <w:marRight w:val="0"/>
          <w:marTop w:val="0"/>
          <w:marBottom w:val="0"/>
          <w:divBdr>
            <w:top w:val="none" w:sz="0" w:space="0" w:color="auto"/>
            <w:left w:val="none" w:sz="0" w:space="0" w:color="auto"/>
            <w:bottom w:val="none" w:sz="0" w:space="0" w:color="auto"/>
            <w:right w:val="none" w:sz="0" w:space="0" w:color="auto"/>
          </w:divBdr>
        </w:div>
      </w:divsChild>
    </w:div>
    <w:div w:id="2135325259">
      <w:bodyDiv w:val="1"/>
      <w:marLeft w:val="0"/>
      <w:marRight w:val="0"/>
      <w:marTop w:val="0"/>
      <w:marBottom w:val="0"/>
      <w:divBdr>
        <w:top w:val="none" w:sz="0" w:space="0" w:color="auto"/>
        <w:left w:val="none" w:sz="0" w:space="0" w:color="auto"/>
        <w:bottom w:val="none" w:sz="0" w:space="0" w:color="auto"/>
        <w:right w:val="none" w:sz="0" w:space="0" w:color="auto"/>
      </w:divBdr>
    </w:div>
    <w:div w:id="2137481777">
      <w:bodyDiv w:val="1"/>
      <w:marLeft w:val="0"/>
      <w:marRight w:val="0"/>
      <w:marTop w:val="0"/>
      <w:marBottom w:val="0"/>
      <w:divBdr>
        <w:top w:val="none" w:sz="0" w:space="0" w:color="auto"/>
        <w:left w:val="none" w:sz="0" w:space="0" w:color="auto"/>
        <w:bottom w:val="none" w:sz="0" w:space="0" w:color="auto"/>
        <w:right w:val="none" w:sz="0" w:space="0" w:color="auto"/>
      </w:divBdr>
    </w:div>
    <w:div w:id="2139948897">
      <w:bodyDiv w:val="1"/>
      <w:marLeft w:val="0"/>
      <w:marRight w:val="0"/>
      <w:marTop w:val="0"/>
      <w:marBottom w:val="0"/>
      <w:divBdr>
        <w:top w:val="none" w:sz="0" w:space="0" w:color="auto"/>
        <w:left w:val="none" w:sz="0" w:space="0" w:color="auto"/>
        <w:bottom w:val="none" w:sz="0" w:space="0" w:color="auto"/>
        <w:right w:val="none" w:sz="0" w:space="0" w:color="auto"/>
      </w:divBdr>
    </w:div>
    <w:div w:id="2140875064">
      <w:bodyDiv w:val="1"/>
      <w:marLeft w:val="0"/>
      <w:marRight w:val="0"/>
      <w:marTop w:val="0"/>
      <w:marBottom w:val="0"/>
      <w:divBdr>
        <w:top w:val="none" w:sz="0" w:space="0" w:color="auto"/>
        <w:left w:val="none" w:sz="0" w:space="0" w:color="auto"/>
        <w:bottom w:val="none" w:sz="0" w:space="0" w:color="auto"/>
        <w:right w:val="none" w:sz="0" w:space="0" w:color="auto"/>
      </w:divBdr>
    </w:div>
    <w:div w:id="214692379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10.xml"/><Relationship Id="rId117" Type="http://schemas.openxmlformats.org/officeDocument/2006/relationships/image" Target="media/image3.emf"/><Relationship Id="rId21" Type="http://schemas.openxmlformats.org/officeDocument/2006/relationships/image" Target="media/image6.png"/><Relationship Id="rId42" Type="http://schemas.openxmlformats.org/officeDocument/2006/relationships/image" Target="media/image23.jpeg"/><Relationship Id="rId47" Type="http://schemas.openxmlformats.org/officeDocument/2006/relationships/chart" Target="charts/chart2.xml"/><Relationship Id="rId63" Type="http://schemas.openxmlformats.org/officeDocument/2006/relationships/image" Target="media/image40.jpeg"/><Relationship Id="rId68" Type="http://schemas.openxmlformats.org/officeDocument/2006/relationships/hyperlink" Target="http://www.worldclim.org" TargetMode="External"/><Relationship Id="rId84" Type="http://schemas.openxmlformats.org/officeDocument/2006/relationships/image" Target="media/image55.jpeg"/><Relationship Id="rId89" Type="http://schemas.openxmlformats.org/officeDocument/2006/relationships/hyperlink" Target="https://nature-art12.eionet.europa.eu/article12/summary" TargetMode="External"/><Relationship Id="rId112" Type="http://schemas.openxmlformats.org/officeDocument/2006/relationships/hyperlink" Target="https://ramboll.com/" TargetMode="External"/><Relationship Id="rId16" Type="http://schemas.openxmlformats.org/officeDocument/2006/relationships/footer" Target="footer3.xml"/><Relationship Id="rId107" Type="http://schemas.openxmlformats.org/officeDocument/2006/relationships/hyperlink" Target="https://eur-lex.europa.eu/resource.html?uri=cellar:a3c806a6-9ab3-11ea-9d2d-01aa75ed71a1.0023.02/DOC_1&amp;format=PDF" TargetMode="External"/><Relationship Id="rId11" Type="http://schemas.openxmlformats.org/officeDocument/2006/relationships/footnotes" Target="footnotes.xml"/><Relationship Id="rId32" Type="http://schemas.openxmlformats.org/officeDocument/2006/relationships/image" Target="media/image13.jpeg"/><Relationship Id="rId37" Type="http://schemas.openxmlformats.org/officeDocument/2006/relationships/image" Target="media/image18.png"/><Relationship Id="rId53" Type="http://schemas.openxmlformats.org/officeDocument/2006/relationships/image" Target="media/image30.emf"/><Relationship Id="rId58" Type="http://schemas.openxmlformats.org/officeDocument/2006/relationships/image" Target="media/image35.emf"/><Relationship Id="rId74" Type="http://schemas.openxmlformats.org/officeDocument/2006/relationships/hyperlink" Target="http://www.worldclim.org" TargetMode="External"/><Relationship Id="rId79" Type="http://schemas.openxmlformats.org/officeDocument/2006/relationships/image" Target="media/image50.jpeg"/><Relationship Id="rId102" Type="http://schemas.openxmlformats.org/officeDocument/2006/relationships/hyperlink" Target="https://eur-lex.europa.eu/legal-content/RO/TXT/PDF/?uri=CELEX:22016A1019(01)&amp;from=EN" TargetMode="External"/><Relationship Id="rId5" Type="http://schemas.openxmlformats.org/officeDocument/2006/relationships/customXml" Target="../customXml/item5.xml"/><Relationship Id="rId90" Type="http://schemas.openxmlformats.org/officeDocument/2006/relationships/image" Target="media/image60.jpeg"/><Relationship Id="rId95" Type="http://schemas.openxmlformats.org/officeDocument/2006/relationships/image" Target="media/image64.png"/><Relationship Id="rId22" Type="http://schemas.openxmlformats.org/officeDocument/2006/relationships/header" Target="header3.xml"/><Relationship Id="rId27" Type="http://schemas.openxmlformats.org/officeDocument/2006/relationships/image" Target="media/image8.png"/><Relationship Id="rId43" Type="http://schemas.openxmlformats.org/officeDocument/2006/relationships/image" Target="media/image24.jpeg"/><Relationship Id="rId48" Type="http://schemas.openxmlformats.org/officeDocument/2006/relationships/image" Target="media/image27.png"/><Relationship Id="rId64" Type="http://schemas.openxmlformats.org/officeDocument/2006/relationships/hyperlink" Target="http://www.worldclim.org" TargetMode="External"/><Relationship Id="rId69" Type="http://schemas.openxmlformats.org/officeDocument/2006/relationships/image" Target="media/image43.jpeg"/><Relationship Id="rId113" Type="http://schemas.openxmlformats.org/officeDocument/2006/relationships/image" Target="media/image68.emf"/><Relationship Id="rId118" Type="http://schemas.openxmlformats.org/officeDocument/2006/relationships/image" Target="media/image4.emf"/><Relationship Id="rId80" Type="http://schemas.openxmlformats.org/officeDocument/2006/relationships/image" Target="media/image51.jpeg"/><Relationship Id="rId85" Type="http://schemas.openxmlformats.org/officeDocument/2006/relationships/image" Target="media/image56.jpeg"/><Relationship Id="rId12" Type="http://schemas.openxmlformats.org/officeDocument/2006/relationships/endnotes" Target="endnotes.xml"/><Relationship Id="rId17" Type="http://schemas.openxmlformats.org/officeDocument/2006/relationships/header" Target="header2.xml"/><Relationship Id="rId33" Type="http://schemas.openxmlformats.org/officeDocument/2006/relationships/image" Target="media/image14.jpeg"/><Relationship Id="rId38" Type="http://schemas.openxmlformats.org/officeDocument/2006/relationships/image" Target="media/image19.jpeg"/><Relationship Id="rId59" Type="http://schemas.openxmlformats.org/officeDocument/2006/relationships/image" Target="media/image36.emf"/><Relationship Id="rId103" Type="http://schemas.openxmlformats.org/officeDocument/2006/relationships/hyperlink" Target="https://eur-lex.europa.eu/legal-content/RO/TXT/PDF/?uri=CELEX:52020DC0562" TargetMode="External"/><Relationship Id="rId108" Type="http://schemas.openxmlformats.org/officeDocument/2006/relationships/hyperlink" Target="https://galdobrogeasv.ro/modificari-ale-strategiei-de-dezvoltare-locala/" TargetMode="External"/><Relationship Id="rId54" Type="http://schemas.openxmlformats.org/officeDocument/2006/relationships/image" Target="media/image31.emf"/><Relationship Id="rId70" Type="http://schemas.openxmlformats.org/officeDocument/2006/relationships/hyperlink" Target="http://www.worldclim.org" TargetMode="External"/><Relationship Id="rId75" Type="http://schemas.openxmlformats.org/officeDocument/2006/relationships/image" Target="media/image46.jpeg"/><Relationship Id="rId91" Type="http://schemas.openxmlformats.org/officeDocument/2006/relationships/image" Target="media/image61.png"/><Relationship Id="rId96" Type="http://schemas.openxmlformats.org/officeDocument/2006/relationships/image" Target="media/image65.jpg"/><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footer" Target="footer7.xml"/><Relationship Id="rId28" Type="http://schemas.openxmlformats.org/officeDocument/2006/relationships/image" Target="media/image9.jpeg"/><Relationship Id="rId49" Type="http://schemas.openxmlformats.org/officeDocument/2006/relationships/hyperlink" Target="https://webgate.ec.europa.eu/dyna/echi/?indlist=10a" TargetMode="External"/><Relationship Id="rId114" Type="http://schemas.openxmlformats.org/officeDocument/2006/relationships/image" Target="media/image69.emf"/><Relationship Id="rId119" Type="http://schemas.openxmlformats.org/officeDocument/2006/relationships/fontTable" Target="fontTable.xml"/><Relationship Id="rId44" Type="http://schemas.openxmlformats.org/officeDocument/2006/relationships/image" Target="media/image25.jpeg"/><Relationship Id="rId60" Type="http://schemas.openxmlformats.org/officeDocument/2006/relationships/image" Target="media/image37.emf"/><Relationship Id="rId65" Type="http://schemas.openxmlformats.org/officeDocument/2006/relationships/image" Target="media/image41.jpeg"/><Relationship Id="rId81" Type="http://schemas.openxmlformats.org/officeDocument/2006/relationships/image" Target="media/image52.jpeg"/><Relationship Id="rId86" Type="http://schemas.openxmlformats.org/officeDocument/2006/relationships/image" Target="media/image57.jpeg"/><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footer" Target="footer4.xml"/><Relationship Id="rId39" Type="http://schemas.openxmlformats.org/officeDocument/2006/relationships/image" Target="media/image20.jpeg"/><Relationship Id="rId109" Type="http://schemas.openxmlformats.org/officeDocument/2006/relationships/hyperlink" Target="http://apmct.anpm.ro/-/planul-local-de-actiune-pentru-mediu-constanta" TargetMode="External"/><Relationship Id="rId34" Type="http://schemas.openxmlformats.org/officeDocument/2006/relationships/image" Target="media/image15.jpeg"/><Relationship Id="rId50" Type="http://schemas.openxmlformats.org/officeDocument/2006/relationships/chart" Target="charts/chart3.xml"/><Relationship Id="rId55" Type="http://schemas.openxmlformats.org/officeDocument/2006/relationships/image" Target="media/image32.emf"/><Relationship Id="rId76" Type="http://schemas.openxmlformats.org/officeDocument/2006/relationships/image" Target="media/image47.jpeg"/><Relationship Id="rId97" Type="http://schemas.openxmlformats.org/officeDocument/2006/relationships/image" Target="media/image66.png"/><Relationship Id="rId104" Type="http://schemas.openxmlformats.org/officeDocument/2006/relationships/hyperlink" Target="https://eur-lex.europa.eu/legal-content/RO/TXT/PDF/?uri=CELEX:32021R1119" TargetMode="External"/><Relationship Id="rId120" Type="http://schemas.openxmlformats.org/officeDocument/2006/relationships/glossaryDocument" Target="glossary/document.xml"/><Relationship Id="rId7" Type="http://schemas.openxmlformats.org/officeDocument/2006/relationships/numbering" Target="numbering.xml"/><Relationship Id="rId71" Type="http://schemas.openxmlformats.org/officeDocument/2006/relationships/image" Target="media/image44.jpeg"/><Relationship Id="rId92" Type="http://schemas.openxmlformats.org/officeDocument/2006/relationships/hyperlink" Target="https://www.nsi.bg/en/content/2981/population-towns-and-sex" TargetMode="External"/><Relationship Id="rId2" Type="http://schemas.openxmlformats.org/officeDocument/2006/relationships/customXml" Target="../customXml/item2.xml"/><Relationship Id="rId29" Type="http://schemas.openxmlformats.org/officeDocument/2006/relationships/image" Target="media/image10.png"/><Relationship Id="rId24" Type="http://schemas.openxmlformats.org/officeDocument/2006/relationships/footer" Target="footer8.xml"/><Relationship Id="rId40" Type="http://schemas.openxmlformats.org/officeDocument/2006/relationships/image" Target="media/image21.jpeg"/><Relationship Id="rId45" Type="http://schemas.openxmlformats.org/officeDocument/2006/relationships/image" Target="media/image26.jpeg"/><Relationship Id="rId66" Type="http://schemas.openxmlformats.org/officeDocument/2006/relationships/hyperlink" Target="http://www.worldclim.org" TargetMode="External"/><Relationship Id="rId87" Type="http://schemas.openxmlformats.org/officeDocument/2006/relationships/image" Target="media/image58.jpeg"/><Relationship Id="rId110" Type="http://schemas.openxmlformats.org/officeDocument/2006/relationships/image" Target="media/image67.png"/><Relationship Id="rId115" Type="http://schemas.openxmlformats.org/officeDocument/2006/relationships/hyperlink" Target="https://ramboll.com/" TargetMode="External"/><Relationship Id="rId61" Type="http://schemas.openxmlformats.org/officeDocument/2006/relationships/image" Target="media/image38.emf"/><Relationship Id="rId82" Type="http://schemas.openxmlformats.org/officeDocument/2006/relationships/image" Target="media/image53.jpeg"/><Relationship Id="rId19" Type="http://schemas.openxmlformats.org/officeDocument/2006/relationships/footer" Target="footer5.xml"/><Relationship Id="rId14" Type="http://schemas.openxmlformats.org/officeDocument/2006/relationships/footer" Target="footer1.xml"/><Relationship Id="rId30" Type="http://schemas.openxmlformats.org/officeDocument/2006/relationships/image" Target="media/image11.jpeg"/><Relationship Id="rId35" Type="http://schemas.openxmlformats.org/officeDocument/2006/relationships/image" Target="media/image16.jpeg"/><Relationship Id="rId56" Type="http://schemas.openxmlformats.org/officeDocument/2006/relationships/image" Target="media/image33.emf"/><Relationship Id="rId77" Type="http://schemas.openxmlformats.org/officeDocument/2006/relationships/image" Target="media/image48.jpeg"/><Relationship Id="rId100" Type="http://schemas.openxmlformats.org/officeDocument/2006/relationships/footer" Target="footer13.xml"/><Relationship Id="rId105" Type="http://schemas.openxmlformats.org/officeDocument/2006/relationships/hyperlink" Target="https://eur-lex.europa.eu/resource.html?uri=cellar:fc930f14-d7ae-11ec-a95f-01aa75ed71a1.0014.02/DOC_1&amp;format=PDF" TargetMode="External"/><Relationship Id="rId8" Type="http://schemas.openxmlformats.org/officeDocument/2006/relationships/styles" Target="styles.xml"/><Relationship Id="rId51" Type="http://schemas.openxmlformats.org/officeDocument/2006/relationships/image" Target="media/image28.jpeg"/><Relationship Id="rId72" Type="http://schemas.openxmlformats.org/officeDocument/2006/relationships/hyperlink" Target="http://www.worldclim.org" TargetMode="External"/><Relationship Id="rId93" Type="http://schemas.openxmlformats.org/officeDocument/2006/relationships/image" Target="media/image62.png"/><Relationship Id="rId98" Type="http://schemas.openxmlformats.org/officeDocument/2006/relationships/footer" Target="footer11.xml"/><Relationship Id="rId121"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footer" Target="footer9.xml"/><Relationship Id="rId46" Type="http://schemas.openxmlformats.org/officeDocument/2006/relationships/chart" Target="charts/chart1.xml"/><Relationship Id="rId67" Type="http://schemas.openxmlformats.org/officeDocument/2006/relationships/image" Target="media/image42.jpeg"/><Relationship Id="rId116" Type="http://schemas.openxmlformats.org/officeDocument/2006/relationships/hyperlink" Target="https://ramboll.com/" TargetMode="External"/><Relationship Id="rId20" Type="http://schemas.openxmlformats.org/officeDocument/2006/relationships/footer" Target="footer6.xml"/><Relationship Id="rId41" Type="http://schemas.openxmlformats.org/officeDocument/2006/relationships/image" Target="media/image22.jpeg"/><Relationship Id="rId62" Type="http://schemas.openxmlformats.org/officeDocument/2006/relationships/image" Target="media/image39.emf"/><Relationship Id="rId83" Type="http://schemas.openxmlformats.org/officeDocument/2006/relationships/image" Target="media/image54.jpeg"/><Relationship Id="rId88" Type="http://schemas.openxmlformats.org/officeDocument/2006/relationships/image" Target="media/image59.jpeg"/><Relationship Id="rId111" Type="http://schemas.openxmlformats.org/officeDocument/2006/relationships/hyperlink" Target="https://ramboll.com/" TargetMode="External"/><Relationship Id="rId15" Type="http://schemas.openxmlformats.org/officeDocument/2006/relationships/footer" Target="footer2.xml"/><Relationship Id="rId36" Type="http://schemas.openxmlformats.org/officeDocument/2006/relationships/image" Target="media/image17.jpeg"/><Relationship Id="rId57" Type="http://schemas.openxmlformats.org/officeDocument/2006/relationships/image" Target="media/image34.emf"/><Relationship Id="rId106" Type="http://schemas.openxmlformats.org/officeDocument/2006/relationships/hyperlink" Target="https://eur-lex.europa.eu/legal-content/RO/TXT/PDF/?uri=CELEX:52023DC0062" TargetMode="External"/><Relationship Id="rId10" Type="http://schemas.openxmlformats.org/officeDocument/2006/relationships/webSettings" Target="webSettings.xml"/><Relationship Id="rId31" Type="http://schemas.openxmlformats.org/officeDocument/2006/relationships/image" Target="media/image12.jpeg"/><Relationship Id="rId52" Type="http://schemas.openxmlformats.org/officeDocument/2006/relationships/image" Target="media/image29.jpeg"/><Relationship Id="rId73" Type="http://schemas.openxmlformats.org/officeDocument/2006/relationships/image" Target="media/image45.jpeg"/><Relationship Id="rId78" Type="http://schemas.openxmlformats.org/officeDocument/2006/relationships/image" Target="media/image49.jpeg"/><Relationship Id="rId94" Type="http://schemas.openxmlformats.org/officeDocument/2006/relationships/image" Target="media/image63.png"/><Relationship Id="rId99" Type="http://schemas.openxmlformats.org/officeDocument/2006/relationships/footer" Target="footer12.xml"/><Relationship Id="rId101" Type="http://schemas.openxmlformats.org/officeDocument/2006/relationships/hyperlink" Target="https://eur-lex.europa.eu/resource.html?uri=cellar:1bd46c90-bdd4-11e4-bbe1-01aa75ed71a1.0012.03/DOC_1&amp;format=PDF"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4.emf"/></Relationships>
</file>

<file path=word/_rels/footnotes.xml.rels><?xml version="1.0" encoding="UTF-8" standalone="yes"?>
<Relationships xmlns="http://schemas.openxmlformats.org/package/2006/relationships"><Relationship Id="rId3" Type="http://schemas.openxmlformats.org/officeDocument/2006/relationships/hyperlink" Target="https://www.nsi.bg/en/content/3006/deaths-districts-municipalities-and-sex" TargetMode="External"/><Relationship Id="rId2" Type="http://schemas.openxmlformats.org/officeDocument/2006/relationships/hyperlink" Target="https://eea.government.bg/bg/soer/2023" TargetMode="External"/><Relationship Id="rId1" Type="http://schemas.openxmlformats.org/officeDocument/2006/relationships/hyperlink" Target="https://eea.government.bg/bg/soer/2020/air/kachestvo-na-atmosferniya-vazduh"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image" Target="media/image2.jpe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musat\AppData\Local\Temp\Templafy\WordVsto\Cover%20and%20Content,%20narrow%20text.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ramboll-my.sharepoint.com/personal/ofalup_ramboll_com/Documents/Desktop/Populatie_Cerchezu.xlsx"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_rels/chart2.xml.rels><?xml version="1.0" encoding="UTF-8" standalone="yes"?>
<Relationships xmlns="http://schemas.openxmlformats.org/package/2006/relationships"><Relationship Id="rId3" Type="http://schemas.openxmlformats.org/officeDocument/2006/relationships/oleObject" Target="https://ramboll-my.sharepoint.com/personal/gmusat_ramboll_com/Documents/OX%20Cherchezu/RM/Surse%20date/Populatie_Cerchezu.xlsx"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2.xml"/></Relationships>
</file>

<file path=word/charts/_rels/chart3.xml.rels><?xml version="1.0" encoding="UTF-8" standalone="yes"?>
<Relationships xmlns="http://schemas.openxmlformats.org/package/2006/relationships"><Relationship Id="rId3" Type="http://schemas.openxmlformats.org/officeDocument/2006/relationships/oleObject" Target="https://ramboll-my.sharepoint.com/personal/gmusat_ramboll_com/Documents/OX%20Cherchezu/RM/Surse%20date/Populatie_Cerchezu.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Sheet1!$B$13</c:f>
              <c:strCache>
                <c:ptCount val="1"/>
                <c:pt idx="0">
                  <c:v>Total</c:v>
                </c:pt>
              </c:strCache>
            </c:strRef>
          </c:tx>
          <c:spPr>
            <a:ln w="28575" cap="rnd">
              <a:solidFill>
                <a:schemeClr val="accent1"/>
              </a:solidFill>
              <a:round/>
            </a:ln>
            <a:effectLst/>
          </c:spPr>
          <c:marker>
            <c:symbol val="none"/>
          </c:marker>
          <c:trendline>
            <c:spPr>
              <a:ln w="19050" cap="rnd">
                <a:solidFill>
                  <a:srgbClr val="FF0000"/>
                </a:solidFill>
                <a:prstDash val="sysDot"/>
              </a:ln>
              <a:effectLst/>
            </c:spPr>
            <c:trendlineType val="linear"/>
            <c:dispRSqr val="0"/>
            <c:dispEq val="0"/>
          </c:trendline>
          <c:cat>
            <c:numRef>
              <c:f>Sheet1!$C$12:$I$12</c:f>
              <c:numCache>
                <c:formatCode>General</c:formatCode>
                <c:ptCount val="7"/>
                <c:pt idx="0">
                  <c:v>2011</c:v>
                </c:pt>
                <c:pt idx="1">
                  <c:v>2019</c:v>
                </c:pt>
                <c:pt idx="2">
                  <c:v>2020</c:v>
                </c:pt>
                <c:pt idx="3">
                  <c:v>2021</c:v>
                </c:pt>
                <c:pt idx="4">
                  <c:v>2022</c:v>
                </c:pt>
                <c:pt idx="5">
                  <c:v>2023</c:v>
                </c:pt>
                <c:pt idx="6">
                  <c:v>2024</c:v>
                </c:pt>
              </c:numCache>
            </c:numRef>
          </c:cat>
          <c:val>
            <c:numRef>
              <c:f>Sheet1!$C$13:$I$13</c:f>
              <c:numCache>
                <c:formatCode>General</c:formatCode>
                <c:ptCount val="7"/>
                <c:pt idx="0">
                  <c:v>1517</c:v>
                </c:pt>
                <c:pt idx="1">
                  <c:v>1392</c:v>
                </c:pt>
                <c:pt idx="2">
                  <c:v>1362</c:v>
                </c:pt>
                <c:pt idx="3">
                  <c:v>1349</c:v>
                </c:pt>
                <c:pt idx="4">
                  <c:v>1341</c:v>
                </c:pt>
                <c:pt idx="5">
                  <c:v>1315</c:v>
                </c:pt>
                <c:pt idx="6">
                  <c:v>1292</c:v>
                </c:pt>
              </c:numCache>
            </c:numRef>
          </c:val>
          <c:smooth val="0"/>
          <c:extLst>
            <c:ext xmlns:c16="http://schemas.microsoft.com/office/drawing/2014/chart" uri="{C3380CC4-5D6E-409C-BE32-E72D297353CC}">
              <c16:uniqueId val="{00000001-B9B5-446E-B662-8FF49CC3B318}"/>
            </c:ext>
          </c:extLst>
        </c:ser>
        <c:dLbls>
          <c:showLegendKey val="0"/>
          <c:showVal val="0"/>
          <c:showCatName val="0"/>
          <c:showSerName val="0"/>
          <c:showPercent val="0"/>
          <c:showBubbleSize val="0"/>
        </c:dLbls>
        <c:smooth val="0"/>
        <c:axId val="694378896"/>
        <c:axId val="694377816"/>
      </c:lineChart>
      <c:catAx>
        <c:axId val="694378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4377816"/>
        <c:crosses val="autoZero"/>
        <c:auto val="1"/>
        <c:lblAlgn val="ctr"/>
        <c:lblOffset val="100"/>
        <c:noMultiLvlLbl val="0"/>
      </c:catAx>
      <c:valAx>
        <c:axId val="6943778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sz="1000" b="0" i="0" u="none" strike="noStrike" baseline="0"/>
                  <a:t>Брой на населението </a:t>
                </a:r>
                <a:endParaRPr lang="ro-RO"/>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o-RO"/>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437889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Sheet1!$B$28</c:f>
              <c:strCache>
                <c:ptCount val="1"/>
                <c:pt idx="0">
                  <c:v>Romania</c:v>
                </c:pt>
              </c:strCache>
            </c:strRef>
          </c:tx>
          <c:spPr>
            <a:ln w="28575" cap="rnd">
              <a:solidFill>
                <a:schemeClr val="accent1"/>
              </a:solidFill>
              <a:round/>
            </a:ln>
            <a:effectLst/>
          </c:spPr>
          <c:marker>
            <c:symbol val="none"/>
          </c:marker>
          <c:cat>
            <c:numRef>
              <c:f>Sheet1!$C$27:$K$27</c:f>
              <c:numCache>
                <c:formatCode>General</c:formatCode>
                <c:ptCount val="9"/>
                <c:pt idx="0">
                  <c:v>2014</c:v>
                </c:pt>
                <c:pt idx="1">
                  <c:v>2015</c:v>
                </c:pt>
                <c:pt idx="2">
                  <c:v>2016</c:v>
                </c:pt>
                <c:pt idx="3">
                  <c:v>2017</c:v>
                </c:pt>
                <c:pt idx="4">
                  <c:v>2018</c:v>
                </c:pt>
                <c:pt idx="5">
                  <c:v>2019</c:v>
                </c:pt>
                <c:pt idx="6">
                  <c:v>2020</c:v>
                </c:pt>
                <c:pt idx="7">
                  <c:v>2021</c:v>
                </c:pt>
                <c:pt idx="8">
                  <c:v>2022</c:v>
                </c:pt>
              </c:numCache>
            </c:numRef>
          </c:cat>
          <c:val>
            <c:numRef>
              <c:f>Sheet1!$C$28:$K$28</c:f>
              <c:numCache>
                <c:formatCode>General</c:formatCode>
                <c:ptCount val="9"/>
                <c:pt idx="0">
                  <c:v>25.1</c:v>
                </c:pt>
                <c:pt idx="1">
                  <c:v>25.4</c:v>
                </c:pt>
                <c:pt idx="2">
                  <c:v>25.3</c:v>
                </c:pt>
                <c:pt idx="3">
                  <c:v>23.6</c:v>
                </c:pt>
                <c:pt idx="4">
                  <c:v>23.5</c:v>
                </c:pt>
                <c:pt idx="5">
                  <c:v>23.8</c:v>
                </c:pt>
                <c:pt idx="6">
                  <c:v>23.4</c:v>
                </c:pt>
                <c:pt idx="7">
                  <c:v>22.5</c:v>
                </c:pt>
                <c:pt idx="8">
                  <c:v>21.2</c:v>
                </c:pt>
              </c:numCache>
            </c:numRef>
          </c:val>
          <c:smooth val="0"/>
          <c:extLst>
            <c:ext xmlns:c16="http://schemas.microsoft.com/office/drawing/2014/chart" uri="{C3380CC4-5D6E-409C-BE32-E72D297353CC}">
              <c16:uniqueId val="{00000000-08EA-4063-BAC3-3DB957FB8E6C}"/>
            </c:ext>
          </c:extLst>
        </c:ser>
        <c:ser>
          <c:idx val="1"/>
          <c:order val="1"/>
          <c:tx>
            <c:strRef>
              <c:f>Sheet1!$B$29</c:f>
              <c:strCache>
                <c:ptCount val="1"/>
                <c:pt idx="0">
                  <c:v>Regiunea Sud Est</c:v>
                </c:pt>
              </c:strCache>
            </c:strRef>
          </c:tx>
          <c:spPr>
            <a:ln w="28575" cap="rnd">
              <a:solidFill>
                <a:schemeClr val="accent2"/>
              </a:solidFill>
              <a:round/>
            </a:ln>
            <a:effectLst/>
          </c:spPr>
          <c:marker>
            <c:symbol val="none"/>
          </c:marker>
          <c:trendline>
            <c:spPr>
              <a:ln w="19050" cap="rnd">
                <a:solidFill>
                  <a:srgbClr val="FF0000"/>
                </a:solidFill>
                <a:prstDash val="sysDot"/>
              </a:ln>
              <a:effectLst/>
            </c:spPr>
            <c:trendlineType val="linear"/>
            <c:dispRSqr val="0"/>
            <c:dispEq val="0"/>
          </c:trendline>
          <c:cat>
            <c:numRef>
              <c:f>Sheet1!$C$27:$K$27</c:f>
              <c:numCache>
                <c:formatCode>General</c:formatCode>
                <c:ptCount val="9"/>
                <c:pt idx="0">
                  <c:v>2014</c:v>
                </c:pt>
                <c:pt idx="1">
                  <c:v>2015</c:v>
                </c:pt>
                <c:pt idx="2">
                  <c:v>2016</c:v>
                </c:pt>
                <c:pt idx="3">
                  <c:v>2017</c:v>
                </c:pt>
                <c:pt idx="4">
                  <c:v>2018</c:v>
                </c:pt>
                <c:pt idx="5">
                  <c:v>2019</c:v>
                </c:pt>
                <c:pt idx="6">
                  <c:v>2020</c:v>
                </c:pt>
                <c:pt idx="7">
                  <c:v>2021</c:v>
                </c:pt>
                <c:pt idx="8">
                  <c:v>2022</c:v>
                </c:pt>
              </c:numCache>
            </c:numRef>
          </c:cat>
          <c:val>
            <c:numRef>
              <c:f>Sheet1!$C$29:$K$29</c:f>
              <c:numCache>
                <c:formatCode>General</c:formatCode>
                <c:ptCount val="9"/>
                <c:pt idx="0">
                  <c:v>34</c:v>
                </c:pt>
                <c:pt idx="1">
                  <c:v>32.4</c:v>
                </c:pt>
                <c:pt idx="2">
                  <c:v>31.2</c:v>
                </c:pt>
                <c:pt idx="3">
                  <c:v>29.6</c:v>
                </c:pt>
                <c:pt idx="4">
                  <c:v>31.2</c:v>
                </c:pt>
                <c:pt idx="5">
                  <c:v>31.1</c:v>
                </c:pt>
                <c:pt idx="6">
                  <c:v>32.6</c:v>
                </c:pt>
                <c:pt idx="7">
                  <c:v>30.4</c:v>
                </c:pt>
                <c:pt idx="8">
                  <c:v>28.4</c:v>
                </c:pt>
              </c:numCache>
            </c:numRef>
          </c:val>
          <c:smooth val="0"/>
          <c:extLst>
            <c:ext xmlns:c16="http://schemas.microsoft.com/office/drawing/2014/chart" uri="{C3380CC4-5D6E-409C-BE32-E72D297353CC}">
              <c16:uniqueId val="{00000002-08EA-4063-BAC3-3DB957FB8E6C}"/>
            </c:ext>
          </c:extLst>
        </c:ser>
        <c:dLbls>
          <c:showLegendKey val="0"/>
          <c:showVal val="0"/>
          <c:showCatName val="0"/>
          <c:showSerName val="0"/>
          <c:showPercent val="0"/>
          <c:showBubbleSize val="0"/>
        </c:dLbls>
        <c:smooth val="0"/>
        <c:axId val="512961440"/>
        <c:axId val="512963240"/>
      </c:lineChart>
      <c:catAx>
        <c:axId val="5129614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12963240"/>
        <c:crosses val="autoZero"/>
        <c:auto val="1"/>
        <c:lblAlgn val="ctr"/>
        <c:lblOffset val="100"/>
        <c:noMultiLvlLbl val="0"/>
      </c:catAx>
      <c:valAx>
        <c:axId val="5129632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o-RO"/>
                  <a:t>Rata sărăciei relative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12961440"/>
        <c:crosses val="autoZero"/>
        <c:crossBetween val="between"/>
      </c:val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ln>
                  <a:noFill/>
                </a:ln>
                <a:solidFill>
                  <a:schemeClr val="tx1">
                    <a:lumMod val="65000"/>
                    <a:lumOff val="35000"/>
                  </a:schemeClr>
                </a:solidFill>
                <a:latin typeface="+mn-lt"/>
                <a:ea typeface="+mn-ea"/>
                <a:cs typeface="+mn-cs"/>
              </a:defRPr>
            </a:pPr>
            <a:endParaRPr lang="en-US"/>
          </a:p>
        </c:txPr>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0598206474190723"/>
          <c:y val="8.1018518518518517E-2"/>
          <c:w val="0.51249999999999996"/>
          <c:h val="0.85416666666666663"/>
        </c:manualLayout>
      </c:layout>
      <c:doughnutChart>
        <c:varyColors val="1"/>
        <c:ser>
          <c:idx val="0"/>
          <c:order val="0"/>
          <c:explosion val="3"/>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B10-45DA-9D4B-70A83AC80B8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B10-45DA-9D4B-70A83AC80B8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B10-45DA-9D4B-70A83AC80B88}"/>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5B10-45DA-9D4B-70A83AC80B88}"/>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5B10-45DA-9D4B-70A83AC80B88}"/>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5B10-45DA-9D4B-70A83AC80B88}"/>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5B10-45DA-9D4B-70A83AC80B88}"/>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5B10-45DA-9D4B-70A83AC80B88}"/>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5B10-45DA-9D4B-70A83AC80B88}"/>
              </c:ext>
            </c:extLst>
          </c:dPt>
          <c:dLbls>
            <c:spPr>
              <a:noFill/>
              <a:ln>
                <a:noFill/>
              </a:ln>
              <a:effectLst/>
            </c:spPr>
            <c:txPr>
              <a:bodyPr rot="0" spcFirstLastPara="1" vertOverflow="ellipsis" vert="horz" wrap="square" lIns="38100" tIns="19050" rIns="38100" bIns="19050" anchor="ctr" anchorCtr="1">
                <a:spAutoFit/>
              </a:bodyPr>
              <a:lstStyle/>
              <a:p>
                <a:pPr>
                  <a:defRPr sz="600" b="0" i="1" u="none" strike="noStrike" kern="1200" baseline="0">
                    <a:solidFill>
                      <a:schemeClr val="tx1">
                        <a:lumMod val="75000"/>
                        <a:lumOff val="25000"/>
                      </a:schemeClr>
                    </a:solidFill>
                    <a:latin typeface="Verdana" panose="020B0604030504040204" pitchFamily="34" charset="0"/>
                    <a:ea typeface="+mn-ea"/>
                    <a:cs typeface="+mn-cs"/>
                  </a:defRPr>
                </a:pPr>
                <a:endParaRPr lang="en-US"/>
              </a:p>
            </c:txPr>
            <c:showLegendKey val="0"/>
            <c:showVal val="0"/>
            <c:showCatName val="0"/>
            <c:showSerName val="0"/>
            <c:showPercent val="1"/>
            <c:showBubbleSize val="0"/>
            <c:showLeaderLines val="0"/>
            <c:extLst>
              <c:ext xmlns:c15="http://schemas.microsoft.com/office/drawing/2012/chart" uri="{CE6537A1-D6FC-4f65-9D91-7224C49458BB}"/>
            </c:extLst>
          </c:dLbls>
          <c:cat>
            <c:strRef>
              <c:f>Sheet1!$B$42:$B$50</c:f>
              <c:strCache>
                <c:ptCount val="9"/>
                <c:pt idx="0">
                  <c:v>Tumori</c:v>
                </c:pt>
                <c:pt idx="1">
                  <c:v>Boli ale sistemului nervos</c:v>
                </c:pt>
                <c:pt idx="2">
                  <c:v>Boli ale aparatului circulator</c:v>
                </c:pt>
                <c:pt idx="3">
                  <c:v>Boala ischemica a inimii</c:v>
                </c:pt>
                <c:pt idx="4">
                  <c:v>Boli cerebro-vasculare</c:v>
                </c:pt>
                <c:pt idx="5">
                  <c:v>Boli ale aparatului respirator</c:v>
                </c:pt>
                <c:pt idx="6">
                  <c:v>Afectiuni din perioada perinatala</c:v>
                </c:pt>
                <c:pt idx="7">
                  <c:v>Malformatii </c:v>
                </c:pt>
                <c:pt idx="8">
                  <c:v>Alte cauze</c:v>
                </c:pt>
              </c:strCache>
            </c:strRef>
          </c:cat>
          <c:val>
            <c:numRef>
              <c:f>Sheet1!$C$42:$C$50</c:f>
              <c:numCache>
                <c:formatCode>General</c:formatCode>
                <c:ptCount val="9"/>
                <c:pt idx="0">
                  <c:v>1686</c:v>
                </c:pt>
                <c:pt idx="1">
                  <c:v>88</c:v>
                </c:pt>
                <c:pt idx="2">
                  <c:v>4903</c:v>
                </c:pt>
                <c:pt idx="3">
                  <c:v>1047</c:v>
                </c:pt>
                <c:pt idx="4">
                  <c:v>998</c:v>
                </c:pt>
                <c:pt idx="5">
                  <c:v>1020</c:v>
                </c:pt>
                <c:pt idx="6">
                  <c:v>18</c:v>
                </c:pt>
                <c:pt idx="7">
                  <c:v>10</c:v>
                </c:pt>
                <c:pt idx="8">
                  <c:v>1530</c:v>
                </c:pt>
              </c:numCache>
            </c:numRef>
          </c:val>
          <c:extLst>
            <c:ext xmlns:c16="http://schemas.microsoft.com/office/drawing/2014/chart" uri="{C3380CC4-5D6E-409C-BE32-E72D297353CC}">
              <c16:uniqueId val="{00000012-5B10-45DA-9D4B-70A83AC80B88}"/>
            </c:ext>
          </c:extLst>
        </c:ser>
        <c:dLbls>
          <c:showLegendKey val="0"/>
          <c:showVal val="0"/>
          <c:showCatName val="0"/>
          <c:showSerName val="0"/>
          <c:showPercent val="1"/>
          <c:showBubbleSize val="0"/>
          <c:showLeaderLines val="0"/>
        </c:dLbls>
        <c:firstSliceAng val="0"/>
        <c:holeSize val="75"/>
      </c:doughnutChart>
      <c:spPr>
        <a:noFill/>
        <a:ln>
          <a:noFill/>
        </a:ln>
        <a:effectLst/>
      </c:spPr>
    </c:plotArea>
    <c:legend>
      <c:legendPos val="b"/>
      <c:layout>
        <c:manualLayout>
          <c:xMode val="edge"/>
          <c:yMode val="edge"/>
          <c:x val="4.240290188445546E-2"/>
          <c:y val="0.14839997140435265"/>
          <c:w val="0.34852741160163969"/>
          <c:h val="0.79109069699620882"/>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0.03108</cdr:x>
      <cdr:y>0.19807</cdr:y>
    </cdr:from>
    <cdr:to>
      <cdr:x>0.19485</cdr:x>
      <cdr:y>0.77124</cdr:y>
    </cdr:to>
    <cdr:sp macro="" textlink="">
      <cdr:nvSpPr>
        <cdr:cNvPr id="4" name="Text Box 1"/>
        <cdr:cNvSpPr txBox="1"/>
      </cdr:nvSpPr>
      <cdr:spPr>
        <a:xfrm xmlns:a="http://schemas.openxmlformats.org/drawingml/2006/main">
          <a:off x="154709" y="630382"/>
          <a:ext cx="815109" cy="182418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GB" sz="1100"/>
        </a:p>
      </cdr:txBody>
    </cdr:sp>
  </cdr:relSizeAnchor>
</c:userShapes>
</file>

<file path=word/drawings/drawing2.xml><?xml version="1.0" encoding="utf-8"?>
<c:userShapes xmlns:c="http://schemas.openxmlformats.org/drawingml/2006/chart">
  <cdr:relSizeAnchor xmlns:cdr="http://schemas.openxmlformats.org/drawingml/2006/chartDrawing">
    <cdr:from>
      <cdr:x>0.12894</cdr:x>
      <cdr:y>0.90161</cdr:y>
    </cdr:from>
    <cdr:to>
      <cdr:x>0.25927</cdr:x>
      <cdr:y>0.97164</cdr:y>
    </cdr:to>
    <cdr:sp macro="" textlink="">
      <cdr:nvSpPr>
        <cdr:cNvPr id="2" name="Text Box 1"/>
        <cdr:cNvSpPr txBox="1"/>
      </cdr:nvSpPr>
      <cdr:spPr>
        <a:xfrm xmlns:a="http://schemas.openxmlformats.org/drawingml/2006/main">
          <a:off x="637309" y="2854036"/>
          <a:ext cx="644236" cy="22167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700" b="1">
              <a:latin typeface="+mn-lt"/>
            </a:rPr>
            <a:t>Румъния</a:t>
          </a:r>
          <a:endParaRPr lang="en-GB" sz="700" b="1">
            <a:latin typeface="+mn-lt"/>
          </a:endParaRPr>
        </a:p>
      </cdr:txBody>
    </cdr:sp>
  </cdr:relSizeAnchor>
  <cdr:relSizeAnchor xmlns:cdr="http://schemas.openxmlformats.org/drawingml/2006/chartDrawing">
    <cdr:from>
      <cdr:x>0.33635</cdr:x>
      <cdr:y>0.91037</cdr:y>
    </cdr:from>
    <cdr:to>
      <cdr:x>0.55639</cdr:x>
      <cdr:y>0.98258</cdr:y>
    </cdr:to>
    <cdr:sp macro="" textlink="">
      <cdr:nvSpPr>
        <cdr:cNvPr id="3" name="Text Box 2"/>
        <cdr:cNvSpPr txBox="1"/>
      </cdr:nvSpPr>
      <cdr:spPr>
        <a:xfrm xmlns:a="http://schemas.openxmlformats.org/drawingml/2006/main">
          <a:off x="1662545" y="2881745"/>
          <a:ext cx="1087582" cy="2286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bg-BG" sz="600" b="1"/>
            <a:t>Източен регион</a:t>
          </a:r>
          <a:endParaRPr lang="en-GB" sz="600" b="1"/>
        </a:p>
      </cdr:txBody>
    </cdr:sp>
  </cdr:relSizeAnchor>
  <cdr:relSizeAnchor xmlns:cdr="http://schemas.openxmlformats.org/drawingml/2006/chartDrawing">
    <cdr:from>
      <cdr:x>0.53331</cdr:x>
      <cdr:y>0.89943</cdr:y>
    </cdr:from>
    <cdr:to>
      <cdr:x>1</cdr:x>
      <cdr:y>0.9804</cdr:y>
    </cdr:to>
    <cdr:sp macro="" textlink="">
      <cdr:nvSpPr>
        <cdr:cNvPr id="4" name="Text Box 3"/>
        <cdr:cNvSpPr txBox="1"/>
      </cdr:nvSpPr>
      <cdr:spPr>
        <a:xfrm xmlns:a="http://schemas.openxmlformats.org/drawingml/2006/main">
          <a:off x="3165763" y="2847109"/>
          <a:ext cx="2306782" cy="25630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bg-BG" sz="700" b="1"/>
            <a:t>Линеен югоизточен регион</a:t>
          </a:r>
          <a:endParaRPr lang="en-GB" sz="700" b="1"/>
        </a:p>
      </cdr:txBody>
    </cdr:sp>
  </cdr:relSizeAnchor>
</c:userShape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515FB15AFF24EEC99057DA26BDAC242"/>
        <w:category>
          <w:name w:val="General"/>
          <w:gallery w:val="placeholder"/>
        </w:category>
        <w:types>
          <w:type w:val="bbPlcHdr"/>
        </w:types>
        <w:behaviors>
          <w:behavior w:val="content"/>
        </w:behaviors>
        <w:guid w:val="{8085FE5F-2522-428D-B90C-69285823AE8B}"/>
      </w:docPartPr>
      <w:docPartBody>
        <w:p w:rsidR="001226A9" w:rsidRDefault="00CA53F4">
          <w:pPr>
            <w:pStyle w:val="C515FB15AFF24EEC99057DA26BDAC242"/>
          </w:pPr>
          <w:r w:rsidRPr="0017673B">
            <w:rPr>
              <w:rStyle w:val="PlaceholderText"/>
            </w:rPr>
            <w:t>Client name</w:t>
          </w:r>
        </w:p>
      </w:docPartBody>
    </w:docPart>
    <w:docPart>
      <w:docPartPr>
        <w:name w:val="EBA7E4CDF8524730BFCC4AD27B8A91B4"/>
        <w:category>
          <w:name w:val="General"/>
          <w:gallery w:val="placeholder"/>
        </w:category>
        <w:types>
          <w:type w:val="bbPlcHdr"/>
        </w:types>
        <w:behaviors>
          <w:behavior w:val="content"/>
        </w:behaviors>
        <w:guid w:val="{8093D21C-AA03-4366-B68D-E98AAA40D367}"/>
      </w:docPartPr>
      <w:docPartBody>
        <w:p w:rsidR="001226A9" w:rsidRDefault="00CA53F4">
          <w:pPr>
            <w:pStyle w:val="EBA7E4CDF8524730BFCC4AD27B8A91B4"/>
          </w:pPr>
          <w:r w:rsidRPr="0017673B">
            <w:rPr>
              <w:rStyle w:val="PlaceholderText"/>
            </w:rPr>
            <w:t>Prepared by</w:t>
          </w:r>
        </w:p>
      </w:docPartBody>
    </w:docPart>
    <w:docPart>
      <w:docPartPr>
        <w:name w:val="9A116765D7EE4555BBA93173B2D4BDBE"/>
        <w:category>
          <w:name w:val="General"/>
          <w:gallery w:val="placeholder"/>
        </w:category>
        <w:types>
          <w:type w:val="bbPlcHdr"/>
        </w:types>
        <w:behaviors>
          <w:behavior w:val="content"/>
        </w:behaviors>
        <w:guid w:val="{095110C6-62BE-4814-80AC-8E81FEB13A9F}"/>
      </w:docPartPr>
      <w:docPartBody>
        <w:p w:rsidR="001226A9" w:rsidRDefault="00CA53F4">
          <w:pPr>
            <w:pStyle w:val="9A116765D7EE4555BBA93173B2D4BDBE"/>
          </w:pPr>
          <w:r w:rsidRPr="0017673B">
            <w:rPr>
              <w:rStyle w:val="PlaceholderText"/>
            </w:rPr>
            <w:t>Checked by</w:t>
          </w:r>
        </w:p>
      </w:docPartBody>
    </w:docPart>
    <w:docPart>
      <w:docPartPr>
        <w:name w:val="3DA21C0CCA27402882874DBDB8B6276A"/>
        <w:category>
          <w:name w:val="General"/>
          <w:gallery w:val="placeholder"/>
        </w:category>
        <w:types>
          <w:type w:val="bbPlcHdr"/>
        </w:types>
        <w:behaviors>
          <w:behavior w:val="content"/>
        </w:behaviors>
        <w:guid w:val="{505897C4-C3E1-40E2-A433-9855209DCC94}"/>
      </w:docPartPr>
      <w:docPartBody>
        <w:p w:rsidR="001226A9" w:rsidRDefault="00CA53F4">
          <w:pPr>
            <w:pStyle w:val="3DA21C0CCA27402882874DBDB8B6276A"/>
          </w:pPr>
          <w:r w:rsidRPr="0017673B">
            <w:rPr>
              <w:rStyle w:val="PlaceholderText"/>
            </w:rPr>
            <w:t>Approved by</w:t>
          </w:r>
        </w:p>
      </w:docPartBody>
    </w:docPart>
    <w:docPart>
      <w:docPartPr>
        <w:name w:val="D5E617096B93426CADCC46F0C0AF0343"/>
        <w:category>
          <w:name w:val="General"/>
          <w:gallery w:val="placeholder"/>
        </w:category>
        <w:types>
          <w:type w:val="bbPlcHdr"/>
        </w:types>
        <w:behaviors>
          <w:behavior w:val="content"/>
        </w:behaviors>
        <w:guid w:val="{D7229734-B621-47AE-9D5F-9E86707B004A}"/>
      </w:docPartPr>
      <w:docPartBody>
        <w:p w:rsidR="001226A9" w:rsidRDefault="00CA53F4">
          <w:pPr>
            <w:pStyle w:val="D5E617096B93426CADCC46F0C0AF0343"/>
          </w:pPr>
          <w:r w:rsidRPr="0017673B">
            <w:rPr>
              <w:rStyle w:val="PlaceholderText"/>
            </w:rPr>
            <w:t>Type of proposal</w:t>
          </w:r>
        </w:p>
      </w:docPartBody>
    </w:docPart>
    <w:docPart>
      <w:docPartPr>
        <w:name w:val="F3A82107E40E417FB23AF032EEBC7402"/>
        <w:category>
          <w:name w:val="General"/>
          <w:gallery w:val="placeholder"/>
        </w:category>
        <w:types>
          <w:type w:val="bbPlcHdr"/>
        </w:types>
        <w:behaviors>
          <w:behavior w:val="content"/>
        </w:behaviors>
        <w:guid w:val="{045EA895-5346-475A-B1E1-B0BAD4B212F6}"/>
      </w:docPartPr>
      <w:docPartBody>
        <w:p w:rsidR="001226A9" w:rsidRDefault="00CA53F4">
          <w:pPr>
            <w:pStyle w:val="F3A82107E40E417FB23AF032EEBC7402"/>
          </w:pPr>
          <w:r>
            <w:rPr>
              <w:rStyle w:val="PlaceholderText"/>
            </w:rPr>
            <w:t>[Type of proposal]</w:t>
          </w:r>
        </w:p>
      </w:docPartBody>
    </w:docPart>
    <w:docPart>
      <w:docPartPr>
        <w:name w:val="42ABEA506D1B4DF9B3CE8A22316916E9"/>
        <w:category>
          <w:name w:val="General"/>
          <w:gallery w:val="placeholder"/>
        </w:category>
        <w:types>
          <w:type w:val="bbPlcHdr"/>
        </w:types>
        <w:behaviors>
          <w:behavior w:val="content"/>
        </w:behaviors>
        <w:guid w:val="{9625EA93-5134-4FAE-A074-B5AE342C2402}"/>
      </w:docPartPr>
      <w:docPartBody>
        <w:p w:rsidR="001226A9" w:rsidRDefault="00CA53F4">
          <w:pPr>
            <w:pStyle w:val="42ABEA506D1B4DF9B3CE8A22316916E9"/>
          </w:pPr>
          <w:r w:rsidRPr="0017673B">
            <w:rPr>
              <w:rStyle w:val="PlaceholderText"/>
            </w:rPr>
            <w:t>Date</w:t>
          </w:r>
        </w:p>
      </w:docPartBody>
    </w:docPart>
    <w:docPart>
      <w:docPartPr>
        <w:name w:val="9B656064AECB4A358BB8FEE3207C0505"/>
        <w:category>
          <w:name w:val="General"/>
          <w:gallery w:val="placeholder"/>
        </w:category>
        <w:types>
          <w:type w:val="bbPlcHdr"/>
        </w:types>
        <w:behaviors>
          <w:behavior w:val="content"/>
        </w:behaviors>
        <w:guid w:val="{D67C16E7-1886-4F9D-8511-CA6EC6600172}"/>
      </w:docPartPr>
      <w:docPartBody>
        <w:p w:rsidR="00E83203" w:rsidRDefault="00893E7E">
          <w:pPr>
            <w:pStyle w:val="9B656064AECB4A358BB8FEE3207C0505"/>
          </w:pPr>
          <w:r>
            <w:rPr>
              <w:rStyle w:val="PlaceholderText"/>
            </w:rPr>
            <w:t>[Type of proposal]</w:t>
          </w:r>
        </w:p>
        <w:bookmarkStart w:id="0" w:name="LAN_FrontpageTitle_1"/>
        <w:bookmarkStart w:id="1" w:name="LAN_FrontpageSubtitle_1"/>
        <w:bookmarkEnd w:id="0"/>
        <w:bookmarkEnd w:id="1"/>
      </w:docPartBody>
    </w:docPart>
    <w:docPart>
      <w:docPartPr>
        <w:name w:val="CBECAAB04959406C9E5E635C4FBDD025"/>
        <w:category>
          <w:name w:val="General"/>
          <w:gallery w:val="placeholder"/>
        </w:category>
        <w:types>
          <w:type w:val="bbPlcHdr"/>
        </w:types>
        <w:behaviors>
          <w:behavior w:val="content"/>
        </w:behaviors>
        <w:guid w:val="{E8A55102-5490-4F88-80CC-F0513BCE8935}"/>
      </w:docPartPr>
      <w:docPartBody>
        <w:p w:rsidR="007534D3" w:rsidRDefault="00490EED" w:rsidP="00490EED">
          <w:pPr>
            <w:pStyle w:val="CBECAAB04959406C9E5E635C4FBDD025"/>
          </w:pPr>
          <w:r w:rsidRPr="00400E57">
            <w:rPr>
              <w:rStyle w:val="PlaceholderText"/>
            </w:rPr>
            <w:t>Intended for</w:t>
          </w:r>
        </w:p>
      </w:docPartBody>
    </w:docPart>
    <w:docPart>
      <w:docPartPr>
        <w:name w:val="9479FC59F674488483D9255B73FE61C3"/>
        <w:category>
          <w:name w:val="General"/>
          <w:gallery w:val="placeholder"/>
        </w:category>
        <w:types>
          <w:type w:val="bbPlcHdr"/>
        </w:types>
        <w:behaviors>
          <w:behavior w:val="content"/>
        </w:behaviors>
        <w:guid w:val="{C2F2C858-82FF-4704-A426-86FC68860529}"/>
      </w:docPartPr>
      <w:docPartBody>
        <w:p w:rsidR="007534D3" w:rsidRDefault="00490EED" w:rsidP="00490EED">
          <w:pPr>
            <w:pStyle w:val="9479FC59F674488483D9255B73FE61C3"/>
          </w:pPr>
          <w:r w:rsidRPr="00400E57">
            <w:rPr>
              <w:rStyle w:val="PlaceholderText"/>
            </w:rPr>
            <w:t>Document type</w:t>
          </w:r>
        </w:p>
      </w:docPartBody>
    </w:docPart>
    <w:docPart>
      <w:docPartPr>
        <w:name w:val="9F6F3C3A218C4A05BFF5C32DE844D506"/>
        <w:category>
          <w:name w:val="General"/>
          <w:gallery w:val="placeholder"/>
        </w:category>
        <w:types>
          <w:type w:val="bbPlcHdr"/>
        </w:types>
        <w:behaviors>
          <w:behavior w:val="content"/>
        </w:behaviors>
        <w:guid w:val="{07A6EAA1-DC78-4265-AD48-05E0299E285B}"/>
      </w:docPartPr>
      <w:docPartBody>
        <w:p w:rsidR="007534D3" w:rsidRDefault="00490EED" w:rsidP="00490EED">
          <w:pPr>
            <w:pStyle w:val="9F6F3C3A218C4A05BFF5C32DE844D506"/>
          </w:pPr>
          <w:r w:rsidRPr="00400E57">
            <w:rPr>
              <w:rStyle w:val="PlaceholderText"/>
            </w:rPr>
            <w:t>Date</w:t>
          </w:r>
        </w:p>
      </w:docPartBody>
    </w:docPart>
    <w:docPart>
      <w:docPartPr>
        <w:name w:val="7B2CD79682D845C39B5943E987EEBED6"/>
        <w:category>
          <w:name w:val="General"/>
          <w:gallery w:val="placeholder"/>
        </w:category>
        <w:types>
          <w:type w:val="bbPlcHdr"/>
        </w:types>
        <w:behaviors>
          <w:behavior w:val="content"/>
        </w:behaviors>
        <w:guid w:val="{6A6E0FF1-144A-4BA6-A919-D903828FC3EC}"/>
      </w:docPartPr>
      <w:docPartBody>
        <w:p w:rsidR="00117CE6" w:rsidRDefault="00117CE6" w:rsidP="00117CE6">
          <w:pPr>
            <w:pStyle w:val="7B2CD79682D845C39B5943E987EEBED6"/>
          </w:pPr>
          <w:r>
            <w:rPr>
              <w:rStyle w:val="PlaceholderText"/>
            </w:rPr>
            <w:t>[Type of proposal]</w:t>
          </w:r>
        </w:p>
      </w:docPartBody>
    </w:docPart>
    <w:docPart>
      <w:docPartPr>
        <w:name w:val="D4E203F0929445E59746B16C14BA63BB"/>
        <w:category>
          <w:name w:val="General"/>
          <w:gallery w:val="placeholder"/>
        </w:category>
        <w:types>
          <w:type w:val="bbPlcHdr"/>
        </w:types>
        <w:behaviors>
          <w:behavior w:val="content"/>
        </w:behaviors>
        <w:guid w:val="{E758858D-6B36-4BE5-AB82-D372EE5AAD44}"/>
      </w:docPartPr>
      <w:docPartBody>
        <w:p w:rsidR="009732CA" w:rsidRDefault="00332859" w:rsidP="00332859">
          <w:pPr>
            <w:pStyle w:val="D4E203F0929445E59746B16C14BA63BB"/>
          </w:pPr>
          <w:r>
            <w:rPr>
              <w:rStyle w:val="PlaceholderText"/>
            </w:rPr>
            <w:t>[Type of proposal]</w:t>
          </w:r>
        </w:p>
      </w:docPartBody>
    </w:docPart>
    <w:docPart>
      <w:docPartPr>
        <w:name w:val="C443052CF2814D19AA5ED9880AE9C2F6"/>
        <w:category>
          <w:name w:val="General"/>
          <w:gallery w:val="placeholder"/>
        </w:category>
        <w:types>
          <w:type w:val="bbPlcHdr"/>
        </w:types>
        <w:behaviors>
          <w:behavior w:val="content"/>
        </w:behaviors>
        <w:guid w:val="{E989A221-1FE4-4E62-B2B7-6D43E9300939}"/>
      </w:docPartPr>
      <w:docPartBody>
        <w:p w:rsidR="009732CA" w:rsidRDefault="00332859" w:rsidP="00332859">
          <w:pPr>
            <w:pStyle w:val="C443052CF2814D19AA5ED9880AE9C2F6"/>
          </w:pPr>
          <w:r>
            <w:rPr>
              <w:rStyle w:val="PlaceholderText"/>
            </w:rPr>
            <w:t>[Type of proposal]</w:t>
          </w:r>
        </w:p>
      </w:docPartBody>
    </w:docPart>
    <w:docPart>
      <w:docPartPr>
        <w:name w:val="8E6112E0450846D38507018EA8F8C0A3"/>
        <w:category>
          <w:name w:val="General"/>
          <w:gallery w:val="placeholder"/>
        </w:category>
        <w:types>
          <w:type w:val="bbPlcHdr"/>
        </w:types>
        <w:behaviors>
          <w:behavior w:val="content"/>
        </w:behaviors>
        <w:guid w:val="{7141F919-7CC3-48D7-BB03-63C4B2323B59}"/>
      </w:docPartPr>
      <w:docPartBody>
        <w:p w:rsidR="009732CA" w:rsidRDefault="00332859" w:rsidP="00332859">
          <w:pPr>
            <w:pStyle w:val="8E6112E0450846D38507018EA8F8C0A3"/>
          </w:pPr>
          <w:r>
            <w:rPr>
              <w:rStyle w:val="PlaceholderText"/>
            </w:rPr>
            <w:t>[Type of proposal]</w:t>
          </w:r>
        </w:p>
      </w:docPartBody>
    </w:docPart>
    <w:docPart>
      <w:docPartPr>
        <w:name w:val="91FE3C34F937476CB304939C34E19D1D"/>
        <w:category>
          <w:name w:val="General"/>
          <w:gallery w:val="placeholder"/>
        </w:category>
        <w:types>
          <w:type w:val="bbPlcHdr"/>
        </w:types>
        <w:behaviors>
          <w:behavior w:val="content"/>
        </w:behaviors>
        <w:guid w:val="{55FEAACA-C38E-4E09-A5E4-FD56645FA416}"/>
      </w:docPartPr>
      <w:docPartBody>
        <w:p w:rsidR="009732CA" w:rsidRDefault="00332859" w:rsidP="00332859">
          <w:pPr>
            <w:pStyle w:val="91FE3C34F937476CB304939C34E19D1D"/>
          </w:pPr>
          <w:r>
            <w:rPr>
              <w:rStyle w:val="PlaceholderText"/>
            </w:rPr>
            <w:t>[Type of proposal]</w:t>
          </w:r>
        </w:p>
      </w:docPartBody>
    </w:docPart>
    <w:docPart>
      <w:docPartPr>
        <w:name w:val="877C516FFBEB4E56862634C1DEB7F6C0"/>
        <w:category>
          <w:name w:val="General"/>
          <w:gallery w:val="placeholder"/>
        </w:category>
        <w:types>
          <w:type w:val="bbPlcHdr"/>
        </w:types>
        <w:behaviors>
          <w:behavior w:val="content"/>
        </w:behaviors>
        <w:guid w:val="{F3E5DD93-368E-46FF-B2FA-EFBB32F867B8}"/>
      </w:docPartPr>
      <w:docPartBody>
        <w:p w:rsidR="009732CA" w:rsidRDefault="00332859" w:rsidP="00332859">
          <w:pPr>
            <w:pStyle w:val="877C516FFBEB4E56862634C1DEB7F6C0"/>
          </w:pPr>
          <w:r>
            <w:rPr>
              <w:rStyle w:val="PlaceholderText"/>
            </w:rPr>
            <w:t>[Type of proposal]</w:t>
          </w:r>
        </w:p>
      </w:docPartBody>
    </w:docPart>
    <w:docPart>
      <w:docPartPr>
        <w:name w:val="C9A1523E491347C995DD189123208697"/>
        <w:category>
          <w:name w:val="General"/>
          <w:gallery w:val="placeholder"/>
        </w:category>
        <w:types>
          <w:type w:val="bbPlcHdr"/>
        </w:types>
        <w:behaviors>
          <w:behavior w:val="content"/>
        </w:behaviors>
        <w:guid w:val="{8F30900A-1C7B-488A-A6A0-11004D3870BB}"/>
      </w:docPartPr>
      <w:docPartBody>
        <w:p w:rsidR="009732CA" w:rsidRDefault="00332859" w:rsidP="00332859">
          <w:pPr>
            <w:pStyle w:val="C9A1523E491347C995DD189123208697"/>
          </w:pPr>
          <w:r>
            <w:rPr>
              <w:rStyle w:val="PlaceholderText"/>
            </w:rPr>
            <w:t>[Type of proposal]</w:t>
          </w:r>
        </w:p>
      </w:docPartBody>
    </w:docPart>
    <w:docPart>
      <w:docPartPr>
        <w:name w:val="7B9768A07B524AAF9ED8E75567303784"/>
        <w:category>
          <w:name w:val="General"/>
          <w:gallery w:val="placeholder"/>
        </w:category>
        <w:types>
          <w:type w:val="bbPlcHdr"/>
        </w:types>
        <w:behaviors>
          <w:behavior w:val="content"/>
        </w:behaviors>
        <w:guid w:val="{A8401F1E-0D20-4FDB-9CE0-6C958D33FDD3}"/>
      </w:docPartPr>
      <w:docPartBody>
        <w:p w:rsidR="00806583" w:rsidRDefault="00806583" w:rsidP="00806583">
          <w:pPr>
            <w:pStyle w:val="7B9768A07B524AAF9ED8E75567303784"/>
          </w:pPr>
          <w:r>
            <w:rPr>
              <w:rStyle w:val="PlaceholderText"/>
            </w:rPr>
            <w:t>[Type of proposal]</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quot;Segoe UI&quot;, sans-serif">
    <w:altName w:val="Cambria"/>
    <w:panose1 w:val="00000000000000000000"/>
    <w:charset w:val="00"/>
    <w:family w:val="roman"/>
    <w:notTrueType/>
    <w:pitch w:val="default"/>
  </w:font>
  <w:font w:name="&quot;Verdana&quot;,sans-serif">
    <w:altName w:val="Cambria"/>
    <w:panose1 w:val="00000000000000000000"/>
    <w:charset w:val="00"/>
    <w:family w:val="roman"/>
    <w:notTrueType/>
    <w:pitch w:val="default"/>
  </w:font>
  <w:font w:name="&quot;Calibri&quot;,sans-serif">
    <w:altName w:val="Cambria"/>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quot;Times New Roman&quot;,serif">
    <w:altName w:val="Cambria"/>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Garamond">
    <w:altName w:val="Garamond"/>
    <w:panose1 w:val="02020404030301010803"/>
    <w:charset w:val="00"/>
    <w:family w:val="roman"/>
    <w:pitch w:val="variable"/>
    <w:sig w:usb0="00000287" w:usb1="00000000" w:usb2="00000000" w:usb3="00000000" w:csb0="0000009F" w:csb1="00000000"/>
  </w:font>
  <w:font w:name="Arial Bold">
    <w:altName w:val="Arial"/>
    <w:panose1 w:val="020B07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Georgia">
    <w:panose1 w:val="02040502050405020303"/>
    <w:charset w:val="00"/>
    <w:family w:val="roman"/>
    <w:pitch w:val="variable"/>
    <w:sig w:usb0="00000287" w:usb1="00000000"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Franklin Gothic Heavy">
    <w:panose1 w:val="020B0903020102020204"/>
    <w:charset w:val="00"/>
    <w:family w:val="swiss"/>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Arial RO">
    <w:altName w:val="Arial Narrow"/>
    <w:panose1 w:val="00000000000000000000"/>
    <w:charset w:val="00"/>
    <w:family w:val="swiss"/>
    <w:notTrueType/>
    <w:pitch w:val="variable"/>
    <w:sig w:usb0="00000003" w:usb1="00000000" w:usb2="00000000" w:usb3="00000000" w:csb0="00000001" w:csb1="00000000"/>
  </w:font>
  <w:font w:name="Minion Pro Regular">
    <w:altName w:val="Times New Roman"/>
    <w:charset w:val="00"/>
    <w:family w:val="auto"/>
    <w:pitch w:val="default"/>
  </w:font>
  <w:font w:name="Trebuchet MS">
    <w:panose1 w:val="020B0603020202020204"/>
    <w:charset w:val="00"/>
    <w:family w:val="swiss"/>
    <w:pitch w:val="variable"/>
    <w:sig w:usb0="00000687" w:usb1="00000000" w:usb2="00000000" w:usb3="00000000" w:csb0="0000009F" w:csb1="00000000"/>
  </w:font>
  <w:font w:name="NSimSun">
    <w:panose1 w:val="02010609030101010101"/>
    <w:charset w:val="86"/>
    <w:family w:val="modern"/>
    <w:pitch w:val="fixed"/>
    <w:sig w:usb0="000002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Times New Roman Bold">
    <w:panose1 w:val="02020803070505020304"/>
    <w:charset w:val="00"/>
    <w:family w:val="roman"/>
    <w:notTrueType/>
    <w:pitch w:val="default"/>
  </w:font>
  <w:font w:name="Optima">
    <w:panose1 w:val="00000000000000000000"/>
    <w:charset w:val="00"/>
    <w:family w:val="swiss"/>
    <w:notTrueType/>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MS Reference Sans Serif">
    <w:panose1 w:val="020B0604030504040204"/>
    <w:charset w:val="00"/>
    <w:family w:val="swiss"/>
    <w:pitch w:val="variable"/>
    <w:sig w:usb0="20000287" w:usb1="00000000" w:usb2="00000000" w:usb3="00000000" w:csb0="0000019F" w:csb1="00000000"/>
  </w:font>
  <w:font w:name="Franklin Gothic Medium Cond">
    <w:panose1 w:val="020B0606030402020204"/>
    <w:charset w:val="00"/>
    <w:family w:val="swiss"/>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 w:name="Comic Sans MS">
    <w:panose1 w:val="030F0702030302020204"/>
    <w:charset w:val="00"/>
    <w:family w:val="script"/>
    <w:pitch w:val="variable"/>
    <w:sig w:usb0="00000687" w:usb1="00000013" w:usb2="00000000" w:usb3="00000000" w:csb0="0000009F" w:csb1="00000000"/>
  </w:font>
  <w:font w:name="Univers LT Std 45 Light">
    <w:altName w:val="Arial"/>
    <w:charset w:val="00"/>
    <w:family w:val="swiss"/>
    <w:pitch w:val="default"/>
  </w:font>
  <w:font w:name="Helvetica">
    <w:panose1 w:val="020B0604020202020204"/>
    <w:charset w:val="00"/>
    <w:family w:val="swiss"/>
    <w:pitch w:val="variable"/>
    <w:sig w:usb0="E0002EFF" w:usb1="C000785B" w:usb2="00000009" w:usb3="00000000" w:csb0="000001FF" w:csb1="00000000"/>
  </w:font>
  <w:font w:name="NXXXSA+Dax-Regular">
    <w:altName w:val="Arial"/>
    <w:panose1 w:val="00000000000000000000"/>
    <w:charset w:val="00"/>
    <w:family w:val="swiss"/>
    <w:notTrueType/>
    <w:pitch w:val="default"/>
    <w:sig w:usb0="00000003" w:usb1="00000000" w:usb2="00000000" w:usb3="00000000" w:csb0="00000001" w:csb1="00000000"/>
  </w:font>
  <w:font w:name="Palatino">
    <w:altName w:val="Palatino Linotype"/>
    <w:panose1 w:val="00000000000000000000"/>
    <w:charset w:val="00"/>
    <w:family w:val="roman"/>
    <w:notTrueType/>
    <w:pitch w:val="variable"/>
    <w:sig w:usb0="00000003" w:usb1="00000000" w:usb2="00000000" w:usb3="00000000" w:csb0="00000001" w:csb1="00000000"/>
  </w:font>
  <w:font w:name="Nimbus Roman No9 L">
    <w:altName w:val="Times New Roman"/>
    <w:charset w:val="00"/>
    <w:family w:val="roman"/>
    <w:pitch w:val="variable"/>
  </w:font>
  <w:font w:name="HG Mincho Light J">
    <w:altName w:val="Times New Roman"/>
    <w:charset w:val="00"/>
    <w:family w:val="auto"/>
    <w:pitch w:val="variable"/>
  </w:font>
  <w:font w:name="Batang">
    <w:altName w:val="바탕"/>
    <w:panose1 w:val="02030600000101010101"/>
    <w:charset w:val="81"/>
    <w:family w:val="roman"/>
    <w:pitch w:val="variable"/>
    <w:sig w:usb0="B00002AF" w:usb1="69D77CFB" w:usb2="00000030" w:usb3="00000000" w:csb0="000800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 w:name="+mn-ea">
    <w:panose1 w:val="00000000000000000000"/>
    <w:charset w:val="00"/>
    <w:family w:val="roman"/>
    <w:notTrueType/>
    <w:pitch w:val="default"/>
  </w:font>
  <w:font w:name="Whitney Bold">
    <w:altName w:val="Arial"/>
    <w:panose1 w:val="00000000000000000000"/>
    <w:charset w:val="00"/>
    <w:family w:val="swiss"/>
    <w:notTrueType/>
    <w:pitch w:val="default"/>
    <w:sig w:usb0="00000003" w:usb1="00000000" w:usb2="00000000" w:usb3="00000000" w:csb0="00000001" w:csb1="00000000"/>
  </w:font>
  <w:font w:name="System">
    <w:panose1 w:val="00000000000000000000"/>
    <w:charset w:val="00"/>
    <w:family w:val="swiss"/>
    <w:pitch w:val="variable"/>
    <w:sig w:usb0="00000003" w:usb1="00000000" w:usb2="00000000" w:usb3="00000000" w:csb0="00000001" w:csb1="00000000"/>
  </w:font>
  <w:font w:name="Times-Ro">
    <w:altName w:val="Times New Roman"/>
    <w:charset w:val="EE"/>
    <w:family w:val="roman"/>
    <w:pitch w:val="variable"/>
  </w:font>
  <w:font w:name="Myriad Roman">
    <w:altName w:val="Arial"/>
    <w:panose1 w:val="00000000000000000000"/>
    <w:charset w:val="00"/>
    <w:family w:val="swiss"/>
    <w:notTrueType/>
    <w:pitch w:val="variable"/>
    <w:sig w:usb0="00000003" w:usb1="00000000" w:usb2="00000000" w:usb3="00000000" w:csb0="00000001" w:csb1="00000000"/>
  </w:font>
  <w:font w:name="Lucida Grande">
    <w:altName w:val="Times New Roman"/>
    <w:charset w:val="00"/>
    <w:family w:val="roman"/>
    <w:pitch w:val="default"/>
  </w:font>
  <w:font w:name="ヒラギノ角ゴ Pro W3">
    <w:altName w:val="Times New Roman"/>
    <w:charset w:val="00"/>
    <w:family w:val="roman"/>
    <w:pitch w:val="default"/>
  </w:font>
  <w:font w:name="Calibri Light">
    <w:panose1 w:val="020F0302020204030204"/>
    <w:charset w:val="00"/>
    <w:family w:val="swiss"/>
    <w:pitch w:val="variable"/>
    <w:sig w:usb0="E4002EFF" w:usb1="C200247B" w:usb2="00000009" w:usb3="00000000" w:csb0="000001FF" w:csb1="00000000"/>
  </w:font>
  <w:font w:name="StarSymbol">
    <w:altName w:val="Segoe Print"/>
    <w:charset w:val="02"/>
    <w:family w:val="auto"/>
    <w:pitch w:val="default"/>
  </w:font>
  <w:font w:name="Century Schoolbook">
    <w:panose1 w:val="02040604050505020304"/>
    <w:charset w:val="00"/>
    <w:family w:val="roman"/>
    <w:pitch w:val="variable"/>
    <w:sig w:usb0="00000287" w:usb1="00000000" w:usb2="00000000" w:usb3="00000000" w:csb0="0000009F" w:csb1="00000000"/>
  </w:font>
  <w:font w:name="Lucida Console">
    <w:panose1 w:val="020B0609040504020204"/>
    <w:charset w:val="00"/>
    <w:family w:val="modern"/>
    <w:pitch w:val="fixed"/>
    <w:sig w:usb0="8000028F" w:usb1="00001800" w:usb2="00000000" w:usb3="00000000" w:csb0="0000001F" w:csb1="00000000"/>
  </w:font>
  <w:font w:name="Cambria Math">
    <w:panose1 w:val="02040503050406030204"/>
    <w:charset w:val="00"/>
    <w:family w:val="roman"/>
    <w:pitch w:val="variable"/>
    <w:sig w:usb0="E00006FF" w:usb1="420024FF" w:usb2="02000000" w:usb3="00000000" w:csb0="0000019F" w:csb1="00000000"/>
  </w:font>
  <w:font w:name="EuroRoman">
    <w:panose1 w:val="00000400000000000000"/>
    <w:charset w:val="02"/>
    <w:family w:val="auto"/>
    <w:pitch w:val="variable"/>
    <w:sig w:usb0="00000000" w:usb1="10000000" w:usb2="00000000" w:usb3="00000000" w:csb0="80000000" w:csb1="00000000"/>
  </w:font>
  <w:font w:name="TTE2756BE0t00">
    <w:altName w:val="Calibri"/>
    <w:panose1 w:val="00000000000000000000"/>
    <w:charset w:val="00"/>
    <w:family w:val="auto"/>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349E"/>
    <w:rsid w:val="0000026A"/>
    <w:rsid w:val="00002756"/>
    <w:rsid w:val="00022013"/>
    <w:rsid w:val="00031825"/>
    <w:rsid w:val="000362C0"/>
    <w:rsid w:val="00042D05"/>
    <w:rsid w:val="00044320"/>
    <w:rsid w:val="00050E2E"/>
    <w:rsid w:val="000631A5"/>
    <w:rsid w:val="0006349E"/>
    <w:rsid w:val="000B1D71"/>
    <w:rsid w:val="000B3B45"/>
    <w:rsid w:val="000C12BB"/>
    <w:rsid w:val="000D0953"/>
    <w:rsid w:val="000E38E9"/>
    <w:rsid w:val="000F4353"/>
    <w:rsid w:val="001034E2"/>
    <w:rsid w:val="00117CE6"/>
    <w:rsid w:val="001226A9"/>
    <w:rsid w:val="00130D56"/>
    <w:rsid w:val="00130EA3"/>
    <w:rsid w:val="0015481D"/>
    <w:rsid w:val="00156EF7"/>
    <w:rsid w:val="00164333"/>
    <w:rsid w:val="00183129"/>
    <w:rsid w:val="00190009"/>
    <w:rsid w:val="001B0AEF"/>
    <w:rsid w:val="001D32FB"/>
    <w:rsid w:val="001E0BA6"/>
    <w:rsid w:val="00243E87"/>
    <w:rsid w:val="00284487"/>
    <w:rsid w:val="0028621C"/>
    <w:rsid w:val="0029765C"/>
    <w:rsid w:val="002C59B4"/>
    <w:rsid w:val="002C6005"/>
    <w:rsid w:val="00332859"/>
    <w:rsid w:val="003343E2"/>
    <w:rsid w:val="003475AE"/>
    <w:rsid w:val="003524C3"/>
    <w:rsid w:val="00375AF3"/>
    <w:rsid w:val="0038652D"/>
    <w:rsid w:val="003A5CAA"/>
    <w:rsid w:val="003B4D2D"/>
    <w:rsid w:val="003D2C4B"/>
    <w:rsid w:val="003D61D2"/>
    <w:rsid w:val="003E211B"/>
    <w:rsid w:val="003E617C"/>
    <w:rsid w:val="003F7F58"/>
    <w:rsid w:val="00407A15"/>
    <w:rsid w:val="00424BEA"/>
    <w:rsid w:val="00441ACD"/>
    <w:rsid w:val="00485F5F"/>
    <w:rsid w:val="00490EED"/>
    <w:rsid w:val="004C03EB"/>
    <w:rsid w:val="00511E1B"/>
    <w:rsid w:val="00537376"/>
    <w:rsid w:val="0054216E"/>
    <w:rsid w:val="00542DAF"/>
    <w:rsid w:val="00563CA7"/>
    <w:rsid w:val="00573ABB"/>
    <w:rsid w:val="00574600"/>
    <w:rsid w:val="005C04E2"/>
    <w:rsid w:val="005D3179"/>
    <w:rsid w:val="005E182D"/>
    <w:rsid w:val="005E4B7E"/>
    <w:rsid w:val="005E6B58"/>
    <w:rsid w:val="006419B4"/>
    <w:rsid w:val="00681330"/>
    <w:rsid w:val="006B22ED"/>
    <w:rsid w:val="006B6D48"/>
    <w:rsid w:val="006D0AD5"/>
    <w:rsid w:val="006F6933"/>
    <w:rsid w:val="0070395D"/>
    <w:rsid w:val="00705765"/>
    <w:rsid w:val="007475CF"/>
    <w:rsid w:val="00752C3B"/>
    <w:rsid w:val="007534D3"/>
    <w:rsid w:val="0076248F"/>
    <w:rsid w:val="00780A43"/>
    <w:rsid w:val="007C62EF"/>
    <w:rsid w:val="007E26A3"/>
    <w:rsid w:val="007E63C9"/>
    <w:rsid w:val="00806583"/>
    <w:rsid w:val="00826A5C"/>
    <w:rsid w:val="00843D92"/>
    <w:rsid w:val="00852F6A"/>
    <w:rsid w:val="00864809"/>
    <w:rsid w:val="00870C26"/>
    <w:rsid w:val="00870DC5"/>
    <w:rsid w:val="008728C3"/>
    <w:rsid w:val="00893E7E"/>
    <w:rsid w:val="008D69F9"/>
    <w:rsid w:val="00903798"/>
    <w:rsid w:val="009077EF"/>
    <w:rsid w:val="009112B1"/>
    <w:rsid w:val="00911E87"/>
    <w:rsid w:val="0093216D"/>
    <w:rsid w:val="00936D1F"/>
    <w:rsid w:val="00940274"/>
    <w:rsid w:val="00942C06"/>
    <w:rsid w:val="009434B6"/>
    <w:rsid w:val="009732CA"/>
    <w:rsid w:val="009930A4"/>
    <w:rsid w:val="009B033C"/>
    <w:rsid w:val="009C7B3B"/>
    <w:rsid w:val="009E5E9E"/>
    <w:rsid w:val="009F1E44"/>
    <w:rsid w:val="00A11D8A"/>
    <w:rsid w:val="00A1527D"/>
    <w:rsid w:val="00A1771E"/>
    <w:rsid w:val="00A2104C"/>
    <w:rsid w:val="00A21648"/>
    <w:rsid w:val="00A2703F"/>
    <w:rsid w:val="00A85D34"/>
    <w:rsid w:val="00AA2FEB"/>
    <w:rsid w:val="00AC526F"/>
    <w:rsid w:val="00AF5D3A"/>
    <w:rsid w:val="00B011A8"/>
    <w:rsid w:val="00B06EA9"/>
    <w:rsid w:val="00B1316E"/>
    <w:rsid w:val="00B2326C"/>
    <w:rsid w:val="00B245A3"/>
    <w:rsid w:val="00B41D2A"/>
    <w:rsid w:val="00B44B42"/>
    <w:rsid w:val="00C01371"/>
    <w:rsid w:val="00C02D6F"/>
    <w:rsid w:val="00C24A30"/>
    <w:rsid w:val="00C325D5"/>
    <w:rsid w:val="00C64F8C"/>
    <w:rsid w:val="00CA53F4"/>
    <w:rsid w:val="00CB6956"/>
    <w:rsid w:val="00CF2277"/>
    <w:rsid w:val="00CF76AB"/>
    <w:rsid w:val="00D05D33"/>
    <w:rsid w:val="00D548E8"/>
    <w:rsid w:val="00D574FE"/>
    <w:rsid w:val="00D8660C"/>
    <w:rsid w:val="00DA5311"/>
    <w:rsid w:val="00DB1379"/>
    <w:rsid w:val="00DD5B77"/>
    <w:rsid w:val="00DF1E41"/>
    <w:rsid w:val="00E03201"/>
    <w:rsid w:val="00E062C1"/>
    <w:rsid w:val="00E117BA"/>
    <w:rsid w:val="00E465F5"/>
    <w:rsid w:val="00E57C93"/>
    <w:rsid w:val="00E62301"/>
    <w:rsid w:val="00E70652"/>
    <w:rsid w:val="00E76B07"/>
    <w:rsid w:val="00E82FE5"/>
    <w:rsid w:val="00E83203"/>
    <w:rsid w:val="00EA16F9"/>
    <w:rsid w:val="00EF1277"/>
    <w:rsid w:val="00F07AEC"/>
    <w:rsid w:val="00F23BC8"/>
    <w:rsid w:val="00F544EB"/>
    <w:rsid w:val="00F72D1A"/>
    <w:rsid w:val="00F833A4"/>
    <w:rsid w:val="00F93B45"/>
    <w:rsid w:val="00F9664E"/>
    <w:rsid w:val="00FB020A"/>
    <w:rsid w:val="00FD026B"/>
    <w:rsid w:val="00FE4C33"/>
    <w:rsid w:val="00FE6773"/>
    <w:rsid w:val="00FF566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06583"/>
    <w:rPr>
      <w:color w:val="auto"/>
    </w:rPr>
  </w:style>
  <w:style w:type="paragraph" w:customStyle="1" w:styleId="C515FB15AFF24EEC99057DA26BDAC242">
    <w:name w:val="C515FB15AFF24EEC99057DA26BDAC242"/>
  </w:style>
  <w:style w:type="paragraph" w:customStyle="1" w:styleId="EBA7E4CDF8524730BFCC4AD27B8A91B4">
    <w:name w:val="EBA7E4CDF8524730BFCC4AD27B8A91B4"/>
  </w:style>
  <w:style w:type="paragraph" w:customStyle="1" w:styleId="9A116765D7EE4555BBA93173B2D4BDBE">
    <w:name w:val="9A116765D7EE4555BBA93173B2D4BDBE"/>
  </w:style>
  <w:style w:type="paragraph" w:customStyle="1" w:styleId="3DA21C0CCA27402882874DBDB8B6276A">
    <w:name w:val="3DA21C0CCA27402882874DBDB8B6276A"/>
  </w:style>
  <w:style w:type="paragraph" w:customStyle="1" w:styleId="D5E617096B93426CADCC46F0C0AF0343">
    <w:name w:val="D5E617096B93426CADCC46F0C0AF0343"/>
  </w:style>
  <w:style w:type="paragraph" w:customStyle="1" w:styleId="F3A82107E40E417FB23AF032EEBC7402">
    <w:name w:val="F3A82107E40E417FB23AF032EEBC7402"/>
  </w:style>
  <w:style w:type="paragraph" w:customStyle="1" w:styleId="42ABEA506D1B4DF9B3CE8A22316916E9">
    <w:name w:val="42ABEA506D1B4DF9B3CE8A22316916E9"/>
  </w:style>
  <w:style w:type="paragraph" w:customStyle="1" w:styleId="9B656064AECB4A358BB8FEE3207C0505">
    <w:name w:val="9B656064AECB4A358BB8FEE3207C0505"/>
  </w:style>
  <w:style w:type="paragraph" w:customStyle="1" w:styleId="CBECAAB04959406C9E5E635C4FBDD025">
    <w:name w:val="CBECAAB04959406C9E5E635C4FBDD025"/>
    <w:rsid w:val="00490EED"/>
    <w:rPr>
      <w:lang w:val="ro-RO" w:eastAsia="ro-RO"/>
    </w:rPr>
  </w:style>
  <w:style w:type="paragraph" w:customStyle="1" w:styleId="9479FC59F674488483D9255B73FE61C3">
    <w:name w:val="9479FC59F674488483D9255B73FE61C3"/>
    <w:rsid w:val="00490EED"/>
    <w:rPr>
      <w:lang w:val="ro-RO" w:eastAsia="ro-RO"/>
    </w:rPr>
  </w:style>
  <w:style w:type="paragraph" w:customStyle="1" w:styleId="9F6F3C3A218C4A05BFF5C32DE844D506">
    <w:name w:val="9F6F3C3A218C4A05BFF5C32DE844D506"/>
    <w:rsid w:val="00490EED"/>
    <w:rPr>
      <w:lang w:val="ro-RO" w:eastAsia="ro-RO"/>
    </w:rPr>
  </w:style>
  <w:style w:type="paragraph" w:customStyle="1" w:styleId="7B2CD79682D845C39B5943E987EEBED6">
    <w:name w:val="7B2CD79682D845C39B5943E987EEBED6"/>
    <w:rsid w:val="00117CE6"/>
    <w:rPr>
      <w:kern w:val="2"/>
      <w:lang w:val="ro-RO" w:eastAsia="ro-RO"/>
      <w14:ligatures w14:val="standardContextual"/>
    </w:rPr>
  </w:style>
  <w:style w:type="paragraph" w:customStyle="1" w:styleId="D4E203F0929445E59746B16C14BA63BB">
    <w:name w:val="D4E203F0929445E59746B16C14BA63BB"/>
    <w:rsid w:val="00332859"/>
    <w:rPr>
      <w:kern w:val="2"/>
      <w14:ligatures w14:val="standardContextual"/>
    </w:rPr>
  </w:style>
  <w:style w:type="paragraph" w:customStyle="1" w:styleId="C443052CF2814D19AA5ED9880AE9C2F6">
    <w:name w:val="C443052CF2814D19AA5ED9880AE9C2F6"/>
    <w:rsid w:val="00332859"/>
    <w:rPr>
      <w:kern w:val="2"/>
      <w14:ligatures w14:val="standardContextual"/>
    </w:rPr>
  </w:style>
  <w:style w:type="paragraph" w:customStyle="1" w:styleId="8E6112E0450846D38507018EA8F8C0A3">
    <w:name w:val="8E6112E0450846D38507018EA8F8C0A3"/>
    <w:rsid w:val="00332859"/>
    <w:rPr>
      <w:kern w:val="2"/>
      <w14:ligatures w14:val="standardContextual"/>
    </w:rPr>
  </w:style>
  <w:style w:type="paragraph" w:customStyle="1" w:styleId="91FE3C34F937476CB304939C34E19D1D">
    <w:name w:val="91FE3C34F937476CB304939C34E19D1D"/>
    <w:rsid w:val="00332859"/>
    <w:rPr>
      <w:kern w:val="2"/>
      <w14:ligatures w14:val="standardContextual"/>
    </w:rPr>
  </w:style>
  <w:style w:type="paragraph" w:customStyle="1" w:styleId="877C516FFBEB4E56862634C1DEB7F6C0">
    <w:name w:val="877C516FFBEB4E56862634C1DEB7F6C0"/>
    <w:rsid w:val="00332859"/>
    <w:rPr>
      <w:kern w:val="2"/>
      <w14:ligatures w14:val="standardContextual"/>
    </w:rPr>
  </w:style>
  <w:style w:type="paragraph" w:customStyle="1" w:styleId="C9A1523E491347C995DD189123208697">
    <w:name w:val="C9A1523E491347C995DD189123208697"/>
    <w:rsid w:val="00332859"/>
    <w:rPr>
      <w:kern w:val="2"/>
      <w14:ligatures w14:val="standardContextual"/>
    </w:rPr>
  </w:style>
  <w:style w:type="paragraph" w:customStyle="1" w:styleId="7B9768A07B524AAF9ED8E75567303784">
    <w:name w:val="7B9768A07B524AAF9ED8E75567303784"/>
    <w:rsid w:val="00806583"/>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Ramboll">
  <a:themeElements>
    <a:clrScheme name="Rambøll_2021">
      <a:dk1>
        <a:srgbClr val="000000"/>
      </a:dk1>
      <a:lt1>
        <a:srgbClr val="FFFFFF"/>
      </a:lt1>
      <a:dk2>
        <a:srgbClr val="009DF0"/>
      </a:dk2>
      <a:lt2>
        <a:srgbClr val="273943"/>
      </a:lt2>
      <a:accent1>
        <a:srgbClr val="05326E"/>
      </a:accent1>
      <a:accent2>
        <a:srgbClr val="125A40"/>
      </a:accent2>
      <a:accent3>
        <a:srgbClr val="ADD095"/>
      </a:accent3>
      <a:accent4>
        <a:srgbClr val="62294B"/>
      </a:accent4>
      <a:accent5>
        <a:srgbClr val="FF8855"/>
      </a:accent5>
      <a:accent6>
        <a:srgbClr val="E3E1D8"/>
      </a:accent6>
      <a:hlink>
        <a:srgbClr val="009DF0"/>
      </a:hlink>
      <a:folHlink>
        <a:srgbClr val="CCEBFD"/>
      </a:folHlink>
    </a:clrScheme>
    <a:fontScheme name="Ramboll">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custClrLst>
    <a:custClr name="Black">
      <a:srgbClr val="000000"/>
    </a:custClr>
    <a:custClr name="Mountain 100%">
      <a:srgbClr val="273943"/>
    </a:custClr>
    <a:custClr name="Cyan 100%">
      <a:srgbClr val="009DF0"/>
    </a:custClr>
    <a:custClr name="Ocean 100%">
      <a:srgbClr val="05326E"/>
    </a:custClr>
    <a:custClr name="Forest 100%">
      <a:srgbClr val="125A40"/>
    </a:custClr>
    <a:custClr name="Grass 100%">
      <a:srgbClr val="ADD095"/>
    </a:custClr>
    <a:custClr name="Heath 100%">
      <a:srgbClr val="61294B"/>
    </a:custClr>
    <a:custClr name="Field 100%">
      <a:srgbClr val="FF8855"/>
    </a:custClr>
    <a:custClr name="Pebble 100%">
      <a:srgbClr val="E3E1D8"/>
    </a:custClr>
    <a:custClr name="Sand 100%">
      <a:srgbClr val="FFE682"/>
    </a:custClr>
    <a:custClr name="Text color">
      <a:srgbClr val="333333"/>
    </a:custClr>
    <a:custClr name="Mountain 80%">
      <a:srgbClr val="47525A"/>
    </a:custClr>
    <a:custClr name="Cyan 80%">
      <a:srgbClr val="33B1F3"/>
    </a:custClr>
    <a:custClr name="Ocean 80%">
      <a:srgbClr val="375B8B"/>
    </a:custClr>
    <a:custClr name="Forest 80%">
      <a:srgbClr val="417B66"/>
    </a:custClr>
    <a:custClr name="Grass 80%">
      <a:srgbClr val="BDD9AA"/>
    </a:custClr>
    <a:custClr name="Heath 80%">
      <a:srgbClr val="794B62"/>
    </a:custClr>
    <a:custClr name="Field 80%">
      <a:srgbClr val="F89D73"/>
    </a:custClr>
    <a:custClr name="Pebble 80%">
      <a:srgbClr val="E9E7E0"/>
    </a:custClr>
    <a:custClr name="Sand 80%">
      <a:srgbClr val="FCE783"/>
    </a:custClr>
    <a:custClr name="White">
      <a:srgbClr val="FFFFFF"/>
    </a:custClr>
    <a:custClr name="Mountain 60%">
      <a:srgbClr val="7D888E"/>
    </a:custClr>
    <a:custClr name="Cyan 60%">
      <a:srgbClr val="66C4F6"/>
    </a:custClr>
    <a:custClr name="Ocean 60%">
      <a:srgbClr val="6984A8"/>
    </a:custClr>
    <a:custClr name="Forest 60%">
      <a:srgbClr val="719C8C"/>
    </a:custClr>
    <a:custClr name="Grass 60%">
      <a:srgbClr val="CEE3BF"/>
    </a:custClr>
    <a:custClr name="Heath 60%">
      <a:srgbClr val="A17F93"/>
    </a:custClr>
    <a:custClr name="Field 60%">
      <a:srgbClr val="FFB899"/>
    </a:custClr>
    <a:custClr name="Pebble 60%">
      <a:srgbClr val="EEEDE8"/>
    </a:custClr>
    <a:custClr name="Sand 60%">
      <a:srgbClr val="FFFAB4"/>
    </a:custClr>
    <a:custClr name="White">
      <a:srgbClr val="FFFFFF"/>
    </a:custClr>
    <a:custClr name="Mountain 40%">
      <a:srgbClr val="D3D7D9"/>
    </a:custClr>
    <a:custClr name="Cyan 40%">
      <a:srgbClr val="CCEBFD"/>
    </a:custClr>
    <a:custClr name="Ocean 40%">
      <a:srgbClr val="CED6E3"/>
    </a:custClr>
    <a:custClr name="Forest 40%">
      <a:srgbClr val="CFDED9"/>
    </a:custClr>
    <a:custClr name="Grass 40%">
      <a:srgbClr val="EFF7EA"/>
    </a:custClr>
    <a:custClr name="Heath 40%">
      <a:srgbClr val="DFD4DA"/>
    </a:custClr>
    <a:custClr name="Field 40%">
      <a:srgbClr val="FFE7DD"/>
    </a:custClr>
    <a:custClr name="Pebble 40%">
      <a:srgbClr val="F9F9F7"/>
    </a:custClr>
    <a:custClr name="Sand 40%">
      <a:srgbClr val="FFFAE6"/>
    </a:custClr>
  </a:custClr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TemplafyFormConfiguration><![CDATA[{"formFields":[{"distinct":false,"hideIfNoUserInteractionRequired":false,"required":true,"defaultValue":"Exclude","autoSelectFirstOption":false,"helpTexts":{},"spacing":{},"shareValue":false,"type":"dropDown","dataSourceName":"Filename","dataSourceFieldName":"Filename","name":"FilePath","label":"File Path"}],"formDataEntries":[{"name":"FilePath","value":"bU6CliS5PQ96wPysEIuDxM9wxSC5U6AtqAVekLmyXrY="}]}]]></TemplafyFormConfiguration>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3A99DB05BA6C74086A57D8BACDA6CF1" ma:contentTypeVersion="11" ma:contentTypeDescription="Create a new document." ma:contentTypeScope="" ma:versionID="b070e86820919397ec0929a6d8d16a36">
  <xsd:schema xmlns:xsd="http://www.w3.org/2001/XMLSchema" xmlns:xs="http://www.w3.org/2001/XMLSchema" xmlns:p="http://schemas.microsoft.com/office/2006/metadata/properties" xmlns:ns2="4ff64619-e4f4-4e75-8988-c01013be0c40" xmlns:ns3="14fd7a10-9b2a-46a6-b3da-f1406efeb437" targetNamespace="http://schemas.microsoft.com/office/2006/metadata/properties" ma:root="true" ma:fieldsID="c84e1252c9b6fbbc4bb5af6d7b2de977" ns2:_="" ns3:_="">
    <xsd:import namespace="4ff64619-e4f4-4e75-8988-c01013be0c40"/>
    <xsd:import namespace="14fd7a10-9b2a-46a6-b3da-f1406efeb43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f64619-e4f4-4e75-8988-c01013be0c4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2a0716b9-ea6c-4544-a4bd-65ac324c60d4" ma:termSetId="09814cd3-568e-fe90-9814-8d621ff8fb84" ma:anchorId="fba54fb3-c3e1-fe81-a776-ca4b69148c4d" ma:open="true" ma:isKeyword="false">
      <xsd:complexType>
        <xsd:sequence>
          <xsd:element ref="pc:Terms" minOccurs="0" maxOccurs="1"/>
        </xsd:sequence>
      </xsd:complex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4fd7a10-9b2a-46a6-b3da-f1406efeb437"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5" nillable="true" ma:displayName="Taxonomy Catch All Column" ma:hidden="true" ma:list="{51846528-1545-4900-8ec1-c574ccd249e5}" ma:internalName="TaxCatchAll" ma:showField="CatchAllData" ma:web="14fd7a10-9b2a-46a6-b3da-f1406efeb43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14fd7a10-9b2a-46a6-b3da-f1406efeb437" xsi:nil="true"/>
    <lcf76f155ced4ddcb4097134ff3c332f xmlns="4ff64619-e4f4-4e75-8988-c01013be0c40">
      <Terms xmlns="http://schemas.microsoft.com/office/infopath/2007/PartnerControls"/>
    </lcf76f155ced4ddcb4097134ff3c332f>
  </documentManagement>
</p:properties>
</file>

<file path=customXml/item5.xml><?xml version="1.0" encoding="utf-8"?>
<TemplafyTemplateConfiguration><![CDATA[{"elementsMetadata":[{"elementConfiguration":{"binding":"{{Translate(\"ProjectName\")}}","visibility":"","removeAndKeepContent":false,"disableUpdates":false,"type":"text"},"type":"richTextContentControl","id":"6ada3b89-90ef-4c78-813a-e0969687cc9d"},{"elementConfiguration":{"binding":"{{Translate(\"ClientName\")}}","visibility":"","removeAndKeepContent":false,"disableUpdates":false,"type":"text"},"type":"richTextContentControl","id":"ae1c22ed-79fe-4112-b333-51eab057600f"},{"elementConfiguration":{"binding":"{{Translate(\"PreparedBy\")}}","visibility":"","removeAndKeepContent":false,"disableUpdates":false,"type":"text"},"type":"richTextContentControl","id":"b4f85f3c-3af5-495d-860c-074fb28c2a49"},{"elementConfiguration":{"binding":"{{Translate(\"Checkedby\")}}","visibility":"","removeAndKeepContent":false,"disableUpdates":false,"type":"text"},"type":"richTextContentControl","id":"ad8d420d-327e-46fa-b8a6-f8ee7472159a"},{"elementConfiguration":{"binding":"{{Translate(\"Approvedby\")}}","visibility":"","removeAndKeepContent":false,"disableUpdates":false,"type":"text"},"type":"richTextContentControl","id":"59aef761-0c79-4abf-b7d9-d036e47d599b"},{"elementConfiguration":{"binding":"{{Translate(\"TypeOfProposal\")}}","visibility":"","removeAndKeepContent":false,"disableUpdates":false,"type":"text"},"type":"richTextContentControl","id":"02d7777f-38d3-450c-8986-f35f8c9dd3b4"},{"elementConfiguration":{"binding":"{{Translate(\"Date\")}}","visibility":"","removeAndKeepContent":false,"disableUpdates":false,"type":"text"},"type":"richTextContentControl","id":"de5609f0-126d-4bcc-bc46-d4917f1edbb8"},{"elementConfiguration":{"binding":"{{Translate(\"BidderTender\")}}","visibility":"","removeAndKeepContent":false,"disableUpdates":false,"type":"text"},"type":"richTextContentControl","id":"3755d0f0-0b81-488a-a1fe-428bca5db239"},{"elementConfiguration":{"binding":"{{Translate(\"Contents\")}}","visibility":"","removeAndKeepContent":false,"disableUpdates":false,"type":"text"},"type":"richTextContentControl","id":"f346edcd-fe56-4f90-bfa7-f47dc24dfc45"},{"elementConfiguration":{"binding":"{{Switch(UserProfile.DocumentLanguage.Language,\"en-US\", UserProfile.Office.CompanyNameEnglish,\"en-GB\", UserProfile.Office.CompanyNameLocal,\"de-DE\", UserProfile.Office.CompanyNameLocal,\"es-ES\", UserProfile.Office.CompanyNameLocal,\"et-EE\", UserProfile.Office.CompanyNameLocal,\"fr-FR\", UserProfile.Office.CompanyNameLocal,\"fo-FO\", UserProfile.Office.CompanyNameLocal,\"it-IT\", UserProfile.Office.CompanyNameLocal,\"nb-NO\", UserProfile.Office.CompanyNameLocal,\"nn-NO\", UserProfile.Office.CompanyNameLocal,\"pl-PL\", UserProfile.Office.CompanyNameLocal,\"ru-RU\", UserProfile.Office.CompanyNameLocal,\"sv-SE\",\"da-DK\")}}","visibility":"","removeAndKeepContent":false,"disableUpdates":false,"type":"text"},"type":"richTextContentControl","id":"b1b59e0d-0e82-4675-abf0-0c1fe9394585"},{"elementConfiguration":{"binding":"{{Switch(UserProfile.DocumentLanguage.Language,\"en-US\", UserProfile.Office.CompanyNameEnglish,\"en-GB\", UserProfile.Office.CompanyNameLocal,\"de-DE\", UserProfile.Office.CompanyNameLocal,\"es-ES\", UserProfile.Office.CompanyNameLocal,\"et-EE\", UserProfile.Office.CompanyNameLocal,\"fr-FR\", UserProfile.Office.CompanyNameLocal,\"fo-FO\", UserProfile.Office.CompanyNameLocal,\"it-IT\", UserProfile.Office.CompanyNameLocal,\"nb-NO\", UserProfile.Office.CompanyNameLocal,\"nn-NO\", UserProfile.Office.CompanyNameLocal,\"pl-PL\", UserProfile.Office.CompanyNameLocal,\"ru-RU\", UserProfile.Office.CompanyNameLocal,\"sv-SE\",\"da-DK\")}}","visibility":"","removeAndKeepContent":false,"disableUpdates":false,"type":"text"},"type":"richTextContentControl","id":"a5b0a733-13e6-43ff-b860-2d8cc3df3e0d"},{"elementConfiguration":{"binding":"{{Switch(UserProfile.DocumentLanguage.Language,\"en-US\", UserProfile.Office.CompanyNameEnglish,\"en-GB\", UserProfile.Office.CompanyNameLocal,\"de-DE\", UserProfile.Office.CompanyNameLocal,\"es-ES\", UserProfile.Office.CompanyNameLocal,\"et-EE\", UserProfile.Office.CompanyNameLocal,\"fr-FR\", UserProfile.Office.CompanyNameLocal,\"fo-FO\", UserProfile.Office.CompanyNameLocal,\"it-IT\", UserProfile.Office.CompanyNameLocal,\"nb-NO\", UserProfile.Office.CompanyNameLocal,\"nn-NO\", UserProfile.Office.CompanyNameLocal,\"pl-PL\", UserProfile.Office.CompanyNameLocal,\"ru-RU\", UserProfile.Office.CompanyNameLocal,\"sv-SE\",\"da-DK\")}}","visibility":"","removeAndKeepContent":false,"disableUpdates":false,"type":"text"},"type":"richTextContentControl","id":"359653b6-99c6-43b4-b381-03d427c58fcf"},{"elementConfiguration":{"binding":"{{Switch(UserProfile.DocumentLanguage.Language,\"en-US\", UserProfile.Office.AddressEnglish,\"en-GB\", UserProfile.Office.AddressEnglish,\"de-DE\", UserProfile.Office.AddressLocal,\"es-ES\", UserProfile.Office.AddressLocal,\"et-EE\", UserProfile.Office.AddressLocal,\"fr-FR\", UserProfile.Office.AddressLocal,\"fo-FO\", UserProfile.Office.AddressLocal,\"it-IT\", UserProfile.Office.AddressLocal,\"nb-NO\", UserProfile.Office.AddressLocal,\"nn-NO\", UserProfile.Office.AddressLocal,\"pl-PL\", UserProfile.Office.AddressLocal,\"ru-RU\", UserProfile.Office.AddressLocal,\"sv-SE\",\"da-DK\")}}","visibility":"","removeAndKeepContent":false,"disableUpdates":false,"type":"text"},"type":"richTextContentControl","id":"b984e9db-ca2e-4bcf-94e4-0d1360ffc3af"},{"elementConfiguration":{"visibility":"{{IfElse(Equals(UserProfile.Office.Phone, \"\"), VisibilityType.Hidden, VisibilityType.Visible)}}","disableUpdates":false,"type":"group"},"type":"richTextContentControl","id":"76b194fc-74ed-4c6a-b3ea-4c1593006ba2"},{"elementConfiguration":{"binding":"{{Translate(\"T\")}}","removeAndKeepContent":false,"disableUpdates":false,"type":"text"},"type":"richTextContentControl","id":"a9a1a136-8bd4-41f5-b884-59dcd4f1d902"},{"elementConfiguration":{"binding":"{{UserProfile.Office.Phone}}","visibility":"","removeAndKeepContent":false,"disableUpdates":false,"type":"text"},"type":"richTextContentControl","id":"28df7fb4-c441-4028-9d04-57e164327b8c"},{"elementConfiguration":{"visibility":"{{IfElse(Equals(UserProfile.Office.Fax, \"\"), VisibilityType.Hidden, VisibilityType.Visible)}}","disableUpdates":false,"type":"group"},"type":"richTextContentControl","id":"d156f57c-83fa-48d3-94b3-10f8e16fdb63"},{"elementConfiguration":{"binding":"{{Translate(\"F\")}}","removeAndKeepContent":false,"disableUpdates":false,"type":"text"},"type":"richTextContentControl","id":"3f4d556d-0edf-4097-9e56-139128cafa4c"},{"elementConfiguration":{"binding":"{{UserProfile.Office.Fax}}","visibility":"","removeAndKeepContent":false,"disableUpdates":false,"type":"text"},"type":"richTextContentControl","id":"819dda30-824d-4478-9813-c7e5dd136c6e"},{"elementConfiguration":{"binding":"{{Switch(UserProfile.DocumentLanguage.Language,\"en-US\", UserProfile.Office.WebEnglish,\"en-GB\", UserProfile.Office.WebLocal,\"de-DE\", UserProfile.Office.WebLocal,\"es-ES\", UserProfile.Office.WebLocal,\"et-EE\", UserProfile.Office.WebLocal,\"fr-FR\", UserProfile.Office.WebLocal,\"fo-FO\", UserProfile.Office.WebLocal,\"it-IT\", UserProfile.Office.WebLocal,\"nb-NO\", UserProfile.Office.WebLocal,\"nn-NO\", UserProfile.Office.WebLocal,\"pl-PL\", UserProfile.Office.WebLocal,\"ru-RU\", UserProfile.Office.WebLocal,\"sv-SE\",\"da-DK\")}}","visibility":"","removeAndKeepContent":false,"disableUpdates":false,"type":"text"},"type":"richTextContentControl","id":"357fec7f-b9a5-44cb-93cf-130f87f40fd5"},{"elementConfiguration":{"binding":"{{Switch(UserProfile.DocumentLanguage.Language,\"en-US\", UserProfile.Office.CompanyNameEnglish,\"en-GB\", UserProfile.Office.CompanyNameLocal,\"de-DE\", UserProfile.Office.CompanyNameLocal,\"es-ES\", UserProfile.Office.CompanyNameLocal,\"et-EE\", UserProfile.Office.CompanyNameLocal,\"fr-FR\", UserProfile.Office.CompanyNameLocal,\"fo-FO\", UserProfile.Office.CompanyNameLocal,\"it-IT\", UserProfile.Office.CompanyNameLocal,\"nb-NO\", UserProfile.Office.CompanyNameLocal,\"nn-NO\", UserProfile.Office.CompanyNameLocal,\"pl-PL\", UserProfile.Office.CompanyNameLocal,\"ru-RU\", UserProfile.Office.CompanyNameLocal,\"sv-SE\",\"da-DK\")}}","visibility":"","removeAndKeepContent":false,"disableUpdates":false,"type":"text"},"type":"richTextContentControl","id":"44749052-a55c-4494-9b7e-c0fe6bdf4135"},{"elementConfiguration":{"binding":"{{Switch(UserProfile.DocumentLanguage.Language,\"en-US\", UserProfile.Office.AddressEnglish,\"en-GB\", UserProfile.Office.AddressEnglish,\"de-DE\", UserProfile.Office.AddressLocal,\"es-ES\", UserProfile.Office.AddressLocal,\"et-EE\", UserProfile.Office.AddressLocal,\"fr-FR\", UserProfile.Office.AddressLocal,\"fo-FO\", UserProfile.Office.AddressLocal,\"it-IT\", UserProfile.Office.AddressLocal,\"nb-NO\", UserProfile.Office.AddressLocal,\"nn-NO\", UserProfile.Office.AddressLocal,\"pl-PL\", UserProfile.Office.AddressLocal,\"ru-RU\", UserProfile.Office.AddressLocal,\"sv-SE\",\"da-DK\")}}","visibility":"","removeAndKeepContent":false,"disableUpdates":false,"type":"text"},"type":"richTextContentControl","id":"031f2d78-36d8-49d4-bf56-f82887388322"},{"elementConfiguration":{"visibility":"{{IfElse(Equals(UserProfile.Office.Phone, \"\"), VisibilityType.Hidden, VisibilityType.Visible)}}","disableUpdates":false,"type":"group"},"type":"richTextContentControl","id":"e7a01c89-b613-4648-8f17-bcf51296858c"},{"elementConfiguration":{"binding":"{{Translate(\"T\")}}","removeAndKeepContent":false,"disableUpdates":false,"type":"text"},"type":"richTextContentControl","id":"99d5e8fc-61ba-4d83-8d13-29c23ece6a15"},{"elementConfiguration":{"binding":"{{UserProfile.Office.Phone}}","visibility":"","removeAndKeepContent":false,"disableUpdates":false,"type":"text"},"type":"richTextContentControl","id":"3c6e6c2a-dbd8-4f7c-a464-9b91b8de8c39"},{"elementConfiguration":{"visibility":"{{IfElse(Equals(UserProfile.Office.Fax, \"\"), VisibilityType.Hidden, VisibilityType.Visible)}}","disableUpdates":false,"type":"group"},"type":"richTextContentControl","id":"30a85187-110a-4681-93e1-e5cbd11c6477"},{"elementConfiguration":{"binding":"{{Translate(\"F\")}}","removeAndKeepContent":false,"disableUpdates":false,"type":"text"},"type":"richTextContentControl","id":"fc96ac68-62d9-487c-a9f9-85d47c699c13"},{"elementConfiguration":{"binding":"{{UserProfile.Office.Fax}}","visibility":"","removeAndKeepContent":false,"disableUpdates":false,"type":"text"},"type":"richTextContentControl","id":"74492ea6-074a-4030-885f-f1d46db0c5c1"},{"elementConfiguration":{"binding":"{{Switch(UserProfile.DocumentLanguage.Language,\"en-US\", UserProfile.Office.WebEnglish,\"en-GB\", UserProfile.Office.WebLocal,\"de-DE\", UserProfile.Office.WebLocal,\"es-ES\", UserProfile.Office.WebLocal,\"et-EE\", UserProfile.Office.WebLocal,\"fr-FR\", UserProfile.Office.WebLocal,\"fo-FO\", UserProfile.Office.WebLocal,\"it-IT\", UserProfile.Office.WebLocal,\"nb-NO\", UserProfile.Office.WebLocal,\"nn-NO\", UserProfile.Office.WebLocal,\"pl-PL\", UserProfile.Office.WebLocal,\"ru-RU\", UserProfile.Office.WebLocal,\"sv-SE\",\"da-DK\")}}","visibility":"","removeAndKeepContent":false,"disableUpdates":false,"type":"text"},"type":"richTextContentControl","id":"88749c5b-4d36-4f9b-969e-c38f6e00c57b"},{"elementConfiguration":{"binding":"{{Switch(UserProfile.DocumentLanguage.Language,\"en-US\", UserProfile.Office.LegalNameEnglish,\"en-GB\", UserProfile.Office.LegalNameLocal,\"de-DE\", UserProfile.Office.LegalNameLocal,\"es-ES\", UserProfile.Office.LegalNameLocal,\"et-EE\", UserProfile.Office.LegalNameLocal,\"fr-FR\", UserProfile.Office.LegalNameLocal,\"fo-FO\", UserProfile.Office.LegalNameLocal,\"it-IT\", UserProfile.Office.LegalNameLocal,\"nb-NO\", UserProfile.Office.LegalNameLocal,\"nn-NO\", UserProfile.Office.LegalNameLocal,\"pl-PL\", UserProfile.Office.LegalNameLocal,\"ru-RU\", UserProfile.Office.LegalNameLocal,\"sv-SE\",\"da-DK\")}}","visibility":"","removeAndKeepContent":false,"disableUpdates":false,"type":"text"},"type":"richTextContentControl","id":"f5cc4c34-ad89-4061-862e-e6c4f7b0c158"},{"elementConfiguration":{"binding":"{{Switch(UserProfile.DocumentLanguage.Language,\"en-US\", UserProfile.Office.CvrEnglish,\"en-GB\", UserProfile.Office.CvrLocal,\"de-DE\", UserProfile.Office.CvrLocal,\"es-ES\", UserProfile.Office.CvrLocal,\"et-EE\", UserProfile.Office.CvrLocal,\"fr-FR\", UserProfile.Office.CvrLocal,\"fo-FO\", UserProfile.Office.CvrLocal,\"it-IT\", UserProfile.Office.CvrLocal,\"nb-NO\", UserProfile.Office.CvrLocal,\"nn-NO\", UserProfile.Office.CvrLocal,\"pl-PL\", UserProfile.Office.CvrLocal,\"ru-RU\", UserProfile.Office.CvrLocal,\"sv-SE\",\"da-DK\")}}","visibility":"","removeAndKeepContent":false,"disableUpdates":false,"type":"text"},"type":"richTextContentControl","id":"903f84dd-f397-49b7-974c-05077bb871de"},{"elementConfiguration":{"binding":"{{Switch(UserProfile.DocumentLanguage.Language,\"en-US\", UserProfile.Office.LegalNameEnglish,\"en-GB\", UserProfile.Office.LegalNameLocal,\"de-DE\", UserProfile.Office.LegalNameLocal,\"es-ES\", UserProfile.Office.LegalNameLocal,\"et-EE\", UserProfile.Office.LegalNameLocal,\"fr-FR\", UserProfile.Office.LegalNameLocal,\"fo-FO\", UserProfile.Office.LegalNameLocal,\"it-IT\", UserProfile.Office.LegalNameLocal,\"nb-NO\", UserProfile.Office.LegalNameLocal,\"nn-NO\", UserProfile.Office.LegalNameLocal,\"pl-PL\", UserProfile.Office.LegalNameLocal,\"ru-RU\", UserProfile.Office.LegalNameLocal,\"sv-SE\",\"da-DK\")}}","visibility":"","removeAndKeepContent":false,"disableUpdates":false,"type":"text"},"type":"richTextContentControl","id":"1bd7bb70-1d9a-4f24-96f5-3238d9896192"},{"elementConfiguration":{"binding":"{{Switch(UserProfile.DocumentLanguage.Language,\"en-US\", UserProfile.Office.CvrEnglish,\"en-GB\", UserProfile.Office.CvrLocal,\"de-DE\", UserProfile.Office.CvrLocal,\"es-ES\", UserProfile.Office.CvrLocal,\"et-EE\", UserProfile.Office.CvrLocal,\"fr-FR\", UserProfile.Office.CvrLocal,\"fo-FO\", UserProfile.Office.CvrLocal,\"it-IT\", UserProfile.Office.CvrLocal,\"nb-NO\", UserProfile.Office.CvrLocal,\"nn-NO\", UserProfile.Office.CvrLocal,\"pl-PL\", UserProfile.Office.CvrLocal,\"ru-RU\", UserProfile.Office.CvrLocal,\"sv-SE\",\"da-DK\")}}","visibility":"","removeAndKeepContent":false,"disableUpdates":false,"type":"text"},"type":"richTextContentControl","id":"3c242d18-4661-4052-af83-d35fd521cc99"},{"elementConfiguration":{"visibility":"{{IfElse(Equals(Form.FilePath.Filename, \"Exclude\"), VisibilityType.Hidden, VisibilityType.Visible)}}","disableUpdates":false,"type":"group"},"type":"richTextContentControl","id":"f0a68b66-33a5-4875-874f-be40fcc40898"},{"elementConfiguration":{"visibility":"{{IfElse(Equals(Form.FilePath.Filename, \"Exclude\"), VisibilityType.Hidden, VisibilityType.Visible)}}","disableUpdates":false,"type":"group"},"type":"richTextContentControl","id":"0bca419e-0510-4268-bd0a-d64d49eb359a"},{"elementConfiguration":{"visibility":"{{IfElse(Equals(Form.FilePath.Filename, \"Exclude\"), VisibilityType.Hidden, VisibilityType.Visible)}}","disableUpdates":false,"type":"group"},"type":"richTextContentControl","id":"e3385d21-308a-4732-90ed-ba5d2abda81d"},{"elementConfiguration":{"visibility":"{{IfElse(Equals(Form.FilePath.Filename, \"Exclude\"), VisibilityType.Hidden, VisibilityType.Visible)}}","disableUpdates":false,"type":"group"},"type":"richTextContentControl","id":"ab256ee4-e701-4f50-9ef4-607c41c0c8ca"},{"elementConfiguration":{"visibility":"{{IfElse(Equals(Form.FilePath.Filename, \"Exclude\"), VisibilityType.Hidden, VisibilityType.Visible)}}","disableUpdates":false,"type":"group"},"type":"richTextContentControl","id":"38504e27-080a-42b3-b52b-ab17f0f8d39a"},{"elementConfiguration":{"visibility":"{{IfElse(Equals(Form.FilePath.Filename, \"Exclude\"), VisibilityType.Hidden, VisibilityType.Visible)}}","disableUpdates":false,"type":"group"},"type":"richTextContentControl","id":"410b3bd2-2378-4ad3-b164-e10fbd4688a4"}],"transformationConfigurations":[{"language":"{{DocumentLanguage}}","disableUpdates":false,"type":"proofingLanguage"},{"colorTheme":"{{UserProfile.Office.ColorThemeRef.ColorTheme}}","disableUpdates":false,"originalColorThemeXml":"<a:clrScheme name=\"Ramboll\" xmlns:a=\"http://schemas.openxmlformats.org/drawingml/2006/main\"><a:dk1><a:srgbClr val=\"333333\" /></a:dk1><a:lt1><a:srgbClr val=\"FFFFFF\" /></a:lt1><a:dk2><a:srgbClr val=\"009DF0\" /></a:dk2><a:lt2><a:srgbClr val=\"797766\" /></a:lt2><a:accent1><a:srgbClr val=\"ADDDFF\" /></a:accent1><a:accent2><a:srgbClr val=\"3AA551\" /></a:accent2><a:accent3><a:srgbClr val=\"A8D100\" /></a:accent3><a:accent4><a:srgbClr val=\"C40079\" /></a:accent4><a:accent5><a:srgbClr val=\"C63418\" /></a:accent5><a:accent6><a:srgbClr val=\"D0CFC9\" /></a:accent6><a:hlink><a:srgbClr val=\"009DF0\" /></a:hlink><a:folHlink><a:srgbClr val=\"ADDDFF\" /></a:folHlink></a:clrScheme>","type":"colorTheme"}],"templateName":"Cover and Content, narrow text","templateDescription":"","enableDocumentContentUpdater":true,"version":"2.0"}]]></TemplafyTemplateConfiguration>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CFEE0F-62A4-4FEB-86F4-6D0D8E9653B3}">
  <ds:schemaRefs/>
</ds:datastoreItem>
</file>

<file path=customXml/itemProps2.xml><?xml version="1.0" encoding="utf-8"?>
<ds:datastoreItem xmlns:ds="http://schemas.openxmlformats.org/officeDocument/2006/customXml" ds:itemID="{4F453133-E180-4000-A4FD-3DC1ABB7D96B}">
  <ds:schemaRefs>
    <ds:schemaRef ds:uri="http://schemas.microsoft.com/sharepoint/v3/contenttype/forms"/>
  </ds:schemaRefs>
</ds:datastoreItem>
</file>

<file path=customXml/itemProps3.xml><?xml version="1.0" encoding="utf-8"?>
<ds:datastoreItem xmlns:ds="http://schemas.openxmlformats.org/officeDocument/2006/customXml" ds:itemID="{9D7647E6-DC50-4251-A5A5-121065DB35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f64619-e4f4-4e75-8988-c01013be0c40"/>
    <ds:schemaRef ds:uri="14fd7a10-9b2a-46a6-b3da-f1406efeb43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01313AE-8A66-49D6-A781-9842253A2F27}">
  <ds:schemaRefs>
    <ds:schemaRef ds:uri="http://schemas.microsoft.com/office/2006/metadata/properties"/>
    <ds:schemaRef ds:uri="http://schemas.microsoft.com/office/infopath/2007/PartnerControls"/>
    <ds:schemaRef ds:uri="14fd7a10-9b2a-46a6-b3da-f1406efeb437"/>
    <ds:schemaRef ds:uri="4ff64619-e4f4-4e75-8988-c01013be0c40"/>
  </ds:schemaRefs>
</ds:datastoreItem>
</file>

<file path=customXml/itemProps5.xml><?xml version="1.0" encoding="utf-8"?>
<ds:datastoreItem xmlns:ds="http://schemas.openxmlformats.org/officeDocument/2006/customXml" ds:itemID="{54EC4ECF-2763-464C-AD61-D274C4536F32}">
  <ds:schemaRefs/>
</ds:datastoreItem>
</file>

<file path=customXml/itemProps6.xml><?xml version="1.0" encoding="utf-8"?>
<ds:datastoreItem xmlns:ds="http://schemas.openxmlformats.org/officeDocument/2006/customXml" ds:itemID="{BA0F4E66-68B3-4BA9-9FB3-36EF3CC0D7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Cover and Content, narrow text</Template>
  <TotalTime>6</TotalTime>
  <Pages>1</Pages>
  <Words>68435</Words>
  <Characters>390082</Characters>
  <Application>Microsoft Office Word</Application>
  <DocSecurity>0</DocSecurity>
  <Lines>3250</Lines>
  <Paragraphs>915</Paragraphs>
  <ScaleCrop>false</ScaleCrop>
  <HeadingPairs>
    <vt:vector size="2" baseType="variant">
      <vt:variant>
        <vt:lpstr>Title</vt:lpstr>
      </vt:variant>
      <vt:variant>
        <vt:i4>1</vt:i4>
      </vt:variant>
    </vt:vector>
  </HeadingPairs>
  <TitlesOfParts>
    <vt:vector size="1" baseType="lpstr">
      <vt:lpstr>Доклад на околната среда</vt:lpstr>
    </vt:vector>
  </TitlesOfParts>
  <Company/>
  <LinksUpToDate>false</LinksUpToDate>
  <CharactersWithSpaces>457602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Доклад на околната среда</dc:title>
  <dc:subject/>
  <dc:creator>Nicoleta Gabriela Musat</dc:creator>
  <cp:keywords/>
  <dc:description/>
  <cp:lastModifiedBy>Andreea Raducu</cp:lastModifiedBy>
  <cp:revision>9</cp:revision>
  <cp:lastPrinted>2023-11-14T22:50:00Z</cp:lastPrinted>
  <dcterms:created xsi:type="dcterms:W3CDTF">2025-05-06T14:14:00Z</dcterms:created>
  <dcterms:modified xsi:type="dcterms:W3CDTF">2025-08-13T15:24:00Z</dcterms:modified>
  <cp:category>Парк за вятърна енергия 48 (46) Вятърни електроцентрали прибл. 316.8МВт (303.6МВт), Трансформаторни станции, Електрически мрежи, изграждане и модернизация на комуникационни и достъпни пътища</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actbox">
    <vt:lpwstr>True</vt:lpwstr>
  </property>
  <property fmtid="{D5CDD505-2E9C-101B-9397-08002B2CF9AE}" pid="3" name="TenderInsertImage">
    <vt:lpwstr>True</vt:lpwstr>
  </property>
  <property fmtid="{D5CDD505-2E9C-101B-9397-08002B2CF9AE}" pid="4" name="TenderWhiteBorder">
    <vt:lpwstr>True</vt:lpwstr>
  </property>
  <property fmtid="{D5CDD505-2E9C-101B-9397-08002B2CF9AE}" pid="5" name="templatetype">
    <vt:lpwstr>coverandcontent</vt:lpwstr>
  </property>
  <property fmtid="{D5CDD505-2E9C-101B-9397-08002B2CF9AE}" pid="6" name="TemplafyTimeStamp">
    <vt:lpwstr>2020-11-30T12:59:17.9234466Z</vt:lpwstr>
  </property>
  <property fmtid="{D5CDD505-2E9C-101B-9397-08002B2CF9AE}" pid="7" name="Doc_AcceptedBy">
    <vt:lpwstr> </vt:lpwstr>
  </property>
  <property fmtid="{D5CDD505-2E9C-101B-9397-08002B2CF9AE}" pid="8" name="Doc_AcceptedDate">
    <vt:lpwstr> </vt:lpwstr>
  </property>
  <property fmtid="{D5CDD505-2E9C-101B-9397-08002B2CF9AE}" pid="9" name="Doc_ApprovedPublicationBy">
    <vt:lpwstr> </vt:lpwstr>
  </property>
  <property fmtid="{D5CDD505-2E9C-101B-9397-08002B2CF9AE}" pid="10" name="Doc_ApprovedPublicationDate">
    <vt:lpwstr> </vt:lpwstr>
  </property>
  <property fmtid="{D5CDD505-2E9C-101B-9397-08002B2CF9AE}" pid="11" name="Doc_ApprovedSharingBy">
    <vt:lpwstr> </vt:lpwstr>
  </property>
  <property fmtid="{D5CDD505-2E9C-101B-9397-08002B2CF9AE}" pid="12" name="Doc_ApprovedSharingDate">
    <vt:lpwstr> </vt:lpwstr>
  </property>
  <property fmtid="{D5CDD505-2E9C-101B-9397-08002B2CF9AE}" pid="13" name="Doc_CheckedBy">
    <vt:lpwstr> </vt:lpwstr>
  </property>
  <property fmtid="{D5CDD505-2E9C-101B-9397-08002B2CF9AE}" pid="14" name="Doc_CheckedDate">
    <vt:lpwstr> </vt:lpwstr>
  </property>
  <property fmtid="{D5CDD505-2E9C-101B-9397-08002B2CF9AE}" pid="15" name="Doc_Client">
    <vt:lpwstr> </vt:lpwstr>
  </property>
  <property fmtid="{D5CDD505-2E9C-101B-9397-08002B2CF9AE}" pid="16" name="Doc_DesignStatus">
    <vt:lpwstr> </vt:lpwstr>
  </property>
  <property fmtid="{D5CDD505-2E9C-101B-9397-08002B2CF9AE}" pid="17" name="Doc_DocNumber">
    <vt:lpwstr> </vt:lpwstr>
  </property>
  <property fmtid="{D5CDD505-2E9C-101B-9397-08002B2CF9AE}" pid="18" name="Doc_DocTitle1">
    <vt:lpwstr> </vt:lpwstr>
  </property>
  <property fmtid="{D5CDD505-2E9C-101B-9397-08002B2CF9AE}" pid="19" name="Doc_DocTitle2">
    <vt:lpwstr> </vt:lpwstr>
  </property>
  <property fmtid="{D5CDD505-2E9C-101B-9397-08002B2CF9AE}" pid="20" name="Doc_DocTitle3">
    <vt:lpwstr> </vt:lpwstr>
  </property>
  <property fmtid="{D5CDD505-2E9C-101B-9397-08002B2CF9AE}" pid="21" name="Doc_DocTitle4">
    <vt:lpwstr> </vt:lpwstr>
  </property>
  <property fmtid="{D5CDD505-2E9C-101B-9397-08002B2CF9AE}" pid="22" name="Doc_MaconomyID">
    <vt:lpwstr> </vt:lpwstr>
  </property>
  <property fmtid="{D5CDD505-2E9C-101B-9397-08002B2CF9AE}" pid="23" name="Doc_Originator">
    <vt:lpwstr> </vt:lpwstr>
  </property>
  <property fmtid="{D5CDD505-2E9C-101B-9397-08002B2CF9AE}" pid="24" name="Doc_PreparedBy">
    <vt:lpwstr> </vt:lpwstr>
  </property>
  <property fmtid="{D5CDD505-2E9C-101B-9397-08002B2CF9AE}" pid="25" name="Doc_PreparedDate">
    <vt:lpwstr> </vt:lpwstr>
  </property>
  <property fmtid="{D5CDD505-2E9C-101B-9397-08002B2CF9AE}" pid="26" name="Doc_ProjectName">
    <vt:lpwstr> </vt:lpwstr>
  </property>
  <property fmtid="{D5CDD505-2E9C-101B-9397-08002B2CF9AE}" pid="27" name="Doc_Revision">
    <vt:lpwstr> </vt:lpwstr>
  </property>
  <property fmtid="{D5CDD505-2E9C-101B-9397-08002B2CF9AE}" pid="28" name="Doc_Revision1">
    <vt:lpwstr> </vt:lpwstr>
  </property>
  <property fmtid="{D5CDD505-2E9C-101B-9397-08002B2CF9AE}" pid="29" name="Doc_Revision10">
    <vt:lpwstr> </vt:lpwstr>
  </property>
  <property fmtid="{D5CDD505-2E9C-101B-9397-08002B2CF9AE}" pid="30" name="Doc_Revision10ApprovedBy">
    <vt:lpwstr> </vt:lpwstr>
  </property>
  <property fmtid="{D5CDD505-2E9C-101B-9397-08002B2CF9AE}" pid="31" name="Doc_Revision10CheckedBy">
    <vt:lpwstr> </vt:lpwstr>
  </property>
  <property fmtid="{D5CDD505-2E9C-101B-9397-08002B2CF9AE}" pid="32" name="Doc_Revision10Date">
    <vt:lpwstr> </vt:lpwstr>
  </property>
  <property fmtid="{D5CDD505-2E9C-101B-9397-08002B2CF9AE}" pid="33" name="Doc_Revision10DesignedBy">
    <vt:lpwstr> </vt:lpwstr>
  </property>
  <property fmtid="{D5CDD505-2E9C-101B-9397-08002B2CF9AE}" pid="34" name="Doc_Revision10Note">
    <vt:lpwstr> </vt:lpwstr>
  </property>
  <property fmtid="{D5CDD505-2E9C-101B-9397-08002B2CF9AE}" pid="35" name="Doc_Revision10PreparedBy">
    <vt:lpwstr> </vt:lpwstr>
  </property>
  <property fmtid="{D5CDD505-2E9C-101B-9397-08002B2CF9AE}" pid="36" name="Doc_Revision11">
    <vt:lpwstr> </vt:lpwstr>
  </property>
  <property fmtid="{D5CDD505-2E9C-101B-9397-08002B2CF9AE}" pid="37" name="Doc_Revision11ApprovedBy">
    <vt:lpwstr> </vt:lpwstr>
  </property>
  <property fmtid="{D5CDD505-2E9C-101B-9397-08002B2CF9AE}" pid="38" name="Doc_Revision11CheckedBy">
    <vt:lpwstr> </vt:lpwstr>
  </property>
  <property fmtid="{D5CDD505-2E9C-101B-9397-08002B2CF9AE}" pid="39" name="Doc_Revision11Date">
    <vt:lpwstr> </vt:lpwstr>
  </property>
  <property fmtid="{D5CDD505-2E9C-101B-9397-08002B2CF9AE}" pid="40" name="Doc_Revision11DesignedBy">
    <vt:lpwstr> </vt:lpwstr>
  </property>
  <property fmtid="{D5CDD505-2E9C-101B-9397-08002B2CF9AE}" pid="41" name="Doc_Revision11Note">
    <vt:lpwstr> </vt:lpwstr>
  </property>
  <property fmtid="{D5CDD505-2E9C-101B-9397-08002B2CF9AE}" pid="42" name="Doc_Revision11PreparedBy">
    <vt:lpwstr> </vt:lpwstr>
  </property>
  <property fmtid="{D5CDD505-2E9C-101B-9397-08002B2CF9AE}" pid="43" name="Doc_Revision12">
    <vt:lpwstr> </vt:lpwstr>
  </property>
  <property fmtid="{D5CDD505-2E9C-101B-9397-08002B2CF9AE}" pid="44" name="Doc_Revision12ApprovedBy">
    <vt:lpwstr> </vt:lpwstr>
  </property>
  <property fmtid="{D5CDD505-2E9C-101B-9397-08002B2CF9AE}" pid="45" name="Doc_Revision12CheckedBy">
    <vt:lpwstr> </vt:lpwstr>
  </property>
  <property fmtid="{D5CDD505-2E9C-101B-9397-08002B2CF9AE}" pid="46" name="Doc_Revision12Date">
    <vt:lpwstr> </vt:lpwstr>
  </property>
  <property fmtid="{D5CDD505-2E9C-101B-9397-08002B2CF9AE}" pid="47" name="Doc_Revision12DesignedBy">
    <vt:lpwstr> </vt:lpwstr>
  </property>
  <property fmtid="{D5CDD505-2E9C-101B-9397-08002B2CF9AE}" pid="48" name="Doc_Revision12Note">
    <vt:lpwstr> </vt:lpwstr>
  </property>
  <property fmtid="{D5CDD505-2E9C-101B-9397-08002B2CF9AE}" pid="49" name="Doc_Revision12PreparedBy">
    <vt:lpwstr> </vt:lpwstr>
  </property>
  <property fmtid="{D5CDD505-2E9C-101B-9397-08002B2CF9AE}" pid="50" name="Doc_Revision1ApprovedBy">
    <vt:lpwstr> </vt:lpwstr>
  </property>
  <property fmtid="{D5CDD505-2E9C-101B-9397-08002B2CF9AE}" pid="51" name="Doc_Revision1CheckedBy">
    <vt:lpwstr> </vt:lpwstr>
  </property>
  <property fmtid="{D5CDD505-2E9C-101B-9397-08002B2CF9AE}" pid="52" name="Doc_Revision1Date">
    <vt:lpwstr> </vt:lpwstr>
  </property>
  <property fmtid="{D5CDD505-2E9C-101B-9397-08002B2CF9AE}" pid="53" name="Doc_Revision1DesignedBy">
    <vt:lpwstr> </vt:lpwstr>
  </property>
  <property fmtid="{D5CDD505-2E9C-101B-9397-08002B2CF9AE}" pid="54" name="Doc_Revision1Note">
    <vt:lpwstr> </vt:lpwstr>
  </property>
  <property fmtid="{D5CDD505-2E9C-101B-9397-08002B2CF9AE}" pid="55" name="Doc_Revision1PreparedBy">
    <vt:lpwstr> </vt:lpwstr>
  </property>
  <property fmtid="{D5CDD505-2E9C-101B-9397-08002B2CF9AE}" pid="56" name="Doc_Revision2">
    <vt:lpwstr> </vt:lpwstr>
  </property>
  <property fmtid="{D5CDD505-2E9C-101B-9397-08002B2CF9AE}" pid="57" name="Doc_Revision2ApprovedBy">
    <vt:lpwstr> </vt:lpwstr>
  </property>
  <property fmtid="{D5CDD505-2E9C-101B-9397-08002B2CF9AE}" pid="58" name="Doc_Revision2CheckedBy">
    <vt:lpwstr> </vt:lpwstr>
  </property>
  <property fmtid="{D5CDD505-2E9C-101B-9397-08002B2CF9AE}" pid="59" name="Doc_Revision2Date">
    <vt:lpwstr> </vt:lpwstr>
  </property>
  <property fmtid="{D5CDD505-2E9C-101B-9397-08002B2CF9AE}" pid="60" name="Doc_Revision2DesignedBy">
    <vt:lpwstr> </vt:lpwstr>
  </property>
  <property fmtid="{D5CDD505-2E9C-101B-9397-08002B2CF9AE}" pid="61" name="Doc_Revision2Note">
    <vt:lpwstr> </vt:lpwstr>
  </property>
  <property fmtid="{D5CDD505-2E9C-101B-9397-08002B2CF9AE}" pid="62" name="Doc_Revision2PreparedBy">
    <vt:lpwstr> </vt:lpwstr>
  </property>
  <property fmtid="{D5CDD505-2E9C-101B-9397-08002B2CF9AE}" pid="63" name="Doc_Revision3">
    <vt:lpwstr> </vt:lpwstr>
  </property>
  <property fmtid="{D5CDD505-2E9C-101B-9397-08002B2CF9AE}" pid="64" name="Doc_Revision3ApprovedBy">
    <vt:lpwstr> </vt:lpwstr>
  </property>
  <property fmtid="{D5CDD505-2E9C-101B-9397-08002B2CF9AE}" pid="65" name="Doc_Revision3CheckedBy">
    <vt:lpwstr> </vt:lpwstr>
  </property>
  <property fmtid="{D5CDD505-2E9C-101B-9397-08002B2CF9AE}" pid="66" name="Doc_Revision3Date">
    <vt:lpwstr> </vt:lpwstr>
  </property>
  <property fmtid="{D5CDD505-2E9C-101B-9397-08002B2CF9AE}" pid="67" name="Doc_Revision3DesignedBy">
    <vt:lpwstr> </vt:lpwstr>
  </property>
  <property fmtid="{D5CDD505-2E9C-101B-9397-08002B2CF9AE}" pid="68" name="Doc_Revision3Note">
    <vt:lpwstr> </vt:lpwstr>
  </property>
  <property fmtid="{D5CDD505-2E9C-101B-9397-08002B2CF9AE}" pid="69" name="Doc_Revision3PreparedBy">
    <vt:lpwstr> </vt:lpwstr>
  </property>
  <property fmtid="{D5CDD505-2E9C-101B-9397-08002B2CF9AE}" pid="70" name="Doc_Revision4">
    <vt:lpwstr> </vt:lpwstr>
  </property>
  <property fmtid="{D5CDD505-2E9C-101B-9397-08002B2CF9AE}" pid="71" name="Doc_Revision4ApprovedBy">
    <vt:lpwstr> </vt:lpwstr>
  </property>
  <property fmtid="{D5CDD505-2E9C-101B-9397-08002B2CF9AE}" pid="72" name="Doc_Revision4CheckedBy">
    <vt:lpwstr> </vt:lpwstr>
  </property>
  <property fmtid="{D5CDD505-2E9C-101B-9397-08002B2CF9AE}" pid="73" name="Doc_Revision4Date">
    <vt:lpwstr> </vt:lpwstr>
  </property>
  <property fmtid="{D5CDD505-2E9C-101B-9397-08002B2CF9AE}" pid="74" name="Doc_Revision4DesignedBy">
    <vt:lpwstr> </vt:lpwstr>
  </property>
  <property fmtid="{D5CDD505-2E9C-101B-9397-08002B2CF9AE}" pid="75" name="Doc_Revision4Note">
    <vt:lpwstr> </vt:lpwstr>
  </property>
  <property fmtid="{D5CDD505-2E9C-101B-9397-08002B2CF9AE}" pid="76" name="Doc_Revision4PreparedBy">
    <vt:lpwstr> </vt:lpwstr>
  </property>
  <property fmtid="{D5CDD505-2E9C-101B-9397-08002B2CF9AE}" pid="77" name="Doc_Revision5">
    <vt:lpwstr> </vt:lpwstr>
  </property>
  <property fmtid="{D5CDD505-2E9C-101B-9397-08002B2CF9AE}" pid="78" name="Doc_Revision5ApprovedBy">
    <vt:lpwstr> </vt:lpwstr>
  </property>
  <property fmtid="{D5CDD505-2E9C-101B-9397-08002B2CF9AE}" pid="79" name="Doc_Revision5CheckedBy">
    <vt:lpwstr> </vt:lpwstr>
  </property>
  <property fmtid="{D5CDD505-2E9C-101B-9397-08002B2CF9AE}" pid="80" name="Doc_Revision5Date">
    <vt:lpwstr> </vt:lpwstr>
  </property>
  <property fmtid="{D5CDD505-2E9C-101B-9397-08002B2CF9AE}" pid="81" name="Doc_Revision5DesignedBy">
    <vt:lpwstr> </vt:lpwstr>
  </property>
  <property fmtid="{D5CDD505-2E9C-101B-9397-08002B2CF9AE}" pid="82" name="Doc_Revision5Note">
    <vt:lpwstr> </vt:lpwstr>
  </property>
  <property fmtid="{D5CDD505-2E9C-101B-9397-08002B2CF9AE}" pid="83" name="Doc_Revision5PreparedBy">
    <vt:lpwstr> </vt:lpwstr>
  </property>
  <property fmtid="{D5CDD505-2E9C-101B-9397-08002B2CF9AE}" pid="84" name="Doc_Revision6">
    <vt:lpwstr> </vt:lpwstr>
  </property>
  <property fmtid="{D5CDD505-2E9C-101B-9397-08002B2CF9AE}" pid="85" name="Doc_Revision6ApprovedBy">
    <vt:lpwstr> </vt:lpwstr>
  </property>
  <property fmtid="{D5CDD505-2E9C-101B-9397-08002B2CF9AE}" pid="86" name="Doc_Revision6CheckedBy">
    <vt:lpwstr> </vt:lpwstr>
  </property>
  <property fmtid="{D5CDD505-2E9C-101B-9397-08002B2CF9AE}" pid="87" name="Doc_Revision6Date">
    <vt:lpwstr> </vt:lpwstr>
  </property>
  <property fmtid="{D5CDD505-2E9C-101B-9397-08002B2CF9AE}" pid="88" name="Doc_Revision6DesignedBy">
    <vt:lpwstr> </vt:lpwstr>
  </property>
  <property fmtid="{D5CDD505-2E9C-101B-9397-08002B2CF9AE}" pid="89" name="Doc_Revision6Note">
    <vt:lpwstr> </vt:lpwstr>
  </property>
  <property fmtid="{D5CDD505-2E9C-101B-9397-08002B2CF9AE}" pid="90" name="Doc_Revision6PreparedBy">
    <vt:lpwstr> </vt:lpwstr>
  </property>
  <property fmtid="{D5CDD505-2E9C-101B-9397-08002B2CF9AE}" pid="91" name="Doc_Revision7">
    <vt:lpwstr> </vt:lpwstr>
  </property>
  <property fmtid="{D5CDD505-2E9C-101B-9397-08002B2CF9AE}" pid="92" name="Doc_Revision7ApprovedBy">
    <vt:lpwstr> </vt:lpwstr>
  </property>
  <property fmtid="{D5CDD505-2E9C-101B-9397-08002B2CF9AE}" pid="93" name="Doc_Revision7CheckedBy">
    <vt:lpwstr> </vt:lpwstr>
  </property>
  <property fmtid="{D5CDD505-2E9C-101B-9397-08002B2CF9AE}" pid="94" name="Doc_Revision7Date">
    <vt:lpwstr> </vt:lpwstr>
  </property>
  <property fmtid="{D5CDD505-2E9C-101B-9397-08002B2CF9AE}" pid="95" name="Doc_Revision7DesignedBy">
    <vt:lpwstr> </vt:lpwstr>
  </property>
  <property fmtid="{D5CDD505-2E9C-101B-9397-08002B2CF9AE}" pid="96" name="Doc_Revision7Note">
    <vt:lpwstr> </vt:lpwstr>
  </property>
  <property fmtid="{D5CDD505-2E9C-101B-9397-08002B2CF9AE}" pid="97" name="Doc_Revision7PreparedBy">
    <vt:lpwstr> </vt:lpwstr>
  </property>
  <property fmtid="{D5CDD505-2E9C-101B-9397-08002B2CF9AE}" pid="98" name="Doc_Revision8">
    <vt:lpwstr> </vt:lpwstr>
  </property>
  <property fmtid="{D5CDD505-2E9C-101B-9397-08002B2CF9AE}" pid="99" name="Doc_Revision8ApprovedBy">
    <vt:lpwstr> </vt:lpwstr>
  </property>
  <property fmtid="{D5CDD505-2E9C-101B-9397-08002B2CF9AE}" pid="100" name="Doc_Revision8CheckedBy">
    <vt:lpwstr> </vt:lpwstr>
  </property>
  <property fmtid="{D5CDD505-2E9C-101B-9397-08002B2CF9AE}" pid="101" name="Doc_Revision8Date">
    <vt:lpwstr> </vt:lpwstr>
  </property>
  <property fmtid="{D5CDD505-2E9C-101B-9397-08002B2CF9AE}" pid="102" name="Doc_Revision8DesignedBy">
    <vt:lpwstr> </vt:lpwstr>
  </property>
  <property fmtid="{D5CDD505-2E9C-101B-9397-08002B2CF9AE}" pid="103" name="Doc_Revision8Note">
    <vt:lpwstr> </vt:lpwstr>
  </property>
  <property fmtid="{D5CDD505-2E9C-101B-9397-08002B2CF9AE}" pid="104" name="Doc_Revision8PreparedBy">
    <vt:lpwstr> </vt:lpwstr>
  </property>
  <property fmtid="{D5CDD505-2E9C-101B-9397-08002B2CF9AE}" pid="105" name="Doc_Revision9">
    <vt:lpwstr> </vt:lpwstr>
  </property>
  <property fmtid="{D5CDD505-2E9C-101B-9397-08002B2CF9AE}" pid="106" name="Doc_Revision9ApprovedBy">
    <vt:lpwstr> </vt:lpwstr>
  </property>
  <property fmtid="{D5CDD505-2E9C-101B-9397-08002B2CF9AE}" pid="107" name="Doc_Revision9CheckedBy">
    <vt:lpwstr> </vt:lpwstr>
  </property>
  <property fmtid="{D5CDD505-2E9C-101B-9397-08002B2CF9AE}" pid="108" name="Doc_Revision9Date">
    <vt:lpwstr> </vt:lpwstr>
  </property>
  <property fmtid="{D5CDD505-2E9C-101B-9397-08002B2CF9AE}" pid="109" name="Doc_Revision9DesignedBy">
    <vt:lpwstr> </vt:lpwstr>
  </property>
  <property fmtid="{D5CDD505-2E9C-101B-9397-08002B2CF9AE}" pid="110" name="Doc_Revision9Note">
    <vt:lpwstr> </vt:lpwstr>
  </property>
  <property fmtid="{D5CDD505-2E9C-101B-9397-08002B2CF9AE}" pid="111" name="Doc_Revision9PreparedBy">
    <vt:lpwstr> </vt:lpwstr>
  </property>
  <property fmtid="{D5CDD505-2E9C-101B-9397-08002B2CF9AE}" pid="112" name="Doc_RevisionNote">
    <vt:lpwstr> </vt:lpwstr>
  </property>
  <property fmtid="{D5CDD505-2E9C-101B-9397-08002B2CF9AE}" pid="113" name="Doc_SecurityClassification">
    <vt:lpwstr> </vt:lpwstr>
  </property>
  <property fmtid="{D5CDD505-2E9C-101B-9397-08002B2CF9AE}" pid="114" name="Doc_Suitability">
    <vt:lpwstr> </vt:lpwstr>
  </property>
  <property fmtid="{D5CDD505-2E9C-101B-9397-08002B2CF9AE}" pid="115" name="Doc_Unique_ProjectID">
    <vt:lpwstr> </vt:lpwstr>
  </property>
  <property fmtid="{D5CDD505-2E9C-101B-9397-08002B2CF9AE}" pid="116" name="Document_FileName">
    <vt:lpwstr> </vt:lpwstr>
  </property>
  <property fmtid="{D5CDD505-2E9C-101B-9397-08002B2CF9AE}" pid="117" name="Document_Name">
    <vt:lpwstr> </vt:lpwstr>
  </property>
  <property fmtid="{D5CDD505-2E9C-101B-9397-08002B2CF9AE}" pid="118" name="Document_Number">
    <vt:lpwstr> </vt:lpwstr>
  </property>
  <property fmtid="{D5CDD505-2E9C-101B-9397-08002B2CF9AE}" pid="119" name="Document_Version">
    <vt:lpwstr> </vt:lpwstr>
  </property>
  <property fmtid="{D5CDD505-2E9C-101B-9397-08002B2CF9AE}" pid="120" name="Document_VersionSeq">
    <vt:lpwstr> </vt:lpwstr>
  </property>
  <property fmtid="{D5CDD505-2E9C-101B-9397-08002B2CF9AE}" pid="121" name="Folder_Code">
    <vt:lpwstr> </vt:lpwstr>
  </property>
  <property fmtid="{D5CDD505-2E9C-101B-9397-08002B2CF9AE}" pid="122" name="Folder_CreateDate">
    <vt:lpwstr> </vt:lpwstr>
  </property>
  <property fmtid="{D5CDD505-2E9C-101B-9397-08002B2CF9AE}" pid="123" name="Folder_Creator">
    <vt:lpwstr> </vt:lpwstr>
  </property>
  <property fmtid="{D5CDD505-2E9C-101B-9397-08002B2CF9AE}" pid="124" name="Folder_CreatorDesc">
    <vt:lpwstr> </vt:lpwstr>
  </property>
  <property fmtid="{D5CDD505-2E9C-101B-9397-08002B2CF9AE}" pid="125" name="Folder_Description">
    <vt:lpwstr> </vt:lpwstr>
  </property>
  <property fmtid="{D5CDD505-2E9C-101B-9397-08002B2CF9AE}" pid="126" name="Folder_Manager">
    <vt:lpwstr> </vt:lpwstr>
  </property>
  <property fmtid="{D5CDD505-2E9C-101B-9397-08002B2CF9AE}" pid="127" name="Folder_ManagerDesc">
    <vt:lpwstr> </vt:lpwstr>
  </property>
  <property fmtid="{D5CDD505-2E9C-101B-9397-08002B2CF9AE}" pid="128" name="Folder_Name">
    <vt:lpwstr> </vt:lpwstr>
  </property>
  <property fmtid="{D5CDD505-2E9C-101B-9397-08002B2CF9AE}" pid="129" name="Folder_Number">
    <vt:lpwstr> </vt:lpwstr>
  </property>
  <property fmtid="{D5CDD505-2E9C-101B-9397-08002B2CF9AE}" pid="130" name="Folder_Storage">
    <vt:lpwstr> </vt:lpwstr>
  </property>
  <property fmtid="{D5CDD505-2E9C-101B-9397-08002B2CF9AE}" pid="131" name="Folder_StorageDesc">
    <vt:lpwstr> </vt:lpwstr>
  </property>
  <property fmtid="{D5CDD505-2E9C-101B-9397-08002B2CF9AE}" pid="132" name="Folder_UpdateDate">
    <vt:lpwstr> </vt:lpwstr>
  </property>
  <property fmtid="{D5CDD505-2E9C-101B-9397-08002B2CF9AE}" pid="133" name="Folder_UpdateDesc">
    <vt:lpwstr> </vt:lpwstr>
  </property>
  <property fmtid="{D5CDD505-2E9C-101B-9397-08002B2CF9AE}" pid="134" name="Folder_Updater">
    <vt:lpwstr> </vt:lpwstr>
  </property>
  <property fmtid="{D5CDD505-2E9C-101B-9397-08002B2CF9AE}" pid="135" name="Ram_Document_AltName_AltName">
    <vt:lpwstr> </vt:lpwstr>
  </property>
  <property fmtid="{D5CDD505-2E9C-101B-9397-08002B2CF9AE}" pid="136" name="Ram_Document_AltName_DocName">
    <vt:lpwstr> </vt:lpwstr>
  </property>
  <property fmtid="{D5CDD505-2E9C-101B-9397-08002B2CF9AE}" pid="137" name="Ram_Document_AltName_Part1">
    <vt:lpwstr> </vt:lpwstr>
  </property>
  <property fmtid="{D5CDD505-2E9C-101B-9397-08002B2CF9AE}" pid="138" name="Ram_Document_AltName_Part2">
    <vt:lpwstr> </vt:lpwstr>
  </property>
  <property fmtid="{D5CDD505-2E9C-101B-9397-08002B2CF9AE}" pid="139" name="Ram_Document_AltName_Part3">
    <vt:lpwstr> </vt:lpwstr>
  </property>
  <property fmtid="{D5CDD505-2E9C-101B-9397-08002B2CF9AE}" pid="140" name="Ram_Document_AltName_Part4">
    <vt:lpwstr> </vt:lpwstr>
  </property>
  <property fmtid="{D5CDD505-2E9C-101B-9397-08002B2CF9AE}" pid="141" name="Ram_Document_AltName_Part5">
    <vt:lpwstr> </vt:lpwstr>
  </property>
  <property fmtid="{D5CDD505-2E9C-101B-9397-08002B2CF9AE}" pid="142" name="Ram_Document_AltName_Part6">
    <vt:lpwstr> </vt:lpwstr>
  </property>
  <property fmtid="{D5CDD505-2E9C-101B-9397-08002B2CF9AE}" pid="143" name="Ram_Document_AltName_Part7">
    <vt:lpwstr> </vt:lpwstr>
  </property>
  <property fmtid="{D5CDD505-2E9C-101B-9397-08002B2CF9AE}" pid="144" name="Ram_Document_AltName_Part8">
    <vt:lpwstr> </vt:lpwstr>
  </property>
  <property fmtid="{D5CDD505-2E9C-101B-9397-08002B2CF9AE}" pid="145" name="Ram_Document_AltName_Part9">
    <vt:lpwstr> </vt:lpwstr>
  </property>
  <property fmtid="{D5CDD505-2E9C-101B-9397-08002B2CF9AE}" pid="146" name="Ram_Document_CustomerDocName">
    <vt:lpwstr> </vt:lpwstr>
  </property>
  <property fmtid="{D5CDD505-2E9C-101B-9397-08002B2CF9AE}" pid="147" name="Ram_Document_CustomerDocNumber">
    <vt:lpwstr> </vt:lpwstr>
  </property>
  <property fmtid="{D5CDD505-2E9C-101B-9397-08002B2CF9AE}" pid="148" name="Ram_Project_ClientName">
    <vt:lpwstr> </vt:lpwstr>
  </property>
  <property fmtid="{D5CDD505-2E9C-101B-9397-08002B2CF9AE}" pid="149" name="Ram_WorkArea_Client">
    <vt:lpwstr> </vt:lpwstr>
  </property>
  <property fmtid="{D5CDD505-2E9C-101B-9397-08002B2CF9AE}" pid="150" name="Ram_WorkArea_ProjectName">
    <vt:lpwstr> </vt:lpwstr>
  </property>
  <property fmtid="{D5CDD505-2E9C-101B-9397-08002B2CF9AE}" pid="151" name="Ram_Document_ApprovedBy">
    <vt:lpwstr> </vt:lpwstr>
  </property>
  <property fmtid="{D5CDD505-2E9C-101B-9397-08002B2CF9AE}" pid="152" name="Ram_Document_CheckedBy">
    <vt:lpwstr> </vt:lpwstr>
  </property>
  <property fmtid="{D5CDD505-2E9C-101B-9397-08002B2CF9AE}" pid="153" name="Ram_Document_Date">
    <vt:lpwstr> </vt:lpwstr>
  </property>
  <property fmtid="{D5CDD505-2E9C-101B-9397-08002B2CF9AE}" pid="154" name="Ram_Document_DocID">
    <vt:lpwstr> </vt:lpwstr>
  </property>
  <property fmtid="{D5CDD505-2E9C-101B-9397-08002B2CF9AE}" pid="155" name="Ram_Document_DocStructureID">
    <vt:lpwstr> </vt:lpwstr>
  </property>
  <property fmtid="{D5CDD505-2E9C-101B-9397-08002B2CF9AE}" pid="156" name="Ram_Document_PreparedBy">
    <vt:lpwstr> </vt:lpwstr>
  </property>
  <property fmtid="{D5CDD505-2E9C-101B-9397-08002B2CF9AE}" pid="157" name="Ram_Document_Title1">
    <vt:lpwstr> </vt:lpwstr>
  </property>
  <property fmtid="{D5CDD505-2E9C-101B-9397-08002B2CF9AE}" pid="158" name="Ram_Document_Title2">
    <vt:lpwstr> </vt:lpwstr>
  </property>
  <property fmtid="{D5CDD505-2E9C-101B-9397-08002B2CF9AE}" pid="159" name="Ram_Document_Version">
    <vt:lpwstr> </vt:lpwstr>
  </property>
  <property fmtid="{D5CDD505-2E9C-101B-9397-08002B2CF9AE}" pid="160" name="Ram_Document_VersionDescription">
    <vt:lpwstr> </vt:lpwstr>
  </property>
  <property fmtid="{D5CDD505-2E9C-101B-9397-08002B2CF9AE}" pid="161" name="Ram_Project_Name">
    <vt:lpwstr> </vt:lpwstr>
  </property>
  <property fmtid="{D5CDD505-2E9C-101B-9397-08002B2CF9AE}" pid="162" name="Ram_Project_Number">
    <vt:lpwstr> </vt:lpwstr>
  </property>
  <property fmtid="{D5CDD505-2E9C-101B-9397-08002B2CF9AE}" pid="163" name="Ram_Document_Project_Field1">
    <vt:lpwstr> </vt:lpwstr>
  </property>
  <property fmtid="{D5CDD505-2E9C-101B-9397-08002B2CF9AE}" pid="164" name="Ram_Document_Project_Field2">
    <vt:lpwstr> </vt:lpwstr>
  </property>
  <property fmtid="{D5CDD505-2E9C-101B-9397-08002B2CF9AE}" pid="165" name="Ram_Document_Project_Field3">
    <vt:lpwstr> </vt:lpwstr>
  </property>
  <property fmtid="{D5CDD505-2E9C-101B-9397-08002B2CF9AE}" pid="166" name="Ram_Document_PreparedBy_FullName">
    <vt:lpwstr> </vt:lpwstr>
  </property>
  <property fmtid="{D5CDD505-2E9C-101B-9397-08002B2CF9AE}" pid="167" name="Ram_Document_Client_Version">
    <vt:lpwstr> </vt:lpwstr>
  </property>
  <property fmtid="{D5CDD505-2E9C-101B-9397-08002B2CF9AE}" pid="168" name="Ram_Document_Client_Version_Description">
    <vt:lpwstr> </vt:lpwstr>
  </property>
  <property fmtid="{D5CDD505-2E9C-101B-9397-08002B2CF9AE}" pid="169" name="Ram_Document_URN">
    <vt:lpwstr> </vt:lpwstr>
  </property>
  <property fmtid="{D5CDD505-2E9C-101B-9397-08002B2CF9AE}" pid="170" name="Doc_CreatedDate">
    <vt:lpwstr> </vt:lpwstr>
  </property>
  <property fmtid="{D5CDD505-2E9C-101B-9397-08002B2CF9AE}" pid="171" name="InsertImageBackpage">
    <vt:lpwstr>True</vt:lpwstr>
  </property>
  <property fmtid="{D5CDD505-2E9C-101B-9397-08002B2CF9AE}" pid="172" name="TenderCoverpage">
    <vt:lpwstr>True</vt:lpwstr>
  </property>
  <property fmtid="{D5CDD505-2E9C-101B-9397-08002B2CF9AE}" pid="173" name="ExtraLogo">
    <vt:lpwstr>True</vt:lpwstr>
  </property>
  <property fmtid="{D5CDD505-2E9C-101B-9397-08002B2CF9AE}" pid="174" name="TemplafyTenantId">
    <vt:lpwstr>ramboll</vt:lpwstr>
  </property>
  <property fmtid="{D5CDD505-2E9C-101B-9397-08002B2CF9AE}" pid="175" name="TemplafyTemplateId">
    <vt:lpwstr>636452954907126925</vt:lpwstr>
  </property>
  <property fmtid="{D5CDD505-2E9C-101B-9397-08002B2CF9AE}" pid="176" name="TemplafyUserProfileId">
    <vt:lpwstr>637835489890785528</vt:lpwstr>
  </property>
  <property fmtid="{D5CDD505-2E9C-101B-9397-08002B2CF9AE}" pid="177" name="TemplafyLanguageCode">
    <vt:lpwstr>en-US</vt:lpwstr>
  </property>
  <property fmtid="{D5CDD505-2E9C-101B-9397-08002B2CF9AE}" pid="178" name="TemplafyFromBlank">
    <vt:bool>false</vt:bool>
  </property>
  <property fmtid="{D5CDD505-2E9C-101B-9397-08002B2CF9AE}" pid="179" name="ClassificationContentMarkingFooterShapeIds">
    <vt:lpwstr>10e45407,10e45408,10e45409,10e4540a,10e4540b,10e4540c,10e4540d,10e4540e,10e4540f,10e45410,10e45411,10e45412</vt:lpwstr>
  </property>
  <property fmtid="{D5CDD505-2E9C-101B-9397-08002B2CF9AE}" pid="180" name="ClassificationContentMarkingFooterFontProps">
    <vt:lpwstr>#000000,7,Verdana</vt:lpwstr>
  </property>
  <property fmtid="{D5CDD505-2E9C-101B-9397-08002B2CF9AE}" pid="181" name="ClassificationContentMarkingFooterText">
    <vt:lpwstr>Confidential</vt:lpwstr>
  </property>
  <property fmtid="{D5CDD505-2E9C-101B-9397-08002B2CF9AE}" pid="182" name="MSIP_Label_20ea7001-5c24-4702-a3ac-e436ccb02747_Enabled">
    <vt:lpwstr>true</vt:lpwstr>
  </property>
  <property fmtid="{D5CDD505-2E9C-101B-9397-08002B2CF9AE}" pid="183" name="MSIP_Label_20ea7001-5c24-4702-a3ac-e436ccb02747_SetDate">
    <vt:lpwstr>2023-09-09T17:03:50Z</vt:lpwstr>
  </property>
  <property fmtid="{D5CDD505-2E9C-101B-9397-08002B2CF9AE}" pid="184" name="MSIP_Label_20ea7001-5c24-4702-a3ac-e436ccb02747_Method">
    <vt:lpwstr>Standard</vt:lpwstr>
  </property>
  <property fmtid="{D5CDD505-2E9C-101B-9397-08002B2CF9AE}" pid="185" name="MSIP_Label_20ea7001-5c24-4702-a3ac-e436ccb02747_Name">
    <vt:lpwstr>Confidential</vt:lpwstr>
  </property>
  <property fmtid="{D5CDD505-2E9C-101B-9397-08002B2CF9AE}" pid="186" name="MSIP_Label_20ea7001-5c24-4702-a3ac-e436ccb02747_SiteId">
    <vt:lpwstr>c8823c91-be81-4f89-b024-6c3dd789c106</vt:lpwstr>
  </property>
  <property fmtid="{D5CDD505-2E9C-101B-9397-08002B2CF9AE}" pid="187" name="MSIP_Label_20ea7001-5c24-4702-a3ac-e436ccb02747_ActionId">
    <vt:lpwstr>ee2a6847-6c0d-49a8-9f1f-07db68bed76e</vt:lpwstr>
  </property>
  <property fmtid="{D5CDD505-2E9C-101B-9397-08002B2CF9AE}" pid="188" name="MSIP_Label_20ea7001-5c24-4702-a3ac-e436ccb02747_ContentBits">
    <vt:lpwstr>2</vt:lpwstr>
  </property>
  <property fmtid="{D5CDD505-2E9C-101B-9397-08002B2CF9AE}" pid="189" name="ContentTypeId">
    <vt:lpwstr>0x010100E3A99DB05BA6C74086A57D8BACDA6CF1</vt:lpwstr>
  </property>
  <property fmtid="{D5CDD505-2E9C-101B-9397-08002B2CF9AE}" pid="190" name="MediaServiceImageTags">
    <vt:lpwstr/>
  </property>
</Properties>
</file>